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01D3091D" w:rsidR="00624A55" w:rsidRDefault="009E1BCA" w:rsidP="008F3D35">
      <w:pPr>
        <w:pStyle w:val="Heading1"/>
        <w:rPr>
          <w:lang w:val="en-AU"/>
        </w:rPr>
      </w:pPr>
      <w:r>
        <w:rPr>
          <w:lang w:val="en-AU"/>
        </w:rPr>
        <w:t xml:space="preserve">Teacher pedagogic decision making </w:t>
      </w:r>
      <w:r w:rsidR="00D444A1">
        <w:rPr>
          <w:lang w:val="en-AU"/>
        </w:rPr>
        <w:t>about the teaching of reading</w:t>
      </w:r>
    </w:p>
    <w:p w14:paraId="47DB987B" w14:textId="77777777" w:rsidR="00555136" w:rsidRPr="00323166" w:rsidRDefault="00555136" w:rsidP="00555136">
      <w:pPr>
        <w:spacing w:before="100" w:beforeAutospacing="1" w:after="100" w:afterAutospacing="1" w:line="240" w:lineRule="exact"/>
        <w:contextualSpacing/>
        <w:rPr>
          <w:rFonts w:eastAsia="Times New Roman" w:cstheme="minorHAnsi"/>
          <w:b/>
          <w:bCs/>
          <w:szCs w:val="22"/>
        </w:rPr>
      </w:pPr>
      <w:r w:rsidRPr="00323166">
        <w:rPr>
          <w:rFonts w:eastAsia="Times New Roman" w:cstheme="minorHAnsi"/>
          <w:b/>
          <w:bCs/>
          <w:szCs w:val="22"/>
        </w:rPr>
        <w:t>This paper relates to the following Australian Professional Standards for Teachers</w:t>
      </w:r>
    </w:p>
    <w:p w14:paraId="4E75864B" w14:textId="77777777" w:rsidR="00555136" w:rsidRPr="00323166" w:rsidRDefault="00555136" w:rsidP="00555136">
      <w:pPr>
        <w:spacing w:before="100" w:beforeAutospacing="1" w:after="100" w:afterAutospacing="1" w:line="240" w:lineRule="exact"/>
        <w:contextualSpacing/>
        <w:rPr>
          <w:rFonts w:eastAsia="Times New Roman" w:cstheme="minorHAnsi"/>
          <w:szCs w:val="22"/>
        </w:rPr>
      </w:pPr>
    </w:p>
    <w:p w14:paraId="0DADBC66" w14:textId="77777777" w:rsidR="00555136" w:rsidRPr="00323166" w:rsidRDefault="00555136" w:rsidP="00555136">
      <w:pPr>
        <w:spacing w:before="100" w:beforeAutospacing="1" w:after="100" w:afterAutospacing="1" w:line="240" w:lineRule="exact"/>
        <w:contextualSpacing/>
        <w:rPr>
          <w:rFonts w:eastAsia="Times New Roman" w:cstheme="minorHAnsi"/>
          <w:b/>
          <w:bCs/>
          <w:szCs w:val="22"/>
        </w:rPr>
      </w:pPr>
      <w:r w:rsidRPr="00323166">
        <w:rPr>
          <w:rFonts w:eastAsia="Times New Roman" w:cstheme="minorHAnsi"/>
          <w:b/>
          <w:bCs/>
          <w:szCs w:val="22"/>
        </w:rPr>
        <w:t>Standard 1 Know students and how they learn</w:t>
      </w:r>
    </w:p>
    <w:p w14:paraId="5D213DAA" w14:textId="77777777" w:rsidR="00555136" w:rsidRPr="00323166" w:rsidRDefault="00555136" w:rsidP="00555136">
      <w:pPr>
        <w:spacing w:before="100" w:beforeAutospacing="1" w:after="100" w:afterAutospacing="1" w:line="240" w:lineRule="exact"/>
        <w:contextualSpacing/>
        <w:rPr>
          <w:rFonts w:eastAsia="Times New Roman" w:cstheme="minorHAnsi"/>
          <w:b/>
          <w:bCs/>
          <w:szCs w:val="22"/>
        </w:rPr>
      </w:pPr>
    </w:p>
    <w:p w14:paraId="5F478DD4" w14:textId="77777777" w:rsidR="00555136" w:rsidRDefault="00555136" w:rsidP="00555136">
      <w:pPr>
        <w:spacing w:before="100" w:beforeAutospacing="1" w:after="100" w:afterAutospacing="1" w:line="240" w:lineRule="exact"/>
        <w:ind w:firstLine="720"/>
        <w:contextualSpacing/>
        <w:rPr>
          <w:rFonts w:eastAsia="Times New Roman" w:cstheme="minorHAnsi"/>
          <w:szCs w:val="22"/>
        </w:rPr>
      </w:pPr>
      <w:r w:rsidRPr="00323166">
        <w:rPr>
          <w:rFonts w:eastAsia="Times New Roman" w:cstheme="minorHAnsi"/>
          <w:szCs w:val="22"/>
        </w:rPr>
        <w:t>1.2 Understand how students learn</w:t>
      </w:r>
    </w:p>
    <w:p w14:paraId="49E70A4C" w14:textId="5DC6E647" w:rsidR="001132B7" w:rsidRDefault="001132B7" w:rsidP="00555136">
      <w:pPr>
        <w:spacing w:before="100" w:beforeAutospacing="1" w:after="100" w:afterAutospacing="1" w:line="240" w:lineRule="exact"/>
        <w:ind w:firstLine="720"/>
        <w:contextualSpacing/>
        <w:rPr>
          <w:rFonts w:eastAsia="Times New Roman" w:cstheme="minorHAnsi"/>
          <w:szCs w:val="22"/>
        </w:rPr>
      </w:pPr>
      <w:r>
        <w:rPr>
          <w:rFonts w:eastAsia="Times New Roman" w:cstheme="minorHAnsi"/>
          <w:szCs w:val="22"/>
        </w:rPr>
        <w:t xml:space="preserve">1.3 Students </w:t>
      </w:r>
      <w:r w:rsidR="008B2E1D">
        <w:rPr>
          <w:rFonts w:eastAsia="Times New Roman" w:cstheme="minorHAnsi"/>
          <w:szCs w:val="22"/>
        </w:rPr>
        <w:t>with diverse linguistic, cultural and socioeconomic backgrounds</w:t>
      </w:r>
    </w:p>
    <w:p w14:paraId="64A5FDD0" w14:textId="52636677" w:rsidR="0014214F" w:rsidRPr="00323166" w:rsidRDefault="0014214F" w:rsidP="00555136">
      <w:pPr>
        <w:spacing w:before="100" w:beforeAutospacing="1" w:after="100" w:afterAutospacing="1" w:line="240" w:lineRule="exact"/>
        <w:ind w:firstLine="720"/>
        <w:contextualSpacing/>
        <w:rPr>
          <w:rFonts w:eastAsia="Times New Roman" w:cstheme="minorHAnsi"/>
          <w:szCs w:val="22"/>
        </w:rPr>
      </w:pPr>
      <w:r>
        <w:rPr>
          <w:rFonts w:eastAsia="Times New Roman" w:cstheme="minorHAnsi"/>
          <w:szCs w:val="22"/>
        </w:rPr>
        <w:t>1.4 Strategies for teaching Aboriginal and Torres Strait Islander students</w:t>
      </w:r>
    </w:p>
    <w:p w14:paraId="5718ED82" w14:textId="77777777" w:rsidR="00555136" w:rsidRDefault="00555136" w:rsidP="00555136">
      <w:pPr>
        <w:spacing w:before="100" w:beforeAutospacing="1" w:after="100" w:afterAutospacing="1" w:line="240" w:lineRule="exact"/>
        <w:ind w:left="720"/>
        <w:contextualSpacing/>
        <w:rPr>
          <w:rFonts w:eastAsia="Times New Roman" w:cstheme="minorHAnsi"/>
          <w:szCs w:val="22"/>
          <w:lang w:val="en-US"/>
        </w:rPr>
      </w:pPr>
      <w:r w:rsidRPr="00323166">
        <w:rPr>
          <w:rFonts w:eastAsia="Times New Roman" w:cstheme="minorHAnsi"/>
          <w:szCs w:val="22"/>
        </w:rPr>
        <w:t xml:space="preserve">1.5 </w:t>
      </w:r>
      <w:r w:rsidRPr="00323166">
        <w:rPr>
          <w:rFonts w:eastAsia="Times New Roman" w:cstheme="minorHAnsi"/>
          <w:szCs w:val="22"/>
          <w:lang w:val="en-US"/>
        </w:rPr>
        <w:t>Differentiate teaching to meet the specific learning needs of students across the full range of abilities</w:t>
      </w:r>
    </w:p>
    <w:p w14:paraId="7A2A3604" w14:textId="0084C806" w:rsidR="00550791" w:rsidRPr="00323166" w:rsidRDefault="00550791" w:rsidP="00555136">
      <w:pPr>
        <w:spacing w:before="100" w:beforeAutospacing="1" w:after="100" w:afterAutospacing="1" w:line="240" w:lineRule="exact"/>
        <w:ind w:left="720"/>
        <w:contextualSpacing/>
        <w:rPr>
          <w:rFonts w:eastAsia="Times New Roman" w:cstheme="minorHAnsi"/>
          <w:szCs w:val="22"/>
          <w:lang w:val="en-US"/>
        </w:rPr>
      </w:pPr>
      <w:r>
        <w:rPr>
          <w:rFonts w:eastAsia="Times New Roman" w:cstheme="minorHAnsi"/>
          <w:szCs w:val="22"/>
          <w:lang w:val="en-US"/>
        </w:rPr>
        <w:t>1.6 Strategies to support full participate of students with a disability</w:t>
      </w:r>
    </w:p>
    <w:p w14:paraId="725C78DA" w14:textId="77777777" w:rsidR="00555136" w:rsidRPr="00323166" w:rsidRDefault="00555136" w:rsidP="00555136">
      <w:pPr>
        <w:spacing w:before="100" w:beforeAutospacing="1" w:after="100" w:afterAutospacing="1" w:line="240" w:lineRule="exact"/>
        <w:contextualSpacing/>
        <w:rPr>
          <w:rFonts w:eastAsia="Times New Roman" w:cstheme="minorHAnsi"/>
          <w:szCs w:val="22"/>
        </w:rPr>
      </w:pPr>
    </w:p>
    <w:p w14:paraId="60954139" w14:textId="77777777" w:rsidR="00555136" w:rsidRPr="00323166" w:rsidRDefault="00555136" w:rsidP="00555136">
      <w:pPr>
        <w:spacing w:before="100" w:beforeAutospacing="1" w:after="100" w:afterAutospacing="1" w:line="240" w:lineRule="exact"/>
        <w:contextualSpacing/>
        <w:rPr>
          <w:rFonts w:eastAsia="Times New Roman" w:cstheme="minorHAnsi"/>
          <w:b/>
          <w:bCs/>
          <w:szCs w:val="22"/>
        </w:rPr>
      </w:pPr>
      <w:r w:rsidRPr="00323166">
        <w:rPr>
          <w:rFonts w:eastAsia="Times New Roman" w:cstheme="minorHAnsi"/>
          <w:b/>
          <w:bCs/>
          <w:szCs w:val="22"/>
        </w:rPr>
        <w:t>Standard 2: Know the content and how to teach it</w:t>
      </w:r>
    </w:p>
    <w:p w14:paraId="58F415A0" w14:textId="77777777" w:rsidR="00555136" w:rsidRPr="00323166" w:rsidRDefault="00555136" w:rsidP="00555136">
      <w:pPr>
        <w:spacing w:before="100" w:beforeAutospacing="1" w:after="100" w:afterAutospacing="1" w:line="240" w:lineRule="exact"/>
        <w:contextualSpacing/>
        <w:rPr>
          <w:rFonts w:eastAsia="Times New Roman" w:cstheme="minorHAnsi"/>
          <w:b/>
          <w:bCs/>
          <w:szCs w:val="22"/>
        </w:rPr>
      </w:pPr>
    </w:p>
    <w:p w14:paraId="26EE86E0" w14:textId="77777777" w:rsidR="00555136" w:rsidRPr="00323166" w:rsidRDefault="00555136" w:rsidP="00555136">
      <w:pPr>
        <w:spacing w:before="100" w:beforeAutospacing="1" w:after="100" w:afterAutospacing="1" w:line="240" w:lineRule="exact"/>
        <w:ind w:firstLine="720"/>
        <w:contextualSpacing/>
        <w:rPr>
          <w:rFonts w:eastAsia="Times New Roman" w:cstheme="minorHAnsi"/>
          <w:szCs w:val="22"/>
        </w:rPr>
      </w:pPr>
      <w:r w:rsidRPr="00323166">
        <w:rPr>
          <w:rFonts w:eastAsia="Times New Roman" w:cstheme="minorHAnsi"/>
          <w:szCs w:val="22"/>
        </w:rPr>
        <w:t>2.1 Content and teaching strategies of the teaching area</w:t>
      </w:r>
    </w:p>
    <w:p w14:paraId="27B8FA7F" w14:textId="77777777" w:rsidR="00555136" w:rsidRPr="00323166" w:rsidRDefault="00555136" w:rsidP="00555136">
      <w:pPr>
        <w:spacing w:before="100" w:beforeAutospacing="1" w:after="100" w:afterAutospacing="1" w:line="240" w:lineRule="exact"/>
        <w:ind w:firstLine="720"/>
        <w:contextualSpacing/>
        <w:rPr>
          <w:rFonts w:eastAsia="Times New Roman" w:cstheme="minorHAnsi"/>
          <w:szCs w:val="22"/>
        </w:rPr>
      </w:pPr>
      <w:r w:rsidRPr="00323166">
        <w:rPr>
          <w:rFonts w:eastAsia="Times New Roman" w:cstheme="minorHAnsi"/>
          <w:szCs w:val="22"/>
        </w:rPr>
        <w:t>2.2 Content selection and organisation</w:t>
      </w:r>
    </w:p>
    <w:p w14:paraId="7E6E99AC" w14:textId="77777777" w:rsidR="00555136" w:rsidRPr="00323166" w:rsidRDefault="00555136" w:rsidP="00555136">
      <w:pPr>
        <w:spacing w:before="100" w:beforeAutospacing="1" w:after="100" w:afterAutospacing="1" w:line="240" w:lineRule="exact"/>
        <w:ind w:firstLine="720"/>
        <w:contextualSpacing/>
        <w:rPr>
          <w:rFonts w:eastAsia="Times New Roman" w:cstheme="minorHAnsi"/>
          <w:szCs w:val="22"/>
        </w:rPr>
      </w:pPr>
      <w:r w:rsidRPr="00323166">
        <w:rPr>
          <w:rFonts w:eastAsia="Times New Roman" w:cstheme="minorHAnsi"/>
          <w:szCs w:val="22"/>
        </w:rPr>
        <w:t>2.3 Curriculum, assessment and reporting</w:t>
      </w:r>
    </w:p>
    <w:p w14:paraId="740A5CE2" w14:textId="77777777" w:rsidR="00555136" w:rsidRPr="00323166" w:rsidRDefault="00555136" w:rsidP="00555136">
      <w:pPr>
        <w:spacing w:before="100" w:beforeAutospacing="1" w:after="100" w:afterAutospacing="1" w:line="240" w:lineRule="exact"/>
        <w:ind w:firstLine="720"/>
        <w:contextualSpacing/>
        <w:rPr>
          <w:rFonts w:eastAsia="Times New Roman" w:cstheme="minorHAnsi"/>
          <w:szCs w:val="22"/>
        </w:rPr>
      </w:pPr>
      <w:r w:rsidRPr="00323166">
        <w:rPr>
          <w:rFonts w:eastAsia="Times New Roman" w:cstheme="minorHAnsi"/>
          <w:szCs w:val="22"/>
        </w:rPr>
        <w:t>2.5 Literacy and numeracies strategies</w:t>
      </w:r>
    </w:p>
    <w:p w14:paraId="4C9A3E9D" w14:textId="77777777" w:rsidR="00555136" w:rsidRPr="00323166" w:rsidRDefault="00555136" w:rsidP="00555136">
      <w:pPr>
        <w:spacing w:before="100" w:beforeAutospacing="1" w:after="100" w:afterAutospacing="1" w:line="240" w:lineRule="exact"/>
        <w:contextualSpacing/>
        <w:rPr>
          <w:rFonts w:eastAsia="Times New Roman" w:cstheme="minorHAnsi"/>
          <w:szCs w:val="22"/>
        </w:rPr>
      </w:pPr>
    </w:p>
    <w:p w14:paraId="5460F842" w14:textId="77777777" w:rsidR="00555136" w:rsidRPr="00323166" w:rsidRDefault="00555136" w:rsidP="00555136">
      <w:pPr>
        <w:spacing w:before="100" w:beforeAutospacing="1" w:after="100" w:afterAutospacing="1" w:line="240" w:lineRule="exact"/>
        <w:contextualSpacing/>
        <w:rPr>
          <w:rFonts w:eastAsia="Times New Roman" w:cstheme="minorHAnsi"/>
          <w:b/>
          <w:bCs/>
          <w:szCs w:val="22"/>
        </w:rPr>
      </w:pPr>
      <w:r w:rsidRPr="00323166">
        <w:rPr>
          <w:rFonts w:eastAsia="Times New Roman" w:cstheme="minorHAnsi"/>
          <w:b/>
          <w:bCs/>
          <w:szCs w:val="22"/>
        </w:rPr>
        <w:t>Standard 3:  Plan for and implement effective teaching and learning</w:t>
      </w:r>
    </w:p>
    <w:p w14:paraId="2720D30C" w14:textId="77777777" w:rsidR="00555136" w:rsidRPr="00323166" w:rsidRDefault="00555136" w:rsidP="00555136">
      <w:pPr>
        <w:spacing w:before="100" w:beforeAutospacing="1" w:after="100" w:afterAutospacing="1" w:line="240" w:lineRule="exact"/>
        <w:contextualSpacing/>
        <w:rPr>
          <w:rFonts w:eastAsia="Times New Roman" w:cstheme="minorHAnsi"/>
          <w:b/>
          <w:bCs/>
          <w:szCs w:val="22"/>
        </w:rPr>
      </w:pPr>
    </w:p>
    <w:p w14:paraId="314D2962" w14:textId="77777777" w:rsidR="00555136" w:rsidRPr="00323166" w:rsidRDefault="00555136" w:rsidP="00555136">
      <w:pPr>
        <w:spacing w:before="100" w:beforeAutospacing="1" w:after="100" w:afterAutospacing="1" w:line="240" w:lineRule="exact"/>
        <w:ind w:firstLine="720"/>
        <w:contextualSpacing/>
        <w:rPr>
          <w:rFonts w:eastAsia="Times New Roman" w:cstheme="minorHAnsi"/>
          <w:szCs w:val="22"/>
        </w:rPr>
      </w:pPr>
      <w:r w:rsidRPr="00323166">
        <w:rPr>
          <w:rFonts w:eastAsia="Times New Roman" w:cstheme="minorHAnsi"/>
          <w:szCs w:val="22"/>
        </w:rPr>
        <w:t>3.1 Establish challenging learning goals</w:t>
      </w:r>
    </w:p>
    <w:p w14:paraId="78396D04" w14:textId="77777777" w:rsidR="00555136" w:rsidRPr="00323166" w:rsidRDefault="00555136" w:rsidP="00555136">
      <w:pPr>
        <w:spacing w:before="100" w:beforeAutospacing="1" w:after="100" w:afterAutospacing="1" w:line="240" w:lineRule="exact"/>
        <w:ind w:firstLine="720"/>
        <w:contextualSpacing/>
        <w:rPr>
          <w:rFonts w:eastAsia="Times New Roman" w:cstheme="minorHAnsi"/>
          <w:szCs w:val="22"/>
        </w:rPr>
      </w:pPr>
      <w:r w:rsidRPr="00323166">
        <w:rPr>
          <w:rFonts w:eastAsia="Times New Roman" w:cstheme="minorHAnsi"/>
          <w:szCs w:val="22"/>
        </w:rPr>
        <w:t>3.2 Plan, structure and sequence learning programs</w:t>
      </w:r>
    </w:p>
    <w:p w14:paraId="4E18192E" w14:textId="77777777" w:rsidR="00555136" w:rsidRDefault="00555136" w:rsidP="00555136">
      <w:pPr>
        <w:spacing w:before="100" w:beforeAutospacing="1" w:after="100" w:afterAutospacing="1" w:line="240" w:lineRule="exact"/>
        <w:ind w:firstLine="720"/>
        <w:contextualSpacing/>
        <w:rPr>
          <w:rFonts w:eastAsia="Times New Roman" w:cstheme="minorHAnsi"/>
          <w:szCs w:val="22"/>
        </w:rPr>
      </w:pPr>
      <w:r w:rsidRPr="00323166">
        <w:rPr>
          <w:rFonts w:eastAsia="Times New Roman" w:cstheme="minorHAnsi"/>
          <w:szCs w:val="22"/>
        </w:rPr>
        <w:t>3.3 Use teaching strategies</w:t>
      </w:r>
    </w:p>
    <w:p w14:paraId="5BD29EE6" w14:textId="28884973" w:rsidR="000F7288" w:rsidRDefault="000F7288" w:rsidP="00555136">
      <w:pPr>
        <w:spacing w:before="100" w:beforeAutospacing="1" w:after="100" w:afterAutospacing="1" w:line="240" w:lineRule="exact"/>
        <w:ind w:firstLine="720"/>
        <w:contextualSpacing/>
        <w:rPr>
          <w:rFonts w:eastAsia="Times New Roman" w:cstheme="minorHAnsi"/>
          <w:szCs w:val="22"/>
        </w:rPr>
      </w:pPr>
      <w:r>
        <w:rPr>
          <w:rFonts w:eastAsia="Times New Roman" w:cstheme="minorHAnsi"/>
          <w:szCs w:val="22"/>
        </w:rPr>
        <w:t>3.6 Evaluate and improve learning programs</w:t>
      </w:r>
    </w:p>
    <w:p w14:paraId="56F6FC9D" w14:textId="77777777" w:rsidR="0002121C" w:rsidRDefault="0002121C" w:rsidP="00555136">
      <w:pPr>
        <w:spacing w:before="100" w:beforeAutospacing="1" w:after="100" w:afterAutospacing="1" w:line="240" w:lineRule="exact"/>
        <w:ind w:firstLine="720"/>
        <w:contextualSpacing/>
        <w:rPr>
          <w:rFonts w:eastAsia="Times New Roman" w:cstheme="minorHAnsi"/>
          <w:szCs w:val="22"/>
        </w:rPr>
      </w:pPr>
    </w:p>
    <w:p w14:paraId="4A7D0E77" w14:textId="19FB2D62" w:rsidR="00372F84" w:rsidRDefault="0002121C" w:rsidP="00372F84">
      <w:pPr>
        <w:spacing w:before="100" w:beforeAutospacing="1" w:after="100" w:afterAutospacing="1" w:line="240" w:lineRule="exact"/>
        <w:contextualSpacing/>
        <w:rPr>
          <w:rFonts w:eastAsia="Times New Roman" w:cstheme="minorHAnsi"/>
          <w:b/>
          <w:bCs/>
          <w:szCs w:val="22"/>
        </w:rPr>
      </w:pPr>
      <w:r>
        <w:rPr>
          <w:rFonts w:eastAsia="Times New Roman" w:cstheme="minorHAnsi"/>
          <w:b/>
          <w:bCs/>
          <w:szCs w:val="22"/>
        </w:rPr>
        <w:t>Standard 5: Assess, provide feedback and report on student learning</w:t>
      </w:r>
    </w:p>
    <w:p w14:paraId="70F87C58" w14:textId="77777777" w:rsidR="0002121C" w:rsidRDefault="0002121C" w:rsidP="00372F84">
      <w:pPr>
        <w:spacing w:before="100" w:beforeAutospacing="1" w:after="100" w:afterAutospacing="1" w:line="240" w:lineRule="exact"/>
        <w:contextualSpacing/>
        <w:rPr>
          <w:rFonts w:eastAsia="Times New Roman" w:cstheme="minorHAnsi"/>
          <w:b/>
          <w:bCs/>
          <w:szCs w:val="22"/>
        </w:rPr>
      </w:pPr>
    </w:p>
    <w:p w14:paraId="00E37B2B" w14:textId="748C32AF" w:rsidR="0002121C" w:rsidRDefault="00765CB3" w:rsidP="00372F84">
      <w:pPr>
        <w:spacing w:before="100" w:beforeAutospacing="1" w:after="100" w:afterAutospacing="1" w:line="240" w:lineRule="exact"/>
        <w:contextualSpacing/>
        <w:rPr>
          <w:rFonts w:eastAsia="Times New Roman" w:cstheme="minorHAnsi"/>
          <w:szCs w:val="22"/>
        </w:rPr>
      </w:pPr>
      <w:r>
        <w:rPr>
          <w:rFonts w:eastAsia="Times New Roman" w:cstheme="minorHAnsi"/>
          <w:b/>
          <w:bCs/>
          <w:szCs w:val="22"/>
        </w:rPr>
        <w:tab/>
      </w:r>
      <w:r>
        <w:rPr>
          <w:rFonts w:eastAsia="Times New Roman" w:cstheme="minorHAnsi"/>
          <w:szCs w:val="22"/>
        </w:rPr>
        <w:t>5.1 Assess student learning</w:t>
      </w:r>
    </w:p>
    <w:p w14:paraId="4B44D151" w14:textId="1BEFC50A" w:rsidR="002839A1" w:rsidRPr="00765CB3" w:rsidRDefault="002839A1" w:rsidP="00372F84">
      <w:pPr>
        <w:spacing w:before="100" w:beforeAutospacing="1" w:after="100" w:afterAutospacing="1" w:line="240" w:lineRule="exact"/>
        <w:contextualSpacing/>
        <w:rPr>
          <w:rFonts w:eastAsia="Times New Roman" w:cstheme="minorHAnsi"/>
          <w:szCs w:val="22"/>
        </w:rPr>
      </w:pPr>
      <w:r>
        <w:rPr>
          <w:rFonts w:eastAsia="Times New Roman" w:cstheme="minorHAnsi"/>
          <w:szCs w:val="22"/>
        </w:rPr>
        <w:tab/>
      </w:r>
      <w:r w:rsidR="00D94448">
        <w:rPr>
          <w:rFonts w:eastAsia="Times New Roman" w:cstheme="minorHAnsi"/>
          <w:szCs w:val="22"/>
        </w:rPr>
        <w:t>5.4 Interpret student data</w:t>
      </w:r>
    </w:p>
    <w:p w14:paraId="4DB5A1ED" w14:textId="77777777" w:rsidR="009C1888" w:rsidRDefault="009C1888" w:rsidP="009C1888">
      <w:pPr>
        <w:spacing w:before="100" w:beforeAutospacing="1" w:after="100" w:afterAutospacing="1" w:line="240" w:lineRule="exact"/>
        <w:ind w:firstLine="720"/>
        <w:contextualSpacing/>
        <w:rPr>
          <w:rFonts w:eastAsia="Times New Roman" w:cstheme="minorHAnsi"/>
          <w:szCs w:val="22"/>
        </w:rPr>
      </w:pPr>
    </w:p>
    <w:p w14:paraId="1E331C57" w14:textId="2C14592E" w:rsidR="001A381C" w:rsidRDefault="009C1888" w:rsidP="009C1888">
      <w:pPr>
        <w:rPr>
          <w:rFonts w:eastAsia="Times New Roman" w:cstheme="minorHAnsi"/>
          <w:b/>
          <w:bCs/>
          <w:szCs w:val="22"/>
        </w:rPr>
      </w:pPr>
      <w:r>
        <w:rPr>
          <w:rFonts w:eastAsia="Times New Roman" w:cstheme="minorHAnsi"/>
          <w:b/>
          <w:bCs/>
          <w:szCs w:val="22"/>
        </w:rPr>
        <w:t>Standard 6: Engage in professional learning</w:t>
      </w:r>
    </w:p>
    <w:p w14:paraId="67BAFF32" w14:textId="1F82235B" w:rsidR="009C1888" w:rsidRDefault="009C1888" w:rsidP="00E6436C">
      <w:pPr>
        <w:spacing w:after="0"/>
        <w:rPr>
          <w:rFonts w:eastAsia="Times New Roman" w:cstheme="minorHAnsi"/>
          <w:szCs w:val="22"/>
        </w:rPr>
      </w:pPr>
      <w:r>
        <w:rPr>
          <w:rFonts w:eastAsia="Times New Roman" w:cstheme="minorHAnsi"/>
          <w:szCs w:val="22"/>
        </w:rPr>
        <w:tab/>
      </w:r>
      <w:r w:rsidR="00052EA0">
        <w:rPr>
          <w:rFonts w:eastAsia="Times New Roman" w:cstheme="minorHAnsi"/>
          <w:szCs w:val="22"/>
        </w:rPr>
        <w:t>6.1 Identify and plan professional learning needs</w:t>
      </w:r>
    </w:p>
    <w:p w14:paraId="54CD05A3" w14:textId="46177AF1" w:rsidR="00073C20" w:rsidRDefault="00073C20" w:rsidP="00E6436C">
      <w:pPr>
        <w:spacing w:after="0"/>
        <w:rPr>
          <w:rFonts w:eastAsia="Times New Roman" w:cstheme="minorHAnsi"/>
          <w:szCs w:val="22"/>
        </w:rPr>
      </w:pPr>
      <w:r>
        <w:rPr>
          <w:rFonts w:eastAsia="Times New Roman" w:cstheme="minorHAnsi"/>
          <w:szCs w:val="22"/>
        </w:rPr>
        <w:tab/>
        <w:t>6.2 Engage in professional learning and improve practice</w:t>
      </w:r>
    </w:p>
    <w:p w14:paraId="26EA7227" w14:textId="14F56C58" w:rsidR="00073C20" w:rsidRDefault="00073C20" w:rsidP="00E6436C">
      <w:pPr>
        <w:spacing w:after="0"/>
        <w:rPr>
          <w:rFonts w:eastAsia="Times New Roman" w:cstheme="minorHAnsi"/>
          <w:szCs w:val="22"/>
        </w:rPr>
      </w:pPr>
      <w:r>
        <w:rPr>
          <w:rFonts w:eastAsia="Times New Roman" w:cstheme="minorHAnsi"/>
          <w:szCs w:val="22"/>
        </w:rPr>
        <w:tab/>
      </w:r>
      <w:r w:rsidR="00DD1709">
        <w:rPr>
          <w:rFonts w:eastAsia="Times New Roman" w:cstheme="minorHAnsi"/>
          <w:szCs w:val="22"/>
        </w:rPr>
        <w:t>6.3 Engage with colleagues and improve practice</w:t>
      </w:r>
    </w:p>
    <w:p w14:paraId="70D61978" w14:textId="0368268D" w:rsidR="00DD1709" w:rsidRPr="009C1888" w:rsidRDefault="00DD1709" w:rsidP="00E6436C">
      <w:pPr>
        <w:spacing w:after="0"/>
        <w:rPr>
          <w:lang w:val="en-AU"/>
        </w:rPr>
      </w:pPr>
      <w:r>
        <w:rPr>
          <w:rFonts w:eastAsia="Times New Roman" w:cstheme="minorHAnsi"/>
          <w:szCs w:val="22"/>
        </w:rPr>
        <w:tab/>
        <w:t xml:space="preserve">6.4 </w:t>
      </w:r>
      <w:r w:rsidR="00E6436C">
        <w:rPr>
          <w:rFonts w:eastAsia="Times New Roman" w:cstheme="minorHAnsi"/>
          <w:szCs w:val="22"/>
        </w:rPr>
        <w:t>Apply professional learning and improve student learning</w:t>
      </w:r>
    </w:p>
    <w:p w14:paraId="6E6868DC" w14:textId="30721F27" w:rsidR="00624A55" w:rsidRDefault="0090428E" w:rsidP="00624A55">
      <w:pPr>
        <w:pStyle w:val="Heading2"/>
        <w:rPr>
          <w:lang w:val="en-AU"/>
        </w:rPr>
      </w:pPr>
      <w:r>
        <w:rPr>
          <w:lang w:val="en-AU"/>
        </w:rPr>
        <w:t>The complexity of reading</w:t>
      </w:r>
    </w:p>
    <w:p w14:paraId="639C727D" w14:textId="613BB7B6" w:rsidR="2B0B4446" w:rsidRDefault="2B0B4446" w:rsidP="40BCCD94">
      <w:pPr>
        <w:rPr>
          <w:rFonts w:eastAsiaTheme="minorEastAsia"/>
          <w:color w:val="333333"/>
          <w:szCs w:val="22"/>
          <w:lang w:val="en-AU"/>
        </w:rPr>
      </w:pPr>
      <w:r w:rsidRPr="40BCCD94">
        <w:rPr>
          <w:lang w:val="en-AU"/>
        </w:rPr>
        <w:t>R</w:t>
      </w:r>
      <w:r w:rsidR="223889D8" w:rsidRPr="40BCCD94">
        <w:rPr>
          <w:lang w:val="en-AU"/>
        </w:rPr>
        <w:t xml:space="preserve">eading is a </w:t>
      </w:r>
      <w:r w:rsidR="4ED9C1CE" w:rsidRPr="40BCCD94">
        <w:rPr>
          <w:lang w:val="en-AU"/>
        </w:rPr>
        <w:t xml:space="preserve">complex and multidimensional </w:t>
      </w:r>
      <w:r w:rsidR="52846CBC" w:rsidRPr="40BCCD94">
        <w:rPr>
          <w:lang w:val="en-AU"/>
        </w:rPr>
        <w:t xml:space="preserve">cognitive </w:t>
      </w:r>
      <w:r w:rsidR="4ED9C1CE" w:rsidRPr="40BCCD94">
        <w:rPr>
          <w:lang w:val="en-AU"/>
        </w:rPr>
        <w:t>process</w:t>
      </w:r>
      <w:r w:rsidR="52846CBC" w:rsidRPr="40BCCD94">
        <w:rPr>
          <w:lang w:val="en-AU"/>
        </w:rPr>
        <w:t xml:space="preserve">, which is situated in and mediated by social and cultural </w:t>
      </w:r>
      <w:r w:rsidR="1DFBCFDA" w:rsidRPr="40BCCD94">
        <w:rPr>
          <w:lang w:val="en-AU"/>
        </w:rPr>
        <w:t>practices</w:t>
      </w:r>
      <w:r w:rsidR="4ED9C1CE" w:rsidRPr="40BCCD94">
        <w:rPr>
          <w:lang w:val="en-AU"/>
        </w:rPr>
        <w:t xml:space="preserve"> (</w:t>
      </w:r>
      <w:r w:rsidR="7277ED90" w:rsidRPr="40BCCD94">
        <w:rPr>
          <w:lang w:val="en-AU"/>
        </w:rPr>
        <w:t>Compton-Lily et al., 2020</w:t>
      </w:r>
      <w:r w:rsidR="5D3631C1" w:rsidRPr="40BCCD94">
        <w:rPr>
          <w:lang w:val="en-AU"/>
        </w:rPr>
        <w:t>). To</w:t>
      </w:r>
      <w:r w:rsidR="30C9785A" w:rsidRPr="40BCCD94">
        <w:rPr>
          <w:lang w:val="en-AU"/>
        </w:rPr>
        <w:t xml:space="preserve"> break down this complexity, reading is</w:t>
      </w:r>
      <w:r w:rsidR="32A6ABC3" w:rsidRPr="40BCCD94">
        <w:rPr>
          <w:lang w:val="en-AU"/>
        </w:rPr>
        <w:t xml:space="preserve"> often</w:t>
      </w:r>
      <w:r w:rsidR="30C9785A" w:rsidRPr="40BCCD94">
        <w:rPr>
          <w:lang w:val="en-AU"/>
        </w:rPr>
        <w:t xml:space="preserve"> </w:t>
      </w:r>
      <w:r w:rsidR="32A6ABC3" w:rsidRPr="40BCCD94">
        <w:rPr>
          <w:lang w:val="en-AU"/>
        </w:rPr>
        <w:t>presented</w:t>
      </w:r>
      <w:r w:rsidR="68997B9F" w:rsidRPr="40BCCD94">
        <w:rPr>
          <w:lang w:val="en-AU"/>
        </w:rPr>
        <w:t xml:space="preserve"> about</w:t>
      </w:r>
      <w:r w:rsidR="6D8D03D5" w:rsidRPr="40BCCD94">
        <w:rPr>
          <w:lang w:val="en-AU"/>
        </w:rPr>
        <w:t xml:space="preserve"> under</w:t>
      </w:r>
      <w:r w:rsidR="30C9785A" w:rsidRPr="40BCCD94">
        <w:rPr>
          <w:lang w:val="en-AU"/>
        </w:rPr>
        <w:t xml:space="preserve"> two broad categories</w:t>
      </w:r>
      <w:r w:rsidR="003362F7">
        <w:rPr>
          <w:lang w:val="en-AU"/>
        </w:rPr>
        <w:t>:</w:t>
      </w:r>
      <w:r w:rsidR="47148A7C" w:rsidRPr="40BCCD94">
        <w:rPr>
          <w:lang w:val="en-AU"/>
        </w:rPr>
        <w:t xml:space="preserve"> decoding and </w:t>
      </w:r>
      <w:r w:rsidR="3E9CD0D1" w:rsidRPr="40BCCD94">
        <w:rPr>
          <w:lang w:val="en-AU"/>
        </w:rPr>
        <w:t xml:space="preserve">language </w:t>
      </w:r>
      <w:r w:rsidR="47148A7C" w:rsidRPr="40BCCD94">
        <w:rPr>
          <w:lang w:val="en-AU"/>
        </w:rPr>
        <w:t>comprehension (</w:t>
      </w:r>
      <w:r w:rsidR="3FFF38E2" w:rsidRPr="40BCCD94">
        <w:rPr>
          <w:lang w:val="en-AU"/>
        </w:rPr>
        <w:t>Hoover</w:t>
      </w:r>
      <w:r w:rsidR="6D85C4F9" w:rsidRPr="40BCCD94">
        <w:rPr>
          <w:lang w:val="en-AU"/>
        </w:rPr>
        <w:t xml:space="preserve"> &amp; Tunmer</w:t>
      </w:r>
      <w:r w:rsidR="3FFF38E2" w:rsidRPr="40BCCD94">
        <w:rPr>
          <w:lang w:val="en-AU"/>
        </w:rPr>
        <w:t xml:space="preserve">, </w:t>
      </w:r>
      <w:r w:rsidR="6D85C4F9" w:rsidRPr="40BCCD94">
        <w:rPr>
          <w:lang w:val="en-AU"/>
        </w:rPr>
        <w:t>20</w:t>
      </w:r>
      <w:r w:rsidR="2BEBAB68" w:rsidRPr="40BCCD94">
        <w:rPr>
          <w:lang w:val="en-AU"/>
        </w:rPr>
        <w:t>20</w:t>
      </w:r>
      <w:r w:rsidR="3FFF38E2" w:rsidRPr="40BCCD94">
        <w:rPr>
          <w:lang w:val="en-AU"/>
        </w:rPr>
        <w:t xml:space="preserve">). </w:t>
      </w:r>
      <w:r w:rsidR="10C5F2E8" w:rsidRPr="40BCCD94">
        <w:rPr>
          <w:lang w:val="en-AU"/>
        </w:rPr>
        <w:t xml:space="preserve">Researchers have demonstrated that </w:t>
      </w:r>
      <w:r w:rsidR="79156DD4" w:rsidRPr="40BCCD94">
        <w:rPr>
          <w:lang w:val="en-AU"/>
        </w:rPr>
        <w:t xml:space="preserve">housed </w:t>
      </w:r>
      <w:r w:rsidR="10C5F2E8" w:rsidRPr="40BCCD94">
        <w:rPr>
          <w:lang w:val="en-AU"/>
        </w:rPr>
        <w:t xml:space="preserve">within these </w:t>
      </w:r>
      <w:r w:rsidR="26C785AC" w:rsidRPr="40BCCD94">
        <w:rPr>
          <w:lang w:val="en-AU"/>
        </w:rPr>
        <w:t xml:space="preserve">broad categories </w:t>
      </w:r>
      <w:r w:rsidR="338B9CEE" w:rsidRPr="40BCCD94">
        <w:rPr>
          <w:lang w:val="en-AU"/>
        </w:rPr>
        <w:t xml:space="preserve">are the </w:t>
      </w:r>
      <w:r w:rsidR="26C785AC" w:rsidRPr="40BCCD94">
        <w:rPr>
          <w:lang w:val="en-AU"/>
        </w:rPr>
        <w:t>essential components that support reading</w:t>
      </w:r>
      <w:r w:rsidR="02A2C100" w:rsidRPr="40BCCD94">
        <w:rPr>
          <w:lang w:val="en-AU"/>
        </w:rPr>
        <w:t xml:space="preserve"> development</w:t>
      </w:r>
      <w:r w:rsidR="44B1BD2B" w:rsidRPr="40BCCD94">
        <w:rPr>
          <w:lang w:val="en-AU"/>
        </w:rPr>
        <w:t>,</w:t>
      </w:r>
      <w:r w:rsidR="26C785AC" w:rsidRPr="40BCCD94">
        <w:rPr>
          <w:lang w:val="en-AU"/>
        </w:rPr>
        <w:t xml:space="preserve"> including oral language, phonological awareness, phonics, </w:t>
      </w:r>
      <w:r w:rsidR="365BA058" w:rsidRPr="40BCCD94">
        <w:rPr>
          <w:lang w:val="en-AU"/>
        </w:rPr>
        <w:t>vocabulary, comprehension and fluency (Konza, 2014).</w:t>
      </w:r>
      <w:r w:rsidR="633C8611" w:rsidRPr="40BCCD94">
        <w:rPr>
          <w:lang w:val="en-AU"/>
        </w:rPr>
        <w:t xml:space="preserve"> </w:t>
      </w:r>
      <w:r w:rsidR="3B33E195" w:rsidRPr="40BCCD94">
        <w:rPr>
          <w:lang w:val="en-AU"/>
        </w:rPr>
        <w:t xml:space="preserve"> When reading, these essential components form the basis for a range of cognitive, linguistic and social processes that</w:t>
      </w:r>
      <w:r w:rsidR="4A4A877D" w:rsidRPr="40BCCD94">
        <w:rPr>
          <w:lang w:val="en-AU"/>
        </w:rPr>
        <w:t xml:space="preserve"> help</w:t>
      </w:r>
      <w:r w:rsidR="3B33E195" w:rsidRPr="40BCCD94">
        <w:rPr>
          <w:lang w:val="en-AU"/>
        </w:rPr>
        <w:t xml:space="preserve"> </w:t>
      </w:r>
      <w:r w:rsidR="3B33E195" w:rsidRPr="40BCCD94">
        <w:rPr>
          <w:rFonts w:eastAsiaTheme="minorEastAsia"/>
          <w:szCs w:val="22"/>
          <w:lang w:val="en-AU"/>
        </w:rPr>
        <w:t>the reader comprehend the text.</w:t>
      </w:r>
    </w:p>
    <w:p w14:paraId="4AE7EDB8" w14:textId="75DD23A2" w:rsidR="49BB764D" w:rsidRDefault="49BB764D" w:rsidP="40BCCD94">
      <w:pPr>
        <w:rPr>
          <w:lang w:val="en-AU"/>
        </w:rPr>
      </w:pPr>
      <w:r w:rsidRPr="0398A1D5">
        <w:rPr>
          <w:rFonts w:eastAsiaTheme="minorEastAsia"/>
          <w:color w:val="333333"/>
          <w:szCs w:val="22"/>
          <w:lang w:val="en-AU"/>
        </w:rPr>
        <w:lastRenderedPageBreak/>
        <w:t>Factors like the reader’s working memory</w:t>
      </w:r>
      <w:r w:rsidR="57F457EA" w:rsidRPr="0398A1D5">
        <w:rPr>
          <w:rFonts w:eastAsiaTheme="minorEastAsia"/>
          <w:color w:val="333333"/>
          <w:szCs w:val="22"/>
          <w:lang w:val="en-AU"/>
        </w:rPr>
        <w:t xml:space="preserve"> knowledge</w:t>
      </w:r>
      <w:r w:rsidRPr="0398A1D5">
        <w:rPr>
          <w:rFonts w:eastAsiaTheme="minorEastAsia"/>
          <w:color w:val="333333"/>
          <w:szCs w:val="22"/>
          <w:lang w:val="en-AU"/>
        </w:rPr>
        <w:t xml:space="preserve">, intrinsic features of the text, as well as the purposes and objectives for </w:t>
      </w:r>
      <w:r w:rsidR="290DE8E6" w:rsidRPr="0398A1D5">
        <w:rPr>
          <w:rFonts w:eastAsiaTheme="minorEastAsia"/>
          <w:color w:val="333333"/>
          <w:szCs w:val="22"/>
          <w:lang w:val="en-AU"/>
        </w:rPr>
        <w:t>r</w:t>
      </w:r>
      <w:r w:rsidRPr="0398A1D5">
        <w:rPr>
          <w:rFonts w:eastAsiaTheme="minorEastAsia"/>
          <w:color w:val="333333"/>
          <w:szCs w:val="22"/>
          <w:lang w:val="en-AU"/>
        </w:rPr>
        <w:t>eading play pivotal roles (Castles et al., 2018). While it is beneficial for educators to view reading in terms of decoding and comp</w:t>
      </w:r>
      <w:r w:rsidR="46608640" w:rsidRPr="0398A1D5">
        <w:rPr>
          <w:rFonts w:eastAsiaTheme="minorEastAsia"/>
          <w:color w:val="333333"/>
          <w:szCs w:val="22"/>
          <w:lang w:val="en-AU"/>
        </w:rPr>
        <w:t xml:space="preserve">rehending texts, it is important to </w:t>
      </w:r>
      <w:r w:rsidR="5E960216" w:rsidRPr="0398A1D5">
        <w:rPr>
          <w:rFonts w:eastAsiaTheme="minorEastAsia"/>
          <w:color w:val="333333"/>
          <w:szCs w:val="22"/>
          <w:lang w:val="en-AU"/>
        </w:rPr>
        <w:t>understand</w:t>
      </w:r>
      <w:r w:rsidR="46608640" w:rsidRPr="0398A1D5">
        <w:rPr>
          <w:rFonts w:eastAsiaTheme="minorEastAsia"/>
          <w:color w:val="333333"/>
          <w:szCs w:val="22"/>
          <w:lang w:val="en-AU"/>
        </w:rPr>
        <w:t xml:space="preserve"> that it is the interplay </w:t>
      </w:r>
      <w:r w:rsidR="7EEB041B" w:rsidRPr="0398A1D5">
        <w:rPr>
          <w:rFonts w:eastAsiaTheme="minorEastAsia"/>
          <w:color w:val="333333"/>
          <w:szCs w:val="22"/>
          <w:lang w:val="en-AU"/>
        </w:rPr>
        <w:t>between</w:t>
      </w:r>
      <w:r w:rsidR="46608640" w:rsidRPr="0398A1D5">
        <w:rPr>
          <w:rFonts w:eastAsiaTheme="minorEastAsia"/>
          <w:color w:val="333333"/>
          <w:szCs w:val="22"/>
          <w:lang w:val="en-AU"/>
        </w:rPr>
        <w:t xml:space="preserve"> these reading components that enables an individual to read effectively (Wyse &amp; Bradbury, 2022). </w:t>
      </w:r>
    </w:p>
    <w:p w14:paraId="67A89401" w14:textId="236064CD" w:rsidR="72FA94D7" w:rsidRDefault="72FA94D7" w:rsidP="40BCCD94">
      <w:pPr>
        <w:pStyle w:val="Heading2"/>
        <w:rPr>
          <w:lang w:val="en-AU"/>
        </w:rPr>
      </w:pPr>
      <w:r w:rsidRPr="40BCCD94">
        <w:rPr>
          <w:lang w:val="en-AU"/>
        </w:rPr>
        <w:t>The development of teacher knowledge</w:t>
      </w:r>
    </w:p>
    <w:p w14:paraId="21682EEB" w14:textId="4B03BA93" w:rsidR="0090428E" w:rsidRDefault="00813C06" w:rsidP="0090428E">
      <w:pPr>
        <w:rPr>
          <w:lang w:val="en-AU"/>
        </w:rPr>
      </w:pPr>
      <w:r w:rsidRPr="0398A1D5">
        <w:rPr>
          <w:lang w:val="en-AU"/>
        </w:rPr>
        <w:t xml:space="preserve">The Australian Institute </w:t>
      </w:r>
      <w:r w:rsidR="00CC392D" w:rsidRPr="0398A1D5">
        <w:rPr>
          <w:lang w:val="en-AU"/>
        </w:rPr>
        <w:t>for Teaching and School Leadership (AISTL)</w:t>
      </w:r>
      <w:r w:rsidR="005F5A33" w:rsidRPr="0398A1D5">
        <w:rPr>
          <w:lang w:val="en-AU"/>
        </w:rPr>
        <w:t xml:space="preserve"> </w:t>
      </w:r>
      <w:r w:rsidR="00E31210" w:rsidRPr="0398A1D5">
        <w:rPr>
          <w:lang w:val="en-AU"/>
        </w:rPr>
        <w:t>professional s</w:t>
      </w:r>
      <w:r w:rsidR="005F5A33" w:rsidRPr="0398A1D5">
        <w:rPr>
          <w:lang w:val="en-AU"/>
        </w:rPr>
        <w:t>tandards</w:t>
      </w:r>
      <w:r w:rsidR="00D63D62" w:rsidRPr="0398A1D5">
        <w:rPr>
          <w:lang w:val="en-AU"/>
        </w:rPr>
        <w:t xml:space="preserve"> </w:t>
      </w:r>
      <w:r w:rsidR="00E31210" w:rsidRPr="0398A1D5">
        <w:rPr>
          <w:lang w:val="en-AU"/>
        </w:rPr>
        <w:t xml:space="preserve">for teachers </w:t>
      </w:r>
      <w:r w:rsidR="00D63D62" w:rsidRPr="0398A1D5">
        <w:rPr>
          <w:lang w:val="en-AU"/>
        </w:rPr>
        <w:t>acknowledge</w:t>
      </w:r>
      <w:r w:rsidR="00A93122" w:rsidRPr="0398A1D5">
        <w:rPr>
          <w:lang w:val="en-AU"/>
        </w:rPr>
        <w:t>s</w:t>
      </w:r>
      <w:r w:rsidR="00D63D62" w:rsidRPr="0398A1D5">
        <w:rPr>
          <w:lang w:val="en-AU"/>
        </w:rPr>
        <w:t xml:space="preserve"> that</w:t>
      </w:r>
      <w:r w:rsidR="00E31210" w:rsidRPr="0398A1D5">
        <w:rPr>
          <w:lang w:val="en-AU"/>
        </w:rPr>
        <w:t xml:space="preserve"> teachers’ knowledge is buil</w:t>
      </w:r>
      <w:r w:rsidR="00A93122" w:rsidRPr="0398A1D5">
        <w:rPr>
          <w:lang w:val="en-AU"/>
        </w:rPr>
        <w:t>t</w:t>
      </w:r>
      <w:r w:rsidR="00E31210" w:rsidRPr="0398A1D5">
        <w:rPr>
          <w:lang w:val="en-AU"/>
        </w:rPr>
        <w:t xml:space="preserve"> across the span of their careers. </w:t>
      </w:r>
      <w:r w:rsidR="00016069" w:rsidRPr="0398A1D5">
        <w:rPr>
          <w:lang w:val="en-AU"/>
        </w:rPr>
        <w:t>Teacher knowledge and skills in the field of reading are built over</w:t>
      </w:r>
      <w:r w:rsidR="22543510" w:rsidRPr="0398A1D5">
        <w:rPr>
          <w:lang w:val="en-AU"/>
        </w:rPr>
        <w:t xml:space="preserve"> </w:t>
      </w:r>
      <w:r w:rsidR="00016069" w:rsidRPr="0398A1D5">
        <w:rPr>
          <w:lang w:val="en-AU"/>
        </w:rPr>
        <w:t xml:space="preserve">time. </w:t>
      </w:r>
      <w:r w:rsidR="00E31210" w:rsidRPr="0398A1D5">
        <w:rPr>
          <w:lang w:val="en-AU"/>
        </w:rPr>
        <w:t xml:space="preserve">Therefore, professional learning </w:t>
      </w:r>
      <w:r w:rsidR="00F36B73" w:rsidRPr="0398A1D5">
        <w:rPr>
          <w:lang w:val="en-AU"/>
        </w:rPr>
        <w:t xml:space="preserve">in the field of reading or literacy more broadly </w:t>
      </w:r>
      <w:r w:rsidR="00D80265" w:rsidRPr="0398A1D5">
        <w:rPr>
          <w:lang w:val="en-AU"/>
        </w:rPr>
        <w:t>should be a career-long goal.</w:t>
      </w:r>
      <w:r w:rsidR="00871FA4" w:rsidRPr="0398A1D5">
        <w:rPr>
          <w:lang w:val="en-AU"/>
        </w:rPr>
        <w:t xml:space="preserve"> T</w:t>
      </w:r>
      <w:r w:rsidR="00C35B63" w:rsidRPr="0398A1D5">
        <w:rPr>
          <w:lang w:val="en-AU"/>
        </w:rPr>
        <w:t xml:space="preserve">eacher knowledge building </w:t>
      </w:r>
      <w:r w:rsidR="00871FA4" w:rsidRPr="0398A1D5">
        <w:rPr>
          <w:lang w:val="en-AU"/>
        </w:rPr>
        <w:t xml:space="preserve">in reading </w:t>
      </w:r>
      <w:r w:rsidR="00C35B63" w:rsidRPr="0398A1D5">
        <w:rPr>
          <w:lang w:val="en-AU"/>
        </w:rPr>
        <w:t xml:space="preserve">can be </w:t>
      </w:r>
      <w:r w:rsidR="00892349" w:rsidRPr="0398A1D5">
        <w:rPr>
          <w:lang w:val="en-AU"/>
        </w:rPr>
        <w:t>targeted in the following areas:</w:t>
      </w:r>
    </w:p>
    <w:p w14:paraId="39AF5DE6" w14:textId="657D6EC1" w:rsidR="002345CF" w:rsidRDefault="002345CF" w:rsidP="002345CF">
      <w:pPr>
        <w:pStyle w:val="ListParagraph"/>
        <w:numPr>
          <w:ilvl w:val="0"/>
          <w:numId w:val="20"/>
        </w:numPr>
        <w:rPr>
          <w:lang w:val="en-AU"/>
        </w:rPr>
      </w:pPr>
      <w:r>
        <w:rPr>
          <w:lang w:val="en-AU"/>
        </w:rPr>
        <w:t xml:space="preserve">Understanding </w:t>
      </w:r>
      <w:hyperlink r:id="rId11" w:anchor=":~:text=Each%20Literacy%20Learning%20Progression%20has%20a%20series%20of,the%20levels%20of%20the%20Victorian%20Curriculum%20F%E2%80%9310%3A%20English." w:history="1">
        <w:r w:rsidRPr="004209FC">
          <w:rPr>
            <w:rStyle w:val="Hyperlink"/>
            <w:lang w:val="en-AU"/>
          </w:rPr>
          <w:t>the developmental progression</w:t>
        </w:r>
      </w:hyperlink>
      <w:r>
        <w:rPr>
          <w:lang w:val="en-AU"/>
        </w:rPr>
        <w:t xml:space="preserve"> of knowledge and skills in reading</w:t>
      </w:r>
      <w:r w:rsidR="00C65CEB">
        <w:rPr>
          <w:lang w:val="en-AU"/>
        </w:rPr>
        <w:t xml:space="preserve"> and viewing</w:t>
      </w:r>
      <w:r>
        <w:rPr>
          <w:lang w:val="en-AU"/>
        </w:rPr>
        <w:t>, writing, speaking and listening</w:t>
      </w:r>
    </w:p>
    <w:p w14:paraId="0E39D1C3" w14:textId="25A7576C" w:rsidR="00A93122" w:rsidRDefault="00630AA6" w:rsidP="00A93122">
      <w:pPr>
        <w:pStyle w:val="ListParagraph"/>
        <w:numPr>
          <w:ilvl w:val="0"/>
          <w:numId w:val="20"/>
        </w:numPr>
        <w:rPr>
          <w:lang w:val="en-AU"/>
        </w:rPr>
      </w:pPr>
      <w:r w:rsidRPr="0B6E19B6">
        <w:rPr>
          <w:lang w:val="en-AU"/>
        </w:rPr>
        <w:t>Administering</w:t>
      </w:r>
      <w:r w:rsidR="00B4159B" w:rsidRPr="0B6E19B6">
        <w:rPr>
          <w:lang w:val="en-AU"/>
        </w:rPr>
        <w:t xml:space="preserve"> and analysing student literacy assessment data</w:t>
      </w:r>
      <w:r w:rsidR="001F1A8B" w:rsidRPr="0B6E19B6">
        <w:rPr>
          <w:lang w:val="en-AU"/>
        </w:rPr>
        <w:t xml:space="preserve">, including </w:t>
      </w:r>
      <w:r w:rsidR="0640650C" w:rsidRPr="0B6E19B6">
        <w:rPr>
          <w:lang w:val="en-AU"/>
        </w:rPr>
        <w:t xml:space="preserve">standardised assessments, such as the </w:t>
      </w:r>
      <w:hyperlink r:id="rId12">
        <w:r w:rsidR="001F1A8B" w:rsidRPr="0B6E19B6">
          <w:rPr>
            <w:rStyle w:val="Hyperlink"/>
            <w:lang w:val="en-AU"/>
          </w:rPr>
          <w:t>English Online Interview (EOI),</w:t>
        </w:r>
      </w:hyperlink>
      <w:r w:rsidR="001F1A8B" w:rsidRPr="0B6E19B6">
        <w:rPr>
          <w:lang w:val="en-AU"/>
        </w:rPr>
        <w:t xml:space="preserve"> </w:t>
      </w:r>
      <w:r w:rsidR="4CC93484" w:rsidRPr="0B6E19B6">
        <w:rPr>
          <w:lang w:val="en-AU"/>
        </w:rPr>
        <w:t xml:space="preserve">and </w:t>
      </w:r>
      <w:r w:rsidR="001F1A8B" w:rsidRPr="0B6E19B6">
        <w:rPr>
          <w:lang w:val="en-AU"/>
        </w:rPr>
        <w:t xml:space="preserve">the </w:t>
      </w:r>
      <w:hyperlink r:id="rId13">
        <w:r w:rsidR="003362F7" w:rsidRPr="0B6E19B6">
          <w:rPr>
            <w:rStyle w:val="Hyperlink"/>
            <w:lang w:val="en-AU"/>
          </w:rPr>
          <w:t>Diagnostic Assessment Tools in English (DATE)</w:t>
        </w:r>
      </w:hyperlink>
      <w:r w:rsidR="001F1A8B" w:rsidRPr="0B6E19B6">
        <w:rPr>
          <w:lang w:val="en-AU"/>
        </w:rPr>
        <w:t xml:space="preserve"> and </w:t>
      </w:r>
      <w:r w:rsidR="1CCDB7E0" w:rsidRPr="0B6E19B6">
        <w:rPr>
          <w:lang w:val="en-AU"/>
        </w:rPr>
        <w:t xml:space="preserve">informal </w:t>
      </w:r>
      <w:r w:rsidR="001F1A8B" w:rsidRPr="0B6E19B6">
        <w:rPr>
          <w:lang w:val="en-AU"/>
        </w:rPr>
        <w:t xml:space="preserve">assessments </w:t>
      </w:r>
      <w:r w:rsidR="00C65CEB" w:rsidRPr="0B6E19B6">
        <w:rPr>
          <w:lang w:val="en-AU"/>
        </w:rPr>
        <w:t>as relevant to individual students and the school context</w:t>
      </w:r>
      <w:r w:rsidR="78BE88AB" w:rsidRPr="0B6E19B6">
        <w:rPr>
          <w:lang w:val="en-AU"/>
        </w:rPr>
        <w:t>, such as teacher anecdotal notes, moderated work samples and student surveys</w:t>
      </w:r>
      <w:r w:rsidR="097805CE" w:rsidRPr="0B6E19B6">
        <w:rPr>
          <w:lang w:val="en-AU"/>
        </w:rPr>
        <w:t>.</w:t>
      </w:r>
    </w:p>
    <w:p w14:paraId="61FEB584" w14:textId="1BD95CBE" w:rsidR="00B4159B" w:rsidRDefault="00F33CCE" w:rsidP="00A93122">
      <w:pPr>
        <w:pStyle w:val="ListParagraph"/>
        <w:numPr>
          <w:ilvl w:val="0"/>
          <w:numId w:val="20"/>
        </w:numPr>
        <w:rPr>
          <w:lang w:val="en-AU"/>
        </w:rPr>
      </w:pPr>
      <w:r w:rsidRPr="12331ED7">
        <w:rPr>
          <w:lang w:val="en-AU"/>
        </w:rPr>
        <w:t>Supporting diverse learners</w:t>
      </w:r>
      <w:r w:rsidR="0078083B" w:rsidRPr="12331ED7">
        <w:rPr>
          <w:lang w:val="en-AU"/>
        </w:rPr>
        <w:t xml:space="preserve">, including </w:t>
      </w:r>
      <w:hyperlink r:id="rId14">
        <w:r w:rsidR="0078083B" w:rsidRPr="12331ED7">
          <w:rPr>
            <w:rStyle w:val="Hyperlink"/>
            <w:lang w:val="en-AU"/>
          </w:rPr>
          <w:t xml:space="preserve">students </w:t>
        </w:r>
        <w:r w:rsidR="0002560C" w:rsidRPr="12331ED7">
          <w:rPr>
            <w:rStyle w:val="Hyperlink"/>
            <w:lang w:val="en-AU"/>
          </w:rPr>
          <w:t>who need extra support</w:t>
        </w:r>
      </w:hyperlink>
      <w:r w:rsidR="0002560C" w:rsidRPr="12331ED7">
        <w:rPr>
          <w:lang w:val="en-AU"/>
        </w:rPr>
        <w:t xml:space="preserve">, </w:t>
      </w:r>
      <w:hyperlink r:id="rId15">
        <w:r w:rsidR="0002560C" w:rsidRPr="12331ED7">
          <w:rPr>
            <w:rStyle w:val="Hyperlink"/>
            <w:lang w:val="en-AU"/>
          </w:rPr>
          <w:t>high a</w:t>
        </w:r>
        <w:r w:rsidR="00EF55AD" w:rsidRPr="12331ED7">
          <w:rPr>
            <w:rStyle w:val="Hyperlink"/>
            <w:lang w:val="en-AU"/>
          </w:rPr>
          <w:t xml:space="preserve">bility </w:t>
        </w:r>
        <w:r w:rsidR="0002560C" w:rsidRPr="12331ED7">
          <w:rPr>
            <w:rStyle w:val="Hyperlink"/>
            <w:lang w:val="en-AU"/>
          </w:rPr>
          <w:t>students</w:t>
        </w:r>
      </w:hyperlink>
      <w:r w:rsidR="0002560C" w:rsidRPr="12331ED7">
        <w:rPr>
          <w:lang w:val="en-AU"/>
        </w:rPr>
        <w:t xml:space="preserve">, students who have </w:t>
      </w:r>
      <w:hyperlink r:id="rId16" w:anchor=":~:text=EAL%2FD%20students%20can%20transfer%20knowledge%20of%20their%20home,use%20of%20skills%20in%20different%20languages%20for%20learning">
        <w:r w:rsidR="0002560C" w:rsidRPr="12331ED7">
          <w:rPr>
            <w:rStyle w:val="Hyperlink"/>
            <w:lang w:val="en-AU"/>
          </w:rPr>
          <w:t>English as an additional language</w:t>
        </w:r>
      </w:hyperlink>
      <w:r w:rsidR="0002560C" w:rsidRPr="12331ED7">
        <w:rPr>
          <w:lang w:val="en-AU"/>
        </w:rPr>
        <w:t xml:space="preserve"> and </w:t>
      </w:r>
      <w:hyperlink r:id="rId17">
        <w:r w:rsidR="00781560" w:rsidRPr="12331ED7">
          <w:rPr>
            <w:rStyle w:val="Hyperlink"/>
            <w:lang w:val="en-AU"/>
          </w:rPr>
          <w:t>Koori</w:t>
        </w:r>
        <w:r w:rsidR="64F0B23E" w:rsidRPr="12331ED7">
          <w:rPr>
            <w:rStyle w:val="Hyperlink"/>
            <w:lang w:val="en-AU"/>
          </w:rPr>
          <w:t>e</w:t>
        </w:r>
        <w:r w:rsidR="0002560C" w:rsidRPr="12331ED7">
          <w:rPr>
            <w:rStyle w:val="Hyperlink"/>
            <w:lang w:val="en-AU"/>
          </w:rPr>
          <w:t xml:space="preserve"> students</w:t>
        </w:r>
      </w:hyperlink>
    </w:p>
    <w:p w14:paraId="58D41178" w14:textId="207F20B9" w:rsidR="003146FE" w:rsidRDefault="00CC3A9C" w:rsidP="00A93122">
      <w:pPr>
        <w:pStyle w:val="ListParagraph"/>
        <w:numPr>
          <w:ilvl w:val="0"/>
          <w:numId w:val="20"/>
        </w:numPr>
        <w:rPr>
          <w:lang w:val="en-AU"/>
        </w:rPr>
      </w:pPr>
      <w:r>
        <w:rPr>
          <w:lang w:val="en-AU"/>
        </w:rPr>
        <w:t>Understanding t</w:t>
      </w:r>
      <w:r w:rsidR="006C5623">
        <w:rPr>
          <w:lang w:val="en-AU"/>
        </w:rPr>
        <w:t xml:space="preserve">he relationship </w:t>
      </w:r>
      <w:r w:rsidR="006C5623" w:rsidRPr="00494194">
        <w:rPr>
          <w:lang w:val="en-AU"/>
        </w:rPr>
        <w:t>between reading</w:t>
      </w:r>
      <w:r w:rsidR="003146FE" w:rsidRPr="00494194">
        <w:rPr>
          <w:lang w:val="en-AU"/>
        </w:rPr>
        <w:t xml:space="preserve"> and engagement</w:t>
      </w:r>
      <w:r w:rsidR="006C5623" w:rsidRPr="00494194">
        <w:rPr>
          <w:lang w:val="en-AU"/>
        </w:rPr>
        <w:t xml:space="preserve"> </w:t>
      </w:r>
      <w:r w:rsidR="004E3B1C" w:rsidRPr="00494194">
        <w:rPr>
          <w:lang w:val="en-AU"/>
        </w:rPr>
        <w:t>(Refer to the</w:t>
      </w:r>
      <w:r w:rsidR="00C65CEB" w:rsidRPr="00494194">
        <w:rPr>
          <w:lang w:val="en-AU"/>
        </w:rPr>
        <w:t xml:space="preserve"> </w:t>
      </w:r>
      <w:r w:rsidR="00494194" w:rsidRPr="00494194">
        <w:rPr>
          <w:lang w:val="en-AU"/>
        </w:rPr>
        <w:t>‘</w:t>
      </w:r>
      <w:r w:rsidR="00C65CEB" w:rsidRPr="00494194">
        <w:rPr>
          <w:lang w:val="en-AU"/>
        </w:rPr>
        <w:t xml:space="preserve">Reading </w:t>
      </w:r>
      <w:r w:rsidR="00494194">
        <w:rPr>
          <w:lang w:val="en-AU"/>
        </w:rPr>
        <w:t>e</w:t>
      </w:r>
      <w:r w:rsidR="00C65CEB" w:rsidRPr="00494194">
        <w:rPr>
          <w:lang w:val="en-AU"/>
        </w:rPr>
        <w:t xml:space="preserve">ngagement </w:t>
      </w:r>
      <w:r w:rsidR="00494194" w:rsidRPr="00494194">
        <w:rPr>
          <w:lang w:val="en-AU"/>
        </w:rPr>
        <w:t xml:space="preserve">and </w:t>
      </w:r>
      <w:r w:rsidR="00494194">
        <w:rPr>
          <w:lang w:val="en-AU"/>
        </w:rPr>
        <w:t>e</w:t>
      </w:r>
      <w:r w:rsidR="00494194" w:rsidRPr="00494194">
        <w:rPr>
          <w:lang w:val="en-AU"/>
        </w:rPr>
        <w:t xml:space="preserve">njoyment’ </w:t>
      </w:r>
      <w:r w:rsidR="00C65CEB" w:rsidRPr="00494194">
        <w:rPr>
          <w:lang w:val="en-AU"/>
        </w:rPr>
        <w:t>paper</w:t>
      </w:r>
      <w:r w:rsidR="00494194" w:rsidRPr="00494194">
        <w:rPr>
          <w:lang w:val="en-AU"/>
        </w:rPr>
        <w:t xml:space="preserve"> </w:t>
      </w:r>
      <w:r w:rsidR="00494194">
        <w:rPr>
          <w:lang w:val="en-AU"/>
        </w:rPr>
        <w:t>in the professional readings series)</w:t>
      </w:r>
    </w:p>
    <w:p w14:paraId="576DECD1" w14:textId="4D8E0095" w:rsidR="00F33CCE" w:rsidRDefault="00831409" w:rsidP="00A93122">
      <w:pPr>
        <w:pStyle w:val="ListParagraph"/>
        <w:numPr>
          <w:ilvl w:val="0"/>
          <w:numId w:val="20"/>
        </w:numPr>
        <w:rPr>
          <w:lang w:val="en-AU"/>
        </w:rPr>
      </w:pPr>
      <w:r>
        <w:rPr>
          <w:lang w:val="en-AU"/>
        </w:rPr>
        <w:t>Knowing</w:t>
      </w:r>
      <w:r w:rsidR="00F33CCE">
        <w:rPr>
          <w:lang w:val="en-AU"/>
        </w:rPr>
        <w:t xml:space="preserve"> the </w:t>
      </w:r>
      <w:hyperlink r:id="rId18" w:history="1">
        <w:r w:rsidR="00BD30A9" w:rsidRPr="00BD30A9">
          <w:rPr>
            <w:rStyle w:val="Hyperlink"/>
            <w:lang w:val="en-AU"/>
          </w:rPr>
          <w:t xml:space="preserve">Victorian </w:t>
        </w:r>
        <w:r w:rsidR="00F33CCE" w:rsidRPr="00BD30A9">
          <w:rPr>
            <w:rStyle w:val="Hyperlink"/>
            <w:lang w:val="en-AU"/>
          </w:rPr>
          <w:t xml:space="preserve">English </w:t>
        </w:r>
        <w:r w:rsidR="00BD30A9" w:rsidRPr="00BD30A9">
          <w:rPr>
            <w:rStyle w:val="Hyperlink"/>
            <w:lang w:val="en-AU"/>
          </w:rPr>
          <w:t>C</w:t>
        </w:r>
        <w:r w:rsidR="00F33CCE" w:rsidRPr="00BD30A9">
          <w:rPr>
            <w:rStyle w:val="Hyperlink"/>
            <w:lang w:val="en-AU"/>
          </w:rPr>
          <w:t>urriculum</w:t>
        </w:r>
      </w:hyperlink>
    </w:p>
    <w:p w14:paraId="6EBFBE62" w14:textId="7C8E7842" w:rsidR="00B2071D" w:rsidRPr="00A93122" w:rsidRDefault="00CC3A9C" w:rsidP="00A93122">
      <w:pPr>
        <w:pStyle w:val="ListParagraph"/>
        <w:numPr>
          <w:ilvl w:val="0"/>
          <w:numId w:val="20"/>
        </w:numPr>
        <w:rPr>
          <w:lang w:val="en-AU"/>
        </w:rPr>
      </w:pPr>
      <w:r>
        <w:rPr>
          <w:lang w:val="en-AU"/>
        </w:rPr>
        <w:t>Using e</w:t>
      </w:r>
      <w:r w:rsidR="00821020">
        <w:rPr>
          <w:lang w:val="en-AU"/>
        </w:rPr>
        <w:t>vidence-based practices that support all learners</w:t>
      </w:r>
      <w:r w:rsidR="002F5EA0">
        <w:rPr>
          <w:lang w:val="en-AU"/>
        </w:rPr>
        <w:t xml:space="preserve">, such as the </w:t>
      </w:r>
      <w:hyperlink r:id="rId19" w:history="1">
        <w:r w:rsidR="002F5EA0" w:rsidRPr="00384A81">
          <w:rPr>
            <w:rStyle w:val="Hyperlink"/>
            <w:lang w:val="en-AU"/>
          </w:rPr>
          <w:t>High Impact Teaching Strategies (HITS)</w:t>
        </w:r>
      </w:hyperlink>
      <w:r w:rsidR="0048390A">
        <w:rPr>
          <w:lang w:val="en-AU"/>
        </w:rPr>
        <w:t>.</w:t>
      </w:r>
    </w:p>
    <w:p w14:paraId="1B9B7390" w14:textId="6F0E8DA7" w:rsidR="009714B8" w:rsidRDefault="3AE54FAB" w:rsidP="0090428E">
      <w:pPr>
        <w:rPr>
          <w:lang w:val="en-AU"/>
        </w:rPr>
      </w:pPr>
      <w:r w:rsidRPr="40BCCD94">
        <w:rPr>
          <w:lang w:val="en-AU"/>
        </w:rPr>
        <w:t>Knowledge building in the</w:t>
      </w:r>
      <w:r w:rsidR="384A3617" w:rsidRPr="40BCCD94">
        <w:rPr>
          <w:lang w:val="en-AU"/>
        </w:rPr>
        <w:t>se areas support teacher judgement about what students need to learn, how they need to learn it and the measures they will use to monitor and assess the students</w:t>
      </w:r>
      <w:r w:rsidR="158D91D7" w:rsidRPr="40BCCD94">
        <w:rPr>
          <w:lang w:val="en-AU"/>
        </w:rPr>
        <w:t>’</w:t>
      </w:r>
      <w:r w:rsidR="384A3617" w:rsidRPr="40BCCD94">
        <w:rPr>
          <w:lang w:val="en-AU"/>
        </w:rPr>
        <w:t xml:space="preserve"> learning.</w:t>
      </w:r>
      <w:r w:rsidR="30BCE431" w:rsidRPr="40BCCD94">
        <w:rPr>
          <w:lang w:val="en-AU"/>
        </w:rPr>
        <w:t xml:space="preserve"> </w:t>
      </w:r>
      <w:r w:rsidR="7EA37450" w:rsidRPr="40BCCD94">
        <w:rPr>
          <w:lang w:val="en-AU"/>
        </w:rPr>
        <w:t xml:space="preserve">Schools need to help develop </w:t>
      </w:r>
      <w:r w:rsidR="00C65CEB">
        <w:rPr>
          <w:lang w:val="en-AU"/>
        </w:rPr>
        <w:t>‘</w:t>
      </w:r>
      <w:r w:rsidR="7EA37450" w:rsidRPr="40BCCD94">
        <w:rPr>
          <w:lang w:val="en-AU"/>
        </w:rPr>
        <w:t>expert teachers</w:t>
      </w:r>
      <w:r w:rsidR="00C65CEB">
        <w:rPr>
          <w:lang w:val="en-AU"/>
        </w:rPr>
        <w:t>’</w:t>
      </w:r>
      <w:r w:rsidR="7EA37450" w:rsidRPr="40BCCD94">
        <w:rPr>
          <w:lang w:val="en-AU"/>
        </w:rPr>
        <w:t xml:space="preserve"> who </w:t>
      </w:r>
      <w:r w:rsidR="258CAFE5" w:rsidRPr="40BCCD94">
        <w:rPr>
          <w:lang w:val="en-AU"/>
        </w:rPr>
        <w:t xml:space="preserve">draw on their knowledge to make informed </w:t>
      </w:r>
      <w:r w:rsidR="6F117CE0" w:rsidRPr="40BCCD94">
        <w:rPr>
          <w:lang w:val="en-AU"/>
        </w:rPr>
        <w:t>decisions</w:t>
      </w:r>
      <w:r w:rsidR="45ACD58E" w:rsidRPr="40BCCD94">
        <w:rPr>
          <w:lang w:val="en-AU"/>
        </w:rPr>
        <w:t xml:space="preserve"> about</w:t>
      </w:r>
      <w:r w:rsidR="0716A866" w:rsidRPr="40BCCD94">
        <w:rPr>
          <w:lang w:val="en-AU"/>
        </w:rPr>
        <w:t xml:space="preserve"> teaching</w:t>
      </w:r>
      <w:r w:rsidR="45ACD58E" w:rsidRPr="40BCCD94">
        <w:rPr>
          <w:lang w:val="en-AU"/>
        </w:rPr>
        <w:t xml:space="preserve"> </w:t>
      </w:r>
      <w:r w:rsidR="6F117CE0" w:rsidRPr="40BCCD94">
        <w:rPr>
          <w:lang w:val="en-AU"/>
        </w:rPr>
        <w:t>and challenge and modify their existing knowledge (Beard et al, 2019).</w:t>
      </w:r>
    </w:p>
    <w:p w14:paraId="368BB2F0" w14:textId="5C11D624" w:rsidR="00624A55" w:rsidRPr="000842E8" w:rsidRDefault="0070782E" w:rsidP="00624A55">
      <w:pPr>
        <w:pStyle w:val="Heading3"/>
        <w:rPr>
          <w:color w:val="D50032" w:themeColor="accent3"/>
          <w:lang w:val="en-AU"/>
        </w:rPr>
      </w:pPr>
      <w:r>
        <w:rPr>
          <w:lang w:val="en-AU"/>
        </w:rPr>
        <w:t>Teacher</w:t>
      </w:r>
      <w:r w:rsidR="002C7FFC">
        <w:rPr>
          <w:lang w:val="en-AU"/>
        </w:rPr>
        <w:t>s’ knowledge of their students</w:t>
      </w:r>
      <w:r w:rsidR="000842E8">
        <w:rPr>
          <w:lang w:val="en-AU"/>
        </w:rPr>
        <w:t xml:space="preserve">  </w:t>
      </w:r>
    </w:p>
    <w:p w14:paraId="0C551FCB" w14:textId="5368A3B9" w:rsidR="00E13ABF" w:rsidRDefault="0C85B6DE" w:rsidP="12331ED7">
      <w:pPr>
        <w:rPr>
          <w:lang w:val="en-AU"/>
        </w:rPr>
      </w:pPr>
      <w:r w:rsidRPr="0398A1D5">
        <w:rPr>
          <w:lang w:val="en-AU"/>
        </w:rPr>
        <w:t xml:space="preserve">Teachers recognise that student diversity encompasses </w:t>
      </w:r>
      <w:r w:rsidR="6FB8A042" w:rsidRPr="0398A1D5">
        <w:rPr>
          <w:lang w:val="en-AU"/>
        </w:rPr>
        <w:t>difference</w:t>
      </w:r>
      <w:r w:rsidR="36956559" w:rsidRPr="0398A1D5">
        <w:rPr>
          <w:lang w:val="en-AU"/>
        </w:rPr>
        <w:t>s</w:t>
      </w:r>
      <w:r w:rsidR="6FB8A042" w:rsidRPr="0398A1D5">
        <w:rPr>
          <w:lang w:val="en-AU"/>
        </w:rPr>
        <w:t xml:space="preserve"> in students’ knowledge and skills, difference in students’ rates of learning, </w:t>
      </w:r>
      <w:r w:rsidR="6FB8A042" w:rsidRPr="0398A1D5">
        <w:rPr>
          <w:rFonts w:eastAsiaTheme="minorEastAsia"/>
          <w:szCs w:val="22"/>
          <w:lang w:val="en-AU"/>
        </w:rPr>
        <w:t>difference in interest</w:t>
      </w:r>
      <w:r w:rsidR="7C594EF5" w:rsidRPr="0398A1D5">
        <w:rPr>
          <w:rFonts w:eastAsiaTheme="minorEastAsia"/>
          <w:szCs w:val="22"/>
          <w:lang w:val="en-AU"/>
        </w:rPr>
        <w:t xml:space="preserve">, </w:t>
      </w:r>
      <w:r w:rsidR="6FB8A042" w:rsidRPr="0398A1D5">
        <w:rPr>
          <w:rFonts w:eastAsiaTheme="minorEastAsia"/>
          <w:szCs w:val="22"/>
          <w:lang w:val="en-AU"/>
        </w:rPr>
        <w:t xml:space="preserve">motivation </w:t>
      </w:r>
      <w:r w:rsidR="7C594EF5" w:rsidRPr="0398A1D5">
        <w:rPr>
          <w:rFonts w:eastAsiaTheme="minorEastAsia"/>
          <w:szCs w:val="22"/>
          <w:lang w:val="en-AU"/>
        </w:rPr>
        <w:t>and self-regulation</w:t>
      </w:r>
      <w:r w:rsidR="4B026D09" w:rsidRPr="0398A1D5">
        <w:rPr>
          <w:rFonts w:eastAsiaTheme="minorEastAsia"/>
          <w:szCs w:val="22"/>
          <w:lang w:val="en-AU"/>
        </w:rPr>
        <w:t xml:space="preserve"> </w:t>
      </w:r>
      <w:r w:rsidR="6FB8A042" w:rsidRPr="0398A1D5">
        <w:rPr>
          <w:rFonts w:eastAsiaTheme="minorEastAsia"/>
          <w:szCs w:val="22"/>
          <w:lang w:val="en-AU"/>
        </w:rPr>
        <w:t xml:space="preserve">levels and </w:t>
      </w:r>
      <w:r w:rsidR="1B4014E8" w:rsidRPr="0398A1D5">
        <w:rPr>
          <w:rFonts w:eastAsiaTheme="minorEastAsia"/>
          <w:szCs w:val="22"/>
          <w:lang w:val="en-AU"/>
        </w:rPr>
        <w:t xml:space="preserve">differences in language proficiency. </w:t>
      </w:r>
      <w:r w:rsidR="2118120A" w:rsidRPr="0398A1D5">
        <w:rPr>
          <w:rFonts w:eastAsiaTheme="minorEastAsia"/>
          <w:szCs w:val="22"/>
          <w:lang w:val="en-AU"/>
        </w:rPr>
        <w:t>All t</w:t>
      </w:r>
      <w:r w:rsidR="542FB237" w:rsidRPr="0398A1D5">
        <w:rPr>
          <w:rFonts w:eastAsiaTheme="minorEastAsia"/>
          <w:szCs w:val="22"/>
          <w:lang w:val="en-AU"/>
        </w:rPr>
        <w:t>hese factors need to be considered when planning</w:t>
      </w:r>
      <w:r w:rsidR="7C594EF5" w:rsidRPr="0398A1D5">
        <w:rPr>
          <w:rFonts w:eastAsiaTheme="minorEastAsia"/>
          <w:szCs w:val="22"/>
          <w:lang w:val="en-AU"/>
        </w:rPr>
        <w:t xml:space="preserve">, teaching, monitoring and assessing </w:t>
      </w:r>
      <w:r w:rsidR="4B026D09" w:rsidRPr="0398A1D5">
        <w:rPr>
          <w:rFonts w:eastAsiaTheme="minorEastAsia"/>
          <w:szCs w:val="22"/>
          <w:lang w:val="en-AU"/>
        </w:rPr>
        <w:t>reading.</w:t>
      </w:r>
      <w:r w:rsidR="085A08E1" w:rsidRPr="0398A1D5">
        <w:rPr>
          <w:rFonts w:eastAsiaTheme="minorEastAsia"/>
          <w:szCs w:val="22"/>
          <w:lang w:val="en-AU"/>
        </w:rPr>
        <w:t xml:space="preserve">  </w:t>
      </w:r>
      <w:r w:rsidR="1F9DF132" w:rsidRPr="0398A1D5">
        <w:rPr>
          <w:rFonts w:eastAsiaTheme="minorEastAsia"/>
          <w:color w:val="333333"/>
          <w:szCs w:val="22"/>
          <w:lang w:val="en-AU"/>
        </w:rPr>
        <w:t xml:space="preserve">At the start of the </w:t>
      </w:r>
      <w:r w:rsidR="248EF5A6" w:rsidRPr="0398A1D5">
        <w:rPr>
          <w:rFonts w:eastAsiaTheme="minorEastAsia"/>
          <w:color w:val="333333"/>
          <w:szCs w:val="22"/>
          <w:lang w:val="en-AU"/>
        </w:rPr>
        <w:t>school</w:t>
      </w:r>
      <w:r w:rsidR="1F9DF132" w:rsidRPr="0398A1D5">
        <w:rPr>
          <w:rFonts w:eastAsiaTheme="minorEastAsia"/>
          <w:color w:val="333333"/>
          <w:szCs w:val="22"/>
          <w:lang w:val="en-AU"/>
        </w:rPr>
        <w:t xml:space="preserve"> year, it is crucial to gather information on students. Both informal interactions and formal assessments, like the EOI, offer invaluable opportunities to gain insightful information about students and their capabilities.</w:t>
      </w:r>
      <w:r w:rsidR="1F9DF132" w:rsidRPr="0398A1D5">
        <w:rPr>
          <w:rFonts w:eastAsiaTheme="minorEastAsia"/>
          <w:szCs w:val="22"/>
          <w:lang w:val="en-AU"/>
        </w:rPr>
        <w:t xml:space="preserve"> </w:t>
      </w:r>
      <w:r w:rsidR="085A08E1" w:rsidRPr="0398A1D5">
        <w:rPr>
          <w:rFonts w:eastAsiaTheme="minorEastAsia"/>
          <w:szCs w:val="22"/>
          <w:lang w:val="en-AU"/>
        </w:rPr>
        <w:t xml:space="preserve">Throughout the year, this information is supplemented by ongoing monitoring, to ensure that teaching remains targeted to meet the needs of each student. </w:t>
      </w:r>
      <w:r w:rsidR="42945A22" w:rsidRPr="0398A1D5">
        <w:rPr>
          <w:rFonts w:eastAsiaTheme="minorEastAsia"/>
          <w:szCs w:val="22"/>
          <w:lang w:val="en-AU"/>
        </w:rPr>
        <w:t>Additionally, teachers will gain insights i</w:t>
      </w:r>
      <w:r w:rsidR="42945A22" w:rsidRPr="0398A1D5">
        <w:rPr>
          <w:lang w:val="en-AU"/>
        </w:rPr>
        <w:t>nto their students</w:t>
      </w:r>
      <w:r w:rsidR="01C5143E" w:rsidRPr="0398A1D5">
        <w:rPr>
          <w:lang w:val="en-AU"/>
        </w:rPr>
        <w:t>’ journey</w:t>
      </w:r>
      <w:r w:rsidR="42945A22" w:rsidRPr="0398A1D5">
        <w:rPr>
          <w:lang w:val="en-AU"/>
        </w:rPr>
        <w:t xml:space="preserve"> as literacy learners through </w:t>
      </w:r>
      <w:r w:rsidR="004E3B1C">
        <w:rPr>
          <w:lang w:val="en-AU"/>
        </w:rPr>
        <w:t>everyday</w:t>
      </w:r>
      <w:r w:rsidR="004E3B1C" w:rsidRPr="0398A1D5">
        <w:rPr>
          <w:lang w:val="en-AU"/>
        </w:rPr>
        <w:t xml:space="preserve"> </w:t>
      </w:r>
      <w:r w:rsidR="42945A22" w:rsidRPr="0398A1D5">
        <w:rPr>
          <w:lang w:val="en-AU"/>
        </w:rPr>
        <w:t xml:space="preserve">interactions and </w:t>
      </w:r>
      <w:r w:rsidR="28168694" w:rsidRPr="0398A1D5">
        <w:rPr>
          <w:lang w:val="en-AU"/>
        </w:rPr>
        <w:t xml:space="preserve">opportunities that arise in the classroom for observation of students. </w:t>
      </w:r>
      <w:r w:rsidR="58232779" w:rsidRPr="0398A1D5">
        <w:rPr>
          <w:lang w:val="en-AU"/>
        </w:rPr>
        <w:t>To further understand their students as literacy learners, teachers can utilise</w:t>
      </w:r>
      <w:r w:rsidR="00C17628">
        <w:rPr>
          <w:lang w:val="en-AU"/>
        </w:rPr>
        <w:t>:</w:t>
      </w:r>
      <w:r w:rsidR="58232779" w:rsidRPr="0398A1D5">
        <w:rPr>
          <w:lang w:val="en-AU"/>
        </w:rPr>
        <w:t xml:space="preserve"> </w:t>
      </w:r>
    </w:p>
    <w:p w14:paraId="25ED9B1B" w14:textId="3857CACC" w:rsidR="00E13ABF" w:rsidRPr="0094308F" w:rsidRDefault="005265E7" w:rsidP="0094308F">
      <w:pPr>
        <w:pStyle w:val="ListParagraph"/>
        <w:numPr>
          <w:ilvl w:val="0"/>
          <w:numId w:val="20"/>
        </w:numPr>
        <w:rPr>
          <w:lang w:val="en-AU"/>
        </w:rPr>
      </w:pPr>
      <w:r>
        <w:rPr>
          <w:lang w:val="en-AU"/>
        </w:rPr>
        <w:t>Formal assessments</w:t>
      </w:r>
      <w:r w:rsidR="00181C9B">
        <w:rPr>
          <w:lang w:val="en-AU"/>
        </w:rPr>
        <w:t xml:space="preserve">, such as </w:t>
      </w:r>
      <w:r w:rsidR="00E73D94">
        <w:rPr>
          <w:lang w:val="en-AU"/>
        </w:rPr>
        <w:t xml:space="preserve">those presented on the Insight Assessment Platform </w:t>
      </w:r>
      <w:r w:rsidR="00494194">
        <w:rPr>
          <w:lang w:val="en-AU"/>
        </w:rPr>
        <w:t>(Refer to the ‘Using the EOI for differentiated planning’ paper in the professional reading series)</w:t>
      </w:r>
    </w:p>
    <w:p w14:paraId="083D1155" w14:textId="177CB61A" w:rsidR="00E73D94" w:rsidRDefault="00E73D94" w:rsidP="00E13ABF">
      <w:pPr>
        <w:pStyle w:val="ListParagraph"/>
        <w:numPr>
          <w:ilvl w:val="0"/>
          <w:numId w:val="21"/>
        </w:numPr>
        <w:rPr>
          <w:lang w:val="en-AU"/>
        </w:rPr>
      </w:pPr>
      <w:r>
        <w:rPr>
          <w:lang w:val="en-AU"/>
        </w:rPr>
        <w:t>Screening tests</w:t>
      </w:r>
      <w:r w:rsidR="00DD76D5">
        <w:rPr>
          <w:lang w:val="en-AU"/>
        </w:rPr>
        <w:t xml:space="preserve"> designed to </w:t>
      </w:r>
      <w:r w:rsidR="00FF1358">
        <w:rPr>
          <w:lang w:val="en-AU"/>
        </w:rPr>
        <w:t>investigate reading or reading-related skills that are predictive of future reading achievement (e.g letter naming</w:t>
      </w:r>
      <w:r w:rsidR="00550028">
        <w:rPr>
          <w:lang w:val="en-AU"/>
        </w:rPr>
        <w:t>) (</w:t>
      </w:r>
      <w:r w:rsidR="008A2CD6">
        <w:rPr>
          <w:lang w:val="en-AU"/>
        </w:rPr>
        <w:t xml:space="preserve">Hoover, W.A. &amp; Tunmer, </w:t>
      </w:r>
      <w:r w:rsidR="000D1088">
        <w:rPr>
          <w:lang w:val="en-AU"/>
        </w:rPr>
        <w:t xml:space="preserve">2020). </w:t>
      </w:r>
    </w:p>
    <w:p w14:paraId="36BEFE98" w14:textId="44EFC578" w:rsidR="005265E7" w:rsidRDefault="005265E7" w:rsidP="00E13ABF">
      <w:pPr>
        <w:pStyle w:val="ListParagraph"/>
        <w:numPr>
          <w:ilvl w:val="0"/>
          <w:numId w:val="21"/>
        </w:numPr>
        <w:rPr>
          <w:lang w:val="en-AU"/>
        </w:rPr>
      </w:pPr>
      <w:r>
        <w:rPr>
          <w:lang w:val="en-AU"/>
        </w:rPr>
        <w:lastRenderedPageBreak/>
        <w:t>Teacher designed assessment</w:t>
      </w:r>
    </w:p>
    <w:p w14:paraId="2AACAA76" w14:textId="34323770" w:rsidR="005265E7" w:rsidRDefault="005265E7" w:rsidP="00E13ABF">
      <w:pPr>
        <w:pStyle w:val="ListParagraph"/>
        <w:numPr>
          <w:ilvl w:val="0"/>
          <w:numId w:val="21"/>
        </w:numPr>
        <w:rPr>
          <w:lang w:val="en-AU"/>
        </w:rPr>
      </w:pPr>
      <w:r>
        <w:rPr>
          <w:lang w:val="en-AU"/>
        </w:rPr>
        <w:t>Rubrics</w:t>
      </w:r>
    </w:p>
    <w:p w14:paraId="6F058208" w14:textId="6FAEC0ED" w:rsidR="00CC1999" w:rsidRDefault="00CC1999" w:rsidP="00E13ABF">
      <w:pPr>
        <w:pStyle w:val="ListParagraph"/>
        <w:numPr>
          <w:ilvl w:val="0"/>
          <w:numId w:val="21"/>
        </w:numPr>
        <w:rPr>
          <w:lang w:val="en-AU"/>
        </w:rPr>
      </w:pPr>
      <w:r>
        <w:rPr>
          <w:lang w:val="en-AU"/>
        </w:rPr>
        <w:t>Pre and post tests</w:t>
      </w:r>
    </w:p>
    <w:p w14:paraId="231711CA" w14:textId="0728D262" w:rsidR="00CC1999" w:rsidRDefault="00CC1999" w:rsidP="00E13ABF">
      <w:pPr>
        <w:pStyle w:val="ListParagraph"/>
        <w:numPr>
          <w:ilvl w:val="0"/>
          <w:numId w:val="21"/>
        </w:numPr>
        <w:rPr>
          <w:lang w:val="en-AU"/>
        </w:rPr>
      </w:pPr>
      <w:r>
        <w:rPr>
          <w:lang w:val="en-AU"/>
        </w:rPr>
        <w:t>Anecdotal notes</w:t>
      </w:r>
    </w:p>
    <w:p w14:paraId="56FB7F97" w14:textId="57E1848E" w:rsidR="006F1953" w:rsidRDefault="006F1953" w:rsidP="00E13ABF">
      <w:pPr>
        <w:pStyle w:val="ListParagraph"/>
        <w:numPr>
          <w:ilvl w:val="0"/>
          <w:numId w:val="21"/>
        </w:numPr>
        <w:rPr>
          <w:lang w:val="en-AU"/>
        </w:rPr>
      </w:pPr>
      <w:r>
        <w:rPr>
          <w:lang w:val="en-AU"/>
        </w:rPr>
        <w:t>Writing analyses</w:t>
      </w:r>
    </w:p>
    <w:p w14:paraId="7240F27B" w14:textId="6848C1E0" w:rsidR="005265E7" w:rsidRDefault="00040117" w:rsidP="00E13ABF">
      <w:pPr>
        <w:pStyle w:val="ListParagraph"/>
        <w:numPr>
          <w:ilvl w:val="0"/>
          <w:numId w:val="21"/>
        </w:numPr>
        <w:rPr>
          <w:lang w:val="en-AU"/>
        </w:rPr>
      </w:pPr>
      <w:r>
        <w:rPr>
          <w:lang w:val="en-AU"/>
        </w:rPr>
        <w:t>Observation</w:t>
      </w:r>
      <w:r w:rsidR="00EA689F">
        <w:rPr>
          <w:lang w:val="en-AU"/>
        </w:rPr>
        <w:t xml:space="preserve">, informal discussions, </w:t>
      </w:r>
      <w:r w:rsidR="004571AD">
        <w:rPr>
          <w:lang w:val="en-AU"/>
        </w:rPr>
        <w:t xml:space="preserve">interviews, </w:t>
      </w:r>
      <w:r w:rsidR="00EA689F">
        <w:rPr>
          <w:lang w:val="en-AU"/>
        </w:rPr>
        <w:t>questionnaires to gain insights into students’ interests</w:t>
      </w:r>
      <w:r w:rsidR="006F1953">
        <w:rPr>
          <w:lang w:val="en-AU"/>
        </w:rPr>
        <w:t>, attitudes and motivation</w:t>
      </w:r>
    </w:p>
    <w:p w14:paraId="1B219E0B" w14:textId="2D7014EA" w:rsidR="009F531E" w:rsidRDefault="009F531E" w:rsidP="00E13ABF">
      <w:pPr>
        <w:pStyle w:val="ListParagraph"/>
        <w:numPr>
          <w:ilvl w:val="0"/>
          <w:numId w:val="21"/>
        </w:numPr>
        <w:rPr>
          <w:lang w:val="en-AU"/>
        </w:rPr>
      </w:pPr>
      <w:r>
        <w:rPr>
          <w:lang w:val="en-AU"/>
        </w:rPr>
        <w:t>Portfolios of student work samples</w:t>
      </w:r>
      <w:r w:rsidR="003B3FF1">
        <w:rPr>
          <w:lang w:val="en-AU"/>
        </w:rPr>
        <w:t xml:space="preserve"> (see the </w:t>
      </w:r>
      <w:hyperlink r:id="rId20" w:history="1">
        <w:r w:rsidR="003B3FF1" w:rsidRPr="003B3FF1">
          <w:rPr>
            <w:rStyle w:val="Hyperlink"/>
            <w:lang w:val="en-AU"/>
          </w:rPr>
          <w:t>Victorian Curriculum English annotated work samples</w:t>
        </w:r>
      </w:hyperlink>
      <w:r w:rsidR="003B3FF1">
        <w:rPr>
          <w:lang w:val="en-AU"/>
        </w:rPr>
        <w:t>)</w:t>
      </w:r>
    </w:p>
    <w:p w14:paraId="202BDA89" w14:textId="0D5A8A3D" w:rsidR="00D524A1" w:rsidRDefault="00D524A1" w:rsidP="00E13ABF">
      <w:pPr>
        <w:pStyle w:val="ListParagraph"/>
        <w:numPr>
          <w:ilvl w:val="0"/>
          <w:numId w:val="21"/>
        </w:numPr>
        <w:rPr>
          <w:lang w:val="en-AU"/>
        </w:rPr>
      </w:pPr>
      <w:r>
        <w:rPr>
          <w:lang w:val="en-AU"/>
        </w:rPr>
        <w:t>Parent, teacher, student meetings</w:t>
      </w:r>
    </w:p>
    <w:p w14:paraId="057A1F68" w14:textId="22C0AB3F" w:rsidR="006F1953" w:rsidRPr="00E13ABF" w:rsidRDefault="006F1953" w:rsidP="00E13ABF">
      <w:pPr>
        <w:pStyle w:val="ListParagraph"/>
        <w:numPr>
          <w:ilvl w:val="0"/>
          <w:numId w:val="21"/>
        </w:numPr>
        <w:rPr>
          <w:lang w:val="en-AU"/>
        </w:rPr>
      </w:pPr>
      <w:r>
        <w:rPr>
          <w:lang w:val="en-AU"/>
        </w:rPr>
        <w:t>Discussions with colleagues</w:t>
      </w:r>
      <w:r w:rsidR="00C17628">
        <w:rPr>
          <w:lang w:val="en-AU"/>
        </w:rPr>
        <w:t>.</w:t>
      </w:r>
    </w:p>
    <w:p w14:paraId="3DF6D02F" w14:textId="27B85838" w:rsidR="00C8775F" w:rsidRPr="000842E8" w:rsidRDefault="00C8775F" w:rsidP="00C8775F">
      <w:pPr>
        <w:pStyle w:val="Heading3"/>
        <w:rPr>
          <w:color w:val="D50032" w:themeColor="accent3"/>
          <w:lang w:val="en-AU"/>
        </w:rPr>
      </w:pPr>
      <w:r>
        <w:rPr>
          <w:lang w:val="en-AU"/>
        </w:rPr>
        <w:t xml:space="preserve">Teachers’ knowledge of the </w:t>
      </w:r>
      <w:r w:rsidR="00D27D0D">
        <w:rPr>
          <w:lang w:val="en-AU"/>
        </w:rPr>
        <w:t xml:space="preserve">English </w:t>
      </w:r>
      <w:r>
        <w:rPr>
          <w:lang w:val="en-AU"/>
        </w:rPr>
        <w:t>curriculum</w:t>
      </w:r>
    </w:p>
    <w:p w14:paraId="48A7034E" w14:textId="00C5273D" w:rsidR="00CC1999" w:rsidRPr="00CC1999" w:rsidRDefault="000D7D50" w:rsidP="00CC1999">
      <w:pPr>
        <w:rPr>
          <w:lang w:val="en-AU"/>
        </w:rPr>
      </w:pPr>
      <w:r>
        <w:rPr>
          <w:lang w:val="en-AU"/>
        </w:rPr>
        <w:t xml:space="preserve">The </w:t>
      </w:r>
      <w:hyperlink r:id="rId21" w:history="1">
        <w:r w:rsidRPr="00F645E7">
          <w:rPr>
            <w:rStyle w:val="Hyperlink"/>
            <w:lang w:val="en-AU"/>
          </w:rPr>
          <w:t xml:space="preserve">Victorian </w:t>
        </w:r>
        <w:r w:rsidR="00F645E7" w:rsidRPr="00F645E7">
          <w:rPr>
            <w:rStyle w:val="Hyperlink"/>
            <w:lang w:val="en-AU"/>
          </w:rPr>
          <w:t>C</w:t>
        </w:r>
        <w:r w:rsidRPr="00F645E7">
          <w:rPr>
            <w:rStyle w:val="Hyperlink"/>
            <w:lang w:val="en-AU"/>
          </w:rPr>
          <w:t>urriculum</w:t>
        </w:r>
        <w:r w:rsidR="00F645E7" w:rsidRPr="00F645E7">
          <w:rPr>
            <w:rStyle w:val="Hyperlink"/>
            <w:lang w:val="en-AU"/>
          </w:rPr>
          <w:t xml:space="preserve"> English</w:t>
        </w:r>
      </w:hyperlink>
      <w:r>
        <w:rPr>
          <w:lang w:val="en-AU"/>
        </w:rPr>
        <w:t xml:space="preserve"> is structured as a continuum of learning, </w:t>
      </w:r>
      <w:r w:rsidR="00763F99">
        <w:rPr>
          <w:lang w:val="en-AU"/>
        </w:rPr>
        <w:t>describ</w:t>
      </w:r>
      <w:r>
        <w:rPr>
          <w:lang w:val="en-AU"/>
        </w:rPr>
        <w:t>ing</w:t>
      </w:r>
      <w:r w:rsidR="00763F99">
        <w:rPr>
          <w:lang w:val="en-AU"/>
        </w:rPr>
        <w:t xml:space="preserve"> what students should learn, and therefore what teachers should teach. </w:t>
      </w:r>
      <w:r w:rsidR="00DB39A4">
        <w:rPr>
          <w:lang w:val="en-AU"/>
        </w:rPr>
        <w:t xml:space="preserve">The curriculum, including the content descriptors and the achievement standards </w:t>
      </w:r>
      <w:r w:rsidR="002D2197">
        <w:rPr>
          <w:lang w:val="en-AU"/>
        </w:rPr>
        <w:t>describe knowledge and skills in English</w:t>
      </w:r>
      <w:r w:rsidR="001F532C">
        <w:rPr>
          <w:lang w:val="en-AU"/>
        </w:rPr>
        <w:t xml:space="preserve">. </w:t>
      </w:r>
      <w:r w:rsidR="00E4626B">
        <w:rPr>
          <w:lang w:val="en-AU"/>
        </w:rPr>
        <w:t xml:space="preserve">The </w:t>
      </w:r>
      <w:hyperlink r:id="rId22" w:anchor=":~:text=The%20Literacy%20Learning%20Progressions%20are%20organised%20by%20the,Creating%20texts%20%28PART%20A%29%20Creating%20texts%20%28PART%20B%29" w:history="1">
        <w:r w:rsidR="00E4626B" w:rsidRPr="00AA4170">
          <w:rPr>
            <w:rStyle w:val="Hyperlink"/>
            <w:lang w:val="en-AU"/>
          </w:rPr>
          <w:t>Literacy Learning Progressions</w:t>
        </w:r>
      </w:hyperlink>
      <w:r w:rsidR="00E4626B">
        <w:rPr>
          <w:lang w:val="en-AU"/>
        </w:rPr>
        <w:t xml:space="preserve"> provide a detailed understanding of literacy development</w:t>
      </w:r>
      <w:r w:rsidR="007F229B">
        <w:rPr>
          <w:lang w:val="en-AU"/>
        </w:rPr>
        <w:t xml:space="preserve"> and</w:t>
      </w:r>
      <w:r w:rsidR="00AC61F4">
        <w:rPr>
          <w:lang w:val="en-AU"/>
        </w:rPr>
        <w:t xml:space="preserve"> can </w:t>
      </w:r>
      <w:r w:rsidR="007C58A5">
        <w:rPr>
          <w:lang w:val="en-AU"/>
        </w:rPr>
        <w:t>be used in conjunction with the curriculum to support teachers’ planning</w:t>
      </w:r>
      <w:r w:rsidR="007F229B">
        <w:rPr>
          <w:lang w:val="en-AU"/>
        </w:rPr>
        <w:t xml:space="preserve"> of English. </w:t>
      </w:r>
      <w:r w:rsidR="00A300EE">
        <w:rPr>
          <w:lang w:val="en-AU"/>
        </w:rPr>
        <w:t>T</w:t>
      </w:r>
      <w:r w:rsidR="004C3D49">
        <w:rPr>
          <w:lang w:val="en-AU"/>
        </w:rPr>
        <w:t xml:space="preserve">ypically, classrooms will have students </w:t>
      </w:r>
      <w:r w:rsidR="00E54413">
        <w:rPr>
          <w:lang w:val="en-AU"/>
        </w:rPr>
        <w:t xml:space="preserve">who are at working at different levels of the </w:t>
      </w:r>
      <w:r w:rsidR="006473F1">
        <w:rPr>
          <w:lang w:val="en-AU"/>
        </w:rPr>
        <w:t>Victorian Curriculum English</w:t>
      </w:r>
      <w:r w:rsidR="00EC6BDD">
        <w:rPr>
          <w:lang w:val="en-AU"/>
        </w:rPr>
        <w:t>, therefore, t</w:t>
      </w:r>
      <w:r w:rsidR="00645157">
        <w:rPr>
          <w:lang w:val="en-AU"/>
        </w:rPr>
        <w:t xml:space="preserve">eachers need to </w:t>
      </w:r>
      <w:r w:rsidR="004C1D04">
        <w:rPr>
          <w:lang w:val="en-AU"/>
        </w:rPr>
        <w:t xml:space="preserve">know the curriculum </w:t>
      </w:r>
      <w:r w:rsidR="0077145B">
        <w:rPr>
          <w:lang w:val="en-AU"/>
        </w:rPr>
        <w:t xml:space="preserve">and the progressions at several levels to cater to the diverse needs of </w:t>
      </w:r>
      <w:r w:rsidR="00DF3609">
        <w:rPr>
          <w:lang w:val="en-AU"/>
        </w:rPr>
        <w:t>their students.</w:t>
      </w:r>
      <w:r w:rsidR="007150B3">
        <w:rPr>
          <w:lang w:val="en-AU"/>
        </w:rPr>
        <w:t xml:space="preserve"> </w:t>
      </w:r>
      <w:r w:rsidR="0003668C">
        <w:rPr>
          <w:lang w:val="en-AU"/>
        </w:rPr>
        <w:t xml:space="preserve">This may also include knowing the </w:t>
      </w:r>
      <w:hyperlink r:id="rId23" w:history="1">
        <w:r w:rsidR="0003668C" w:rsidRPr="00AE0984">
          <w:rPr>
            <w:rStyle w:val="Hyperlink"/>
            <w:lang w:val="en-AU"/>
          </w:rPr>
          <w:t>Victorian Curriculum A – D levels</w:t>
        </w:r>
      </w:hyperlink>
      <w:r w:rsidR="0003668C">
        <w:rPr>
          <w:lang w:val="en-AU"/>
        </w:rPr>
        <w:t xml:space="preserve"> for students </w:t>
      </w:r>
      <w:r w:rsidR="00AE0984">
        <w:rPr>
          <w:lang w:val="en-AU"/>
        </w:rPr>
        <w:t>with disabilities and additional learning needs</w:t>
      </w:r>
      <w:r w:rsidR="002E76E1">
        <w:rPr>
          <w:lang w:val="en-AU"/>
        </w:rPr>
        <w:t xml:space="preserve"> and the </w:t>
      </w:r>
      <w:hyperlink r:id="rId24" w:history="1">
        <w:r w:rsidR="00EA62A7" w:rsidRPr="00EA62A7">
          <w:rPr>
            <w:rStyle w:val="Hyperlink"/>
            <w:lang w:val="en-AU"/>
          </w:rPr>
          <w:t>English as an additional language (EAL) curriculum</w:t>
        </w:r>
      </w:hyperlink>
      <w:r w:rsidR="00EA62A7">
        <w:rPr>
          <w:lang w:val="en-AU"/>
        </w:rPr>
        <w:t xml:space="preserve"> </w:t>
      </w:r>
      <w:r w:rsidR="008220A9">
        <w:rPr>
          <w:lang w:val="en-AU"/>
        </w:rPr>
        <w:t xml:space="preserve">for </w:t>
      </w:r>
      <w:r w:rsidR="00903F21">
        <w:rPr>
          <w:lang w:val="en-AU"/>
        </w:rPr>
        <w:t xml:space="preserve">those </w:t>
      </w:r>
      <w:r w:rsidR="00EA62A7">
        <w:rPr>
          <w:lang w:val="en-AU"/>
        </w:rPr>
        <w:t>students who</w:t>
      </w:r>
      <w:r w:rsidR="00903F21">
        <w:rPr>
          <w:lang w:val="en-AU"/>
        </w:rPr>
        <w:t xml:space="preserve"> are EAL learners.</w:t>
      </w:r>
    </w:p>
    <w:p w14:paraId="2EF15494" w14:textId="0D881647" w:rsidR="00CC1999" w:rsidRDefault="00CC1999" w:rsidP="00CC1999">
      <w:pPr>
        <w:pStyle w:val="Heading3"/>
        <w:rPr>
          <w:lang w:val="en-AU"/>
        </w:rPr>
      </w:pPr>
      <w:r>
        <w:rPr>
          <w:lang w:val="en-AU"/>
        </w:rPr>
        <w:t>Teachers’ knowledge of pedagogy</w:t>
      </w:r>
    </w:p>
    <w:p w14:paraId="7FE78353" w14:textId="5015A0B0" w:rsidR="00863813" w:rsidRDefault="00C97EDA" w:rsidP="008A422F">
      <w:r w:rsidRPr="22877C5F">
        <w:rPr>
          <w:lang w:val="en-AU"/>
        </w:rPr>
        <w:t xml:space="preserve">The </w:t>
      </w:r>
      <w:hyperlink r:id="rId25">
        <w:r w:rsidR="00147E58" w:rsidRPr="22877C5F">
          <w:rPr>
            <w:rStyle w:val="Hyperlink"/>
            <w:lang w:val="en-AU"/>
          </w:rPr>
          <w:t>Victorian Teaching and Learning Model</w:t>
        </w:r>
      </w:hyperlink>
      <w:r w:rsidR="00A57FD5" w:rsidRPr="22877C5F">
        <w:rPr>
          <w:lang w:val="en-AU"/>
        </w:rPr>
        <w:t xml:space="preserve"> includes the</w:t>
      </w:r>
      <w:r w:rsidR="00147E58" w:rsidRPr="22877C5F">
        <w:rPr>
          <w:lang w:val="en-AU"/>
        </w:rPr>
        <w:t xml:space="preserve"> </w:t>
      </w:r>
      <w:r w:rsidRPr="22877C5F">
        <w:rPr>
          <w:lang w:val="en-AU"/>
        </w:rPr>
        <w:t>Pedagogic Model</w:t>
      </w:r>
      <w:r w:rsidR="00A57FD5" w:rsidRPr="22877C5F">
        <w:rPr>
          <w:lang w:val="en-AU"/>
        </w:rPr>
        <w:t xml:space="preserve">, which </w:t>
      </w:r>
      <w:r w:rsidR="00FA77E8" w:rsidRPr="22877C5F">
        <w:rPr>
          <w:lang w:val="en-AU"/>
        </w:rPr>
        <w:t>describes what effective teaching looks like in the classroom. The</w:t>
      </w:r>
      <w:r w:rsidR="003F5708" w:rsidRPr="22877C5F">
        <w:rPr>
          <w:lang w:val="en-AU"/>
        </w:rPr>
        <w:t xml:space="preserve"> model requires teachers to </w:t>
      </w:r>
      <w:r w:rsidR="439DD3F3" w:rsidRPr="22877C5F">
        <w:rPr>
          <w:lang w:val="en-AU"/>
        </w:rPr>
        <w:t>consider</w:t>
      </w:r>
      <w:r w:rsidR="003F5708" w:rsidRPr="22877C5F">
        <w:rPr>
          <w:lang w:val="en-AU"/>
        </w:rPr>
        <w:t xml:space="preserve"> their k</w:t>
      </w:r>
      <w:r w:rsidR="008E3C75" w:rsidRPr="22877C5F">
        <w:rPr>
          <w:lang w:val="en-AU"/>
        </w:rPr>
        <w:t>nowledge of students and content</w:t>
      </w:r>
      <w:r w:rsidR="00C406B1" w:rsidRPr="22877C5F">
        <w:rPr>
          <w:lang w:val="en-AU"/>
        </w:rPr>
        <w:t xml:space="preserve">, when selecting teaching strategies. The teaching strategies that teachers select help to meet the </w:t>
      </w:r>
      <w:r w:rsidR="001B5D14" w:rsidRPr="22877C5F">
        <w:rPr>
          <w:lang w:val="en-AU"/>
        </w:rPr>
        <w:t xml:space="preserve">literacy </w:t>
      </w:r>
      <w:r w:rsidR="00C406B1" w:rsidRPr="22877C5F">
        <w:rPr>
          <w:lang w:val="en-AU"/>
        </w:rPr>
        <w:t xml:space="preserve">learning goals </w:t>
      </w:r>
      <w:r w:rsidR="001B5D14" w:rsidRPr="22877C5F">
        <w:rPr>
          <w:lang w:val="en-AU"/>
        </w:rPr>
        <w:t>set for each student. Resources such as the</w:t>
      </w:r>
      <w:r w:rsidR="007F2E73">
        <w:t xml:space="preserve"> </w:t>
      </w:r>
      <w:hyperlink r:id="rId26">
        <w:r w:rsidR="007F2E73" w:rsidRPr="22877C5F">
          <w:rPr>
            <w:rStyle w:val="Hyperlink"/>
          </w:rPr>
          <w:t>Literacy Teaching Toolkit</w:t>
        </w:r>
      </w:hyperlink>
      <w:r w:rsidR="007F2E73">
        <w:t xml:space="preserve">, </w:t>
      </w:r>
      <w:r w:rsidR="001B5D14">
        <w:t xml:space="preserve">the </w:t>
      </w:r>
      <w:hyperlink r:id="rId27" w:anchor=":~:text=The%20High%20Impact%20Teaching%20Strategies%20%28HITS%29%20comprise%20ten,how%20to%20use%20the%20HITS%20with%20high-ability%20students.">
        <w:r w:rsidR="001B5D14" w:rsidRPr="22877C5F">
          <w:rPr>
            <w:rStyle w:val="Hyperlink"/>
          </w:rPr>
          <w:t>High Impact Teaching Strategies (HITS)</w:t>
        </w:r>
      </w:hyperlink>
      <w:r w:rsidR="001B5D14">
        <w:t xml:space="preserve"> </w:t>
      </w:r>
      <w:r w:rsidR="007F2E73">
        <w:t xml:space="preserve">and </w:t>
      </w:r>
      <w:hyperlink r:id="rId28" w:anchor="link54">
        <w:r w:rsidR="007F2E73" w:rsidRPr="22877C5F">
          <w:rPr>
            <w:rStyle w:val="Hyperlink"/>
          </w:rPr>
          <w:t>English as an Additional Language (EAL) strategies</w:t>
        </w:r>
      </w:hyperlink>
      <w:r w:rsidR="001B5D14">
        <w:t xml:space="preserve"> </w:t>
      </w:r>
      <w:r w:rsidR="004502BF">
        <w:t>provide examples of evidenced-based pedagogic practices.</w:t>
      </w:r>
      <w:r w:rsidR="00682366">
        <w:t xml:space="preserve"> </w:t>
      </w:r>
      <w:r w:rsidR="00496FC4">
        <w:t xml:space="preserve">Teaching strategies </w:t>
      </w:r>
      <w:r w:rsidR="00F80D6D">
        <w:t xml:space="preserve">can be considered along the gradual release of responsibility model and range from highly supportive practices, such as </w:t>
      </w:r>
      <w:hyperlink r:id="rId29">
        <w:r w:rsidR="00F80D6D" w:rsidRPr="22877C5F">
          <w:rPr>
            <w:rStyle w:val="Hyperlink"/>
          </w:rPr>
          <w:t>modelled reading</w:t>
        </w:r>
      </w:hyperlink>
      <w:r w:rsidR="009D446C">
        <w:t xml:space="preserve">, to practices where students take </w:t>
      </w:r>
      <w:r w:rsidR="00D90983">
        <w:t>greater</w:t>
      </w:r>
      <w:r w:rsidR="009D446C">
        <w:t xml:space="preserve"> responsibility in the learning process</w:t>
      </w:r>
      <w:r w:rsidR="00DA705A">
        <w:t>, applying their knowledge and consolidating their skills in language and literacy</w:t>
      </w:r>
      <w:r w:rsidR="00D90983">
        <w:t xml:space="preserve">, such as </w:t>
      </w:r>
      <w:hyperlink r:id="rId30">
        <w:r w:rsidR="00D90983" w:rsidRPr="22877C5F">
          <w:rPr>
            <w:rStyle w:val="Hyperlink"/>
          </w:rPr>
          <w:t>independent reading</w:t>
        </w:r>
      </w:hyperlink>
      <w:r w:rsidR="00DA705A">
        <w:t>.</w:t>
      </w:r>
    </w:p>
    <w:p w14:paraId="22F59099" w14:textId="152A4662" w:rsidR="00CA2DAE" w:rsidRDefault="0070315F" w:rsidP="12331ED7">
      <w:r>
        <w:t>The teaching of r</w:t>
      </w:r>
      <w:r w:rsidR="00D13DF3">
        <w:t>eading is multiface</w:t>
      </w:r>
      <w:r>
        <w:t>ted and involves consideration of</w:t>
      </w:r>
      <w:r w:rsidR="00682366">
        <w:t xml:space="preserve"> individual student differenc</w:t>
      </w:r>
      <w:r w:rsidR="00682366" w:rsidRPr="12331ED7">
        <w:rPr>
          <w:rFonts w:eastAsiaTheme="minorEastAsia"/>
          <w:szCs w:val="22"/>
        </w:rPr>
        <w:t>es in</w:t>
      </w:r>
      <w:r w:rsidR="00863813" w:rsidRPr="12331ED7">
        <w:rPr>
          <w:rFonts w:eastAsiaTheme="minorEastAsia"/>
          <w:szCs w:val="22"/>
        </w:rPr>
        <w:t xml:space="preserve"> language and literacy development and the </w:t>
      </w:r>
      <w:r w:rsidR="007915B1" w:rsidRPr="12331ED7">
        <w:rPr>
          <w:rFonts w:eastAsiaTheme="minorEastAsia"/>
          <w:szCs w:val="22"/>
        </w:rPr>
        <w:t xml:space="preserve">English </w:t>
      </w:r>
      <w:r w:rsidR="00863813" w:rsidRPr="12331ED7">
        <w:rPr>
          <w:rFonts w:eastAsiaTheme="minorEastAsia"/>
          <w:szCs w:val="22"/>
        </w:rPr>
        <w:t xml:space="preserve">curriculum content </w:t>
      </w:r>
      <w:r w:rsidR="007915B1" w:rsidRPr="12331ED7">
        <w:rPr>
          <w:rFonts w:eastAsiaTheme="minorEastAsia"/>
          <w:szCs w:val="22"/>
        </w:rPr>
        <w:t>to be covered</w:t>
      </w:r>
      <w:r w:rsidR="00144EDC">
        <w:rPr>
          <w:rFonts w:eastAsiaTheme="minorEastAsia"/>
          <w:szCs w:val="22"/>
        </w:rPr>
        <w:t xml:space="preserve">. </w:t>
      </w:r>
      <w:r w:rsidR="00005A4F">
        <w:rPr>
          <w:rFonts w:eastAsiaTheme="minorEastAsia"/>
          <w:szCs w:val="22"/>
        </w:rPr>
        <w:t>Additionally, teachers</w:t>
      </w:r>
      <w:r w:rsidR="00144EDC">
        <w:rPr>
          <w:rFonts w:eastAsiaTheme="minorEastAsia"/>
          <w:szCs w:val="22"/>
        </w:rPr>
        <w:t xml:space="preserve"> are </w:t>
      </w:r>
      <w:r w:rsidR="53C544BF" w:rsidRPr="12331ED7">
        <w:rPr>
          <w:rFonts w:eastAsiaTheme="minorEastAsia"/>
          <w:szCs w:val="22"/>
        </w:rPr>
        <w:t>require</w:t>
      </w:r>
      <w:r w:rsidR="00144EDC">
        <w:rPr>
          <w:rFonts w:eastAsiaTheme="minorEastAsia"/>
          <w:szCs w:val="22"/>
        </w:rPr>
        <w:t>d t</w:t>
      </w:r>
      <w:r w:rsidR="53C544BF" w:rsidRPr="12331ED7">
        <w:rPr>
          <w:rFonts w:eastAsiaTheme="minorEastAsia"/>
          <w:szCs w:val="22"/>
        </w:rPr>
        <w:t xml:space="preserve">o select pedagogical practices that will link the teaching of literacy skills across the </w:t>
      </w:r>
      <w:r w:rsidR="005533D5">
        <w:rPr>
          <w:rFonts w:eastAsiaTheme="minorEastAsia"/>
          <w:szCs w:val="22"/>
        </w:rPr>
        <w:t xml:space="preserve">3 </w:t>
      </w:r>
      <w:r w:rsidR="53C544BF" w:rsidRPr="12331ED7">
        <w:rPr>
          <w:rFonts w:eastAsiaTheme="minorEastAsia"/>
          <w:szCs w:val="22"/>
        </w:rPr>
        <w:t xml:space="preserve">modes </w:t>
      </w:r>
      <w:r w:rsidR="005533D5">
        <w:rPr>
          <w:rFonts w:eastAsiaTheme="minorEastAsia"/>
          <w:szCs w:val="22"/>
        </w:rPr>
        <w:t xml:space="preserve">of English </w:t>
      </w:r>
      <w:r w:rsidR="53C544BF" w:rsidRPr="12331ED7">
        <w:rPr>
          <w:rFonts w:eastAsiaTheme="minorEastAsia"/>
          <w:szCs w:val="22"/>
        </w:rPr>
        <w:t xml:space="preserve">and through meaningful contexts. This </w:t>
      </w:r>
      <w:r w:rsidR="00F5747D">
        <w:rPr>
          <w:rFonts w:eastAsiaTheme="minorEastAsia"/>
          <w:szCs w:val="22"/>
        </w:rPr>
        <w:t xml:space="preserve">is to </w:t>
      </w:r>
      <w:r w:rsidR="53C544BF" w:rsidRPr="12331ED7">
        <w:rPr>
          <w:rFonts w:eastAsiaTheme="minorEastAsia"/>
          <w:szCs w:val="22"/>
        </w:rPr>
        <w:t xml:space="preserve">ensure students </w:t>
      </w:r>
      <w:r w:rsidR="006045B7">
        <w:rPr>
          <w:rFonts w:eastAsiaTheme="minorEastAsia"/>
          <w:szCs w:val="22"/>
        </w:rPr>
        <w:t>rec</w:t>
      </w:r>
      <w:r w:rsidR="00C17628">
        <w:rPr>
          <w:rFonts w:eastAsiaTheme="minorEastAsia"/>
          <w:szCs w:val="22"/>
        </w:rPr>
        <w:t>o</w:t>
      </w:r>
      <w:r w:rsidR="006045B7">
        <w:rPr>
          <w:rFonts w:eastAsiaTheme="minorEastAsia"/>
          <w:szCs w:val="22"/>
        </w:rPr>
        <w:t xml:space="preserve">gnise the </w:t>
      </w:r>
      <w:r w:rsidR="53C544BF" w:rsidRPr="12331ED7">
        <w:rPr>
          <w:rFonts w:eastAsiaTheme="minorEastAsia"/>
          <w:szCs w:val="22"/>
        </w:rPr>
        <w:t xml:space="preserve">purpose for the learning while benefitting from the opportunity to practise and </w:t>
      </w:r>
      <w:r w:rsidR="006045B7">
        <w:rPr>
          <w:rFonts w:eastAsiaTheme="minorEastAsia"/>
          <w:szCs w:val="22"/>
        </w:rPr>
        <w:t xml:space="preserve">develop </w:t>
      </w:r>
      <w:r w:rsidR="53C544BF" w:rsidRPr="12331ED7">
        <w:rPr>
          <w:rFonts w:eastAsiaTheme="minorEastAsia"/>
          <w:szCs w:val="22"/>
        </w:rPr>
        <w:t>their learning.</w:t>
      </w:r>
      <w:r w:rsidR="00863813" w:rsidRPr="12331ED7">
        <w:rPr>
          <w:rFonts w:eastAsiaTheme="minorEastAsia"/>
          <w:szCs w:val="22"/>
        </w:rPr>
        <w:t xml:space="preserve"> </w:t>
      </w:r>
      <w:r w:rsidR="00F06FD0" w:rsidRPr="12331ED7">
        <w:rPr>
          <w:rFonts w:eastAsiaTheme="minorEastAsia"/>
          <w:szCs w:val="22"/>
        </w:rPr>
        <w:t xml:space="preserve">Hoover and Tunmer (2020) report on the importance of matching students with </w:t>
      </w:r>
      <w:r w:rsidR="00B35EC6" w:rsidRPr="12331ED7">
        <w:rPr>
          <w:rFonts w:eastAsiaTheme="minorEastAsia"/>
          <w:szCs w:val="22"/>
        </w:rPr>
        <w:t>appropriate</w:t>
      </w:r>
      <w:r w:rsidR="00B35EC6">
        <w:t xml:space="preserve"> pedagogical practices. They suggest that </w:t>
      </w:r>
      <w:r w:rsidR="005523E0">
        <w:t xml:space="preserve">differentiated reading instruction is </w:t>
      </w:r>
      <w:r w:rsidR="00925D35">
        <w:t>necessar</w:t>
      </w:r>
      <w:r w:rsidR="00091767">
        <w:t>y</w:t>
      </w:r>
      <w:r w:rsidR="005523E0">
        <w:t xml:space="preserve"> from the beginning of school, especially for those students who </w:t>
      </w:r>
      <w:r w:rsidR="00DB13B1">
        <w:t>begin school</w:t>
      </w:r>
      <w:r w:rsidR="000644CD">
        <w:t xml:space="preserve"> </w:t>
      </w:r>
      <w:r w:rsidR="00925D35">
        <w:t xml:space="preserve">with limited amounts of </w:t>
      </w:r>
      <w:r w:rsidR="00091767">
        <w:t xml:space="preserve">reading related skills. </w:t>
      </w:r>
      <w:r w:rsidR="009752B4">
        <w:t xml:space="preserve">Teaching strategies should be selected for </w:t>
      </w:r>
      <w:r w:rsidR="00D53CDC">
        <w:t xml:space="preserve">the whole class, small groups </w:t>
      </w:r>
      <w:r w:rsidR="005533D5">
        <w:t>and</w:t>
      </w:r>
      <w:r w:rsidR="00D53CDC">
        <w:t xml:space="preserve"> individua</w:t>
      </w:r>
      <w:r w:rsidR="00181AD6">
        <w:t xml:space="preserve">ls. The following concepts may </w:t>
      </w:r>
      <w:r w:rsidR="00CA2DAE">
        <w:t>be useful to consider when making pedagogic choices.</w:t>
      </w:r>
    </w:p>
    <w:p w14:paraId="13FE1693" w14:textId="5F7B1543" w:rsidR="006A16B6" w:rsidRDefault="006A16B6" w:rsidP="008A422F">
      <w:r w:rsidRPr="0398A1D5">
        <w:rPr>
          <w:b/>
          <w:bCs/>
        </w:rPr>
        <w:t>Differentiated instruction</w:t>
      </w:r>
      <w:r w:rsidR="000768C7" w:rsidRPr="0398A1D5">
        <w:rPr>
          <w:b/>
          <w:bCs/>
        </w:rPr>
        <w:t xml:space="preserve"> </w:t>
      </w:r>
      <w:r w:rsidR="00715B0D">
        <w:t xml:space="preserve">Different teaching strategies can be used to </w:t>
      </w:r>
      <w:r w:rsidR="00893A8C">
        <w:t>meet diverse students</w:t>
      </w:r>
      <w:r w:rsidR="3875C8A9">
        <w:t>’</w:t>
      </w:r>
      <w:r w:rsidR="00893A8C">
        <w:t xml:space="preserve"> needs</w:t>
      </w:r>
      <w:r w:rsidR="0078283D">
        <w:t>. For example,</w:t>
      </w:r>
      <w:r w:rsidR="007A5A7D">
        <w:t xml:space="preserve"> </w:t>
      </w:r>
      <w:r w:rsidR="009525CB">
        <w:t>in a Foundation classroom</w:t>
      </w:r>
      <w:r w:rsidR="007A5A7D">
        <w:t>,</w:t>
      </w:r>
      <w:r w:rsidR="00C36764">
        <w:t xml:space="preserve"> </w:t>
      </w:r>
      <w:hyperlink r:id="rId31">
        <w:r w:rsidR="00421EAD" w:rsidRPr="0398A1D5">
          <w:rPr>
            <w:rStyle w:val="Hyperlink"/>
          </w:rPr>
          <w:t>s</w:t>
        </w:r>
        <w:r w:rsidR="00C36764" w:rsidRPr="0398A1D5">
          <w:rPr>
            <w:rStyle w:val="Hyperlink"/>
          </w:rPr>
          <w:t xml:space="preserve">hared </w:t>
        </w:r>
        <w:r w:rsidR="00421EAD" w:rsidRPr="0398A1D5">
          <w:rPr>
            <w:rStyle w:val="Hyperlink"/>
          </w:rPr>
          <w:t>r</w:t>
        </w:r>
        <w:r w:rsidR="00C36764" w:rsidRPr="0398A1D5">
          <w:rPr>
            <w:rStyle w:val="Hyperlink"/>
          </w:rPr>
          <w:t>eading</w:t>
        </w:r>
      </w:hyperlink>
      <w:r w:rsidR="00C36764">
        <w:t xml:space="preserve"> may be used to teach </w:t>
      </w:r>
      <w:r w:rsidR="007A5A7D">
        <w:t>phoneme/grapheme correspondences to the whole class</w:t>
      </w:r>
      <w:r w:rsidR="005533D5">
        <w:t>,</w:t>
      </w:r>
      <w:r w:rsidR="005533D5" w:rsidRPr="005533D5">
        <w:t xml:space="preserve"> </w:t>
      </w:r>
      <w:r w:rsidR="005533D5">
        <w:t xml:space="preserve">based on data from the EOI, DATE and </w:t>
      </w:r>
      <w:r w:rsidR="005533D5">
        <w:lastRenderedPageBreak/>
        <w:t>teacher observations</w:t>
      </w:r>
      <w:r w:rsidR="007A5A7D">
        <w:t xml:space="preserve">. </w:t>
      </w:r>
      <w:r w:rsidR="00394E13">
        <w:t>Then s</w:t>
      </w:r>
      <w:r w:rsidR="007A5A7D">
        <w:t xml:space="preserve">ome students may </w:t>
      </w:r>
      <w:r w:rsidR="00A14772">
        <w:t>work with the teacher</w:t>
      </w:r>
      <w:r w:rsidR="00A769B7">
        <w:t xml:space="preserve"> </w:t>
      </w:r>
      <w:r w:rsidR="6F22BD5E">
        <w:t>using</w:t>
      </w:r>
      <w:r w:rsidR="00A769B7">
        <w:t xml:space="preserve"> </w:t>
      </w:r>
      <w:hyperlink r:id="rId32">
        <w:r w:rsidR="00421EAD" w:rsidRPr="0398A1D5">
          <w:rPr>
            <w:rStyle w:val="Hyperlink"/>
          </w:rPr>
          <w:t>i</w:t>
        </w:r>
        <w:r w:rsidR="00A769B7" w:rsidRPr="0398A1D5">
          <w:rPr>
            <w:rStyle w:val="Hyperlink"/>
          </w:rPr>
          <w:t xml:space="preserve">nteractive </w:t>
        </w:r>
        <w:r w:rsidR="00421EAD" w:rsidRPr="0398A1D5">
          <w:rPr>
            <w:rStyle w:val="Hyperlink"/>
          </w:rPr>
          <w:t>w</w:t>
        </w:r>
        <w:r w:rsidR="00A769B7" w:rsidRPr="0398A1D5">
          <w:rPr>
            <w:rStyle w:val="Hyperlink"/>
          </w:rPr>
          <w:t>riting</w:t>
        </w:r>
      </w:hyperlink>
      <w:r w:rsidR="00A14772">
        <w:t xml:space="preserve"> </w:t>
      </w:r>
      <w:r w:rsidR="00A769B7">
        <w:t>to consolidate their understandings</w:t>
      </w:r>
      <w:r w:rsidR="00BC4DDC">
        <w:t xml:space="preserve"> of the phoneme/grapheme correspondences. </w:t>
      </w:r>
      <w:r w:rsidR="008A21F1">
        <w:t xml:space="preserve">Some students may be </w:t>
      </w:r>
      <w:r w:rsidR="00F578F8">
        <w:t xml:space="preserve">involved in </w:t>
      </w:r>
      <w:hyperlink r:id="rId33">
        <w:r w:rsidR="00F578F8" w:rsidRPr="0398A1D5">
          <w:rPr>
            <w:rStyle w:val="Hyperlink"/>
          </w:rPr>
          <w:t>independent reading</w:t>
        </w:r>
      </w:hyperlink>
      <w:r w:rsidR="00F578F8">
        <w:t xml:space="preserve"> with texts that highlight the taught correspondences</w:t>
      </w:r>
      <w:r w:rsidR="00141712">
        <w:t xml:space="preserve">. Other students may be </w:t>
      </w:r>
      <w:r w:rsidR="00452350">
        <w:t xml:space="preserve">working in a small group playing </w:t>
      </w:r>
      <w:hyperlink r:id="rId34">
        <w:r w:rsidR="00452350" w:rsidRPr="0398A1D5">
          <w:rPr>
            <w:rStyle w:val="Hyperlink"/>
          </w:rPr>
          <w:t>oral language games</w:t>
        </w:r>
      </w:hyperlink>
      <w:r w:rsidR="00452350">
        <w:t xml:space="preserve"> to reinforce their phonological awareness.</w:t>
      </w:r>
    </w:p>
    <w:p w14:paraId="3F48BD4D" w14:textId="41AB21A0" w:rsidR="00EF332F" w:rsidRPr="00F42932" w:rsidRDefault="007E670C" w:rsidP="008A422F">
      <w:r w:rsidRPr="22877C5F">
        <w:rPr>
          <w:b/>
          <w:bCs/>
        </w:rPr>
        <w:t>Reciprocity</w:t>
      </w:r>
      <w:r w:rsidR="00F42932" w:rsidRPr="22877C5F">
        <w:rPr>
          <w:b/>
          <w:bCs/>
        </w:rPr>
        <w:t xml:space="preserve"> </w:t>
      </w:r>
      <w:r w:rsidR="00853F48">
        <w:t>A</w:t>
      </w:r>
      <w:r w:rsidR="00E9228B">
        <w:t xml:space="preserve"> reciprocal relationship </w:t>
      </w:r>
      <w:r w:rsidR="00853F48">
        <w:t xml:space="preserve">exists </w:t>
      </w:r>
      <w:r w:rsidR="00E9228B">
        <w:t>between readin</w:t>
      </w:r>
      <w:r w:rsidR="00853F48">
        <w:t>g and</w:t>
      </w:r>
      <w:r w:rsidR="00E9228B">
        <w:t xml:space="preserve"> writing</w:t>
      </w:r>
      <w:r w:rsidR="00853F48">
        <w:t>, where</w:t>
      </w:r>
      <w:r w:rsidR="00AF4D49">
        <w:t xml:space="preserve"> reading instruction can support writing and vice versa (Graham, 2020). </w:t>
      </w:r>
      <w:r w:rsidR="00180492">
        <w:t xml:space="preserve">Additionally, oral language comprehension supports reading (Hoover &amp; Tunmer, 2020). </w:t>
      </w:r>
      <w:r w:rsidR="008B70C8">
        <w:t xml:space="preserve">Selecting teaching practices that support </w:t>
      </w:r>
      <w:hyperlink r:id="rId35">
        <w:r w:rsidR="008B70C8" w:rsidRPr="22877C5F">
          <w:rPr>
            <w:rStyle w:val="Hyperlink"/>
          </w:rPr>
          <w:t>development in more than one mode of English</w:t>
        </w:r>
      </w:hyperlink>
      <w:r w:rsidR="008B70C8">
        <w:t xml:space="preserve"> </w:t>
      </w:r>
      <w:r w:rsidR="00543F59">
        <w:t xml:space="preserve">can </w:t>
      </w:r>
      <w:r w:rsidR="00CF2D52">
        <w:t xml:space="preserve">work towards meeting </w:t>
      </w:r>
      <w:r w:rsidR="00543F59">
        <w:t>a number of learning outcomes</w:t>
      </w:r>
      <w:r w:rsidR="00494194">
        <w:t xml:space="preserve"> (Ref</w:t>
      </w:r>
      <w:r w:rsidR="47B50E8F">
        <w:t>e</w:t>
      </w:r>
      <w:r w:rsidR="00494194">
        <w:t xml:space="preserve">r to the ‘Oral Language to support phonological awareness and phonics instruction’ paper in the professional reading series). </w:t>
      </w:r>
    </w:p>
    <w:p w14:paraId="1028B2C0" w14:textId="5DC39062" w:rsidR="007E670C" w:rsidRDefault="00760AB4" w:rsidP="008A422F">
      <w:r w:rsidRPr="60C6B0D0">
        <w:rPr>
          <w:b/>
          <w:bCs/>
        </w:rPr>
        <w:t>M</w:t>
      </w:r>
      <w:r w:rsidR="005726EE" w:rsidRPr="60C6B0D0">
        <w:rPr>
          <w:b/>
          <w:bCs/>
        </w:rPr>
        <w:t xml:space="preserve">otivation </w:t>
      </w:r>
      <w:bookmarkStart w:id="0" w:name="_Int_UdBID9Dd"/>
      <w:r w:rsidR="00681BAB">
        <w:t>Motivation</w:t>
      </w:r>
      <w:bookmarkEnd w:id="0"/>
      <w:r w:rsidR="00681BAB">
        <w:t xml:space="preserve"> to read has been identified as a key factor </w:t>
      </w:r>
      <w:r w:rsidR="002F078F">
        <w:t xml:space="preserve">to support students’ independent reading. </w:t>
      </w:r>
      <w:r w:rsidR="00ED126B">
        <w:t>Students are likely to be motivated to read when they read texts that interest them</w:t>
      </w:r>
      <w:r w:rsidR="004D4538">
        <w:t xml:space="preserve"> and that their friends enjoy (Castles et al., 2018). </w:t>
      </w:r>
      <w:r w:rsidR="00D808FE">
        <w:t>The implications for classroom practice include</w:t>
      </w:r>
      <w:r w:rsidR="005533D5">
        <w:t>:</w:t>
      </w:r>
    </w:p>
    <w:p w14:paraId="63ED7DD9" w14:textId="60B6B30B" w:rsidR="00D808FE" w:rsidRDefault="006918F5" w:rsidP="00D808FE">
      <w:pPr>
        <w:pStyle w:val="ListParagraph"/>
        <w:numPr>
          <w:ilvl w:val="0"/>
          <w:numId w:val="22"/>
        </w:numPr>
      </w:pPr>
      <w:r>
        <w:t>Availability of a wide variety of texts</w:t>
      </w:r>
    </w:p>
    <w:p w14:paraId="7A22F504" w14:textId="72617948" w:rsidR="006918F5" w:rsidRDefault="006918F5" w:rsidP="00D808FE">
      <w:pPr>
        <w:pStyle w:val="ListParagraph"/>
        <w:numPr>
          <w:ilvl w:val="0"/>
          <w:numId w:val="22"/>
        </w:numPr>
      </w:pPr>
      <w:r>
        <w:t>Time allocated to student selected texts</w:t>
      </w:r>
    </w:p>
    <w:p w14:paraId="5C584ADE" w14:textId="6E4EC0CF" w:rsidR="00885658" w:rsidRDefault="00885658" w:rsidP="00885658">
      <w:pPr>
        <w:pStyle w:val="ListParagraph"/>
        <w:numPr>
          <w:ilvl w:val="0"/>
          <w:numId w:val="22"/>
        </w:numPr>
      </w:pPr>
      <w:r>
        <w:t>Opportunities for peer talk about texts</w:t>
      </w:r>
    </w:p>
    <w:p w14:paraId="20195CE9" w14:textId="64E14818" w:rsidR="00FA187F" w:rsidRPr="005726EE" w:rsidRDefault="007341D7" w:rsidP="00B76137">
      <w:pPr>
        <w:pStyle w:val="ListParagraph"/>
        <w:numPr>
          <w:ilvl w:val="0"/>
          <w:numId w:val="22"/>
        </w:numPr>
      </w:pPr>
      <w:r>
        <w:t>Pedagogical practices that engage students</w:t>
      </w:r>
      <w:r w:rsidR="00E475C5">
        <w:t xml:space="preserve"> with both texts and reading</w:t>
      </w:r>
      <w:r>
        <w:t xml:space="preserve">, such as games, </w:t>
      </w:r>
      <w:r w:rsidR="00FA187F">
        <w:t>role-play and discussions.</w:t>
      </w:r>
    </w:p>
    <w:p w14:paraId="46760D38" w14:textId="67F6F6F0" w:rsidR="00CE3B8E" w:rsidRPr="00CE3B8E" w:rsidRDefault="004E381E" w:rsidP="12331ED7">
      <w:r>
        <w:t xml:space="preserve">Teacher expertise is necessary to deal with the complexity of reading and its multiple components (Compton-Lily et al., 2020). </w:t>
      </w:r>
      <w:r w:rsidR="00985CE7">
        <w:t xml:space="preserve"> </w:t>
      </w:r>
      <w:r w:rsidR="00CA2DAE">
        <w:t>Peda</w:t>
      </w:r>
      <w:r w:rsidR="00C126D0">
        <w:t>gogic decision making</w:t>
      </w:r>
      <w:r w:rsidR="00791C07">
        <w:t xml:space="preserve"> involves teachers’ deep knowledge of their students, the content they need to teach and the practices </w:t>
      </w:r>
      <w:r w:rsidR="00FA72E8">
        <w:t xml:space="preserve">that support the teaching of literacy. </w:t>
      </w:r>
      <w:r w:rsidR="008C5861">
        <w:t xml:space="preserve">Continuing to develop </w:t>
      </w:r>
      <w:r w:rsidR="005533D5">
        <w:t>t</w:t>
      </w:r>
      <w:r w:rsidR="00FA72E8">
        <w:t>hese</w:t>
      </w:r>
      <w:r w:rsidR="00F05D1B">
        <w:t xml:space="preserve"> knowledge</w:t>
      </w:r>
      <w:r w:rsidR="00FA72E8">
        <w:t xml:space="preserve"> elements </w:t>
      </w:r>
      <w:r w:rsidR="008C5861">
        <w:t>enable</w:t>
      </w:r>
      <w:r w:rsidR="005533D5">
        <w:t>s</w:t>
      </w:r>
      <w:r w:rsidR="008C5861">
        <w:t xml:space="preserve"> </w:t>
      </w:r>
      <w:r w:rsidR="00FA72E8">
        <w:t>teachers</w:t>
      </w:r>
      <w:r w:rsidR="008C5861">
        <w:t xml:space="preserve"> to</w:t>
      </w:r>
      <w:r w:rsidR="00FA72E8">
        <w:t xml:space="preserve"> </w:t>
      </w:r>
      <w:r w:rsidR="001C4A90">
        <w:t>meet the</w:t>
      </w:r>
      <w:r w:rsidR="00791C07">
        <w:t xml:space="preserve"> dive</w:t>
      </w:r>
      <w:r w:rsidR="00D8541C">
        <w:t xml:space="preserve">rse </w:t>
      </w:r>
      <w:r w:rsidR="001C4A90">
        <w:t>literacy need</w:t>
      </w:r>
      <w:r w:rsidR="001A20E3">
        <w:t>s of their students</w:t>
      </w:r>
      <w:r w:rsidR="00D8541C">
        <w:t>.</w:t>
      </w:r>
      <w:r w:rsidR="008E6F50">
        <w:t xml:space="preserve"> </w:t>
      </w:r>
    </w:p>
    <w:p w14:paraId="0C220488" w14:textId="086CDF27" w:rsidR="00CE3B8E" w:rsidRPr="00CE3B8E" w:rsidRDefault="74AFA3ED" w:rsidP="12331ED7">
      <w:pPr>
        <w:pStyle w:val="Heading3"/>
      </w:pPr>
      <w:r>
        <w:t xml:space="preserve">How can leadership support pedagogic decision making? </w:t>
      </w:r>
    </w:p>
    <w:p w14:paraId="183CE252" w14:textId="769899BD" w:rsidR="5AA0E75B" w:rsidRPr="00E75784" w:rsidRDefault="3EFC03C6" w:rsidP="00E75784">
      <w:pPr>
        <w:shd w:val="clear" w:color="auto" w:fill="FFFFFF"/>
        <w:spacing w:after="0"/>
        <w:rPr>
          <w:rFonts w:ascii="Times New Roman" w:eastAsia="Times New Roman" w:hAnsi="Times New Roman" w:cs="Times New Roman"/>
          <w:sz w:val="24"/>
          <w:lang w:val="en-AU" w:eastAsia="en-AU"/>
        </w:rPr>
      </w:pPr>
      <w:r>
        <w:t>UNESCO</w:t>
      </w:r>
      <w:r w:rsidR="13A5E039">
        <w:t xml:space="preserve"> (2021) </w:t>
      </w:r>
      <w:r w:rsidR="006A028B" w:rsidRPr="00E75784">
        <w:rPr>
          <w:rFonts w:eastAsia="Times New Roman" w:cstheme="minorHAnsi"/>
          <w:szCs w:val="22"/>
          <w:lang w:val="en-AU" w:eastAsia="en-AU"/>
        </w:rPr>
        <w:t xml:space="preserve">International Commission On The Futures Of Education </w:t>
      </w:r>
      <w:r w:rsidR="006A028B">
        <w:rPr>
          <w:rFonts w:eastAsia="Times New Roman" w:cstheme="minorHAnsi"/>
          <w:szCs w:val="22"/>
          <w:lang w:val="en-AU" w:eastAsia="en-AU"/>
        </w:rPr>
        <w:t xml:space="preserve">report </w:t>
      </w:r>
      <w:r w:rsidR="306A481D" w:rsidRPr="006A028B">
        <w:rPr>
          <w:rFonts w:cstheme="minorHAnsi"/>
          <w:szCs w:val="22"/>
        </w:rPr>
        <w:t>presented</w:t>
      </w:r>
      <w:r w:rsidR="306A481D" w:rsidRPr="006A028B">
        <w:rPr>
          <w:rFonts w:cstheme="minorHAnsi"/>
        </w:rPr>
        <w:t xml:space="preserve"> </w:t>
      </w:r>
      <w:r w:rsidR="306A481D">
        <w:t xml:space="preserve">teaching as a collaborative profession, characterised by teamwork. </w:t>
      </w:r>
      <w:r w:rsidR="08B60F2A">
        <w:t>The report claims that quality teaching is the result of teachers’ intellectual engagement</w:t>
      </w:r>
      <w:r w:rsidR="00131DFB">
        <w:t xml:space="preserve"> and knowledge building</w:t>
      </w:r>
      <w:r w:rsidR="00EC576B">
        <w:t>.</w:t>
      </w:r>
      <w:r w:rsidR="1540C9F5">
        <w:t xml:space="preserve"> </w:t>
      </w:r>
      <w:r w:rsidR="00EC576B">
        <w:t xml:space="preserve">This occurs </w:t>
      </w:r>
      <w:r w:rsidR="00131DFB">
        <w:t xml:space="preserve">through </w:t>
      </w:r>
      <w:r w:rsidR="1540C9F5">
        <w:t>research and reflect</w:t>
      </w:r>
      <w:r w:rsidR="00131DFB">
        <w:t>ion</w:t>
      </w:r>
      <w:r w:rsidR="1540C9F5">
        <w:t xml:space="preserve"> on their own practice, supported by professional learning that </w:t>
      </w:r>
      <w:r w:rsidR="00B64DA1">
        <w:t>develop</w:t>
      </w:r>
      <w:r w:rsidR="004F170F">
        <w:t>s</w:t>
      </w:r>
      <w:r w:rsidR="00B64DA1">
        <w:t xml:space="preserve"> </w:t>
      </w:r>
      <w:r w:rsidR="1540C9F5">
        <w:t xml:space="preserve">teachers’ expertise </w:t>
      </w:r>
      <w:r w:rsidR="4EED456D">
        <w:t>in designing and leading student learning. The school’s leadership team can provide support to teachers by allocating time for pedagogic decision making, planning, sourcing appropriate resources and organising opportunities for collegial discussions</w:t>
      </w:r>
      <w:r w:rsidR="004049E8">
        <w:t xml:space="preserve"> and professional learning</w:t>
      </w:r>
      <w:r w:rsidR="4EED456D">
        <w:t>.</w:t>
      </w:r>
    </w:p>
    <w:p w14:paraId="6A22B274" w14:textId="7E006A2D" w:rsidR="009E336F" w:rsidRDefault="004D27A1" w:rsidP="00900908">
      <w:pPr>
        <w:pStyle w:val="Heading2"/>
        <w:rPr>
          <w:lang w:val="en-AU"/>
        </w:rPr>
      </w:pPr>
      <w:r>
        <w:rPr>
          <w:lang w:val="en-AU"/>
        </w:rPr>
        <w:t>Discussion points</w:t>
      </w:r>
    </w:p>
    <w:p w14:paraId="3DFF682E" w14:textId="3950F101" w:rsidR="00BC57A2" w:rsidRDefault="00A4413B" w:rsidP="00652023">
      <w:pPr>
        <w:rPr>
          <w:lang w:val="en-AU"/>
        </w:rPr>
      </w:pPr>
      <w:r>
        <w:rPr>
          <w:lang w:val="en-AU"/>
        </w:rPr>
        <w:t>1</w:t>
      </w:r>
      <w:r w:rsidR="00BC57A2">
        <w:rPr>
          <w:lang w:val="en-AU"/>
        </w:rPr>
        <w:t xml:space="preserve">. </w:t>
      </w:r>
      <w:r w:rsidR="003847E9">
        <w:rPr>
          <w:lang w:val="en-AU"/>
        </w:rPr>
        <w:t xml:space="preserve">Do we hold a shared understanding about </w:t>
      </w:r>
      <w:r w:rsidR="003D591A">
        <w:rPr>
          <w:lang w:val="en-AU"/>
        </w:rPr>
        <w:t>how students learn to read?</w:t>
      </w:r>
    </w:p>
    <w:p w14:paraId="253103D8" w14:textId="66C7176D" w:rsidR="007D56B5" w:rsidRDefault="00A4413B" w:rsidP="00652023">
      <w:pPr>
        <w:rPr>
          <w:lang w:val="en-AU"/>
        </w:rPr>
      </w:pPr>
      <w:r>
        <w:rPr>
          <w:lang w:val="en-AU"/>
        </w:rPr>
        <w:t>2.</w:t>
      </w:r>
      <w:r w:rsidR="003D591A">
        <w:rPr>
          <w:lang w:val="en-AU"/>
        </w:rPr>
        <w:t xml:space="preserve"> </w:t>
      </w:r>
      <w:r w:rsidR="007D56B5">
        <w:rPr>
          <w:lang w:val="en-AU"/>
        </w:rPr>
        <w:t>How can we audit our literacy programs to see if we are adequately covering the components of reading?</w:t>
      </w:r>
    </w:p>
    <w:p w14:paraId="6B819E6C" w14:textId="420F79F9" w:rsidR="00807731" w:rsidRDefault="00A4413B" w:rsidP="00807731">
      <w:pPr>
        <w:rPr>
          <w:lang w:val="en-AU"/>
        </w:rPr>
      </w:pPr>
      <w:r>
        <w:rPr>
          <w:lang w:val="en-AU"/>
        </w:rPr>
        <w:t>3.</w:t>
      </w:r>
      <w:r w:rsidR="002A4A19">
        <w:rPr>
          <w:lang w:val="en-AU"/>
        </w:rPr>
        <w:t xml:space="preserve"> </w:t>
      </w:r>
      <w:r w:rsidR="00807731">
        <w:rPr>
          <w:lang w:val="en-AU"/>
        </w:rPr>
        <w:t>What are our individual and collective professional learning needs in the field of literacy?</w:t>
      </w:r>
    </w:p>
    <w:p w14:paraId="2E1587D0" w14:textId="7EDAA5DB" w:rsidR="003D591A" w:rsidRDefault="00A4413B" w:rsidP="00652023">
      <w:pPr>
        <w:rPr>
          <w:lang w:val="en-AU"/>
        </w:rPr>
      </w:pPr>
      <w:r>
        <w:rPr>
          <w:lang w:val="en-AU"/>
        </w:rPr>
        <w:t>4</w:t>
      </w:r>
      <w:r w:rsidR="00807731">
        <w:rPr>
          <w:lang w:val="en-AU"/>
        </w:rPr>
        <w:t xml:space="preserve">. </w:t>
      </w:r>
      <w:r w:rsidR="003D591A">
        <w:rPr>
          <w:lang w:val="en-AU"/>
        </w:rPr>
        <w:t xml:space="preserve">What do we have in our term/yearly professional learning community (PLC) agendas that will </w:t>
      </w:r>
      <w:r w:rsidR="002A4A19">
        <w:rPr>
          <w:lang w:val="en-AU"/>
        </w:rPr>
        <w:t xml:space="preserve">provide </w:t>
      </w:r>
      <w:r w:rsidR="003D591A">
        <w:rPr>
          <w:lang w:val="en-AU"/>
        </w:rPr>
        <w:t>professional learning in English</w:t>
      </w:r>
      <w:r w:rsidR="00807731">
        <w:rPr>
          <w:lang w:val="en-AU"/>
        </w:rPr>
        <w:t xml:space="preserve"> and literacy</w:t>
      </w:r>
      <w:r w:rsidR="003D591A">
        <w:rPr>
          <w:lang w:val="en-AU"/>
        </w:rPr>
        <w:t>?</w:t>
      </w:r>
    </w:p>
    <w:p w14:paraId="4886F2D1" w14:textId="2519CD07" w:rsidR="00AE2E7B" w:rsidRDefault="00AE2E7B" w:rsidP="00652023">
      <w:pPr>
        <w:rPr>
          <w:lang w:val="en-AU"/>
        </w:rPr>
      </w:pPr>
      <w:r>
        <w:rPr>
          <w:lang w:val="en-AU"/>
        </w:rPr>
        <w:t>5. What formal and informal</w:t>
      </w:r>
      <w:r w:rsidR="00B73B90">
        <w:rPr>
          <w:lang w:val="en-AU"/>
        </w:rPr>
        <w:t xml:space="preserve"> assessments are we currently using </w:t>
      </w:r>
      <w:r>
        <w:rPr>
          <w:lang w:val="en-AU"/>
        </w:rPr>
        <w:t>to enable us to know our literacy learners?</w:t>
      </w:r>
      <w:r w:rsidR="00B73B90">
        <w:rPr>
          <w:lang w:val="en-AU"/>
        </w:rPr>
        <w:t xml:space="preserve"> Are these sufficient?</w:t>
      </w:r>
    </w:p>
    <w:p w14:paraId="7F112303" w14:textId="3F7660D1" w:rsidR="00EA62A7" w:rsidRDefault="00EA62A7" w:rsidP="00652023">
      <w:pPr>
        <w:rPr>
          <w:lang w:val="en-AU"/>
        </w:rPr>
      </w:pPr>
      <w:r>
        <w:rPr>
          <w:lang w:val="en-AU"/>
        </w:rPr>
        <w:t xml:space="preserve">6. How can we audit our knowledge of the Victorian Curriculum English? </w:t>
      </w:r>
    </w:p>
    <w:p w14:paraId="71534C99" w14:textId="400C0A05" w:rsidR="00EA62A7" w:rsidRDefault="00EA62A7" w:rsidP="00652023">
      <w:pPr>
        <w:rPr>
          <w:lang w:val="en-AU"/>
        </w:rPr>
      </w:pPr>
      <w:r>
        <w:rPr>
          <w:lang w:val="en-AU"/>
        </w:rPr>
        <w:lastRenderedPageBreak/>
        <w:t>7. At what levels of the Victorian Curriculum English are our students working</w:t>
      </w:r>
      <w:r w:rsidR="00815C3B">
        <w:rPr>
          <w:lang w:val="en-AU"/>
        </w:rPr>
        <w:t xml:space="preserve"> and are these reflected in our planning documents?</w:t>
      </w:r>
      <w:r w:rsidR="004346F3">
        <w:rPr>
          <w:lang w:val="en-AU"/>
        </w:rPr>
        <w:t xml:space="preserve"> </w:t>
      </w:r>
    </w:p>
    <w:p w14:paraId="63C05CF0" w14:textId="786FC2B5" w:rsidR="00815C3B" w:rsidRDefault="00815C3B" w:rsidP="00652023">
      <w:pPr>
        <w:rPr>
          <w:lang w:val="en-AU"/>
        </w:rPr>
      </w:pPr>
      <w:r>
        <w:rPr>
          <w:lang w:val="en-AU"/>
        </w:rPr>
        <w:t xml:space="preserve">8. </w:t>
      </w:r>
      <w:r w:rsidR="00702F90">
        <w:rPr>
          <w:lang w:val="en-AU"/>
        </w:rPr>
        <w:t>Considering our student cohort d</w:t>
      </w:r>
      <w:r w:rsidR="00C9588F">
        <w:rPr>
          <w:lang w:val="en-AU"/>
        </w:rPr>
        <w:t>o we need to become more familiar with the Levels A – D or the Victorian Curriculum English or with the English as an additional language (EAL) curriculum?</w:t>
      </w:r>
      <w:r w:rsidR="00325EB8">
        <w:rPr>
          <w:lang w:val="en-AU"/>
        </w:rPr>
        <w:t xml:space="preserve"> If so</w:t>
      </w:r>
      <w:r w:rsidR="00903F21">
        <w:rPr>
          <w:lang w:val="en-AU"/>
        </w:rPr>
        <w:t>,</w:t>
      </w:r>
      <w:r w:rsidR="00325EB8">
        <w:rPr>
          <w:lang w:val="en-AU"/>
        </w:rPr>
        <w:t xml:space="preserve"> how?</w:t>
      </w:r>
    </w:p>
    <w:p w14:paraId="251B8047" w14:textId="728D8F63" w:rsidR="00C9588F" w:rsidRDefault="00C9588F" w:rsidP="00652023">
      <w:pPr>
        <w:rPr>
          <w:lang w:val="en-AU"/>
        </w:rPr>
      </w:pPr>
      <w:r w:rsidRPr="12331ED7">
        <w:rPr>
          <w:lang w:val="en-AU"/>
        </w:rPr>
        <w:t xml:space="preserve">9. </w:t>
      </w:r>
      <w:r w:rsidR="00702F90">
        <w:rPr>
          <w:lang w:val="en-AU"/>
        </w:rPr>
        <w:t>How d</w:t>
      </w:r>
      <w:r w:rsidR="008929A0" w:rsidRPr="12331ED7">
        <w:rPr>
          <w:lang w:val="en-AU"/>
        </w:rPr>
        <w:t>o</w:t>
      </w:r>
      <w:r w:rsidR="444FFAA5" w:rsidRPr="12331ED7">
        <w:rPr>
          <w:lang w:val="en-AU"/>
        </w:rPr>
        <w:t xml:space="preserve"> </w:t>
      </w:r>
      <w:r w:rsidR="008929A0" w:rsidRPr="12331ED7">
        <w:rPr>
          <w:lang w:val="en-AU"/>
        </w:rPr>
        <w:t>our planning documents reflect activities that cater for students at different levels of the curriculum?</w:t>
      </w:r>
    </w:p>
    <w:p w14:paraId="0D053A01" w14:textId="3BC2D010" w:rsidR="0092046D" w:rsidRDefault="0092046D" w:rsidP="00652023">
      <w:pPr>
        <w:rPr>
          <w:lang w:val="en-AU"/>
        </w:rPr>
      </w:pPr>
      <w:r>
        <w:rPr>
          <w:lang w:val="en-AU"/>
        </w:rPr>
        <w:t xml:space="preserve">10. </w:t>
      </w:r>
      <w:r w:rsidR="00325EB8">
        <w:rPr>
          <w:lang w:val="en-AU"/>
        </w:rPr>
        <w:t xml:space="preserve">How </w:t>
      </w:r>
      <w:r w:rsidR="00903F21">
        <w:rPr>
          <w:lang w:val="en-AU"/>
        </w:rPr>
        <w:t>d</w:t>
      </w:r>
      <w:r w:rsidR="00D8541C">
        <w:rPr>
          <w:lang w:val="en-AU"/>
        </w:rPr>
        <w:t xml:space="preserve">o we </w:t>
      </w:r>
      <w:r w:rsidR="00325EB8">
        <w:rPr>
          <w:lang w:val="en-AU"/>
        </w:rPr>
        <w:t xml:space="preserve">know if we </w:t>
      </w:r>
      <w:r w:rsidR="00D8541C">
        <w:rPr>
          <w:lang w:val="en-AU"/>
        </w:rPr>
        <w:t>use diverse teaching practices that support all students within a gradual release of responsibility model?</w:t>
      </w:r>
    </w:p>
    <w:p w14:paraId="131CBA63" w14:textId="1EA69D16" w:rsidR="00D8541C" w:rsidRPr="00652023" w:rsidRDefault="00D8541C" w:rsidP="00652023">
      <w:pPr>
        <w:rPr>
          <w:lang w:val="en-AU"/>
        </w:rPr>
      </w:pPr>
      <w:r>
        <w:rPr>
          <w:lang w:val="en-AU"/>
        </w:rPr>
        <w:t xml:space="preserve">11. What opportunities can we </w:t>
      </w:r>
      <w:r w:rsidR="00542274">
        <w:rPr>
          <w:lang w:val="en-AU"/>
        </w:rPr>
        <w:t xml:space="preserve">create for peer </w:t>
      </w:r>
      <w:r>
        <w:rPr>
          <w:lang w:val="en-AU"/>
        </w:rPr>
        <w:t>observation and modelling, mentoring and professional discussions</w:t>
      </w:r>
      <w:r w:rsidR="00542274">
        <w:rPr>
          <w:lang w:val="en-AU"/>
        </w:rPr>
        <w:t xml:space="preserve"> to </w:t>
      </w:r>
      <w:r w:rsidR="00A42BBF">
        <w:rPr>
          <w:lang w:val="en-AU"/>
        </w:rPr>
        <w:t>further our understandings of teaching practices?</w:t>
      </w:r>
    </w:p>
    <w:p w14:paraId="6B714828" w14:textId="28571952" w:rsidR="00624A55" w:rsidRDefault="00BB688E" w:rsidP="00624A55">
      <w:pPr>
        <w:pStyle w:val="Heading2"/>
        <w:rPr>
          <w:lang w:val="en-AU"/>
        </w:rPr>
      </w:pPr>
      <w:r>
        <w:rPr>
          <w:lang w:val="en-AU"/>
        </w:rPr>
        <w:t>References</w:t>
      </w:r>
    </w:p>
    <w:p w14:paraId="6DBB8408" w14:textId="77777777" w:rsidR="00B7351A" w:rsidRDefault="003B2785" w:rsidP="00B7351A">
      <w:r>
        <w:t xml:space="preserve">Beard, R., Brooks, G., &amp; Ampaw-Farr, J. (2019). How linguistically-informed are phonics programmes? </w:t>
      </w:r>
      <w:r w:rsidRPr="3A0D4FA3">
        <w:rPr>
          <w:i/>
          <w:iCs/>
        </w:rPr>
        <w:t>Literacy</w:t>
      </w:r>
      <w:r>
        <w:t>,53(2), 86–94.</w:t>
      </w:r>
    </w:p>
    <w:p w14:paraId="522068A4" w14:textId="60EA03A7" w:rsidR="00FA19ED" w:rsidRPr="00B7351A" w:rsidRDefault="00F35AC5" w:rsidP="00B7351A">
      <w:r>
        <w:t xml:space="preserve">Castles, A., Rastle, K., &amp; Nation, K. (2018). Ending the reading wars: Reading acquisition from novice to expert. </w:t>
      </w:r>
      <w:r w:rsidRPr="3A0D4FA3">
        <w:rPr>
          <w:i/>
          <w:iCs/>
        </w:rPr>
        <w:t>Psychological Science in the Public Interest</w:t>
      </w:r>
      <w:r w:rsidR="4395AFF5" w:rsidRPr="3A0D4FA3">
        <w:rPr>
          <w:i/>
          <w:iCs/>
        </w:rPr>
        <w:t>,</w:t>
      </w:r>
      <w:r w:rsidR="00290362">
        <w:t xml:space="preserve"> 19, 5–51.</w:t>
      </w:r>
    </w:p>
    <w:p w14:paraId="66E07C9F" w14:textId="5B773B71" w:rsidR="00FA0C20" w:rsidRDefault="004679A6" w:rsidP="004679A6">
      <w:pPr>
        <w:rPr>
          <w:rFonts w:cstheme="minorHAnsi"/>
        </w:rPr>
      </w:pPr>
      <w:r w:rsidRPr="004679A6">
        <w:rPr>
          <w:rFonts w:cstheme="minorHAnsi"/>
        </w:rPr>
        <w:t>Compton-Lilly, C. F., Mitra, A., Guay, M., Spence, L. K. (2020). A confluence of complexity: Intersection</w:t>
      </w:r>
      <w:r w:rsidR="00B33BEA">
        <w:rPr>
          <w:rFonts w:cstheme="minorHAnsi"/>
        </w:rPr>
        <w:t xml:space="preserve">s </w:t>
      </w:r>
      <w:r w:rsidRPr="004679A6">
        <w:rPr>
          <w:rFonts w:cstheme="minorHAnsi"/>
        </w:rPr>
        <w:t xml:space="preserve">among reading theory, neuroscience, and observation of young readers. </w:t>
      </w:r>
      <w:r w:rsidRPr="00B33BEA">
        <w:rPr>
          <w:rFonts w:cstheme="minorHAnsi"/>
          <w:i/>
          <w:iCs/>
        </w:rPr>
        <w:t>Reading Research Quarterly</w:t>
      </w:r>
      <w:r w:rsidRPr="004679A6">
        <w:rPr>
          <w:rFonts w:cstheme="minorHAnsi"/>
        </w:rPr>
        <w:t>, 0(0),1–11.</w:t>
      </w:r>
    </w:p>
    <w:p w14:paraId="2BE3435F" w14:textId="140F3DB5" w:rsidR="003A0AB3" w:rsidRDefault="003A0AB3" w:rsidP="004679A6">
      <w:pPr>
        <w:rPr>
          <w:rFonts w:cstheme="minorHAnsi"/>
        </w:rPr>
      </w:pPr>
      <w:r>
        <w:rPr>
          <w:rFonts w:cstheme="minorHAnsi"/>
        </w:rPr>
        <w:t>Graham, S. (2020).</w:t>
      </w:r>
      <w:r w:rsidR="00A121BD">
        <w:rPr>
          <w:rFonts w:cstheme="minorHAnsi"/>
        </w:rPr>
        <w:t xml:space="preserve"> </w:t>
      </w:r>
      <w:r w:rsidR="00A121BD">
        <w:rPr>
          <w:rFonts w:cstheme="minorHAnsi"/>
          <w:szCs w:val="22"/>
          <w:shd w:val="clear" w:color="auto" w:fill="FFFFFF"/>
        </w:rPr>
        <w:t xml:space="preserve">The Sciences of Reading and Writing must become more fully integrated. </w:t>
      </w:r>
      <w:r w:rsidR="00A121BD">
        <w:rPr>
          <w:rFonts w:cstheme="minorHAnsi"/>
          <w:i/>
          <w:iCs/>
          <w:szCs w:val="22"/>
          <w:shd w:val="clear" w:color="auto" w:fill="FFFFFF"/>
        </w:rPr>
        <w:t xml:space="preserve">Reading Research Quarterly, </w:t>
      </w:r>
      <w:r w:rsidR="00A121BD">
        <w:rPr>
          <w:rFonts w:cstheme="minorHAnsi"/>
          <w:szCs w:val="22"/>
          <w:shd w:val="clear" w:color="auto" w:fill="FFFFFF"/>
        </w:rPr>
        <w:t>55(S1), S35 – S44.</w:t>
      </w:r>
    </w:p>
    <w:p w14:paraId="1F468DAD" w14:textId="261D58C5" w:rsidR="00EC43AB" w:rsidRPr="000E29D6" w:rsidRDefault="00EC43AB" w:rsidP="00EC43AB">
      <w:pPr>
        <w:rPr>
          <w:rFonts w:cstheme="minorHAnsi"/>
        </w:rPr>
      </w:pPr>
      <w:r>
        <w:rPr>
          <w:rFonts w:cstheme="minorHAnsi"/>
        </w:rPr>
        <w:t xml:space="preserve">Hoover, W.A. &amp; Tunmer, W. (2020). </w:t>
      </w:r>
      <w:r w:rsidR="001F7F66">
        <w:rPr>
          <w:i/>
          <w:iCs/>
          <w:lang w:val="en-AU"/>
        </w:rPr>
        <w:t>The cognitive foundations of reading and its acquisition: A framework with applications connecting teaching and learning,</w:t>
      </w:r>
      <w:r w:rsidR="000E29D6">
        <w:rPr>
          <w:lang w:val="en-AU"/>
        </w:rPr>
        <w:t xml:space="preserve"> Springer.</w:t>
      </w:r>
    </w:p>
    <w:p w14:paraId="600AEFFA" w14:textId="53B71535" w:rsidR="00FA19ED" w:rsidRPr="00EC43AB" w:rsidRDefault="00F66561" w:rsidP="5A084E2F">
      <w:pPr>
        <w:rPr>
          <w:rFonts w:eastAsiaTheme="minorEastAsia"/>
          <w:lang w:val="en-US"/>
        </w:rPr>
      </w:pPr>
      <w:r w:rsidRPr="5A084E2F">
        <w:rPr>
          <w:rFonts w:eastAsiaTheme="minorEastAsia"/>
          <w:color w:val="222222"/>
          <w:lang w:val="en-US"/>
        </w:rPr>
        <w:t>Konza, D. (2014). Teaching reading: Why the" Fab five" should be the" Big six". </w:t>
      </w:r>
      <w:r w:rsidRPr="5A084E2F">
        <w:rPr>
          <w:rFonts w:eastAsiaTheme="minorEastAsia"/>
          <w:i/>
          <w:iCs/>
          <w:color w:val="222222"/>
          <w:lang w:val="en-US"/>
        </w:rPr>
        <w:t>Australian Journal of Teacher Education (Online)</w:t>
      </w:r>
      <w:r w:rsidRPr="5A084E2F">
        <w:rPr>
          <w:rFonts w:eastAsiaTheme="minorEastAsia"/>
          <w:color w:val="222222"/>
          <w:lang w:val="en-US"/>
        </w:rPr>
        <w:t>, </w:t>
      </w:r>
      <w:r w:rsidRPr="5A084E2F">
        <w:rPr>
          <w:rFonts w:eastAsiaTheme="minorEastAsia"/>
          <w:i/>
          <w:iCs/>
          <w:color w:val="222222"/>
          <w:lang w:val="en-US"/>
        </w:rPr>
        <w:t>39</w:t>
      </w:r>
      <w:r w:rsidRPr="5A084E2F">
        <w:rPr>
          <w:rFonts w:eastAsiaTheme="minorEastAsia"/>
          <w:color w:val="222222"/>
          <w:lang w:val="en-US"/>
        </w:rPr>
        <w:t>(12), 153-169.</w:t>
      </w:r>
      <w:r w:rsidRPr="5A084E2F">
        <w:rPr>
          <w:rFonts w:eastAsiaTheme="minorEastAsia"/>
          <w:color w:val="333333"/>
          <w:lang w:val="en-US"/>
        </w:rPr>
        <w:t xml:space="preserve"> </w:t>
      </w:r>
      <w:r w:rsidRPr="5A084E2F">
        <w:rPr>
          <w:rFonts w:eastAsiaTheme="minorEastAsia"/>
          <w:lang w:val="en-US"/>
        </w:rPr>
        <w:t xml:space="preserve"> </w:t>
      </w:r>
    </w:p>
    <w:p w14:paraId="602412F6" w14:textId="4F57402B" w:rsidR="0AF81F74" w:rsidRDefault="0AF81F74" w:rsidP="5A084E2F">
      <w:pPr>
        <w:rPr>
          <w:rFonts w:eastAsiaTheme="minorEastAsia"/>
          <w:szCs w:val="22"/>
          <w:lang w:val="en-US"/>
        </w:rPr>
      </w:pPr>
      <w:r w:rsidRPr="5A084E2F">
        <w:rPr>
          <w:rFonts w:eastAsiaTheme="minorEastAsia"/>
          <w:color w:val="000000" w:themeColor="text2"/>
          <w:szCs w:val="22"/>
          <w:lang w:val="en-US"/>
        </w:rPr>
        <w:t>UNESCO. (2021). Reimagining our futures together: A new social contract for education. https://unesdoc.unesco.org/ark:/4 8223/pf0000379707.locale=en</w:t>
      </w:r>
    </w:p>
    <w:p w14:paraId="652218C8" w14:textId="33C4BD1B" w:rsidR="00EC29BE" w:rsidRDefault="00EC29BE" w:rsidP="00EC29BE">
      <w:pPr>
        <w:rPr>
          <w:rFonts w:cstheme="minorHAnsi"/>
        </w:rPr>
      </w:pPr>
      <w:r w:rsidRPr="00EC29BE">
        <w:rPr>
          <w:rFonts w:cstheme="minorHAnsi"/>
        </w:rPr>
        <w:t>Wyse, D., &amp; Bradbury, A. (2022). Reading wars or reading reconciliation? A critical examination of robust</w:t>
      </w:r>
      <w:r>
        <w:rPr>
          <w:rFonts w:cstheme="minorHAnsi"/>
        </w:rPr>
        <w:t xml:space="preserve"> </w:t>
      </w:r>
      <w:r w:rsidRPr="00EC29BE">
        <w:rPr>
          <w:rFonts w:cstheme="minorHAnsi"/>
        </w:rPr>
        <w:t xml:space="preserve">research evidence, curriculum policy and teachers’ practices for teaching phonics and reading. </w:t>
      </w:r>
      <w:r w:rsidRPr="00EC29BE">
        <w:rPr>
          <w:rFonts w:cstheme="minorHAnsi"/>
          <w:i/>
          <w:iCs/>
        </w:rPr>
        <w:t>Review of Education</w:t>
      </w:r>
      <w:r w:rsidRPr="00EC29BE">
        <w:rPr>
          <w:rFonts w:cstheme="minorHAnsi"/>
        </w:rPr>
        <w:t>, 10(1), 1–53.</w:t>
      </w:r>
    </w:p>
    <w:p w14:paraId="6581B85E" w14:textId="1FCFDD1C" w:rsidR="0016287D" w:rsidRDefault="0016287D" w:rsidP="0398A1D5">
      <w:pPr>
        <w:pStyle w:val="FootnoteText"/>
        <w:rPr>
          <w:rFonts w:cstheme="minorBidi"/>
        </w:rPr>
      </w:pPr>
    </w:p>
    <w:p w14:paraId="3950F060" w14:textId="2FF8CFF1" w:rsidR="00122369" w:rsidRPr="00E34721" w:rsidRDefault="0016287D" w:rsidP="007D40FC">
      <w:pPr>
        <w:pStyle w:val="Copyrighttext"/>
        <w:rPr>
          <w:rFonts w:cstheme="minorHAnsi"/>
        </w:rPr>
      </w:pPr>
      <w:r w:rsidRPr="001105FA">
        <w:t>© State of Victoria (Department of Education)</w:t>
      </w:r>
      <w:r w:rsidR="00E77EB9">
        <w:t xml:space="preserve"> </w:t>
      </w:r>
      <w:r w:rsidR="00E77EB9" w:rsidRPr="00E77EB9">
        <w:rPr>
          <w:highlight w:val="yellow"/>
        </w:rPr>
        <w:t>20</w:t>
      </w:r>
      <w:r w:rsidR="00735566">
        <w:rPr>
          <w:highlight w:val="yellow"/>
        </w:rPr>
        <w:t>2</w:t>
      </w:r>
      <w:r w:rsidR="00F20CEC">
        <w:rPr>
          <w:highlight w:val="yellow"/>
        </w:rPr>
        <w:t>3</w:t>
      </w:r>
      <w:r w:rsidR="00E77EB9" w:rsidRPr="00E77EB9">
        <w:rPr>
          <w:highlight w:val="yellow"/>
        </w:rPr>
        <w:t>.</w:t>
      </w:r>
      <w:r w:rsidRPr="001105FA">
        <w:t xml:space="preserve"> </w:t>
      </w:r>
      <w:r w:rsidR="00E34721" w:rsidRPr="00E34721">
        <w:rPr>
          <w:rFonts w:cstheme="minorHAnsi"/>
          <w:color w:val="000000"/>
        </w:rPr>
        <w:t>Except where otherwise </w:t>
      </w:r>
      <w:hyperlink r:id="rId36" w:history="1">
        <w:r w:rsidR="00E34721" w:rsidRPr="00E34721">
          <w:rPr>
            <w:rStyle w:val="Hyperlink"/>
            <w:rFonts w:cstheme="minorHAnsi"/>
          </w:rPr>
          <w:t>noted,</w:t>
        </w:r>
      </w:hyperlink>
      <w:r w:rsidR="00E34721" w:rsidRPr="00E34721">
        <w:rPr>
          <w:rFonts w:cstheme="minorHAnsi"/>
          <w:color w:val="000000"/>
        </w:rPr>
        <w:t xml:space="preserve"> material in this document is provided under a</w:t>
      </w:r>
      <w:r w:rsidR="007D40FC">
        <w:rPr>
          <w:rFonts w:cstheme="minorHAnsi"/>
          <w:color w:val="000000"/>
        </w:rPr>
        <w:t xml:space="preserve"> </w:t>
      </w:r>
      <w:hyperlink r:id="rId37" w:history="1">
        <w:r w:rsidR="00E34721" w:rsidRPr="00E34721">
          <w:rPr>
            <w:rStyle w:val="Hyperlink"/>
            <w:rFonts w:cstheme="minorHAnsi"/>
          </w:rPr>
          <w:t>Creative Commons Attribution 4.0 International</w:t>
        </w:r>
      </w:hyperlink>
      <w:r w:rsidR="00E34721" w:rsidRPr="00E34721">
        <w:rPr>
          <w:rFonts w:cstheme="minorHAnsi"/>
        </w:rPr>
        <w:t xml:space="preserve"> </w:t>
      </w:r>
      <w:r w:rsidR="00E34721" w:rsidRPr="00E34721">
        <w:rPr>
          <w:rFonts w:cstheme="minorHAnsi"/>
          <w:color w:val="000000"/>
        </w:rPr>
        <w:t>Please check the full </w:t>
      </w:r>
      <w:hyperlink r:id="rId38" w:history="1">
        <w:r w:rsidR="00E34721" w:rsidRPr="00E34721">
          <w:rPr>
            <w:rStyle w:val="Hyperlink"/>
            <w:rFonts w:cstheme="minorHAnsi"/>
          </w:rPr>
          <w:t>copyright notice </w:t>
        </w:r>
      </w:hyperlink>
    </w:p>
    <w:sectPr w:rsidR="00122369" w:rsidRPr="00E34721" w:rsidSect="00B47FF8">
      <w:headerReference w:type="even" r:id="rId39"/>
      <w:headerReference w:type="default" r:id="rId40"/>
      <w:footerReference w:type="even" r:id="rId41"/>
      <w:footerReference w:type="default" r:id="rId42"/>
      <w:headerReference w:type="first" r:id="rId43"/>
      <w:footerReference w:type="first" r:id="rId44"/>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0E55B" w14:textId="77777777" w:rsidR="008B79E2" w:rsidRDefault="008B79E2" w:rsidP="003967DD">
      <w:pPr>
        <w:spacing w:after="0"/>
      </w:pPr>
      <w:r>
        <w:separator/>
      </w:r>
    </w:p>
  </w:endnote>
  <w:endnote w:type="continuationSeparator" w:id="0">
    <w:p w14:paraId="479656FE" w14:textId="77777777" w:rsidR="008B79E2" w:rsidRDefault="008B79E2" w:rsidP="003967DD">
      <w:pPr>
        <w:spacing w:after="0"/>
      </w:pPr>
      <w:r>
        <w:continuationSeparator/>
      </w:r>
    </w:p>
  </w:endnote>
  <w:endnote w:type="continuationNotice" w:id="1">
    <w:p w14:paraId="66C57E5D" w14:textId="77777777" w:rsidR="008B79E2" w:rsidRDefault="008B79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0B3B" w14:textId="77777777" w:rsidR="008B79E2" w:rsidRDefault="008B79E2" w:rsidP="003967DD">
      <w:pPr>
        <w:spacing w:after="0"/>
      </w:pPr>
      <w:r>
        <w:separator/>
      </w:r>
    </w:p>
  </w:footnote>
  <w:footnote w:type="continuationSeparator" w:id="0">
    <w:p w14:paraId="486B0C4B" w14:textId="77777777" w:rsidR="008B79E2" w:rsidRDefault="008B79E2" w:rsidP="003967DD">
      <w:pPr>
        <w:spacing w:after="0"/>
      </w:pPr>
      <w:r>
        <w:continuationSeparator/>
      </w:r>
    </w:p>
  </w:footnote>
  <w:footnote w:type="continuationNotice" w:id="1">
    <w:p w14:paraId="5DD26849" w14:textId="77777777" w:rsidR="008B79E2" w:rsidRDefault="008B79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color w:val="2B579A"/>
        <w:shd w:val="clear" w:color="auto" w:fill="E6E6E6"/>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575C87"/>
    <w:multiLevelType w:val="hybridMultilevel"/>
    <w:tmpl w:val="D0E4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2E0041"/>
    <w:multiLevelType w:val="hybridMultilevel"/>
    <w:tmpl w:val="16087B54"/>
    <w:lvl w:ilvl="0" w:tplc="636C95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811A8"/>
    <w:multiLevelType w:val="hybridMultilevel"/>
    <w:tmpl w:val="BE10FF78"/>
    <w:lvl w:ilvl="0" w:tplc="E988CDCC">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A827C0"/>
    <w:multiLevelType w:val="hybridMultilevel"/>
    <w:tmpl w:val="6110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54A42"/>
    <w:multiLevelType w:val="hybridMultilevel"/>
    <w:tmpl w:val="F8D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4"/>
  </w:num>
  <w:num w:numId="13" w16cid:durableId="1077093040">
    <w:abstractNumId w:val="18"/>
  </w:num>
  <w:num w:numId="14" w16cid:durableId="548568946">
    <w:abstractNumId w:val="19"/>
  </w:num>
  <w:num w:numId="15" w16cid:durableId="1307275789">
    <w:abstractNumId w:val="11"/>
  </w:num>
  <w:num w:numId="16" w16cid:durableId="1422794765">
    <w:abstractNumId w:val="15"/>
  </w:num>
  <w:num w:numId="17" w16cid:durableId="2083717576">
    <w:abstractNumId w:val="13"/>
  </w:num>
  <w:num w:numId="18" w16cid:durableId="294525404">
    <w:abstractNumId w:val="16"/>
  </w:num>
  <w:num w:numId="19" w16cid:durableId="2070221319">
    <w:abstractNumId w:val="17"/>
  </w:num>
  <w:num w:numId="20" w16cid:durableId="1314986748">
    <w:abstractNumId w:val="21"/>
  </w:num>
  <w:num w:numId="21" w16cid:durableId="78214609">
    <w:abstractNumId w:val="12"/>
  </w:num>
  <w:num w:numId="22" w16cid:durableId="18529084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DD"/>
    <w:rsid w:val="00002B44"/>
    <w:rsid w:val="0000525A"/>
    <w:rsid w:val="00005A4F"/>
    <w:rsid w:val="0000737C"/>
    <w:rsid w:val="00011F31"/>
    <w:rsid w:val="00013339"/>
    <w:rsid w:val="00013B2B"/>
    <w:rsid w:val="00015293"/>
    <w:rsid w:val="00016069"/>
    <w:rsid w:val="00016361"/>
    <w:rsid w:val="000209C7"/>
    <w:rsid w:val="00021067"/>
    <w:rsid w:val="0002121C"/>
    <w:rsid w:val="00022604"/>
    <w:rsid w:val="0002560C"/>
    <w:rsid w:val="000256E2"/>
    <w:rsid w:val="00025EA2"/>
    <w:rsid w:val="000274BA"/>
    <w:rsid w:val="00031238"/>
    <w:rsid w:val="000314C6"/>
    <w:rsid w:val="0003668C"/>
    <w:rsid w:val="00040117"/>
    <w:rsid w:val="00046D3C"/>
    <w:rsid w:val="00052EA0"/>
    <w:rsid w:val="00056244"/>
    <w:rsid w:val="000575BF"/>
    <w:rsid w:val="00060D14"/>
    <w:rsid w:val="00062125"/>
    <w:rsid w:val="000644CD"/>
    <w:rsid w:val="00066196"/>
    <w:rsid w:val="00072AB9"/>
    <w:rsid w:val="00072BE4"/>
    <w:rsid w:val="00072C69"/>
    <w:rsid w:val="00073C20"/>
    <w:rsid w:val="000768C7"/>
    <w:rsid w:val="00077D33"/>
    <w:rsid w:val="00080489"/>
    <w:rsid w:val="00080DA9"/>
    <w:rsid w:val="00081D68"/>
    <w:rsid w:val="000842E8"/>
    <w:rsid w:val="000859FE"/>
    <w:rsid w:val="000861DD"/>
    <w:rsid w:val="00091767"/>
    <w:rsid w:val="000A0A2B"/>
    <w:rsid w:val="000A2568"/>
    <w:rsid w:val="000A3C72"/>
    <w:rsid w:val="000A47D4"/>
    <w:rsid w:val="000A60CE"/>
    <w:rsid w:val="000A62A3"/>
    <w:rsid w:val="000B1AE9"/>
    <w:rsid w:val="000C41BD"/>
    <w:rsid w:val="000C482A"/>
    <w:rsid w:val="000C600E"/>
    <w:rsid w:val="000C6D6A"/>
    <w:rsid w:val="000C7BB1"/>
    <w:rsid w:val="000C7D0D"/>
    <w:rsid w:val="000C7EAA"/>
    <w:rsid w:val="000D0506"/>
    <w:rsid w:val="000D1088"/>
    <w:rsid w:val="000D6805"/>
    <w:rsid w:val="000D7D50"/>
    <w:rsid w:val="000E29D6"/>
    <w:rsid w:val="000E50EB"/>
    <w:rsid w:val="000F414E"/>
    <w:rsid w:val="000F5CD5"/>
    <w:rsid w:val="000F5E4A"/>
    <w:rsid w:val="000F7288"/>
    <w:rsid w:val="00102DB0"/>
    <w:rsid w:val="001067B2"/>
    <w:rsid w:val="00106EEE"/>
    <w:rsid w:val="001121FB"/>
    <w:rsid w:val="001132B7"/>
    <w:rsid w:val="001212DF"/>
    <w:rsid w:val="00122369"/>
    <w:rsid w:val="00122CA8"/>
    <w:rsid w:val="00127CF8"/>
    <w:rsid w:val="0013028A"/>
    <w:rsid w:val="001305F5"/>
    <w:rsid w:val="00131607"/>
    <w:rsid w:val="00131DFB"/>
    <w:rsid w:val="00141670"/>
    <w:rsid w:val="00141712"/>
    <w:rsid w:val="0014214F"/>
    <w:rsid w:val="00144EDC"/>
    <w:rsid w:val="001469A5"/>
    <w:rsid w:val="00147E58"/>
    <w:rsid w:val="00150E0F"/>
    <w:rsid w:val="00152AAC"/>
    <w:rsid w:val="0015512A"/>
    <w:rsid w:val="001567B0"/>
    <w:rsid w:val="00157212"/>
    <w:rsid w:val="00160738"/>
    <w:rsid w:val="0016287D"/>
    <w:rsid w:val="00163968"/>
    <w:rsid w:val="00163B10"/>
    <w:rsid w:val="00166B61"/>
    <w:rsid w:val="00173EC5"/>
    <w:rsid w:val="00175779"/>
    <w:rsid w:val="00180492"/>
    <w:rsid w:val="00181AD6"/>
    <w:rsid w:val="00181C9B"/>
    <w:rsid w:val="00182F69"/>
    <w:rsid w:val="0018408E"/>
    <w:rsid w:val="001854DB"/>
    <w:rsid w:val="001862E9"/>
    <w:rsid w:val="00187CA4"/>
    <w:rsid w:val="001A20E3"/>
    <w:rsid w:val="001A3016"/>
    <w:rsid w:val="001A381C"/>
    <w:rsid w:val="001A5C3D"/>
    <w:rsid w:val="001B03CB"/>
    <w:rsid w:val="001B1A82"/>
    <w:rsid w:val="001B5D14"/>
    <w:rsid w:val="001C24E2"/>
    <w:rsid w:val="001C3A68"/>
    <w:rsid w:val="001C4A90"/>
    <w:rsid w:val="001C79DF"/>
    <w:rsid w:val="001C7A2C"/>
    <w:rsid w:val="001C7D3F"/>
    <w:rsid w:val="001D0D94"/>
    <w:rsid w:val="001D1155"/>
    <w:rsid w:val="001D13F9"/>
    <w:rsid w:val="001D3839"/>
    <w:rsid w:val="001D41B8"/>
    <w:rsid w:val="001E07E2"/>
    <w:rsid w:val="001E41C2"/>
    <w:rsid w:val="001F1A8B"/>
    <w:rsid w:val="001F39DD"/>
    <w:rsid w:val="001F532C"/>
    <w:rsid w:val="001F7F66"/>
    <w:rsid w:val="002049A6"/>
    <w:rsid w:val="002054A7"/>
    <w:rsid w:val="00207A2E"/>
    <w:rsid w:val="002111F9"/>
    <w:rsid w:val="0022063C"/>
    <w:rsid w:val="0022140E"/>
    <w:rsid w:val="002223EF"/>
    <w:rsid w:val="002345CF"/>
    <w:rsid w:val="00237EDD"/>
    <w:rsid w:val="00241B95"/>
    <w:rsid w:val="00247B8F"/>
    <w:rsid w:val="00250619"/>
    <w:rsid w:val="002512BE"/>
    <w:rsid w:val="00253B3F"/>
    <w:rsid w:val="00255373"/>
    <w:rsid w:val="00265D1C"/>
    <w:rsid w:val="002710B6"/>
    <w:rsid w:val="0027161E"/>
    <w:rsid w:val="002739D4"/>
    <w:rsid w:val="00275FB8"/>
    <w:rsid w:val="0027747C"/>
    <w:rsid w:val="00282483"/>
    <w:rsid w:val="00282A26"/>
    <w:rsid w:val="002839A1"/>
    <w:rsid w:val="00286E81"/>
    <w:rsid w:val="00290362"/>
    <w:rsid w:val="002930BA"/>
    <w:rsid w:val="00296316"/>
    <w:rsid w:val="002A1D32"/>
    <w:rsid w:val="002A4A19"/>
    <w:rsid w:val="002A4A96"/>
    <w:rsid w:val="002A6D47"/>
    <w:rsid w:val="002B1548"/>
    <w:rsid w:val="002C0A49"/>
    <w:rsid w:val="002C291A"/>
    <w:rsid w:val="002C7FFC"/>
    <w:rsid w:val="002D0937"/>
    <w:rsid w:val="002D0F54"/>
    <w:rsid w:val="002D18A8"/>
    <w:rsid w:val="002D1CB8"/>
    <w:rsid w:val="002D2197"/>
    <w:rsid w:val="002E0414"/>
    <w:rsid w:val="002E1CC1"/>
    <w:rsid w:val="002E2EA1"/>
    <w:rsid w:val="002E3BED"/>
    <w:rsid w:val="002E6A16"/>
    <w:rsid w:val="002E76E1"/>
    <w:rsid w:val="002F078F"/>
    <w:rsid w:val="002F1F07"/>
    <w:rsid w:val="002F3332"/>
    <w:rsid w:val="002F38B1"/>
    <w:rsid w:val="002F41D7"/>
    <w:rsid w:val="002F5EA0"/>
    <w:rsid w:val="002F6115"/>
    <w:rsid w:val="0030740E"/>
    <w:rsid w:val="0030773F"/>
    <w:rsid w:val="00312720"/>
    <w:rsid w:val="003146FE"/>
    <w:rsid w:val="003153EC"/>
    <w:rsid w:val="003154CB"/>
    <w:rsid w:val="003156A7"/>
    <w:rsid w:val="003258F2"/>
    <w:rsid w:val="00325EB8"/>
    <w:rsid w:val="0033039D"/>
    <w:rsid w:val="00332CD9"/>
    <w:rsid w:val="003362F7"/>
    <w:rsid w:val="00336682"/>
    <w:rsid w:val="0034249A"/>
    <w:rsid w:val="00343AFC"/>
    <w:rsid w:val="0034669F"/>
    <w:rsid w:val="0034745C"/>
    <w:rsid w:val="00347F37"/>
    <w:rsid w:val="003514AC"/>
    <w:rsid w:val="00351D09"/>
    <w:rsid w:val="003536E4"/>
    <w:rsid w:val="00353F27"/>
    <w:rsid w:val="00354E47"/>
    <w:rsid w:val="00355677"/>
    <w:rsid w:val="0035614A"/>
    <w:rsid w:val="003565B5"/>
    <w:rsid w:val="00357ED9"/>
    <w:rsid w:val="0036154E"/>
    <w:rsid w:val="00372F84"/>
    <w:rsid w:val="003802B3"/>
    <w:rsid w:val="00383716"/>
    <w:rsid w:val="003847E9"/>
    <w:rsid w:val="00384A81"/>
    <w:rsid w:val="0038641B"/>
    <w:rsid w:val="003934FE"/>
    <w:rsid w:val="00394E13"/>
    <w:rsid w:val="003967DD"/>
    <w:rsid w:val="0039758C"/>
    <w:rsid w:val="003A0AB3"/>
    <w:rsid w:val="003A3B8C"/>
    <w:rsid w:val="003A4C39"/>
    <w:rsid w:val="003B26E9"/>
    <w:rsid w:val="003B2785"/>
    <w:rsid w:val="003B3FF1"/>
    <w:rsid w:val="003C130C"/>
    <w:rsid w:val="003C192B"/>
    <w:rsid w:val="003D4E9B"/>
    <w:rsid w:val="003D591A"/>
    <w:rsid w:val="003E0121"/>
    <w:rsid w:val="003E4F57"/>
    <w:rsid w:val="003F0A37"/>
    <w:rsid w:val="003F5708"/>
    <w:rsid w:val="003F6715"/>
    <w:rsid w:val="003F70A7"/>
    <w:rsid w:val="004018DE"/>
    <w:rsid w:val="004049E8"/>
    <w:rsid w:val="0040706E"/>
    <w:rsid w:val="004074EF"/>
    <w:rsid w:val="00410AF3"/>
    <w:rsid w:val="0041132C"/>
    <w:rsid w:val="0041214C"/>
    <w:rsid w:val="004209FC"/>
    <w:rsid w:val="00421EAD"/>
    <w:rsid w:val="0042330E"/>
    <w:rsid w:val="0042333B"/>
    <w:rsid w:val="00431FB6"/>
    <w:rsid w:val="004346F3"/>
    <w:rsid w:val="004348C6"/>
    <w:rsid w:val="004368EF"/>
    <w:rsid w:val="00443E58"/>
    <w:rsid w:val="00444E6B"/>
    <w:rsid w:val="004502BF"/>
    <w:rsid w:val="004509C5"/>
    <w:rsid w:val="0045217C"/>
    <w:rsid w:val="00452350"/>
    <w:rsid w:val="0045336B"/>
    <w:rsid w:val="004571AD"/>
    <w:rsid w:val="004679A6"/>
    <w:rsid w:val="00472BBD"/>
    <w:rsid w:val="00473F5E"/>
    <w:rsid w:val="0048390A"/>
    <w:rsid w:val="00485124"/>
    <w:rsid w:val="00494194"/>
    <w:rsid w:val="0049593F"/>
    <w:rsid w:val="00496FC4"/>
    <w:rsid w:val="004A2E74"/>
    <w:rsid w:val="004A6022"/>
    <w:rsid w:val="004A65F0"/>
    <w:rsid w:val="004A79D0"/>
    <w:rsid w:val="004B2ED6"/>
    <w:rsid w:val="004B69C5"/>
    <w:rsid w:val="004C06A9"/>
    <w:rsid w:val="004C1D04"/>
    <w:rsid w:val="004C3D49"/>
    <w:rsid w:val="004C770E"/>
    <w:rsid w:val="004D049C"/>
    <w:rsid w:val="004D10B9"/>
    <w:rsid w:val="004D27A1"/>
    <w:rsid w:val="004D4538"/>
    <w:rsid w:val="004D532A"/>
    <w:rsid w:val="004D5CB2"/>
    <w:rsid w:val="004E381E"/>
    <w:rsid w:val="004E3B1C"/>
    <w:rsid w:val="004E41E1"/>
    <w:rsid w:val="004E4DE2"/>
    <w:rsid w:val="004E7A02"/>
    <w:rsid w:val="004F170F"/>
    <w:rsid w:val="00500ADA"/>
    <w:rsid w:val="00505F35"/>
    <w:rsid w:val="00511A4A"/>
    <w:rsid w:val="005120BF"/>
    <w:rsid w:val="00512BBA"/>
    <w:rsid w:val="00514809"/>
    <w:rsid w:val="00515480"/>
    <w:rsid w:val="0052227A"/>
    <w:rsid w:val="00522405"/>
    <w:rsid w:val="0052376B"/>
    <w:rsid w:val="00523EC2"/>
    <w:rsid w:val="005265E7"/>
    <w:rsid w:val="00535324"/>
    <w:rsid w:val="00542274"/>
    <w:rsid w:val="00543F59"/>
    <w:rsid w:val="00545167"/>
    <w:rsid w:val="00546129"/>
    <w:rsid w:val="00546780"/>
    <w:rsid w:val="00550028"/>
    <w:rsid w:val="00550791"/>
    <w:rsid w:val="00552064"/>
    <w:rsid w:val="005523E0"/>
    <w:rsid w:val="005533D5"/>
    <w:rsid w:val="00555136"/>
    <w:rsid w:val="00555277"/>
    <w:rsid w:val="00560205"/>
    <w:rsid w:val="0056114F"/>
    <w:rsid w:val="00567151"/>
    <w:rsid w:val="00567CF0"/>
    <w:rsid w:val="00570088"/>
    <w:rsid w:val="005726EE"/>
    <w:rsid w:val="00583E93"/>
    <w:rsid w:val="00584366"/>
    <w:rsid w:val="00587616"/>
    <w:rsid w:val="00590B16"/>
    <w:rsid w:val="005930FF"/>
    <w:rsid w:val="00593923"/>
    <w:rsid w:val="00594FF3"/>
    <w:rsid w:val="005952FA"/>
    <w:rsid w:val="005A09E8"/>
    <w:rsid w:val="005A4F12"/>
    <w:rsid w:val="005A56DA"/>
    <w:rsid w:val="005B5874"/>
    <w:rsid w:val="005C1D03"/>
    <w:rsid w:val="005C4133"/>
    <w:rsid w:val="005D2911"/>
    <w:rsid w:val="005D46ED"/>
    <w:rsid w:val="005D65D7"/>
    <w:rsid w:val="005D7487"/>
    <w:rsid w:val="005E0713"/>
    <w:rsid w:val="005E0FA6"/>
    <w:rsid w:val="005E1B12"/>
    <w:rsid w:val="005E2091"/>
    <w:rsid w:val="005F011D"/>
    <w:rsid w:val="005F5A33"/>
    <w:rsid w:val="005F6D77"/>
    <w:rsid w:val="006045B7"/>
    <w:rsid w:val="00610CB1"/>
    <w:rsid w:val="0061289F"/>
    <w:rsid w:val="0062042B"/>
    <w:rsid w:val="006207E1"/>
    <w:rsid w:val="00624A55"/>
    <w:rsid w:val="0063079B"/>
    <w:rsid w:val="00630AA6"/>
    <w:rsid w:val="00632ED6"/>
    <w:rsid w:val="006442E1"/>
    <w:rsid w:val="00645157"/>
    <w:rsid w:val="006473F1"/>
    <w:rsid w:val="00651C99"/>
    <w:rsid w:val="00652023"/>
    <w:rsid w:val="006523D7"/>
    <w:rsid w:val="006671CE"/>
    <w:rsid w:val="006702B7"/>
    <w:rsid w:val="00680856"/>
    <w:rsid w:val="006815EF"/>
    <w:rsid w:val="00681BAB"/>
    <w:rsid w:val="00681DEE"/>
    <w:rsid w:val="00682178"/>
    <w:rsid w:val="00682366"/>
    <w:rsid w:val="00683145"/>
    <w:rsid w:val="00685543"/>
    <w:rsid w:val="0068597F"/>
    <w:rsid w:val="006918F5"/>
    <w:rsid w:val="006951CF"/>
    <w:rsid w:val="00697CD4"/>
    <w:rsid w:val="006A028B"/>
    <w:rsid w:val="006A16B6"/>
    <w:rsid w:val="006A1F8A"/>
    <w:rsid w:val="006A25AC"/>
    <w:rsid w:val="006B093F"/>
    <w:rsid w:val="006C45C0"/>
    <w:rsid w:val="006C5623"/>
    <w:rsid w:val="006C58EE"/>
    <w:rsid w:val="006C6D2D"/>
    <w:rsid w:val="006D6BD1"/>
    <w:rsid w:val="006E2B9A"/>
    <w:rsid w:val="006E300B"/>
    <w:rsid w:val="006E69AC"/>
    <w:rsid w:val="006F0502"/>
    <w:rsid w:val="006F1911"/>
    <w:rsid w:val="006F1953"/>
    <w:rsid w:val="00701653"/>
    <w:rsid w:val="00702EE6"/>
    <w:rsid w:val="00702F90"/>
    <w:rsid w:val="00703073"/>
    <w:rsid w:val="0070315F"/>
    <w:rsid w:val="007077EC"/>
    <w:rsid w:val="0070782E"/>
    <w:rsid w:val="00710CED"/>
    <w:rsid w:val="0071490D"/>
    <w:rsid w:val="00714DA4"/>
    <w:rsid w:val="007150B3"/>
    <w:rsid w:val="00715B0D"/>
    <w:rsid w:val="00720238"/>
    <w:rsid w:val="00720F8E"/>
    <w:rsid w:val="007214CF"/>
    <w:rsid w:val="0073153B"/>
    <w:rsid w:val="007341D7"/>
    <w:rsid w:val="00735566"/>
    <w:rsid w:val="007375D8"/>
    <w:rsid w:val="00737F19"/>
    <w:rsid w:val="00750263"/>
    <w:rsid w:val="00757F04"/>
    <w:rsid w:val="00760AB4"/>
    <w:rsid w:val="00763F99"/>
    <w:rsid w:val="007640F8"/>
    <w:rsid w:val="00764CF4"/>
    <w:rsid w:val="00765CB3"/>
    <w:rsid w:val="00766E71"/>
    <w:rsid w:val="00767573"/>
    <w:rsid w:val="0077145B"/>
    <w:rsid w:val="00774B73"/>
    <w:rsid w:val="007757CF"/>
    <w:rsid w:val="007773E0"/>
    <w:rsid w:val="007801AA"/>
    <w:rsid w:val="0078083B"/>
    <w:rsid w:val="00781560"/>
    <w:rsid w:val="0078283D"/>
    <w:rsid w:val="00786637"/>
    <w:rsid w:val="007915B1"/>
    <w:rsid w:val="00791C07"/>
    <w:rsid w:val="0079366C"/>
    <w:rsid w:val="007964D2"/>
    <w:rsid w:val="007A0828"/>
    <w:rsid w:val="007A5A7D"/>
    <w:rsid w:val="007A6B1C"/>
    <w:rsid w:val="007B3EFE"/>
    <w:rsid w:val="007B556E"/>
    <w:rsid w:val="007B71E8"/>
    <w:rsid w:val="007C58A5"/>
    <w:rsid w:val="007C724C"/>
    <w:rsid w:val="007D3E38"/>
    <w:rsid w:val="007D40FC"/>
    <w:rsid w:val="007D56B5"/>
    <w:rsid w:val="007D6D52"/>
    <w:rsid w:val="007E670C"/>
    <w:rsid w:val="007E71DF"/>
    <w:rsid w:val="007E7C26"/>
    <w:rsid w:val="007F1116"/>
    <w:rsid w:val="007F13A4"/>
    <w:rsid w:val="007F229B"/>
    <w:rsid w:val="007F278B"/>
    <w:rsid w:val="007F28F6"/>
    <w:rsid w:val="007F2E73"/>
    <w:rsid w:val="007F5790"/>
    <w:rsid w:val="00802624"/>
    <w:rsid w:val="00803C0A"/>
    <w:rsid w:val="008065DA"/>
    <w:rsid w:val="00807731"/>
    <w:rsid w:val="00807F32"/>
    <w:rsid w:val="00813C06"/>
    <w:rsid w:val="008158AA"/>
    <w:rsid w:val="00815C3B"/>
    <w:rsid w:val="0081765C"/>
    <w:rsid w:val="00820309"/>
    <w:rsid w:val="0082053B"/>
    <w:rsid w:val="00821020"/>
    <w:rsid w:val="008220A9"/>
    <w:rsid w:val="00831409"/>
    <w:rsid w:val="00836037"/>
    <w:rsid w:val="00853E6B"/>
    <w:rsid w:val="00853F48"/>
    <w:rsid w:val="008574F3"/>
    <w:rsid w:val="0085E907"/>
    <w:rsid w:val="00863813"/>
    <w:rsid w:val="00867C89"/>
    <w:rsid w:val="00871C01"/>
    <w:rsid w:val="00871FA4"/>
    <w:rsid w:val="00873418"/>
    <w:rsid w:val="00876543"/>
    <w:rsid w:val="008802CE"/>
    <w:rsid w:val="00880567"/>
    <w:rsid w:val="00885658"/>
    <w:rsid w:val="008879FD"/>
    <w:rsid w:val="00890680"/>
    <w:rsid w:val="00890DD4"/>
    <w:rsid w:val="00891632"/>
    <w:rsid w:val="00892349"/>
    <w:rsid w:val="008929A0"/>
    <w:rsid w:val="00892E24"/>
    <w:rsid w:val="00893A8C"/>
    <w:rsid w:val="00895155"/>
    <w:rsid w:val="00895BB1"/>
    <w:rsid w:val="008A1308"/>
    <w:rsid w:val="008A21F1"/>
    <w:rsid w:val="008A2CD6"/>
    <w:rsid w:val="008A3891"/>
    <w:rsid w:val="008A422F"/>
    <w:rsid w:val="008B1737"/>
    <w:rsid w:val="008B2E1D"/>
    <w:rsid w:val="008B6E5D"/>
    <w:rsid w:val="008B70C8"/>
    <w:rsid w:val="008B79E2"/>
    <w:rsid w:val="008C009F"/>
    <w:rsid w:val="008C3157"/>
    <w:rsid w:val="008C5861"/>
    <w:rsid w:val="008D46D1"/>
    <w:rsid w:val="008D53DE"/>
    <w:rsid w:val="008E190B"/>
    <w:rsid w:val="008E3A92"/>
    <w:rsid w:val="008E3C75"/>
    <w:rsid w:val="008E6227"/>
    <w:rsid w:val="008E6F50"/>
    <w:rsid w:val="008F04FB"/>
    <w:rsid w:val="008F08B6"/>
    <w:rsid w:val="008F0AA8"/>
    <w:rsid w:val="008F1D98"/>
    <w:rsid w:val="008F3483"/>
    <w:rsid w:val="008F3D35"/>
    <w:rsid w:val="00900483"/>
    <w:rsid w:val="00900908"/>
    <w:rsid w:val="00902689"/>
    <w:rsid w:val="00903F21"/>
    <w:rsid w:val="0090428E"/>
    <w:rsid w:val="00904E91"/>
    <w:rsid w:val="00905869"/>
    <w:rsid w:val="009120B3"/>
    <w:rsid w:val="00916865"/>
    <w:rsid w:val="00917350"/>
    <w:rsid w:val="0092046D"/>
    <w:rsid w:val="00920D54"/>
    <w:rsid w:val="00922AA0"/>
    <w:rsid w:val="00924A2A"/>
    <w:rsid w:val="00925D35"/>
    <w:rsid w:val="00933174"/>
    <w:rsid w:val="00934E38"/>
    <w:rsid w:val="00935ADD"/>
    <w:rsid w:val="00937D23"/>
    <w:rsid w:val="00942234"/>
    <w:rsid w:val="0094308F"/>
    <w:rsid w:val="00943702"/>
    <w:rsid w:val="00943F9E"/>
    <w:rsid w:val="009454C0"/>
    <w:rsid w:val="00947D57"/>
    <w:rsid w:val="009525CB"/>
    <w:rsid w:val="00952690"/>
    <w:rsid w:val="00952AF4"/>
    <w:rsid w:val="00954B9A"/>
    <w:rsid w:val="0095552B"/>
    <w:rsid w:val="00961697"/>
    <w:rsid w:val="009714B8"/>
    <w:rsid w:val="009752B4"/>
    <w:rsid w:val="009779B3"/>
    <w:rsid w:val="00983C1D"/>
    <w:rsid w:val="00985CE7"/>
    <w:rsid w:val="00985E40"/>
    <w:rsid w:val="00992F24"/>
    <w:rsid w:val="0099358C"/>
    <w:rsid w:val="00995426"/>
    <w:rsid w:val="00995ABA"/>
    <w:rsid w:val="00996E90"/>
    <w:rsid w:val="009A1525"/>
    <w:rsid w:val="009A5CFB"/>
    <w:rsid w:val="009B58EF"/>
    <w:rsid w:val="009B6C3E"/>
    <w:rsid w:val="009C1888"/>
    <w:rsid w:val="009C1CCC"/>
    <w:rsid w:val="009C211A"/>
    <w:rsid w:val="009D22F6"/>
    <w:rsid w:val="009D446C"/>
    <w:rsid w:val="009D4EC0"/>
    <w:rsid w:val="009E01E6"/>
    <w:rsid w:val="009E1BCA"/>
    <w:rsid w:val="009E2DDC"/>
    <w:rsid w:val="009E336F"/>
    <w:rsid w:val="009E6FDE"/>
    <w:rsid w:val="009E7B49"/>
    <w:rsid w:val="009F531E"/>
    <w:rsid w:val="009F6A77"/>
    <w:rsid w:val="009F742C"/>
    <w:rsid w:val="009F76AB"/>
    <w:rsid w:val="00A10B31"/>
    <w:rsid w:val="00A121BD"/>
    <w:rsid w:val="00A14772"/>
    <w:rsid w:val="00A22DC5"/>
    <w:rsid w:val="00A27FBF"/>
    <w:rsid w:val="00A300EE"/>
    <w:rsid w:val="00A30C19"/>
    <w:rsid w:val="00A31926"/>
    <w:rsid w:val="00A35A4B"/>
    <w:rsid w:val="00A36031"/>
    <w:rsid w:val="00A403E9"/>
    <w:rsid w:val="00A429C1"/>
    <w:rsid w:val="00A42BBF"/>
    <w:rsid w:val="00A4413B"/>
    <w:rsid w:val="00A44887"/>
    <w:rsid w:val="00A46AC3"/>
    <w:rsid w:val="00A51653"/>
    <w:rsid w:val="00A55FF3"/>
    <w:rsid w:val="00A57FD5"/>
    <w:rsid w:val="00A62D74"/>
    <w:rsid w:val="00A62E20"/>
    <w:rsid w:val="00A62F50"/>
    <w:rsid w:val="00A650D8"/>
    <w:rsid w:val="00A70E05"/>
    <w:rsid w:val="00A710DF"/>
    <w:rsid w:val="00A71B79"/>
    <w:rsid w:val="00A7323E"/>
    <w:rsid w:val="00A769B7"/>
    <w:rsid w:val="00A845E5"/>
    <w:rsid w:val="00A902C5"/>
    <w:rsid w:val="00A92F17"/>
    <w:rsid w:val="00A93122"/>
    <w:rsid w:val="00A94BFD"/>
    <w:rsid w:val="00A95022"/>
    <w:rsid w:val="00A951F5"/>
    <w:rsid w:val="00A96F67"/>
    <w:rsid w:val="00AA0F7E"/>
    <w:rsid w:val="00AA4170"/>
    <w:rsid w:val="00AC0782"/>
    <w:rsid w:val="00AC58DD"/>
    <w:rsid w:val="00AC61F4"/>
    <w:rsid w:val="00AD60E7"/>
    <w:rsid w:val="00AE05B8"/>
    <w:rsid w:val="00AE0984"/>
    <w:rsid w:val="00AE2A68"/>
    <w:rsid w:val="00AE2E7B"/>
    <w:rsid w:val="00AF4D49"/>
    <w:rsid w:val="00AF78B5"/>
    <w:rsid w:val="00B02AEA"/>
    <w:rsid w:val="00B03AEC"/>
    <w:rsid w:val="00B070FA"/>
    <w:rsid w:val="00B16C0F"/>
    <w:rsid w:val="00B2071D"/>
    <w:rsid w:val="00B207E1"/>
    <w:rsid w:val="00B21562"/>
    <w:rsid w:val="00B2375C"/>
    <w:rsid w:val="00B24D9A"/>
    <w:rsid w:val="00B276CA"/>
    <w:rsid w:val="00B33BEA"/>
    <w:rsid w:val="00B3484A"/>
    <w:rsid w:val="00B35EC6"/>
    <w:rsid w:val="00B36BB7"/>
    <w:rsid w:val="00B37B5C"/>
    <w:rsid w:val="00B4159B"/>
    <w:rsid w:val="00B448C1"/>
    <w:rsid w:val="00B47FF8"/>
    <w:rsid w:val="00B51CAF"/>
    <w:rsid w:val="00B51DEC"/>
    <w:rsid w:val="00B559DF"/>
    <w:rsid w:val="00B641EC"/>
    <w:rsid w:val="00B64DA1"/>
    <w:rsid w:val="00B66AEA"/>
    <w:rsid w:val="00B707D9"/>
    <w:rsid w:val="00B70D8A"/>
    <w:rsid w:val="00B7351A"/>
    <w:rsid w:val="00B73B90"/>
    <w:rsid w:val="00B76137"/>
    <w:rsid w:val="00B775D4"/>
    <w:rsid w:val="00B846C9"/>
    <w:rsid w:val="00B94383"/>
    <w:rsid w:val="00BA087D"/>
    <w:rsid w:val="00BA2E4B"/>
    <w:rsid w:val="00BA5296"/>
    <w:rsid w:val="00BA5708"/>
    <w:rsid w:val="00BB688E"/>
    <w:rsid w:val="00BC0D0C"/>
    <w:rsid w:val="00BC308A"/>
    <w:rsid w:val="00BC3C4A"/>
    <w:rsid w:val="00BC4DDC"/>
    <w:rsid w:val="00BC4F3B"/>
    <w:rsid w:val="00BC4FE5"/>
    <w:rsid w:val="00BC57A2"/>
    <w:rsid w:val="00BD0931"/>
    <w:rsid w:val="00BD280D"/>
    <w:rsid w:val="00BD30A9"/>
    <w:rsid w:val="00BE27D1"/>
    <w:rsid w:val="00BE5D1E"/>
    <w:rsid w:val="00BE6C5E"/>
    <w:rsid w:val="00BF170E"/>
    <w:rsid w:val="00BF296C"/>
    <w:rsid w:val="00C00B8D"/>
    <w:rsid w:val="00C0254D"/>
    <w:rsid w:val="00C03A3F"/>
    <w:rsid w:val="00C0526E"/>
    <w:rsid w:val="00C0527E"/>
    <w:rsid w:val="00C06238"/>
    <w:rsid w:val="00C126D0"/>
    <w:rsid w:val="00C129C7"/>
    <w:rsid w:val="00C12CD6"/>
    <w:rsid w:val="00C13242"/>
    <w:rsid w:val="00C14ADC"/>
    <w:rsid w:val="00C17628"/>
    <w:rsid w:val="00C20D5D"/>
    <w:rsid w:val="00C332AE"/>
    <w:rsid w:val="00C35B63"/>
    <w:rsid w:val="00C36764"/>
    <w:rsid w:val="00C40382"/>
    <w:rsid w:val="00C4067F"/>
    <w:rsid w:val="00C406B1"/>
    <w:rsid w:val="00C464FE"/>
    <w:rsid w:val="00C539BB"/>
    <w:rsid w:val="00C5499F"/>
    <w:rsid w:val="00C617AD"/>
    <w:rsid w:val="00C625A5"/>
    <w:rsid w:val="00C65CEB"/>
    <w:rsid w:val="00C72B53"/>
    <w:rsid w:val="00C740ED"/>
    <w:rsid w:val="00C75243"/>
    <w:rsid w:val="00C75A96"/>
    <w:rsid w:val="00C76878"/>
    <w:rsid w:val="00C76D5E"/>
    <w:rsid w:val="00C8289A"/>
    <w:rsid w:val="00C8775F"/>
    <w:rsid w:val="00C92263"/>
    <w:rsid w:val="00C9588F"/>
    <w:rsid w:val="00C97EDA"/>
    <w:rsid w:val="00CA1185"/>
    <w:rsid w:val="00CA1627"/>
    <w:rsid w:val="00CA2DAE"/>
    <w:rsid w:val="00CA574F"/>
    <w:rsid w:val="00CA6948"/>
    <w:rsid w:val="00CB48AA"/>
    <w:rsid w:val="00CB6CAE"/>
    <w:rsid w:val="00CC0B70"/>
    <w:rsid w:val="00CC1999"/>
    <w:rsid w:val="00CC2B0D"/>
    <w:rsid w:val="00CC31CA"/>
    <w:rsid w:val="00CC326A"/>
    <w:rsid w:val="00CC392D"/>
    <w:rsid w:val="00CC3A9C"/>
    <w:rsid w:val="00CC53B0"/>
    <w:rsid w:val="00CC5AA8"/>
    <w:rsid w:val="00CD5993"/>
    <w:rsid w:val="00CE0C58"/>
    <w:rsid w:val="00CE110F"/>
    <w:rsid w:val="00CE13AE"/>
    <w:rsid w:val="00CE28CE"/>
    <w:rsid w:val="00CE3B8E"/>
    <w:rsid w:val="00CE40DA"/>
    <w:rsid w:val="00CE7916"/>
    <w:rsid w:val="00CE7BA6"/>
    <w:rsid w:val="00CF2D52"/>
    <w:rsid w:val="00D02E91"/>
    <w:rsid w:val="00D13DF3"/>
    <w:rsid w:val="00D17E55"/>
    <w:rsid w:val="00D200A8"/>
    <w:rsid w:val="00D22B91"/>
    <w:rsid w:val="00D27D0D"/>
    <w:rsid w:val="00D364C4"/>
    <w:rsid w:val="00D40CC3"/>
    <w:rsid w:val="00D444A1"/>
    <w:rsid w:val="00D51C51"/>
    <w:rsid w:val="00D524A1"/>
    <w:rsid w:val="00D53CDC"/>
    <w:rsid w:val="00D57EB4"/>
    <w:rsid w:val="00D627B8"/>
    <w:rsid w:val="00D63799"/>
    <w:rsid w:val="00D63D62"/>
    <w:rsid w:val="00D654F5"/>
    <w:rsid w:val="00D72898"/>
    <w:rsid w:val="00D74FCD"/>
    <w:rsid w:val="00D80265"/>
    <w:rsid w:val="00D808FE"/>
    <w:rsid w:val="00D833E1"/>
    <w:rsid w:val="00D8483C"/>
    <w:rsid w:val="00D8541C"/>
    <w:rsid w:val="00D90983"/>
    <w:rsid w:val="00D94448"/>
    <w:rsid w:val="00D9777A"/>
    <w:rsid w:val="00DA3D85"/>
    <w:rsid w:val="00DA42AE"/>
    <w:rsid w:val="00DA5A39"/>
    <w:rsid w:val="00DA62E3"/>
    <w:rsid w:val="00DA705A"/>
    <w:rsid w:val="00DB13B1"/>
    <w:rsid w:val="00DB1F23"/>
    <w:rsid w:val="00DB39A4"/>
    <w:rsid w:val="00DB439D"/>
    <w:rsid w:val="00DB737A"/>
    <w:rsid w:val="00DBCA9F"/>
    <w:rsid w:val="00DC1D82"/>
    <w:rsid w:val="00DC438A"/>
    <w:rsid w:val="00DC48EE"/>
    <w:rsid w:val="00DC4D0D"/>
    <w:rsid w:val="00DC6535"/>
    <w:rsid w:val="00DD063C"/>
    <w:rsid w:val="00DD0B1E"/>
    <w:rsid w:val="00DD1709"/>
    <w:rsid w:val="00DD76D5"/>
    <w:rsid w:val="00DD7811"/>
    <w:rsid w:val="00DF3609"/>
    <w:rsid w:val="00DF7A93"/>
    <w:rsid w:val="00E00C25"/>
    <w:rsid w:val="00E02273"/>
    <w:rsid w:val="00E13A8A"/>
    <w:rsid w:val="00E13ABF"/>
    <w:rsid w:val="00E219B4"/>
    <w:rsid w:val="00E31210"/>
    <w:rsid w:val="00E34263"/>
    <w:rsid w:val="00E34721"/>
    <w:rsid w:val="00E42060"/>
    <w:rsid w:val="00E426D8"/>
    <w:rsid w:val="00E4317E"/>
    <w:rsid w:val="00E446AE"/>
    <w:rsid w:val="00E44EC1"/>
    <w:rsid w:val="00E4626B"/>
    <w:rsid w:val="00E47519"/>
    <w:rsid w:val="00E475C5"/>
    <w:rsid w:val="00E5030B"/>
    <w:rsid w:val="00E50AB5"/>
    <w:rsid w:val="00E54413"/>
    <w:rsid w:val="00E6436C"/>
    <w:rsid w:val="00E64758"/>
    <w:rsid w:val="00E71C29"/>
    <w:rsid w:val="00E73D94"/>
    <w:rsid w:val="00E74649"/>
    <w:rsid w:val="00E75784"/>
    <w:rsid w:val="00E77EB9"/>
    <w:rsid w:val="00E82C78"/>
    <w:rsid w:val="00E87E91"/>
    <w:rsid w:val="00E90786"/>
    <w:rsid w:val="00E9228B"/>
    <w:rsid w:val="00E92AC6"/>
    <w:rsid w:val="00EA134C"/>
    <w:rsid w:val="00EA62A7"/>
    <w:rsid w:val="00EA689F"/>
    <w:rsid w:val="00EB4B19"/>
    <w:rsid w:val="00EC29BE"/>
    <w:rsid w:val="00EC43AB"/>
    <w:rsid w:val="00EC576B"/>
    <w:rsid w:val="00EC6BDD"/>
    <w:rsid w:val="00EC70DD"/>
    <w:rsid w:val="00ED126B"/>
    <w:rsid w:val="00ED2EEF"/>
    <w:rsid w:val="00EE6AE1"/>
    <w:rsid w:val="00EE6C6D"/>
    <w:rsid w:val="00EF332F"/>
    <w:rsid w:val="00EF55AD"/>
    <w:rsid w:val="00F01340"/>
    <w:rsid w:val="00F01F3F"/>
    <w:rsid w:val="00F03516"/>
    <w:rsid w:val="00F05D1B"/>
    <w:rsid w:val="00F06FD0"/>
    <w:rsid w:val="00F11F9B"/>
    <w:rsid w:val="00F12C04"/>
    <w:rsid w:val="00F178A5"/>
    <w:rsid w:val="00F20CEC"/>
    <w:rsid w:val="00F222F6"/>
    <w:rsid w:val="00F24986"/>
    <w:rsid w:val="00F27A01"/>
    <w:rsid w:val="00F30940"/>
    <w:rsid w:val="00F33CCE"/>
    <w:rsid w:val="00F35AC5"/>
    <w:rsid w:val="00F36B73"/>
    <w:rsid w:val="00F42932"/>
    <w:rsid w:val="00F47BFF"/>
    <w:rsid w:val="00F5271F"/>
    <w:rsid w:val="00F52D85"/>
    <w:rsid w:val="00F53DBE"/>
    <w:rsid w:val="00F5425D"/>
    <w:rsid w:val="00F551BB"/>
    <w:rsid w:val="00F5747D"/>
    <w:rsid w:val="00F578F8"/>
    <w:rsid w:val="00F6066D"/>
    <w:rsid w:val="00F645E7"/>
    <w:rsid w:val="00F66561"/>
    <w:rsid w:val="00F72260"/>
    <w:rsid w:val="00F80D6D"/>
    <w:rsid w:val="00F91246"/>
    <w:rsid w:val="00F94715"/>
    <w:rsid w:val="00FA0C20"/>
    <w:rsid w:val="00FA187F"/>
    <w:rsid w:val="00FA19ED"/>
    <w:rsid w:val="00FA2E15"/>
    <w:rsid w:val="00FA3A52"/>
    <w:rsid w:val="00FA3F50"/>
    <w:rsid w:val="00FA72E8"/>
    <w:rsid w:val="00FA77E8"/>
    <w:rsid w:val="00FB2946"/>
    <w:rsid w:val="00FC1243"/>
    <w:rsid w:val="00FC3842"/>
    <w:rsid w:val="00FD12E3"/>
    <w:rsid w:val="00FD40CF"/>
    <w:rsid w:val="00FD4D5E"/>
    <w:rsid w:val="00FD5A9E"/>
    <w:rsid w:val="00FD7C98"/>
    <w:rsid w:val="00FE077B"/>
    <w:rsid w:val="00FE1B37"/>
    <w:rsid w:val="00FE397A"/>
    <w:rsid w:val="00FF0F49"/>
    <w:rsid w:val="00FF1358"/>
    <w:rsid w:val="00FF45E4"/>
    <w:rsid w:val="00FF5B47"/>
    <w:rsid w:val="01638F4B"/>
    <w:rsid w:val="01BAFBA5"/>
    <w:rsid w:val="01C5143E"/>
    <w:rsid w:val="022E608C"/>
    <w:rsid w:val="025B70CF"/>
    <w:rsid w:val="027770DE"/>
    <w:rsid w:val="028D0FEF"/>
    <w:rsid w:val="02A2C100"/>
    <w:rsid w:val="02EDF831"/>
    <w:rsid w:val="02FFA96B"/>
    <w:rsid w:val="03325287"/>
    <w:rsid w:val="034B39B4"/>
    <w:rsid w:val="0358F277"/>
    <w:rsid w:val="0371028E"/>
    <w:rsid w:val="0398A1D5"/>
    <w:rsid w:val="03B5CF8E"/>
    <w:rsid w:val="03F210F4"/>
    <w:rsid w:val="03F74130"/>
    <w:rsid w:val="040A158C"/>
    <w:rsid w:val="04208A3F"/>
    <w:rsid w:val="043A57C7"/>
    <w:rsid w:val="045B0320"/>
    <w:rsid w:val="04ABA682"/>
    <w:rsid w:val="04ACE3D1"/>
    <w:rsid w:val="04E0705D"/>
    <w:rsid w:val="0561A393"/>
    <w:rsid w:val="058DE155"/>
    <w:rsid w:val="05AD8716"/>
    <w:rsid w:val="06123845"/>
    <w:rsid w:val="0637006E"/>
    <w:rsid w:val="0640650C"/>
    <w:rsid w:val="06492C30"/>
    <w:rsid w:val="06540B58"/>
    <w:rsid w:val="06ACBC0E"/>
    <w:rsid w:val="0716A866"/>
    <w:rsid w:val="07231760"/>
    <w:rsid w:val="077A3721"/>
    <w:rsid w:val="078FF9FB"/>
    <w:rsid w:val="07EFDBB9"/>
    <w:rsid w:val="083E0D8F"/>
    <w:rsid w:val="08435FBE"/>
    <w:rsid w:val="0853FF3A"/>
    <w:rsid w:val="085A08E1"/>
    <w:rsid w:val="08919A93"/>
    <w:rsid w:val="08B60F2A"/>
    <w:rsid w:val="08CC0C5A"/>
    <w:rsid w:val="08CC2474"/>
    <w:rsid w:val="08D3CFD9"/>
    <w:rsid w:val="093C5600"/>
    <w:rsid w:val="093EF1E3"/>
    <w:rsid w:val="097805CE"/>
    <w:rsid w:val="099211BA"/>
    <w:rsid w:val="09CF9112"/>
    <w:rsid w:val="09D69677"/>
    <w:rsid w:val="09F49EA3"/>
    <w:rsid w:val="0A29ED46"/>
    <w:rsid w:val="0A68691B"/>
    <w:rsid w:val="0A932FAC"/>
    <w:rsid w:val="0ABC12F0"/>
    <w:rsid w:val="0AF81F74"/>
    <w:rsid w:val="0B1D7194"/>
    <w:rsid w:val="0B2C3945"/>
    <w:rsid w:val="0B54105A"/>
    <w:rsid w:val="0B68160B"/>
    <w:rsid w:val="0B6E19B6"/>
    <w:rsid w:val="0B7045ED"/>
    <w:rsid w:val="0B83C401"/>
    <w:rsid w:val="0B906F04"/>
    <w:rsid w:val="0C6FE558"/>
    <w:rsid w:val="0C85B6DE"/>
    <w:rsid w:val="0C87E149"/>
    <w:rsid w:val="0C991C7F"/>
    <w:rsid w:val="0CD4F6C1"/>
    <w:rsid w:val="0D2EEA5E"/>
    <w:rsid w:val="0D364B21"/>
    <w:rsid w:val="0D9F37C8"/>
    <w:rsid w:val="0DADADD7"/>
    <w:rsid w:val="0DD185B9"/>
    <w:rsid w:val="0F485689"/>
    <w:rsid w:val="0F7D5D91"/>
    <w:rsid w:val="0FAE3367"/>
    <w:rsid w:val="0FB68647"/>
    <w:rsid w:val="0FBEC4D1"/>
    <w:rsid w:val="0FBF820B"/>
    <w:rsid w:val="0FC1E2A0"/>
    <w:rsid w:val="100BC653"/>
    <w:rsid w:val="10326525"/>
    <w:rsid w:val="10511784"/>
    <w:rsid w:val="10550AE4"/>
    <w:rsid w:val="105DA17B"/>
    <w:rsid w:val="10B54C65"/>
    <w:rsid w:val="10B56432"/>
    <w:rsid w:val="10B87D4A"/>
    <w:rsid w:val="10C5F2E8"/>
    <w:rsid w:val="1177CC49"/>
    <w:rsid w:val="11781136"/>
    <w:rsid w:val="11BE2F32"/>
    <w:rsid w:val="11E90D53"/>
    <w:rsid w:val="11F0DB45"/>
    <w:rsid w:val="12040B49"/>
    <w:rsid w:val="120C680D"/>
    <w:rsid w:val="122C9141"/>
    <w:rsid w:val="12331ED7"/>
    <w:rsid w:val="1248869C"/>
    <w:rsid w:val="128599F1"/>
    <w:rsid w:val="1291A350"/>
    <w:rsid w:val="131D70FC"/>
    <w:rsid w:val="135F8C7D"/>
    <w:rsid w:val="13609BD9"/>
    <w:rsid w:val="138CABA6"/>
    <w:rsid w:val="139F1612"/>
    <w:rsid w:val="13A5E039"/>
    <w:rsid w:val="13D96153"/>
    <w:rsid w:val="13F01E0C"/>
    <w:rsid w:val="151C4ADB"/>
    <w:rsid w:val="1540C9F5"/>
    <w:rsid w:val="1545C0B0"/>
    <w:rsid w:val="1570764A"/>
    <w:rsid w:val="157DD67B"/>
    <w:rsid w:val="158D91D7"/>
    <w:rsid w:val="15BAE70B"/>
    <w:rsid w:val="15C2A544"/>
    <w:rsid w:val="15F35C05"/>
    <w:rsid w:val="15F507AA"/>
    <w:rsid w:val="163E1C48"/>
    <w:rsid w:val="168F96F0"/>
    <w:rsid w:val="169BE467"/>
    <w:rsid w:val="16EC65CC"/>
    <w:rsid w:val="172A1F3A"/>
    <w:rsid w:val="1766AC38"/>
    <w:rsid w:val="177171D0"/>
    <w:rsid w:val="17767DB3"/>
    <w:rsid w:val="178F2C66"/>
    <w:rsid w:val="17E9B3AB"/>
    <w:rsid w:val="17F23388"/>
    <w:rsid w:val="18196B05"/>
    <w:rsid w:val="18B6695D"/>
    <w:rsid w:val="18F38607"/>
    <w:rsid w:val="19101080"/>
    <w:rsid w:val="1945CC8D"/>
    <w:rsid w:val="1949DBAC"/>
    <w:rsid w:val="196A11AE"/>
    <w:rsid w:val="198913FD"/>
    <w:rsid w:val="1A1E65BC"/>
    <w:rsid w:val="1A2D271B"/>
    <w:rsid w:val="1A4AAE74"/>
    <w:rsid w:val="1A7DCE97"/>
    <w:rsid w:val="1AB38CD4"/>
    <w:rsid w:val="1AB9DD60"/>
    <w:rsid w:val="1B1168F6"/>
    <w:rsid w:val="1B4014E8"/>
    <w:rsid w:val="1B514DE4"/>
    <w:rsid w:val="1B5B75BC"/>
    <w:rsid w:val="1B698178"/>
    <w:rsid w:val="1BB14BA5"/>
    <w:rsid w:val="1BC404AA"/>
    <w:rsid w:val="1BF78DF1"/>
    <w:rsid w:val="1C36157E"/>
    <w:rsid w:val="1C4C5D29"/>
    <w:rsid w:val="1C755CA7"/>
    <w:rsid w:val="1C9673FA"/>
    <w:rsid w:val="1CAE13D5"/>
    <w:rsid w:val="1CCDB7E0"/>
    <w:rsid w:val="1D2F25E0"/>
    <w:rsid w:val="1D354A99"/>
    <w:rsid w:val="1D970052"/>
    <w:rsid w:val="1DFBCFDA"/>
    <w:rsid w:val="1E0FC4C8"/>
    <w:rsid w:val="1E2F98A0"/>
    <w:rsid w:val="1E35C573"/>
    <w:rsid w:val="1E7D40D1"/>
    <w:rsid w:val="1ED11AFA"/>
    <w:rsid w:val="1EF7FDFD"/>
    <w:rsid w:val="1F315DAA"/>
    <w:rsid w:val="1F68462F"/>
    <w:rsid w:val="1F9DF132"/>
    <w:rsid w:val="1FAB9529"/>
    <w:rsid w:val="202AF06D"/>
    <w:rsid w:val="2070BE54"/>
    <w:rsid w:val="208C6C6A"/>
    <w:rsid w:val="20B619D1"/>
    <w:rsid w:val="20B7401A"/>
    <w:rsid w:val="20CD8F69"/>
    <w:rsid w:val="20D37E50"/>
    <w:rsid w:val="20EDAF3A"/>
    <w:rsid w:val="20FAA971"/>
    <w:rsid w:val="2118120A"/>
    <w:rsid w:val="21494664"/>
    <w:rsid w:val="216899A0"/>
    <w:rsid w:val="21CD30E4"/>
    <w:rsid w:val="22035393"/>
    <w:rsid w:val="2208BBBC"/>
    <w:rsid w:val="221A249F"/>
    <w:rsid w:val="223889D8"/>
    <w:rsid w:val="22543510"/>
    <w:rsid w:val="22699232"/>
    <w:rsid w:val="22725EFB"/>
    <w:rsid w:val="22877C5F"/>
    <w:rsid w:val="2315A70C"/>
    <w:rsid w:val="23415E25"/>
    <w:rsid w:val="2366C490"/>
    <w:rsid w:val="2376E1D0"/>
    <w:rsid w:val="23B8E368"/>
    <w:rsid w:val="23C03E22"/>
    <w:rsid w:val="23C283C7"/>
    <w:rsid w:val="23EEE0DC"/>
    <w:rsid w:val="240B3876"/>
    <w:rsid w:val="24113569"/>
    <w:rsid w:val="242E7614"/>
    <w:rsid w:val="244ADBFC"/>
    <w:rsid w:val="248EF5A6"/>
    <w:rsid w:val="24E92FA5"/>
    <w:rsid w:val="25405C7E"/>
    <w:rsid w:val="2553B396"/>
    <w:rsid w:val="255BCB98"/>
    <w:rsid w:val="2583BC15"/>
    <w:rsid w:val="258B9F14"/>
    <w:rsid w:val="258CAFE5"/>
    <w:rsid w:val="259CD9EB"/>
    <w:rsid w:val="25A5447C"/>
    <w:rsid w:val="25C6EBF4"/>
    <w:rsid w:val="25C70119"/>
    <w:rsid w:val="25FFB6B1"/>
    <w:rsid w:val="260F20F4"/>
    <w:rsid w:val="2616700F"/>
    <w:rsid w:val="2629D9DE"/>
    <w:rsid w:val="262DF71A"/>
    <w:rsid w:val="26830D93"/>
    <w:rsid w:val="26AB6EBB"/>
    <w:rsid w:val="26C785AC"/>
    <w:rsid w:val="26DFFFD8"/>
    <w:rsid w:val="27158258"/>
    <w:rsid w:val="273CD0ED"/>
    <w:rsid w:val="2762D17A"/>
    <w:rsid w:val="27A84609"/>
    <w:rsid w:val="28168694"/>
    <w:rsid w:val="2820D067"/>
    <w:rsid w:val="28247FB9"/>
    <w:rsid w:val="28276BDC"/>
    <w:rsid w:val="284B3156"/>
    <w:rsid w:val="2886100F"/>
    <w:rsid w:val="289455C3"/>
    <w:rsid w:val="28CFB8A4"/>
    <w:rsid w:val="290DE8E6"/>
    <w:rsid w:val="295358AD"/>
    <w:rsid w:val="2985C631"/>
    <w:rsid w:val="29AD2FCC"/>
    <w:rsid w:val="29DA1166"/>
    <w:rsid w:val="2A1F79CC"/>
    <w:rsid w:val="2A4BFB2B"/>
    <w:rsid w:val="2A4D231A"/>
    <w:rsid w:val="2A5722B1"/>
    <w:rsid w:val="2A74B89C"/>
    <w:rsid w:val="2AB5330A"/>
    <w:rsid w:val="2B0B4446"/>
    <w:rsid w:val="2B219692"/>
    <w:rsid w:val="2B23C4D1"/>
    <w:rsid w:val="2B4B7FD3"/>
    <w:rsid w:val="2B693805"/>
    <w:rsid w:val="2BB78B88"/>
    <w:rsid w:val="2BEBAB68"/>
    <w:rsid w:val="2C2CE8CF"/>
    <w:rsid w:val="2C41CA27"/>
    <w:rsid w:val="2C55CFD8"/>
    <w:rsid w:val="2C97C378"/>
    <w:rsid w:val="2CAD3B82"/>
    <w:rsid w:val="2CBC0BEC"/>
    <w:rsid w:val="2CCD8DA8"/>
    <w:rsid w:val="2D0CDF3B"/>
    <w:rsid w:val="2D5C8308"/>
    <w:rsid w:val="2D8EC373"/>
    <w:rsid w:val="2D968BE6"/>
    <w:rsid w:val="2E60DCAF"/>
    <w:rsid w:val="2E871BB5"/>
    <w:rsid w:val="2E9D79C5"/>
    <w:rsid w:val="2EE801FB"/>
    <w:rsid w:val="2F08DC56"/>
    <w:rsid w:val="2F24EB93"/>
    <w:rsid w:val="2F4F6B5D"/>
    <w:rsid w:val="2FF0E0FF"/>
    <w:rsid w:val="2FF1532D"/>
    <w:rsid w:val="30517493"/>
    <w:rsid w:val="305EB82E"/>
    <w:rsid w:val="306A481D"/>
    <w:rsid w:val="3096BD7F"/>
    <w:rsid w:val="30B7148B"/>
    <w:rsid w:val="30BCE431"/>
    <w:rsid w:val="30C9785A"/>
    <w:rsid w:val="30D8EA50"/>
    <w:rsid w:val="30FC48D3"/>
    <w:rsid w:val="315DF5EC"/>
    <w:rsid w:val="3178BFBE"/>
    <w:rsid w:val="32042D4D"/>
    <w:rsid w:val="320B398B"/>
    <w:rsid w:val="3251577E"/>
    <w:rsid w:val="3284E0C5"/>
    <w:rsid w:val="329A61FF"/>
    <w:rsid w:val="32A6ABC3"/>
    <w:rsid w:val="32B49388"/>
    <w:rsid w:val="32D613F0"/>
    <w:rsid w:val="32DEB5E3"/>
    <w:rsid w:val="3300F3A7"/>
    <w:rsid w:val="335A1E2A"/>
    <w:rsid w:val="33806449"/>
    <w:rsid w:val="338B9CEE"/>
    <w:rsid w:val="33BE1268"/>
    <w:rsid w:val="33DC7418"/>
    <w:rsid w:val="3424E4F4"/>
    <w:rsid w:val="343213DA"/>
    <w:rsid w:val="343F6D94"/>
    <w:rsid w:val="34492289"/>
    <w:rsid w:val="34F5EE8B"/>
    <w:rsid w:val="34FEC8C3"/>
    <w:rsid w:val="350B4EA8"/>
    <w:rsid w:val="351B5E1A"/>
    <w:rsid w:val="356BA228"/>
    <w:rsid w:val="357890C5"/>
    <w:rsid w:val="35892ABA"/>
    <w:rsid w:val="35CDA052"/>
    <w:rsid w:val="365BA058"/>
    <w:rsid w:val="368092AC"/>
    <w:rsid w:val="3691BEEC"/>
    <w:rsid w:val="36956559"/>
    <w:rsid w:val="36D7865C"/>
    <w:rsid w:val="36E8B053"/>
    <w:rsid w:val="37353DF1"/>
    <w:rsid w:val="376AE88C"/>
    <w:rsid w:val="3793A3F7"/>
    <w:rsid w:val="37DCD60C"/>
    <w:rsid w:val="3815CEE9"/>
    <w:rsid w:val="38182DD5"/>
    <w:rsid w:val="384A3617"/>
    <w:rsid w:val="384CE839"/>
    <w:rsid w:val="3875C8A9"/>
    <w:rsid w:val="388EB4BF"/>
    <w:rsid w:val="390EC566"/>
    <w:rsid w:val="394660F5"/>
    <w:rsid w:val="3949A7D8"/>
    <w:rsid w:val="395A6942"/>
    <w:rsid w:val="39751B8E"/>
    <w:rsid w:val="397E9BEE"/>
    <w:rsid w:val="39B3FE36"/>
    <w:rsid w:val="39D14D34"/>
    <w:rsid w:val="39D38132"/>
    <w:rsid w:val="3A0D4FA3"/>
    <w:rsid w:val="3A46C58D"/>
    <w:rsid w:val="3A95C59C"/>
    <w:rsid w:val="3AA929E1"/>
    <w:rsid w:val="3ADB0680"/>
    <w:rsid w:val="3AE54FAB"/>
    <w:rsid w:val="3AEB5559"/>
    <w:rsid w:val="3B33E195"/>
    <w:rsid w:val="3B4EE0C0"/>
    <w:rsid w:val="3B4FCE97"/>
    <w:rsid w:val="3B5BFE74"/>
    <w:rsid w:val="3B676AC7"/>
    <w:rsid w:val="3B99D46D"/>
    <w:rsid w:val="3BA7C9CD"/>
    <w:rsid w:val="3BB63D4D"/>
    <w:rsid w:val="3BD365DA"/>
    <w:rsid w:val="3C053845"/>
    <w:rsid w:val="3C0916DC"/>
    <w:rsid w:val="3C102F5B"/>
    <w:rsid w:val="3C110462"/>
    <w:rsid w:val="3C70C541"/>
    <w:rsid w:val="3C9C55BB"/>
    <w:rsid w:val="3CA42F5B"/>
    <w:rsid w:val="3CEB9EF8"/>
    <w:rsid w:val="3D13E000"/>
    <w:rsid w:val="3D345D41"/>
    <w:rsid w:val="3DBDE5FC"/>
    <w:rsid w:val="3E9CD0D1"/>
    <w:rsid w:val="3EC31019"/>
    <w:rsid w:val="3EE05B67"/>
    <w:rsid w:val="3EFC03C6"/>
    <w:rsid w:val="3F39CA43"/>
    <w:rsid w:val="3F564C6D"/>
    <w:rsid w:val="3F6C4B25"/>
    <w:rsid w:val="3F977C39"/>
    <w:rsid w:val="3FC882C0"/>
    <w:rsid w:val="3FE6C494"/>
    <w:rsid w:val="3FEF7F3B"/>
    <w:rsid w:val="3FFF38E2"/>
    <w:rsid w:val="401C55AD"/>
    <w:rsid w:val="40473115"/>
    <w:rsid w:val="4062F969"/>
    <w:rsid w:val="40991C6D"/>
    <w:rsid w:val="40B9FE84"/>
    <w:rsid w:val="40BCCD94"/>
    <w:rsid w:val="416A8034"/>
    <w:rsid w:val="41AD22FE"/>
    <w:rsid w:val="420B0ECE"/>
    <w:rsid w:val="421E166E"/>
    <w:rsid w:val="422B39DB"/>
    <w:rsid w:val="42493A44"/>
    <w:rsid w:val="424FF451"/>
    <w:rsid w:val="4256FCDD"/>
    <w:rsid w:val="42716B05"/>
    <w:rsid w:val="427C1852"/>
    <w:rsid w:val="42945A22"/>
    <w:rsid w:val="429EA93D"/>
    <w:rsid w:val="430DFBF6"/>
    <w:rsid w:val="435EAB96"/>
    <w:rsid w:val="4395AFF5"/>
    <w:rsid w:val="43964281"/>
    <w:rsid w:val="439DD3F3"/>
    <w:rsid w:val="43B0BBE3"/>
    <w:rsid w:val="43BE7C9E"/>
    <w:rsid w:val="43EA45F8"/>
    <w:rsid w:val="441C1647"/>
    <w:rsid w:val="444FFAA5"/>
    <w:rsid w:val="4453C796"/>
    <w:rsid w:val="446CAB15"/>
    <w:rsid w:val="44B1BD2B"/>
    <w:rsid w:val="44E2A104"/>
    <w:rsid w:val="44EEC357"/>
    <w:rsid w:val="44F2E749"/>
    <w:rsid w:val="450D327A"/>
    <w:rsid w:val="453212E2"/>
    <w:rsid w:val="458D6FA7"/>
    <w:rsid w:val="45ACD58E"/>
    <w:rsid w:val="45ADE0D1"/>
    <w:rsid w:val="45DE1A48"/>
    <w:rsid w:val="45EA0E14"/>
    <w:rsid w:val="46608640"/>
    <w:rsid w:val="467175E2"/>
    <w:rsid w:val="46B0E1E7"/>
    <w:rsid w:val="46D4C92A"/>
    <w:rsid w:val="46DEC062"/>
    <w:rsid w:val="47148A7C"/>
    <w:rsid w:val="471B4F80"/>
    <w:rsid w:val="47294008"/>
    <w:rsid w:val="4736E1C9"/>
    <w:rsid w:val="4744DC28"/>
    <w:rsid w:val="474B50AC"/>
    <w:rsid w:val="478028A2"/>
    <w:rsid w:val="47B50E8F"/>
    <w:rsid w:val="47BCCD90"/>
    <w:rsid w:val="47CC47C7"/>
    <w:rsid w:val="47F92B0E"/>
    <w:rsid w:val="48239257"/>
    <w:rsid w:val="48577EA8"/>
    <w:rsid w:val="48A9AE48"/>
    <w:rsid w:val="4983DCF7"/>
    <w:rsid w:val="498A9592"/>
    <w:rsid w:val="499FCB1A"/>
    <w:rsid w:val="49BB764D"/>
    <w:rsid w:val="4A4A877D"/>
    <w:rsid w:val="4A502FCB"/>
    <w:rsid w:val="4AC73244"/>
    <w:rsid w:val="4ADE576C"/>
    <w:rsid w:val="4AE13A87"/>
    <w:rsid w:val="4AE3A530"/>
    <w:rsid w:val="4B026D09"/>
    <w:rsid w:val="4B73C8DE"/>
    <w:rsid w:val="4BA1A8C6"/>
    <w:rsid w:val="4C26F154"/>
    <w:rsid w:val="4C2ABE99"/>
    <w:rsid w:val="4C441CF9"/>
    <w:rsid w:val="4C5521FD"/>
    <w:rsid w:val="4C95480D"/>
    <w:rsid w:val="4CA9A7EA"/>
    <w:rsid w:val="4CC240AB"/>
    <w:rsid w:val="4CC93484"/>
    <w:rsid w:val="4D1F11C0"/>
    <w:rsid w:val="4DAA5CA8"/>
    <w:rsid w:val="4E376854"/>
    <w:rsid w:val="4E804AB3"/>
    <w:rsid w:val="4E830050"/>
    <w:rsid w:val="4E9AEFA0"/>
    <w:rsid w:val="4ED9C1CE"/>
    <w:rsid w:val="4EED456D"/>
    <w:rsid w:val="4EFA5296"/>
    <w:rsid w:val="4EFAD7AB"/>
    <w:rsid w:val="4F34B842"/>
    <w:rsid w:val="4F57DB93"/>
    <w:rsid w:val="4F7BC7D6"/>
    <w:rsid w:val="4F93B60C"/>
    <w:rsid w:val="4FD8EE25"/>
    <w:rsid w:val="4FF9E16D"/>
    <w:rsid w:val="50026E62"/>
    <w:rsid w:val="5013DBC0"/>
    <w:rsid w:val="503206A4"/>
    <w:rsid w:val="503A9394"/>
    <w:rsid w:val="50411082"/>
    <w:rsid w:val="504130E3"/>
    <w:rsid w:val="5056B282"/>
    <w:rsid w:val="5063154F"/>
    <w:rsid w:val="50F1BCB9"/>
    <w:rsid w:val="51314D18"/>
    <w:rsid w:val="5141DFDA"/>
    <w:rsid w:val="5183F0F6"/>
    <w:rsid w:val="52065A15"/>
    <w:rsid w:val="52113A47"/>
    <w:rsid w:val="527476B2"/>
    <w:rsid w:val="52846CBC"/>
    <w:rsid w:val="528F7C55"/>
    <w:rsid w:val="52ACF420"/>
    <w:rsid w:val="52BCBF2D"/>
    <w:rsid w:val="53128A73"/>
    <w:rsid w:val="5331822F"/>
    <w:rsid w:val="5361D593"/>
    <w:rsid w:val="53C544BF"/>
    <w:rsid w:val="53E98268"/>
    <w:rsid w:val="53F70EF5"/>
    <w:rsid w:val="53F88133"/>
    <w:rsid w:val="5411809B"/>
    <w:rsid w:val="542FB237"/>
    <w:rsid w:val="5440FF1E"/>
    <w:rsid w:val="548D8EDB"/>
    <w:rsid w:val="5515A882"/>
    <w:rsid w:val="55DCCF7F"/>
    <w:rsid w:val="5605CFE6"/>
    <w:rsid w:val="566922F1"/>
    <w:rsid w:val="566D1FF4"/>
    <w:rsid w:val="56976A31"/>
    <w:rsid w:val="56EBF493"/>
    <w:rsid w:val="570D8543"/>
    <w:rsid w:val="5728A204"/>
    <w:rsid w:val="5767FDA8"/>
    <w:rsid w:val="57BABA5C"/>
    <w:rsid w:val="57F457EA"/>
    <w:rsid w:val="58232779"/>
    <w:rsid w:val="58930F9F"/>
    <w:rsid w:val="58FEBDD9"/>
    <w:rsid w:val="591F0FFF"/>
    <w:rsid w:val="59235591"/>
    <w:rsid w:val="592EF9D8"/>
    <w:rsid w:val="5934532F"/>
    <w:rsid w:val="593C5EFD"/>
    <w:rsid w:val="59BFFF67"/>
    <w:rsid w:val="59F7353F"/>
    <w:rsid w:val="5A0745CA"/>
    <w:rsid w:val="5A084E2F"/>
    <w:rsid w:val="5A08EEB1"/>
    <w:rsid w:val="5A0E66A9"/>
    <w:rsid w:val="5A966A35"/>
    <w:rsid w:val="5AA0E75B"/>
    <w:rsid w:val="5AC52C7C"/>
    <w:rsid w:val="5B5F8D86"/>
    <w:rsid w:val="5B721334"/>
    <w:rsid w:val="5BA3162B"/>
    <w:rsid w:val="5BCAED40"/>
    <w:rsid w:val="5BDEF2F1"/>
    <w:rsid w:val="5BE82C75"/>
    <w:rsid w:val="5C14F82E"/>
    <w:rsid w:val="5C73FFBF"/>
    <w:rsid w:val="5CC76B24"/>
    <w:rsid w:val="5CED6F8B"/>
    <w:rsid w:val="5D158EAB"/>
    <w:rsid w:val="5D15D3DB"/>
    <w:rsid w:val="5D3631C1"/>
    <w:rsid w:val="5D37239B"/>
    <w:rsid w:val="5D5D2562"/>
    <w:rsid w:val="5D697AFC"/>
    <w:rsid w:val="5D7D2B5B"/>
    <w:rsid w:val="5DC67876"/>
    <w:rsid w:val="5E1CE456"/>
    <w:rsid w:val="5E6DF3F9"/>
    <w:rsid w:val="5E8A1761"/>
    <w:rsid w:val="5E960216"/>
    <w:rsid w:val="5ED78E90"/>
    <w:rsid w:val="5EE47D87"/>
    <w:rsid w:val="5F096DD5"/>
    <w:rsid w:val="5F454416"/>
    <w:rsid w:val="5F6DFF5D"/>
    <w:rsid w:val="5FC8921C"/>
    <w:rsid w:val="600233F1"/>
    <w:rsid w:val="601CB942"/>
    <w:rsid w:val="609DC66C"/>
    <w:rsid w:val="60C6B0D0"/>
    <w:rsid w:val="611EBFEA"/>
    <w:rsid w:val="6177DE73"/>
    <w:rsid w:val="617ECABE"/>
    <w:rsid w:val="61A59EA6"/>
    <w:rsid w:val="61BCFFA7"/>
    <w:rsid w:val="61EB57AF"/>
    <w:rsid w:val="621C1883"/>
    <w:rsid w:val="62DBE953"/>
    <w:rsid w:val="633C8611"/>
    <w:rsid w:val="63872810"/>
    <w:rsid w:val="63A1D64A"/>
    <w:rsid w:val="63E05BD7"/>
    <w:rsid w:val="63EBEBEF"/>
    <w:rsid w:val="63EC2D4E"/>
    <w:rsid w:val="64127F3D"/>
    <w:rsid w:val="64229282"/>
    <w:rsid w:val="64246009"/>
    <w:rsid w:val="6433AC64"/>
    <w:rsid w:val="645D3711"/>
    <w:rsid w:val="64675140"/>
    <w:rsid w:val="64843B1F"/>
    <w:rsid w:val="64F0B23E"/>
    <w:rsid w:val="64FC987A"/>
    <w:rsid w:val="6562C922"/>
    <w:rsid w:val="65D2E276"/>
    <w:rsid w:val="65F149D2"/>
    <w:rsid w:val="66F6248B"/>
    <w:rsid w:val="6718E005"/>
    <w:rsid w:val="674CC107"/>
    <w:rsid w:val="6824E831"/>
    <w:rsid w:val="68420014"/>
    <w:rsid w:val="6868CBE0"/>
    <w:rsid w:val="68914CFC"/>
    <w:rsid w:val="68997B9F"/>
    <w:rsid w:val="68E02FE7"/>
    <w:rsid w:val="6946EE2E"/>
    <w:rsid w:val="69A3E2FC"/>
    <w:rsid w:val="69D7165E"/>
    <w:rsid w:val="6A5ED4BE"/>
    <w:rsid w:val="6A7C0048"/>
    <w:rsid w:val="6A7C53DC"/>
    <w:rsid w:val="6A8461C9"/>
    <w:rsid w:val="6AEE5328"/>
    <w:rsid w:val="6B3C54EC"/>
    <w:rsid w:val="6B4D51A1"/>
    <w:rsid w:val="6B4E5BD0"/>
    <w:rsid w:val="6CA189BF"/>
    <w:rsid w:val="6CEDA1E2"/>
    <w:rsid w:val="6CEF4699"/>
    <w:rsid w:val="6CF08B64"/>
    <w:rsid w:val="6CF85954"/>
    <w:rsid w:val="6D369F0D"/>
    <w:rsid w:val="6D42C782"/>
    <w:rsid w:val="6D64BE1F"/>
    <w:rsid w:val="6D85C4F9"/>
    <w:rsid w:val="6D8D03D5"/>
    <w:rsid w:val="6DA0FCD6"/>
    <w:rsid w:val="6DBC028B"/>
    <w:rsid w:val="6DEC7130"/>
    <w:rsid w:val="6E2606F8"/>
    <w:rsid w:val="6E33A834"/>
    <w:rsid w:val="6EC2ED5C"/>
    <w:rsid w:val="6EEAEA96"/>
    <w:rsid w:val="6F117CE0"/>
    <w:rsid w:val="6F1ABA40"/>
    <w:rsid w:val="6F22BD5E"/>
    <w:rsid w:val="6F5BF9BC"/>
    <w:rsid w:val="6F7FCD09"/>
    <w:rsid w:val="6FB8A042"/>
    <w:rsid w:val="6FCA962A"/>
    <w:rsid w:val="700638B1"/>
    <w:rsid w:val="7009AEA1"/>
    <w:rsid w:val="7022BE91"/>
    <w:rsid w:val="702A7FFC"/>
    <w:rsid w:val="7044F840"/>
    <w:rsid w:val="704F9300"/>
    <w:rsid w:val="7093106D"/>
    <w:rsid w:val="70A55F1E"/>
    <w:rsid w:val="70BBB5C0"/>
    <w:rsid w:val="70EA1608"/>
    <w:rsid w:val="70F3A34D"/>
    <w:rsid w:val="7123BD09"/>
    <w:rsid w:val="716693DD"/>
    <w:rsid w:val="71722F7F"/>
    <w:rsid w:val="7195ABBC"/>
    <w:rsid w:val="71ACEB92"/>
    <w:rsid w:val="71B1DEFF"/>
    <w:rsid w:val="71B4AE3B"/>
    <w:rsid w:val="721520CE"/>
    <w:rsid w:val="7236D86C"/>
    <w:rsid w:val="7277ED90"/>
    <w:rsid w:val="72BC0CF2"/>
    <w:rsid w:val="72E93BE1"/>
    <w:rsid w:val="72FA94D7"/>
    <w:rsid w:val="7346A014"/>
    <w:rsid w:val="734DA277"/>
    <w:rsid w:val="73C300F0"/>
    <w:rsid w:val="73D3FFA3"/>
    <w:rsid w:val="73EE2B63"/>
    <w:rsid w:val="74164BC0"/>
    <w:rsid w:val="7420C7DF"/>
    <w:rsid w:val="74294FF9"/>
    <w:rsid w:val="7445B707"/>
    <w:rsid w:val="74AFA3ED"/>
    <w:rsid w:val="75190683"/>
    <w:rsid w:val="751F59BA"/>
    <w:rsid w:val="75267769"/>
    <w:rsid w:val="757D96F1"/>
    <w:rsid w:val="75BA1413"/>
    <w:rsid w:val="763BBB19"/>
    <w:rsid w:val="766DF3FA"/>
    <w:rsid w:val="7670E0E1"/>
    <w:rsid w:val="76CEB43B"/>
    <w:rsid w:val="76D3AB93"/>
    <w:rsid w:val="771288DA"/>
    <w:rsid w:val="7728E6F4"/>
    <w:rsid w:val="77AA48E4"/>
    <w:rsid w:val="77AEED3F"/>
    <w:rsid w:val="77C50FD5"/>
    <w:rsid w:val="77D5D561"/>
    <w:rsid w:val="78385224"/>
    <w:rsid w:val="786F5F12"/>
    <w:rsid w:val="78BE88AB"/>
    <w:rsid w:val="78EEBEC5"/>
    <w:rsid w:val="79095C58"/>
    <w:rsid w:val="790DD0C4"/>
    <w:rsid w:val="79156DD4"/>
    <w:rsid w:val="791A44AC"/>
    <w:rsid w:val="794B5793"/>
    <w:rsid w:val="79587D65"/>
    <w:rsid w:val="7983F80C"/>
    <w:rsid w:val="7A10742D"/>
    <w:rsid w:val="7AA3C07C"/>
    <w:rsid w:val="7AC2D811"/>
    <w:rsid w:val="7B888816"/>
    <w:rsid w:val="7BA8388D"/>
    <w:rsid w:val="7C2E686E"/>
    <w:rsid w:val="7C35CF50"/>
    <w:rsid w:val="7C594EF5"/>
    <w:rsid w:val="7CE9164A"/>
    <w:rsid w:val="7D19DF60"/>
    <w:rsid w:val="7D4E8DD5"/>
    <w:rsid w:val="7D5D68F8"/>
    <w:rsid w:val="7D83BC21"/>
    <w:rsid w:val="7DA72471"/>
    <w:rsid w:val="7DAB8591"/>
    <w:rsid w:val="7DCFB369"/>
    <w:rsid w:val="7DE917B4"/>
    <w:rsid w:val="7DE9522B"/>
    <w:rsid w:val="7DFA732F"/>
    <w:rsid w:val="7E13B647"/>
    <w:rsid w:val="7E16DA5C"/>
    <w:rsid w:val="7E1EC8B6"/>
    <w:rsid w:val="7E59FB93"/>
    <w:rsid w:val="7EA37450"/>
    <w:rsid w:val="7EEB041B"/>
    <w:rsid w:val="7F48D171"/>
    <w:rsid w:val="7F624FF3"/>
    <w:rsid w:val="7F660930"/>
    <w:rsid w:val="7F67A33F"/>
    <w:rsid w:val="7F962387"/>
    <w:rsid w:val="7FA5FD59"/>
    <w:rsid w:val="7FE0B0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5:docId w15:val="{A641941B-AE31-4DC3-8886-916E3B9E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Report subheading,List Paragraph1,Recommendation,List Paragraph11,Content descriptions,L,Resp codes,OW List Paragraph,Page Titles,Capire List Paragraph,Heading 4 for contents,Bullet point,DDM Gen Text,List Paragraph - bullets"/>
    <w:basedOn w:val="Normal"/>
    <w:link w:val="ListParagraphChar"/>
    <w:uiPriority w:val="34"/>
    <w:qFormat/>
    <w:rsid w:val="005E2091"/>
    <w:pPr>
      <w:ind w:left="720"/>
      <w:contextualSpacing/>
    </w:pPr>
  </w:style>
  <w:style w:type="character" w:customStyle="1" w:styleId="ListParagraphChar">
    <w:name w:val="List Paragraph Char"/>
    <w:aliases w:val="Report subheading Char,List Paragraph1 Char,Recommendation Char,List Paragraph11 Char,Content descriptions Char,L Char,Resp codes Char,OW List Paragraph Char,Page Titles Char,Capire List Paragraph Char,Heading 4 for contents Char"/>
    <w:basedOn w:val="DefaultParagraphFont"/>
    <w:link w:val="ListParagraph"/>
    <w:uiPriority w:val="34"/>
    <w:locked/>
    <w:rsid w:val="009E336F"/>
    <w:rPr>
      <w:sz w:val="22"/>
    </w:rPr>
  </w:style>
  <w:style w:type="character" w:customStyle="1" w:styleId="ref-lnk">
    <w:name w:val="ref-lnk"/>
    <w:basedOn w:val="DefaultParagraphFont"/>
    <w:rsid w:val="0033039D"/>
  </w:style>
  <w:style w:type="character" w:customStyle="1" w:styleId="off-screen">
    <w:name w:val="off-screen"/>
    <w:basedOn w:val="DefaultParagraphFont"/>
    <w:rsid w:val="0033039D"/>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92F24"/>
    <w:rPr>
      <w:sz w:val="22"/>
    </w:rPr>
  </w:style>
  <w:style w:type="character" w:styleId="CommentReference">
    <w:name w:val="annotation reference"/>
    <w:basedOn w:val="DefaultParagraphFont"/>
    <w:uiPriority w:val="99"/>
    <w:semiHidden/>
    <w:unhideWhenUsed/>
    <w:rsid w:val="00A55FF3"/>
    <w:rPr>
      <w:sz w:val="16"/>
      <w:szCs w:val="16"/>
    </w:rPr>
  </w:style>
  <w:style w:type="paragraph" w:styleId="CommentText">
    <w:name w:val="annotation text"/>
    <w:basedOn w:val="Normal"/>
    <w:link w:val="CommentTextChar"/>
    <w:uiPriority w:val="99"/>
    <w:unhideWhenUsed/>
    <w:rsid w:val="00A55FF3"/>
    <w:rPr>
      <w:sz w:val="20"/>
      <w:szCs w:val="20"/>
    </w:rPr>
  </w:style>
  <w:style w:type="character" w:customStyle="1" w:styleId="CommentTextChar">
    <w:name w:val="Comment Text Char"/>
    <w:basedOn w:val="DefaultParagraphFont"/>
    <w:link w:val="CommentText"/>
    <w:uiPriority w:val="99"/>
    <w:rsid w:val="00A55FF3"/>
    <w:rPr>
      <w:sz w:val="20"/>
      <w:szCs w:val="20"/>
    </w:rPr>
  </w:style>
  <w:style w:type="paragraph" w:styleId="CommentSubject">
    <w:name w:val="annotation subject"/>
    <w:basedOn w:val="CommentText"/>
    <w:next w:val="CommentText"/>
    <w:link w:val="CommentSubjectChar"/>
    <w:uiPriority w:val="99"/>
    <w:semiHidden/>
    <w:unhideWhenUsed/>
    <w:rsid w:val="00A55FF3"/>
    <w:rPr>
      <w:b/>
      <w:bCs/>
    </w:rPr>
  </w:style>
  <w:style w:type="character" w:customStyle="1" w:styleId="CommentSubjectChar">
    <w:name w:val="Comment Subject Char"/>
    <w:basedOn w:val="CommentTextChar"/>
    <w:link w:val="CommentSubject"/>
    <w:uiPriority w:val="99"/>
    <w:semiHidden/>
    <w:rsid w:val="00A55F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738749219">
      <w:bodyDiv w:val="1"/>
      <w:marLeft w:val="0"/>
      <w:marRight w:val="0"/>
      <w:marTop w:val="0"/>
      <w:marBottom w:val="0"/>
      <w:divBdr>
        <w:top w:val="none" w:sz="0" w:space="0" w:color="auto"/>
        <w:left w:val="none" w:sz="0" w:space="0" w:color="auto"/>
        <w:bottom w:val="none" w:sz="0" w:space="0" w:color="auto"/>
        <w:right w:val="none" w:sz="0" w:space="0" w:color="auto"/>
      </w:divBdr>
      <w:divsChild>
        <w:div w:id="617102255">
          <w:marLeft w:val="0"/>
          <w:marRight w:val="0"/>
          <w:marTop w:val="15"/>
          <w:marBottom w:val="0"/>
          <w:divBdr>
            <w:top w:val="single" w:sz="48" w:space="0" w:color="auto"/>
            <w:left w:val="single" w:sz="48" w:space="0" w:color="auto"/>
            <w:bottom w:val="single" w:sz="48" w:space="0" w:color="auto"/>
            <w:right w:val="single" w:sz="48" w:space="0" w:color="auto"/>
          </w:divBdr>
          <w:divsChild>
            <w:div w:id="16051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teachingresources/discipline/english/Pages/date.aspx" TargetMode="External"/><Relationship Id="rId18" Type="http://schemas.openxmlformats.org/officeDocument/2006/relationships/hyperlink" Target="https://victoriancurriculum.vcaa.vic.edu.au/english/english/curriculum/f-10" TargetMode="External"/><Relationship Id="rId26" Type="http://schemas.openxmlformats.org/officeDocument/2006/relationships/hyperlink" Target="https://www.education.vic.gov.au/school/teachers/teachingresources/discipline/english/literacy/Pages/default.aspx" TargetMode="External"/><Relationship Id="rId39" Type="http://schemas.openxmlformats.org/officeDocument/2006/relationships/header" Target="header1.xml"/><Relationship Id="rId21" Type="http://schemas.openxmlformats.org/officeDocument/2006/relationships/hyperlink" Target="https://victoriancurriculum.vcaa.vic.edu.au/english/introduction/about-english" TargetMode="External"/><Relationship Id="rId34" Type="http://schemas.openxmlformats.org/officeDocument/2006/relationships/hyperlink" Target="https://www.education.vic.gov.au/school/teachers/teachingresources/discipline/english/literacy/speakinglistening/Pages/phonological-awareness-games.aspx"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school/teachers/teachingresources/discipline/english/literacy/Pages/english-as-an-additional-language-or-dialect-eald-learners.aspx" TargetMode="External"/><Relationship Id="rId29" Type="http://schemas.openxmlformats.org/officeDocument/2006/relationships/hyperlink" Target="https://www.education.vic.gov.au/school/teachers/teachingresources/discipline/english/literacy/readingviewing/Pages/teachingpracmodelled.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foundation-10/crosscurriculumresources/Pages/Literacy.aspx" TargetMode="External"/><Relationship Id="rId24" Type="http://schemas.openxmlformats.org/officeDocument/2006/relationships/hyperlink" Target="https://victoriancurriculum.vcaa.vic.edu.au/english/english-as-an-additional-language-eal/introduction/rationale-and-aims" TargetMode="External"/><Relationship Id="rId32" Type="http://schemas.openxmlformats.org/officeDocument/2006/relationships/hyperlink" Target="https://www.education.vic.gov.au/school/teachers/teachingresources/discipline/english/literacy/writing/Pages/teachingpracinteractive.aspx" TargetMode="External"/><Relationship Id="rId37" Type="http://schemas.openxmlformats.org/officeDocument/2006/relationships/hyperlink" Target="https://creativecommons.org/licenses/by/4.0/"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school/teachers/teachingresources/high-ability-toolkit/Pages/high-ability-toolkit.aspx?&amp;Redirect=1" TargetMode="External"/><Relationship Id="rId23" Type="http://schemas.openxmlformats.org/officeDocument/2006/relationships/hyperlink" Target="https://victoriancurriculum.vcaa.vic.edu.au/overview/diversity-of-learners" TargetMode="External"/><Relationship Id="rId28" Type="http://schemas.openxmlformats.org/officeDocument/2006/relationships/hyperlink" Target="https://www.education.vic.gov.au/school/teachers/support/diversity/eal/Pages/default.aspx?Redirect=5" TargetMode="External"/><Relationship Id="rId36" Type="http://schemas.openxmlformats.org/officeDocument/2006/relationships/hyperlink" Target="https://www.education.vic.gov.au/Pages/copyright.aspx" TargetMode="External"/><Relationship Id="rId10" Type="http://schemas.openxmlformats.org/officeDocument/2006/relationships/endnotes" Target="endnotes.xml"/><Relationship Id="rId19" Type="http://schemas.openxmlformats.org/officeDocument/2006/relationships/hyperlink" Target="https://www.education.vic.gov.au/school/teachers/teachingresources/practice/improve/Pages/hits.aspx" TargetMode="External"/><Relationship Id="rId31" Type="http://schemas.openxmlformats.org/officeDocument/2006/relationships/hyperlink" Target="https://www.education.vic.gov.au/school/teachers/teachingresources/discipline/english/literacy/readingviewing/Pages/teachingpracshared.aspx"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diverse-learners-hub" TargetMode="External"/><Relationship Id="rId22" Type="http://schemas.openxmlformats.org/officeDocument/2006/relationships/hyperlink" Target="https://www.vcaa.vic.edu.au/curriculum/foundation-10/crosscurriculumresources/Pages/Literacy.aspx" TargetMode="External"/><Relationship Id="rId27" Type="http://schemas.openxmlformats.org/officeDocument/2006/relationships/hyperlink" Target="https://www.education.vic.gov.au/school/teachers/teachingresources/high-ability-toolkit/Pages/high-impact-teaching-strategies-and-high-ability.aspx" TargetMode="External"/><Relationship Id="rId30" Type="http://schemas.openxmlformats.org/officeDocument/2006/relationships/hyperlink" Target="https://www.education.vic.gov.au/school/teachers/teachingresources/discipline/english/literacy/readingviewing/Pages/teachingpracindependent.aspx" TargetMode="External"/><Relationship Id="rId35" Type="http://schemas.openxmlformats.org/officeDocument/2006/relationships/hyperlink" Target="https://www.education.vic.gov.au/school/teachers/teachingresources/discipline/english/literacy/speakinglistening/Pages/teachingpraclanguage.aspx"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ducation.vic.gov.au/school/teachers/teachingresources/discipline/english/assessment/Pages/default.aspx?Redirect=1" TargetMode="External"/><Relationship Id="rId17" Type="http://schemas.openxmlformats.org/officeDocument/2006/relationships/hyperlink" Target="https://www.education.vic.gov.au/school/teachers/teachingresources/multicultural/Pages/koorieresources.aspx" TargetMode="External"/><Relationship Id="rId25" Type="http://schemas.openxmlformats.org/officeDocument/2006/relationships/hyperlink" Target="https://www2.education.vic.gov.au/pal/victorian-teaching-learning-model/policy" TargetMode="External"/><Relationship Id="rId33" Type="http://schemas.openxmlformats.org/officeDocument/2006/relationships/hyperlink" Target="https://www.education.vic.gov.au/school/teachers/teachingresources/discipline/english/literacy/readingviewing/Pages/teachingpracindependent.aspx" TargetMode="External"/><Relationship Id="rId38" Type="http://schemas.openxmlformats.org/officeDocument/2006/relationships/hyperlink" Target="https://www.education.vic.gov.au/Pages/copyright.aspx" TargetMode="External"/><Relationship Id="rId46" Type="http://schemas.openxmlformats.org/officeDocument/2006/relationships/theme" Target="theme/theme1.xml"/><Relationship Id="rId20" Type="http://schemas.openxmlformats.org/officeDocument/2006/relationships/hyperlink" Target="https://www.vcaa.vic.edu.au/curriculum/foundation-10/resources/english/assessmentresources/annotated-work-samples/Pages/default.aspx"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Teacher_pedagogic_decision_making_about_the_teaching_of_reading_Oct2023</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E57D24-4F3F-4CD5-AE64-5AB8504F5367}"/>
</file>

<file path=docProps/app.xml><?xml version="1.0" encoding="utf-8"?>
<Properties xmlns="http://schemas.openxmlformats.org/officeDocument/2006/extended-properties" xmlns:vt="http://schemas.openxmlformats.org/officeDocument/2006/docPropsVTypes">
  <Template>Normal.dotm</Template>
  <TotalTime>1</TotalTime>
  <Pages>5</Pages>
  <Words>2850</Words>
  <Characters>16248</Characters>
  <Application>Microsoft Office Word</Application>
  <DocSecurity>0</DocSecurity>
  <Lines>135</Lines>
  <Paragraphs>38</Paragraphs>
  <ScaleCrop>false</ScaleCrop>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Tor Polding</cp:lastModifiedBy>
  <cp:revision>2</cp:revision>
  <dcterms:created xsi:type="dcterms:W3CDTF">2023-10-15T04:57:00Z</dcterms:created>
  <dcterms:modified xsi:type="dcterms:W3CDTF">2023-10-15T04:57:00Z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MediaServiceImageTags">
    <vt:lpwstr/>
  </property>
  <property fmtid="{D5CDD505-2E9C-101B-9397-08002B2CF9AE}" pid="4" name="DEECD_Author">
    <vt:lpwstr>94;#Education|5232e41c-5101-41fe-b638-7d41d1371531</vt:lpwstr>
  </property>
  <property fmtid="{D5CDD505-2E9C-101B-9397-08002B2CF9AE}" pid="5" name="DEECD_ItemType">
    <vt:lpwstr>101;#Page|eb523acf-a821-456c-a76b-7607578309d7</vt:lpwstr>
  </property>
  <property fmtid="{D5CDD505-2E9C-101B-9397-08002B2CF9AE}" pid="6" name="DEECD_SubjectCategory">
    <vt:lpwstr/>
  </property>
  <property fmtid="{D5CDD505-2E9C-101B-9397-08002B2CF9AE}" pid="7" name="DEECD_Audience">
    <vt:lpwstr/>
  </property>
</Properties>
</file>