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7532B6CB" w:rsidR="0059512C" w:rsidRPr="009461A8" w:rsidRDefault="00D149A3" w:rsidP="00D149A3">
      <w:pPr>
        <w:pStyle w:val="Heading1"/>
      </w:pPr>
      <w:r>
        <w:t>BOX HILL INSTITUTE</w:t>
      </w:r>
      <w:r>
        <w:t xml:space="preserve"> D</w:t>
      </w:r>
      <w:r>
        <w:t>IPLOMA OF NURSING</w:t>
      </w:r>
    </w:p>
    <w:p w14:paraId="1B714345" w14:textId="77777777" w:rsidR="00D149A3" w:rsidRDefault="00D149A3" w:rsidP="00D149A3">
      <w:r w:rsidRPr="00D149A3">
        <w:t>Box Hill Institute Group’s Diploma of Nursing works</w:t>
      </w:r>
      <w:r>
        <w:t xml:space="preserve"> </w:t>
      </w:r>
      <w:r w:rsidRPr="00D149A3">
        <w:t>closely with industry to ensure students gain relevant,</w:t>
      </w:r>
      <w:r>
        <w:t xml:space="preserve"> </w:t>
      </w:r>
      <w:r w:rsidRPr="00D149A3">
        <w:t>real-world skills and experience giving them a</w:t>
      </w:r>
      <w:r>
        <w:t xml:space="preserve"> </w:t>
      </w:r>
      <w:r w:rsidRPr="00D149A3">
        <w:t>competitive edge in the growing health sector.</w:t>
      </w:r>
    </w:p>
    <w:p w14:paraId="6CB263E3" w14:textId="77777777" w:rsidR="00D149A3" w:rsidRDefault="00D149A3" w:rsidP="00D149A3">
      <w:r w:rsidRPr="00D149A3">
        <w:t>Nursing Course Coordinator Giselle Mitchell said the</w:t>
      </w:r>
      <w:r>
        <w:t xml:space="preserve"> </w:t>
      </w:r>
      <w:r w:rsidRPr="00D149A3">
        <w:t>course combines theoretical with practical experience,</w:t>
      </w:r>
      <w:r>
        <w:t xml:space="preserve"> </w:t>
      </w:r>
      <w:r w:rsidRPr="00D149A3">
        <w:t>including state-of-the-art simulation labs.</w:t>
      </w:r>
    </w:p>
    <w:p w14:paraId="22E682B3" w14:textId="1A973652" w:rsidR="00D149A3" w:rsidRPr="00D149A3" w:rsidRDefault="00D149A3" w:rsidP="00D149A3">
      <w:r w:rsidRPr="00D149A3">
        <w:t xml:space="preserve">“Hands-on training </w:t>
      </w:r>
      <w:r w:rsidRPr="00D149A3">
        <w:t>prepares students for what can and does happen in the health care setting, so they know exactly what to do in the workplace,” Giselle said.</w:t>
      </w:r>
    </w:p>
    <w:p w14:paraId="095906E2" w14:textId="36EBCC80" w:rsidR="00D149A3" w:rsidRPr="00D149A3" w:rsidRDefault="00D149A3" w:rsidP="00D149A3">
      <w:r w:rsidRPr="00D149A3">
        <w:t>“Our industry partners also use simulation labs to retrain their existing staff, so we know our students are well-prepared and our course is highly-regarded.”</w:t>
      </w:r>
    </w:p>
    <w:p w14:paraId="6EB684A2" w14:textId="1FCB8DDB" w:rsidR="00D149A3" w:rsidRPr="00D149A3" w:rsidRDefault="00D149A3" w:rsidP="00D149A3">
      <w:r w:rsidRPr="00D149A3">
        <w:t>With health sector growth a Government priority, dedicated training to meet the industry’s needs is a must.</w:t>
      </w:r>
    </w:p>
    <w:p w14:paraId="61CE6CF6" w14:textId="4D715D85" w:rsidR="00D149A3" w:rsidRPr="00D149A3" w:rsidRDefault="00D149A3" w:rsidP="00D149A3">
      <w:r w:rsidRPr="00D149A3">
        <w:t>Giselle said the industry is seeing a push for staff with enrolled endorsed nurse (EEN) qualifications, which is exactly what Box Hill Institute’s diploma course delivers.</w:t>
      </w:r>
    </w:p>
    <w:p w14:paraId="26FFC4CC" w14:textId="6DB94C51" w:rsidR="00D149A3" w:rsidRPr="00D149A3" w:rsidRDefault="00D149A3" w:rsidP="00D149A3">
      <w:r w:rsidRPr="00D149A3">
        <w:t>“This is a marked difference to the qualifications and</w:t>
      </w:r>
      <w:r>
        <w:t xml:space="preserve"> </w:t>
      </w:r>
      <w:r w:rsidRPr="00D149A3">
        <w:t>skill sets of students training with our competitors,</w:t>
      </w:r>
      <w:r>
        <w:t xml:space="preserve"> </w:t>
      </w:r>
      <w:r w:rsidRPr="00D149A3">
        <w:t>which makes gradua</w:t>
      </w:r>
      <w:r>
        <w:t xml:space="preserve">tes of our course attractive to </w:t>
      </w:r>
      <w:r w:rsidRPr="00D149A3">
        <w:t>prospective employers,” she said.</w:t>
      </w:r>
    </w:p>
    <w:p w14:paraId="67055176" w14:textId="1F662BA4" w:rsidR="00D149A3" w:rsidRPr="00D149A3" w:rsidRDefault="00D149A3" w:rsidP="00D149A3">
      <w:r w:rsidRPr="00D149A3">
        <w:t>The 18-month course - delivered at the institute’s</w:t>
      </w:r>
      <w:r>
        <w:t xml:space="preserve"> </w:t>
      </w:r>
      <w:r w:rsidRPr="00D149A3">
        <w:t>Box Hill, Lilydale and city campuses – has some</w:t>
      </w:r>
      <w:r>
        <w:t xml:space="preserve"> </w:t>
      </w:r>
      <w:r w:rsidRPr="00D149A3">
        <w:t>400 students enrolled this year, with each required to</w:t>
      </w:r>
      <w:r>
        <w:t xml:space="preserve"> </w:t>
      </w:r>
      <w:r w:rsidRPr="00D149A3">
        <w:t>do 400 hours of mandatory clinical placement through</w:t>
      </w:r>
      <w:r>
        <w:t xml:space="preserve"> </w:t>
      </w:r>
      <w:r w:rsidRPr="00D149A3">
        <w:t>agreements with hospitals, medical clinics and aged</w:t>
      </w:r>
      <w:r>
        <w:t xml:space="preserve"> </w:t>
      </w:r>
      <w:r w:rsidRPr="00D149A3">
        <w:t>care facilities.</w:t>
      </w:r>
    </w:p>
    <w:p w14:paraId="6130D5A6" w14:textId="77777777" w:rsidR="00D149A3" w:rsidRDefault="00D149A3" w:rsidP="00D149A3">
      <w:r w:rsidRPr="00D149A3">
        <w:t>Giselle said 70 per cent of graduates go on to further</w:t>
      </w:r>
      <w:r>
        <w:t xml:space="preserve"> </w:t>
      </w:r>
      <w:r w:rsidRPr="00D149A3">
        <w:t>study, having earned six to 18 months of transferrable</w:t>
      </w:r>
      <w:r>
        <w:t xml:space="preserve"> </w:t>
      </w:r>
      <w:r w:rsidRPr="00D149A3">
        <w:t>credits towards a Bachelor of Nursing degree. The</w:t>
      </w:r>
      <w:r>
        <w:t xml:space="preserve"> </w:t>
      </w:r>
      <w:r w:rsidRPr="00D149A3">
        <w:t>remaining graduates go straight into the workforce.</w:t>
      </w:r>
    </w:p>
    <w:p w14:paraId="56541A00" w14:textId="2DAC0310" w:rsidR="00921364" w:rsidRPr="00D149A3" w:rsidRDefault="00D149A3" w:rsidP="00D149A3">
      <w:r w:rsidRPr="00D149A3">
        <w:t>“Of those seeking a job, most of our students will be</w:t>
      </w:r>
      <w:r>
        <w:t xml:space="preserve"> </w:t>
      </w:r>
      <w:r w:rsidRPr="00D149A3">
        <w:t>offered a position at their first interview, which is a great</w:t>
      </w:r>
      <w:r>
        <w:t xml:space="preserve"> </w:t>
      </w:r>
      <w:r w:rsidRPr="00D149A3">
        <w:t>testament to the quality of our course,” Giselle said.</w:t>
      </w:r>
      <w:bookmarkStart w:id="0" w:name="_GoBack"/>
      <w:bookmarkEnd w:id="0"/>
    </w:p>
    <w:sectPr w:rsidR="00921364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EF01" w14:textId="77777777" w:rsidR="007A4058" w:rsidRDefault="007A4058" w:rsidP="008C3F9C">
      <w:r>
        <w:separator/>
      </w:r>
    </w:p>
  </w:endnote>
  <w:endnote w:type="continuationSeparator" w:id="0">
    <w:p w14:paraId="740EFE21" w14:textId="77777777" w:rsidR="007A4058" w:rsidRDefault="007A4058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3A81" w14:textId="77777777" w:rsidR="007A4058" w:rsidRDefault="007A4058" w:rsidP="008C3F9C">
      <w:r>
        <w:separator/>
      </w:r>
    </w:p>
  </w:footnote>
  <w:footnote w:type="continuationSeparator" w:id="0">
    <w:p w14:paraId="67E0A995" w14:textId="77777777" w:rsidR="007A4058" w:rsidRDefault="007A4058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16FD"/>
    <w:rsid w:val="00365E63"/>
    <w:rsid w:val="003701D3"/>
    <w:rsid w:val="003C0315"/>
    <w:rsid w:val="003C558F"/>
    <w:rsid w:val="003E57BE"/>
    <w:rsid w:val="003F48A5"/>
    <w:rsid w:val="004352D1"/>
    <w:rsid w:val="00447DA2"/>
    <w:rsid w:val="00460548"/>
    <w:rsid w:val="0046326B"/>
    <w:rsid w:val="00473BA6"/>
    <w:rsid w:val="004A3570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A4058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50230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C5F18"/>
    <w:rsid w:val="00ED7B20"/>
    <w:rsid w:val="00EF601F"/>
    <w:rsid w:val="00EF7D4A"/>
    <w:rsid w:val="00F17BAF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3EC00-D246-4EAB-838F-7571767E9113}"/>
</file>

<file path=customXml/itemProps2.xml><?xml version="1.0" encoding="utf-8"?>
<ds:datastoreItem xmlns:ds="http://schemas.openxmlformats.org/officeDocument/2006/customXml" ds:itemID="{E79B1C46-2FC4-4E20-9CBB-49F83E3D12B8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48ABBA-A954-4CB4-984A-B18E0C177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SkillsFirstCaseStudyBoxHill</dc:title>
  <dc:subject/>
  <dc:creator>VET Reform PMO</dc:creator>
  <cp:keywords/>
  <dc:description/>
  <cp:lastModifiedBy>Cardell, Stuart S</cp:lastModifiedBy>
  <cp:revision>3</cp:revision>
  <dcterms:created xsi:type="dcterms:W3CDTF">2017-09-04T02:27:00Z</dcterms:created>
  <dcterms:modified xsi:type="dcterms:W3CDTF">2017-09-04T02:30:00Z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