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471DDE9C" w:rsidR="00624A55" w:rsidRPr="008F3D35" w:rsidRDefault="002C1A17" w:rsidP="008F3D35">
      <w:pPr>
        <w:pStyle w:val="Heading1"/>
      </w:pPr>
      <w:r>
        <w:rPr>
          <w:lang w:val="en-AU"/>
        </w:rPr>
        <w:t>E</w:t>
      </w:r>
      <w:r w:rsidR="008866E0">
        <w:rPr>
          <w:lang w:val="en-AU"/>
        </w:rPr>
        <w:t>xample of progression and items to assess</w:t>
      </w:r>
    </w:p>
    <w:p w14:paraId="05884F24" w14:textId="47780BFB" w:rsidR="002C1A17" w:rsidRPr="00216C7B" w:rsidRDefault="00216C7B" w:rsidP="00216C7B">
      <w:pPr>
        <w:pStyle w:val="Intro"/>
      </w:pPr>
      <w:r w:rsidRPr="00216C7B">
        <w:t>Learning progression exemplar - pre-test</w:t>
      </w:r>
      <w:r w:rsidR="001640C0">
        <w:br/>
      </w:r>
    </w:p>
    <w:tbl>
      <w:tblPr>
        <w:tblStyle w:val="ListTable3-Accent1"/>
        <w:tblW w:w="15021" w:type="dxa"/>
        <w:tblBorders>
          <w:top w:val="single" w:sz="2" w:space="0" w:color="292B2D" w:themeColor="accent6" w:themeShade="80"/>
          <w:left w:val="single" w:sz="2" w:space="0" w:color="292B2D" w:themeColor="accent6" w:themeShade="80"/>
          <w:bottom w:val="single" w:sz="2" w:space="0" w:color="292B2D" w:themeColor="accent6" w:themeShade="80"/>
          <w:right w:val="single" w:sz="2" w:space="0" w:color="292B2D" w:themeColor="accent6" w:themeShade="80"/>
          <w:insideH w:val="single" w:sz="2" w:space="0" w:color="292B2D" w:themeColor="accent6" w:themeShade="80"/>
          <w:insideV w:val="single" w:sz="2" w:space="0" w:color="292B2D" w:themeColor="accent6" w:themeShade="8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93"/>
        <w:gridCol w:w="2681"/>
        <w:gridCol w:w="3303"/>
        <w:gridCol w:w="183"/>
        <w:gridCol w:w="1197"/>
        <w:gridCol w:w="3017"/>
        <w:gridCol w:w="3447"/>
      </w:tblGrid>
      <w:tr w:rsidR="002C1A17" w:rsidRPr="00216C7B" w14:paraId="3376F549" w14:textId="77777777" w:rsidTr="00E26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4" w:type="dxa"/>
            <w:shd w:val="clear" w:color="auto" w:fill="FF9300"/>
          </w:tcPr>
          <w:p w14:paraId="5950D91D" w14:textId="77777777" w:rsidR="002C1A17" w:rsidRPr="00216C7B" w:rsidRDefault="002C1A17" w:rsidP="00E26911">
            <w:pPr>
              <w:jc w:val="center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Victorian Curriculum Level</w:t>
            </w:r>
          </w:p>
        </w:tc>
        <w:tc>
          <w:tcPr>
            <w:tcW w:w="1270" w:type="dxa"/>
            <w:shd w:val="clear" w:color="auto" w:fill="FF9300"/>
          </w:tcPr>
          <w:p w14:paraId="0DA620DA" w14:textId="77777777" w:rsidR="002C1A17" w:rsidRPr="00216C7B" w:rsidRDefault="002C1A17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Description of skill</w:t>
            </w:r>
          </w:p>
        </w:tc>
        <w:tc>
          <w:tcPr>
            <w:tcW w:w="1564" w:type="dxa"/>
            <w:shd w:val="clear" w:color="auto" w:fill="FF9300"/>
          </w:tcPr>
          <w:p w14:paraId="39471394" w14:textId="77777777" w:rsidR="002C1A17" w:rsidRPr="00216C7B" w:rsidRDefault="002C1A17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Example item to assess each skill</w:t>
            </w:r>
          </w:p>
        </w:tc>
        <w:tc>
          <w:tcPr>
            <w:tcW w:w="18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C6DA12" w14:textId="77777777" w:rsidR="002C1A17" w:rsidRPr="00216C7B" w:rsidRDefault="002C1A17" w:rsidP="00E2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9300"/>
          </w:tcPr>
          <w:p w14:paraId="45A8E56A" w14:textId="77777777" w:rsidR="002C1A17" w:rsidRPr="00216C7B" w:rsidRDefault="002C1A17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Victorian Curriculum Level</w:t>
            </w:r>
          </w:p>
        </w:tc>
        <w:tc>
          <w:tcPr>
            <w:tcW w:w="1428" w:type="dxa"/>
            <w:shd w:val="clear" w:color="auto" w:fill="FF9300"/>
          </w:tcPr>
          <w:p w14:paraId="7B75FD87" w14:textId="77777777" w:rsidR="002C1A17" w:rsidRPr="00216C7B" w:rsidRDefault="002C1A17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Description of skill</w:t>
            </w:r>
          </w:p>
        </w:tc>
        <w:tc>
          <w:tcPr>
            <w:tcW w:w="1632" w:type="dxa"/>
            <w:shd w:val="clear" w:color="auto" w:fill="FF9300"/>
          </w:tcPr>
          <w:p w14:paraId="788C2511" w14:textId="77777777" w:rsidR="002C1A17" w:rsidRPr="00216C7B" w:rsidRDefault="002C1A17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Example item to assess each skill</w:t>
            </w:r>
          </w:p>
        </w:tc>
      </w:tr>
      <w:tr w:rsidR="002C1A17" w:rsidRPr="00216C7B" w14:paraId="10926540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75ACD1F3" w14:textId="77777777" w:rsidR="002C1A17" w:rsidRPr="00216C7B" w:rsidRDefault="002C1A17" w:rsidP="00E269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46" w:type="dxa"/>
          </w:tcPr>
          <w:p w14:paraId="01FF4EB8" w14:textId="3C078118" w:rsidR="002C1A17" w:rsidRPr="00216C7B" w:rsidRDefault="002C1A17" w:rsidP="002C1A17">
            <w:pPr>
              <w:numPr>
                <w:ilvl w:val="0"/>
                <w:numId w:val="18"/>
              </w:numPr>
              <w:shd w:val="clear" w:color="auto" w:fill="FFFFFF"/>
              <w:adjustRightInd w:val="0"/>
              <w:snapToGrid w:val="0"/>
              <w:spacing w:before="0" w:after="0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216C7B">
              <w:rPr>
                <w:rFonts w:cstheme="minorHAnsi"/>
                <w:sz w:val="18"/>
                <w:szCs w:val="18"/>
              </w:rPr>
              <w:t>Express one quantity as a fraction of another, with and without the use of digital</w:t>
            </w:r>
            <w:r w:rsidR="00216C7B" w:rsidRPr="00216C7B">
              <w:rPr>
                <w:rFonts w:cstheme="minorHAnsi"/>
                <w:sz w:val="18"/>
                <w:szCs w:val="18"/>
              </w:rPr>
              <w:t xml:space="preserve"> </w:t>
            </w:r>
            <w:r w:rsidRPr="00216C7B">
              <w:rPr>
                <w:rFonts w:cstheme="minorHAnsi"/>
                <w:sz w:val="18"/>
                <w:szCs w:val="18"/>
              </w:rPr>
              <w:t>technologies </w:t>
            </w:r>
            <w:hyperlink r:id="rId11" w:tooltip="View elaborations and additional details of VCMNA245" w:history="1">
              <w:r w:rsidRPr="00216C7B">
                <w:rPr>
                  <w:rFonts w:cstheme="minorHAnsi"/>
                  <w:sz w:val="18"/>
                  <w:szCs w:val="18"/>
                </w:rPr>
                <w:t>(VCMNA245)</w:t>
              </w:r>
            </w:hyperlink>
          </w:p>
        </w:tc>
        <w:tc>
          <w:tcPr>
            <w:tcW w:w="3260" w:type="dxa"/>
          </w:tcPr>
          <w:p w14:paraId="3A7B8AA3" w14:textId="77777777" w:rsidR="002C1A17" w:rsidRPr="00216C7B" w:rsidRDefault="002C1A17" w:rsidP="00E26911">
            <w:pPr>
              <w:adjustRightInd w:val="0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216C7B">
              <w:rPr>
                <w:rFonts w:cstheme="minorHAnsi"/>
                <w:sz w:val="18"/>
                <w:szCs w:val="18"/>
              </w:rPr>
              <w:t>Seb</w:t>
            </w:r>
            <w:proofErr w:type="spellEnd"/>
            <w:r w:rsidRPr="00216C7B">
              <w:rPr>
                <w:rFonts w:cstheme="minorHAnsi"/>
                <w:sz w:val="18"/>
                <w:szCs w:val="18"/>
              </w:rPr>
              <w:t xml:space="preserve"> has read x of a 496-page book. How many pages has he read?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8265FC" w14:textId="77777777" w:rsidR="002C1A17" w:rsidRPr="00216C7B" w:rsidRDefault="002C1A17" w:rsidP="00E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92D050"/>
          </w:tcPr>
          <w:p w14:paraId="158F4C11" w14:textId="77777777" w:rsidR="002C1A17" w:rsidRPr="00216C7B" w:rsidRDefault="002C1A17" w:rsidP="00E2691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16C7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3565E1A6" w14:textId="77777777" w:rsidR="002C1A17" w:rsidRPr="00216C7B" w:rsidRDefault="002C1A17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>Compare fractions with related denominators and locate and represent them on a number line</w:t>
            </w:r>
            <w:hyperlink r:id="rId12" w:tooltip="View elaborations and additional details of VCMNA211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(VCMNA211)</w:t>
              </w:r>
            </w:hyperlink>
          </w:p>
        </w:tc>
        <w:tc>
          <w:tcPr>
            <w:tcW w:w="3402" w:type="dxa"/>
          </w:tcPr>
          <w:p w14:paraId="208E5CFF" w14:textId="77777777" w:rsidR="002C1A17" w:rsidRPr="00216C7B" w:rsidRDefault="002C1A17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Put the following fractions in order on a number line</w:t>
            </w:r>
            <w:proofErr w:type="gramStart"/>
            <w:r w:rsidRPr="00216C7B">
              <w:rPr>
                <w:rFonts w:cstheme="minorHAnsi"/>
                <w:sz w:val="18"/>
                <w:szCs w:val="18"/>
              </w:rPr>
              <w:t>: ,</w:t>
            </w:r>
            <w:proofErr w:type="gramEnd"/>
            <w:r w:rsidRPr="00216C7B">
              <w:rPr>
                <w:rFonts w:cstheme="minorHAnsi"/>
                <w:sz w:val="18"/>
                <w:szCs w:val="18"/>
              </w:rPr>
              <w:t xml:space="preserve"> , , </w:t>
            </w:r>
          </w:p>
        </w:tc>
      </w:tr>
      <w:tr w:rsidR="002C1A17" w:rsidRPr="00216C7B" w14:paraId="026A0808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5B430E15" w14:textId="77777777" w:rsidR="002C1A17" w:rsidRPr="00216C7B" w:rsidRDefault="002C1A17" w:rsidP="00E269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46" w:type="dxa"/>
          </w:tcPr>
          <w:p w14:paraId="3680208F" w14:textId="77777777" w:rsidR="002C1A17" w:rsidRPr="00216C7B" w:rsidRDefault="002C1A17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Multiply and divide fractions and decimals using efficient written strategies and digital technologies </w:t>
            </w:r>
            <w:hyperlink r:id="rId13" w:tooltip="View elaborations and additional details of VCMNA244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(VCMNA244)</w:t>
              </w:r>
            </w:hyperlink>
          </w:p>
        </w:tc>
        <w:tc>
          <w:tcPr>
            <w:tcW w:w="3260" w:type="dxa"/>
          </w:tcPr>
          <w:p w14:paraId="6C6DDB1F" w14:textId="77777777" w:rsidR="002C1A17" w:rsidRPr="00216C7B" w:rsidRDefault="002C1A17" w:rsidP="00E26911">
            <w:pPr>
              <w:adjustRightInd w:val="0"/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216C7B">
              <w:rPr>
                <w:rFonts w:cstheme="minorHAnsi"/>
                <w:sz w:val="18"/>
                <w:szCs w:val="18"/>
              </w:rPr>
              <w:t>Calculate  x</w:t>
            </w:r>
            <w:proofErr w:type="gramEnd"/>
            <w:r w:rsidRPr="00216C7B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7C37E9" w14:textId="77777777" w:rsidR="002C1A17" w:rsidRPr="00216C7B" w:rsidRDefault="002C1A17" w:rsidP="00E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0096FF"/>
          </w:tcPr>
          <w:p w14:paraId="3179C508" w14:textId="77777777" w:rsidR="002C1A17" w:rsidRPr="00216C7B" w:rsidRDefault="002C1A17" w:rsidP="00E2691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16C7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27888027" w14:textId="77777777" w:rsidR="002C1A17" w:rsidRPr="00216C7B" w:rsidRDefault="002C1A17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>Investigate strategies to solve problems involving addition and subtraction of fractions with the same denominator </w:t>
            </w:r>
            <w:hyperlink r:id="rId14" w:tooltip="View elaborations and additional details of VCMNA188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(VCMNA188)</w:t>
              </w:r>
            </w:hyperlink>
          </w:p>
        </w:tc>
        <w:tc>
          <w:tcPr>
            <w:tcW w:w="3402" w:type="dxa"/>
          </w:tcPr>
          <w:p w14:paraId="3AA90D25" w14:textId="77777777" w:rsidR="002C1A17" w:rsidRPr="00216C7B" w:rsidRDefault="002C1A17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 xml:space="preserve">Add the following fractions together: + </w:t>
            </w:r>
          </w:p>
        </w:tc>
      </w:tr>
      <w:tr w:rsidR="002C1A17" w:rsidRPr="00216C7B" w14:paraId="4A383207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38C2C83D" w14:textId="77777777" w:rsidR="002C1A17" w:rsidRPr="00216C7B" w:rsidRDefault="002C1A17" w:rsidP="00E269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46" w:type="dxa"/>
          </w:tcPr>
          <w:p w14:paraId="2388A1E2" w14:textId="77777777" w:rsidR="002C1A17" w:rsidRPr="00216C7B" w:rsidRDefault="002C1A17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Solve problems involving addition and subtraction of fractions, including those with unrelated denominators </w:t>
            </w:r>
            <w:hyperlink r:id="rId15" w:tooltip="View elaborations and additional details of VCMNA243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(VCMNA243)</w:t>
              </w:r>
            </w:hyperlink>
          </w:p>
        </w:tc>
        <w:tc>
          <w:tcPr>
            <w:tcW w:w="3260" w:type="dxa"/>
          </w:tcPr>
          <w:p w14:paraId="4BB71DCA" w14:textId="77777777" w:rsidR="002C1A17" w:rsidRPr="00216C7B" w:rsidRDefault="002C1A17" w:rsidP="00E26911">
            <w:pPr>
              <w:adjustRightInd w:val="0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 xml:space="preserve">What is </w:t>
            </w:r>
            <w:proofErr w:type="gramStart"/>
            <w:r w:rsidRPr="00216C7B">
              <w:rPr>
                <w:rFonts w:cstheme="minorHAnsi"/>
                <w:sz w:val="18"/>
                <w:szCs w:val="18"/>
              </w:rPr>
              <w:t>–  ?</w:t>
            </w:r>
            <w:proofErr w:type="gramEnd"/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FE9B2F" w14:textId="77777777" w:rsidR="002C1A17" w:rsidRPr="00216C7B" w:rsidRDefault="002C1A17" w:rsidP="00E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0096FF"/>
          </w:tcPr>
          <w:p w14:paraId="24943AE2" w14:textId="77777777" w:rsidR="002C1A17" w:rsidRPr="00216C7B" w:rsidRDefault="002C1A17" w:rsidP="00E2691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16C7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65A3BDA6" w14:textId="77777777" w:rsidR="002C1A17" w:rsidRPr="00216C7B" w:rsidRDefault="002C1A17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>Compare and order common unit fractions and locate and represent them on a number line </w:t>
            </w:r>
            <w:hyperlink r:id="rId16" w:tooltip="View elaborations and additional details of VCMNA187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(VCMNA187)</w:t>
              </w:r>
            </w:hyperlink>
          </w:p>
        </w:tc>
        <w:tc>
          <w:tcPr>
            <w:tcW w:w="3402" w:type="dxa"/>
          </w:tcPr>
          <w:p w14:paraId="55AF896E" w14:textId="77777777" w:rsidR="002C1A17" w:rsidRPr="00216C7B" w:rsidRDefault="002C1A17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Put the following fractions in order</w:t>
            </w:r>
            <w:proofErr w:type="gramStart"/>
            <w:r w:rsidRPr="00216C7B">
              <w:rPr>
                <w:rFonts w:cstheme="minorHAnsi"/>
                <w:sz w:val="18"/>
                <w:szCs w:val="18"/>
              </w:rPr>
              <w:t>: ,</w:t>
            </w:r>
            <w:proofErr w:type="gramEnd"/>
            <w:r w:rsidRPr="00216C7B">
              <w:rPr>
                <w:rFonts w:cstheme="minorHAnsi"/>
                <w:sz w:val="18"/>
                <w:szCs w:val="18"/>
              </w:rPr>
              <w:t xml:space="preserve"> , . </w:t>
            </w:r>
          </w:p>
        </w:tc>
      </w:tr>
      <w:tr w:rsidR="002C1A17" w:rsidRPr="00216C7B" w14:paraId="16B3DCAE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68E4140D" w14:textId="77777777" w:rsidR="002C1A17" w:rsidRPr="00216C7B" w:rsidRDefault="002C1A17" w:rsidP="00E269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46" w:type="dxa"/>
          </w:tcPr>
          <w:p w14:paraId="10E22AF1" w14:textId="77777777" w:rsidR="002C1A17" w:rsidRPr="00216C7B" w:rsidRDefault="002C1A17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>Compare fractions using equivalence. Locate and represent positive and negative fractions and mixed numbers on a number line </w:t>
            </w:r>
            <w:hyperlink r:id="rId17" w:tooltip="View elaborations and additional details of VCMNA242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(VCMNA242)</w:t>
              </w:r>
            </w:hyperlink>
          </w:p>
        </w:tc>
        <w:tc>
          <w:tcPr>
            <w:tcW w:w="3260" w:type="dxa"/>
          </w:tcPr>
          <w:p w14:paraId="4F960876" w14:textId="77777777" w:rsidR="002C1A17" w:rsidRPr="00216C7B" w:rsidRDefault="002C1A17" w:rsidP="00E26911">
            <w:pPr>
              <w:adjustRightInd w:val="0"/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Compare the following fractions using equivalence and circle the largest fraction:</w:t>
            </w:r>
            <w:proofErr w:type="gramStart"/>
            <w:r w:rsidRPr="00216C7B">
              <w:rPr>
                <w:rFonts w:cstheme="minorHAnsi"/>
                <w:sz w:val="18"/>
                <w:szCs w:val="18"/>
              </w:rPr>
              <w:t xml:space="preserve">  ,</w:t>
            </w:r>
            <w:proofErr w:type="gramEnd"/>
            <w:r w:rsidRPr="00216C7B">
              <w:rPr>
                <w:rFonts w:cstheme="minorHAnsi"/>
                <w:sz w:val="18"/>
                <w:szCs w:val="18"/>
              </w:rPr>
              <w:t xml:space="preserve"> 1 , 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CF7773" w14:textId="77777777" w:rsidR="002C1A17" w:rsidRPr="00216C7B" w:rsidRDefault="002C1A17" w:rsidP="00E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4C75" w:themeFill="accent3" w:themeFillTint="99"/>
          </w:tcPr>
          <w:p w14:paraId="372655CA" w14:textId="77777777" w:rsidR="002C1A17" w:rsidRPr="00216C7B" w:rsidRDefault="002C1A17" w:rsidP="00E2691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16C7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54B5E625" w14:textId="77777777" w:rsidR="002C1A17" w:rsidRPr="00216C7B" w:rsidRDefault="002C1A17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Count by quarters, </w:t>
            </w:r>
            <w:proofErr w:type="gramStart"/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>halves</w:t>
            </w:r>
            <w:proofErr w:type="gramEnd"/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and thirds, including with mixed numerals. Locate and represent these fractions on a number line </w:t>
            </w:r>
            <w:hyperlink r:id="rId18" w:tooltip="View elaborations and additional details of VCMNA158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(VCMNA158)</w:t>
              </w:r>
            </w:hyperlink>
          </w:p>
        </w:tc>
        <w:tc>
          <w:tcPr>
            <w:tcW w:w="3402" w:type="dxa"/>
          </w:tcPr>
          <w:p w14:paraId="614B0962" w14:textId="77777777" w:rsidR="002C1A17" w:rsidRPr="00216C7B" w:rsidRDefault="002C1A17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 xml:space="preserve">Fill in the missing parts of the following number-line. </w:t>
            </w:r>
          </w:p>
        </w:tc>
      </w:tr>
      <w:tr w:rsidR="002C1A17" w:rsidRPr="00216C7B" w14:paraId="01CC2DD2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92D050"/>
          </w:tcPr>
          <w:p w14:paraId="0D25BE27" w14:textId="77777777" w:rsidR="002C1A17" w:rsidRPr="00216C7B" w:rsidRDefault="002C1A17" w:rsidP="00E269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46" w:type="dxa"/>
          </w:tcPr>
          <w:p w14:paraId="7BFCA7D2" w14:textId="77777777" w:rsidR="002C1A17" w:rsidRPr="00216C7B" w:rsidRDefault="002C1A17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Find a simple fraction of a quantity where the result is a whole number, with and without digital technologies </w:t>
            </w:r>
            <w:hyperlink r:id="rId19" w:tooltip="View elaborations and additional details of VCMNA213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(VCMNA213)</w:t>
              </w:r>
            </w:hyperlink>
          </w:p>
        </w:tc>
        <w:tc>
          <w:tcPr>
            <w:tcW w:w="3260" w:type="dxa"/>
          </w:tcPr>
          <w:p w14:paraId="26BF1256" w14:textId="77777777" w:rsidR="002C1A17" w:rsidRPr="00216C7B" w:rsidRDefault="002C1A17" w:rsidP="00E26911">
            <w:pPr>
              <w:adjustRightInd w:val="0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What is of 48?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2F2837" w14:textId="77777777" w:rsidR="002C1A17" w:rsidRPr="00216C7B" w:rsidRDefault="002C1A17" w:rsidP="00E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4C75" w:themeFill="accent3" w:themeFillTint="99"/>
          </w:tcPr>
          <w:p w14:paraId="2B267796" w14:textId="77777777" w:rsidR="002C1A17" w:rsidRPr="00216C7B" w:rsidRDefault="002C1A17" w:rsidP="00E2691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16C7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7DC67268" w14:textId="77777777" w:rsidR="002C1A17" w:rsidRPr="00216C7B" w:rsidRDefault="002C1A17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Investigate equivalent fractions used in contexts </w:t>
            </w:r>
            <w:hyperlink r:id="rId20" w:tooltip="View elaborations and additional details of VCMNA157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(VCMNA157)</w:t>
              </w:r>
            </w:hyperlink>
          </w:p>
        </w:tc>
        <w:tc>
          <w:tcPr>
            <w:tcW w:w="3402" w:type="dxa"/>
          </w:tcPr>
          <w:p w14:paraId="411FF379" w14:textId="77777777" w:rsidR="002C1A17" w:rsidRPr="00216C7B" w:rsidRDefault="002C1A17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Lauren eats of a chocolate bar and Max eats of an identical chocolate bar. Who eats more chocolate?</w:t>
            </w:r>
          </w:p>
        </w:tc>
      </w:tr>
      <w:tr w:rsidR="002C1A17" w:rsidRPr="00216C7B" w14:paraId="08686C04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92D050"/>
          </w:tcPr>
          <w:p w14:paraId="110681FF" w14:textId="77777777" w:rsidR="002C1A17" w:rsidRPr="00216C7B" w:rsidRDefault="002C1A17" w:rsidP="00E269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46" w:type="dxa"/>
          </w:tcPr>
          <w:p w14:paraId="41B5C9AA" w14:textId="77777777" w:rsidR="002C1A17" w:rsidRPr="00216C7B" w:rsidRDefault="002C1A17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Solve problems involving addition and subtraction of fractions with the same or related denominators </w:t>
            </w:r>
            <w:hyperlink r:id="rId21" w:tooltip="View elaborations and additional details of VCMNA212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(VCMNA212)</w:t>
              </w:r>
            </w:hyperlink>
          </w:p>
        </w:tc>
        <w:tc>
          <w:tcPr>
            <w:tcW w:w="3260" w:type="dxa"/>
          </w:tcPr>
          <w:p w14:paraId="760647CF" w14:textId="77777777" w:rsidR="002C1A17" w:rsidRPr="00216C7B" w:rsidRDefault="002C1A17" w:rsidP="00E26911">
            <w:pPr>
              <w:adjustRightInd w:val="0"/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 xml:space="preserve">There was of a cake left. After school John ate 1/2 of the whole cake. How much cake was left? 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FDD438" w14:textId="77777777" w:rsidR="002C1A17" w:rsidRPr="00216C7B" w:rsidRDefault="002C1A17" w:rsidP="00E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C3D1" w:themeFill="accent3" w:themeFillTint="33"/>
          </w:tcPr>
          <w:p w14:paraId="49C36AA5" w14:textId="77777777" w:rsidR="002C1A17" w:rsidRPr="00216C7B" w:rsidRDefault="002C1A17" w:rsidP="00E2691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16C7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68DF10E8" w14:textId="77777777" w:rsidR="002C1A17" w:rsidRPr="00216C7B" w:rsidRDefault="002C1A17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eastAsia="Times New Roman" w:cstheme="minorHAnsi"/>
                <w:sz w:val="18"/>
                <w:szCs w:val="18"/>
                <w:lang w:eastAsia="en-AU"/>
              </w:rPr>
              <w:t>Model and represent unit fractions including 1/2, 1/4, 1/3, 1/5 and their multiples to a complete whole</w:t>
            </w:r>
            <w:hyperlink r:id="rId22" w:tooltip="View elaborations and additional details of VCMNA136" w:history="1">
              <w:r w:rsidRPr="00216C7B">
                <w:rPr>
                  <w:rFonts w:eastAsia="Times New Roman" w:cstheme="minorHAnsi"/>
                  <w:sz w:val="18"/>
                  <w:szCs w:val="18"/>
                  <w:lang w:eastAsia="en-AU"/>
                </w:rPr>
                <w:t>(VCMNA136)</w:t>
              </w:r>
            </w:hyperlink>
          </w:p>
        </w:tc>
        <w:tc>
          <w:tcPr>
            <w:tcW w:w="3402" w:type="dxa"/>
          </w:tcPr>
          <w:p w14:paraId="509893BC" w14:textId="77777777" w:rsidR="002C1A17" w:rsidRPr="00216C7B" w:rsidRDefault="002C1A17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16C7B">
              <w:rPr>
                <w:rFonts w:cstheme="minorHAnsi"/>
                <w:sz w:val="18"/>
                <w:szCs w:val="18"/>
              </w:rPr>
              <w:t>Shade ¼ of a rectangle</w:t>
            </w:r>
          </w:p>
        </w:tc>
      </w:tr>
    </w:tbl>
    <w:p w14:paraId="29048B54" w14:textId="77777777" w:rsidR="002C1A17" w:rsidRDefault="002C1A17" w:rsidP="002C1A17"/>
    <w:p w14:paraId="0EAF6C22" w14:textId="77777777" w:rsidR="00C0102D" w:rsidRPr="008F3D35" w:rsidRDefault="00C0102D" w:rsidP="00C0102D">
      <w:pPr>
        <w:pStyle w:val="Heading1"/>
      </w:pPr>
      <w:r>
        <w:rPr>
          <w:lang w:val="en-AU"/>
        </w:rPr>
        <w:t>Example of progression and items to assess</w:t>
      </w:r>
    </w:p>
    <w:p w14:paraId="7AD410BE" w14:textId="6370678F" w:rsidR="00C0102D" w:rsidRPr="00216C7B" w:rsidRDefault="00C0102D" w:rsidP="00C0102D">
      <w:pPr>
        <w:pStyle w:val="Intro"/>
      </w:pPr>
      <w:r w:rsidRPr="00216C7B">
        <w:t>Learning progression - pre-test</w:t>
      </w:r>
      <w:r w:rsidR="001640C0">
        <w:br/>
      </w:r>
    </w:p>
    <w:tbl>
      <w:tblPr>
        <w:tblStyle w:val="ListTable3-Accent1"/>
        <w:tblW w:w="15021" w:type="dxa"/>
        <w:tblBorders>
          <w:top w:val="single" w:sz="2" w:space="0" w:color="292B2D" w:themeColor="accent6" w:themeShade="80"/>
          <w:left w:val="single" w:sz="2" w:space="0" w:color="292B2D" w:themeColor="accent6" w:themeShade="80"/>
          <w:bottom w:val="single" w:sz="2" w:space="0" w:color="292B2D" w:themeColor="accent6" w:themeShade="80"/>
          <w:right w:val="single" w:sz="2" w:space="0" w:color="292B2D" w:themeColor="accent6" w:themeShade="80"/>
          <w:insideH w:val="single" w:sz="2" w:space="0" w:color="292B2D" w:themeColor="accent6" w:themeShade="80"/>
          <w:insideV w:val="single" w:sz="2" w:space="0" w:color="292B2D" w:themeColor="accent6" w:themeShade="8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93"/>
        <w:gridCol w:w="2681"/>
        <w:gridCol w:w="3303"/>
        <w:gridCol w:w="183"/>
        <w:gridCol w:w="1197"/>
        <w:gridCol w:w="3017"/>
        <w:gridCol w:w="3447"/>
      </w:tblGrid>
      <w:tr w:rsidR="00C0102D" w:rsidRPr="00216C7B" w14:paraId="2382F6A2" w14:textId="77777777" w:rsidTr="00E26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4" w:type="dxa"/>
            <w:shd w:val="clear" w:color="auto" w:fill="FF9300"/>
          </w:tcPr>
          <w:p w14:paraId="3493324C" w14:textId="77777777" w:rsidR="00C0102D" w:rsidRPr="00216C7B" w:rsidRDefault="00C0102D" w:rsidP="00E26911">
            <w:pPr>
              <w:jc w:val="center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Victorian Curriculum Level</w:t>
            </w:r>
          </w:p>
        </w:tc>
        <w:tc>
          <w:tcPr>
            <w:tcW w:w="1270" w:type="dxa"/>
            <w:shd w:val="clear" w:color="auto" w:fill="FF9300"/>
          </w:tcPr>
          <w:p w14:paraId="0DFD6F65" w14:textId="77777777" w:rsidR="00C0102D" w:rsidRPr="00216C7B" w:rsidRDefault="00C0102D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Description of skill</w:t>
            </w:r>
          </w:p>
        </w:tc>
        <w:tc>
          <w:tcPr>
            <w:tcW w:w="1564" w:type="dxa"/>
            <w:shd w:val="clear" w:color="auto" w:fill="FF9300"/>
          </w:tcPr>
          <w:p w14:paraId="4EA72ABD" w14:textId="77777777" w:rsidR="00C0102D" w:rsidRPr="00216C7B" w:rsidRDefault="00C0102D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Example item to assess each skill</w:t>
            </w:r>
          </w:p>
        </w:tc>
        <w:tc>
          <w:tcPr>
            <w:tcW w:w="18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E1F8593" w14:textId="77777777" w:rsidR="00C0102D" w:rsidRPr="00216C7B" w:rsidRDefault="00C0102D" w:rsidP="00E2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9300"/>
          </w:tcPr>
          <w:p w14:paraId="1A544E58" w14:textId="77777777" w:rsidR="00C0102D" w:rsidRPr="00216C7B" w:rsidRDefault="00C0102D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Victorian Curriculum Level</w:t>
            </w:r>
          </w:p>
        </w:tc>
        <w:tc>
          <w:tcPr>
            <w:tcW w:w="1428" w:type="dxa"/>
            <w:shd w:val="clear" w:color="auto" w:fill="FF9300"/>
          </w:tcPr>
          <w:p w14:paraId="2F4E35D9" w14:textId="77777777" w:rsidR="00C0102D" w:rsidRPr="00216C7B" w:rsidRDefault="00C0102D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Description of skill</w:t>
            </w:r>
          </w:p>
        </w:tc>
        <w:tc>
          <w:tcPr>
            <w:tcW w:w="1632" w:type="dxa"/>
            <w:shd w:val="clear" w:color="auto" w:fill="FF9300"/>
          </w:tcPr>
          <w:p w14:paraId="6674A24B" w14:textId="77777777" w:rsidR="00C0102D" w:rsidRPr="00216C7B" w:rsidRDefault="00C0102D" w:rsidP="00E26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2"/>
                <w:sz w:val="18"/>
                <w:szCs w:val="18"/>
              </w:rPr>
            </w:pPr>
            <w:r w:rsidRPr="00216C7B">
              <w:rPr>
                <w:rFonts w:cstheme="minorHAnsi"/>
                <w:color w:val="000000" w:themeColor="text2"/>
                <w:sz w:val="18"/>
                <w:szCs w:val="18"/>
              </w:rPr>
              <w:t>Example item to assess each skill</w:t>
            </w:r>
          </w:p>
        </w:tc>
      </w:tr>
      <w:tr w:rsidR="00C0102D" w:rsidRPr="00216C7B" w14:paraId="7AFC0D18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723C6117" w14:textId="0AD5D05D" w:rsidR="00C0102D" w:rsidRPr="00216C7B" w:rsidRDefault="00C0102D" w:rsidP="00E269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1165B10F" w14:textId="2E365682" w:rsidR="00C0102D" w:rsidRPr="00216C7B" w:rsidRDefault="00C0102D" w:rsidP="00E26911">
            <w:pPr>
              <w:numPr>
                <w:ilvl w:val="0"/>
                <w:numId w:val="18"/>
              </w:numPr>
              <w:shd w:val="clear" w:color="auto" w:fill="FFFFFF"/>
              <w:adjustRightInd w:val="0"/>
              <w:snapToGrid w:val="0"/>
              <w:spacing w:before="0" w:after="0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</w:tcPr>
          <w:p w14:paraId="0546501D" w14:textId="3CCA0BE0" w:rsidR="00C0102D" w:rsidRPr="00216C7B" w:rsidRDefault="00C0102D" w:rsidP="00E26911">
            <w:pPr>
              <w:adjustRightInd w:val="0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C1CD5" w14:textId="77777777" w:rsidR="00C0102D" w:rsidRPr="00216C7B" w:rsidRDefault="00C0102D" w:rsidP="00E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92D050"/>
          </w:tcPr>
          <w:p w14:paraId="356B0F57" w14:textId="5BF0B7DA" w:rsidR="00C0102D" w:rsidRPr="00216C7B" w:rsidRDefault="00C0102D" w:rsidP="00E2691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384F19" w14:textId="73F3682F" w:rsidR="00C0102D" w:rsidRPr="00216C7B" w:rsidRDefault="00C0102D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63F71C2" w14:textId="47A73043" w:rsidR="00C0102D" w:rsidRPr="00216C7B" w:rsidRDefault="00C0102D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0102D" w:rsidRPr="00216C7B" w14:paraId="42FC2FF1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328F4808" w14:textId="7C500F37" w:rsidR="00C0102D" w:rsidRPr="00216C7B" w:rsidRDefault="00C0102D" w:rsidP="00E269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3DCB2D8D" w14:textId="3F9CC576" w:rsidR="00C0102D" w:rsidRPr="00216C7B" w:rsidRDefault="00C0102D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</w:tcPr>
          <w:p w14:paraId="369F617A" w14:textId="7AA5A44B" w:rsidR="00C0102D" w:rsidRPr="00216C7B" w:rsidRDefault="00C0102D" w:rsidP="00E26911">
            <w:pPr>
              <w:adjustRightInd w:val="0"/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6B4456" w14:textId="77777777" w:rsidR="00C0102D" w:rsidRPr="00216C7B" w:rsidRDefault="00C0102D" w:rsidP="00E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0096FF"/>
          </w:tcPr>
          <w:p w14:paraId="7D2967DD" w14:textId="7C26E17E" w:rsidR="00C0102D" w:rsidRPr="00216C7B" w:rsidRDefault="00C0102D" w:rsidP="00E2691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827435" w14:textId="52AAC3D0" w:rsidR="00C0102D" w:rsidRPr="00216C7B" w:rsidRDefault="00C0102D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B0F6E2" w14:textId="75A193A9" w:rsidR="00C0102D" w:rsidRPr="00216C7B" w:rsidRDefault="00C0102D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0102D" w:rsidRPr="00216C7B" w14:paraId="2CEBBEAF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5FC8037F" w14:textId="160707D2" w:rsidR="00C0102D" w:rsidRPr="00216C7B" w:rsidRDefault="00C0102D" w:rsidP="00E269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173AFBE7" w14:textId="231C76D1" w:rsidR="00C0102D" w:rsidRPr="00216C7B" w:rsidRDefault="00C0102D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</w:tcPr>
          <w:p w14:paraId="4CDE7B73" w14:textId="1DC82ABE" w:rsidR="00C0102D" w:rsidRPr="00216C7B" w:rsidRDefault="00C0102D" w:rsidP="00E26911">
            <w:pPr>
              <w:adjustRightInd w:val="0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32BCE7" w14:textId="77777777" w:rsidR="00C0102D" w:rsidRPr="00216C7B" w:rsidRDefault="00C0102D" w:rsidP="00E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0096FF"/>
          </w:tcPr>
          <w:p w14:paraId="4B85A064" w14:textId="364C077E" w:rsidR="00C0102D" w:rsidRPr="00216C7B" w:rsidRDefault="00C0102D" w:rsidP="00E2691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66F830" w14:textId="7C3C7471" w:rsidR="00C0102D" w:rsidRPr="00216C7B" w:rsidRDefault="00C0102D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4C3DCD" w14:textId="26649889" w:rsidR="00C0102D" w:rsidRPr="00216C7B" w:rsidRDefault="00C0102D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0102D" w:rsidRPr="00216C7B" w14:paraId="3C47FC74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00B050"/>
          </w:tcPr>
          <w:p w14:paraId="6AFF17EA" w14:textId="4D2AB85F" w:rsidR="00C0102D" w:rsidRPr="00216C7B" w:rsidRDefault="00C0102D" w:rsidP="00E269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57454BC4" w14:textId="79E123E3" w:rsidR="00C0102D" w:rsidRPr="00216C7B" w:rsidRDefault="00C0102D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</w:tcPr>
          <w:p w14:paraId="18787D71" w14:textId="3F2B441F" w:rsidR="00C0102D" w:rsidRPr="00216C7B" w:rsidRDefault="00C0102D" w:rsidP="00E26911">
            <w:pPr>
              <w:adjustRightInd w:val="0"/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71065B" w14:textId="77777777" w:rsidR="00C0102D" w:rsidRPr="00216C7B" w:rsidRDefault="00C0102D" w:rsidP="00E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4C75" w:themeFill="accent3" w:themeFillTint="99"/>
          </w:tcPr>
          <w:p w14:paraId="480DB4A3" w14:textId="2ABD6728" w:rsidR="00C0102D" w:rsidRPr="00216C7B" w:rsidRDefault="00C0102D" w:rsidP="00E2691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D7BA6A" w14:textId="3DA62A9C" w:rsidR="00C0102D" w:rsidRPr="00216C7B" w:rsidRDefault="00C0102D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174F3E" w14:textId="26C3B93D" w:rsidR="00C0102D" w:rsidRPr="00216C7B" w:rsidRDefault="00C0102D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0102D" w:rsidRPr="00216C7B" w14:paraId="4FA814EC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92D050"/>
          </w:tcPr>
          <w:p w14:paraId="30ACBC98" w14:textId="58BF2876" w:rsidR="00C0102D" w:rsidRPr="00216C7B" w:rsidRDefault="00C0102D" w:rsidP="00E269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6DCBCD83" w14:textId="1A917195" w:rsidR="00C0102D" w:rsidRPr="00216C7B" w:rsidRDefault="00C0102D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</w:tcPr>
          <w:p w14:paraId="3E980091" w14:textId="04465E04" w:rsidR="00C0102D" w:rsidRPr="00216C7B" w:rsidRDefault="00C0102D" w:rsidP="00E26911">
            <w:pPr>
              <w:adjustRightInd w:val="0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5A9CC1" w14:textId="77777777" w:rsidR="00C0102D" w:rsidRPr="00216C7B" w:rsidRDefault="00C0102D" w:rsidP="00E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4C75" w:themeFill="accent3" w:themeFillTint="99"/>
          </w:tcPr>
          <w:p w14:paraId="773C8F65" w14:textId="49BA1F0F" w:rsidR="00C0102D" w:rsidRPr="00216C7B" w:rsidRDefault="00C0102D" w:rsidP="00E2691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9561C7C" w14:textId="606CD1D1" w:rsidR="00C0102D" w:rsidRPr="00216C7B" w:rsidRDefault="00C0102D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78FB88F" w14:textId="7AEFE68E" w:rsidR="00C0102D" w:rsidRPr="00216C7B" w:rsidRDefault="00C0102D" w:rsidP="00E26911">
            <w:pPr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0102D" w:rsidRPr="00216C7B" w14:paraId="183509C8" w14:textId="77777777" w:rsidTr="00E26911">
        <w:tblPrEx>
          <w:tblBorders>
            <w:top w:val="single" w:sz="4" w:space="0" w:color="292B2D" w:themeColor="accent6" w:themeShade="80"/>
            <w:left w:val="single" w:sz="4" w:space="0" w:color="292B2D" w:themeColor="accent6" w:themeShade="80"/>
            <w:bottom w:val="single" w:sz="4" w:space="0" w:color="292B2D" w:themeColor="accent6" w:themeShade="80"/>
            <w:right w:val="single" w:sz="4" w:space="0" w:color="292B2D" w:themeColor="accent6" w:themeShade="80"/>
            <w:insideH w:val="single" w:sz="4" w:space="0" w:color="292B2D" w:themeColor="accent6" w:themeShade="80"/>
            <w:insideV w:val="single" w:sz="4" w:space="0" w:color="292B2D" w:themeColor="accent6" w:themeShade="80"/>
          </w:tblBorders>
          <w:tblCellMar>
            <w:left w:w="108" w:type="dxa"/>
            <w:right w:w="108" w:type="dxa"/>
          </w:tblCellMar>
        </w:tblPrEx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shd w:val="clear" w:color="auto" w:fill="92D050"/>
          </w:tcPr>
          <w:p w14:paraId="7E378CCE" w14:textId="383BE450" w:rsidR="00C0102D" w:rsidRPr="00216C7B" w:rsidRDefault="00C0102D" w:rsidP="00E269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3421AA55" w14:textId="27991EB6" w:rsidR="00C0102D" w:rsidRPr="00216C7B" w:rsidRDefault="00C0102D" w:rsidP="00E26911">
            <w:pPr>
              <w:shd w:val="clear" w:color="auto" w:fill="FFFFFF"/>
              <w:adjustRightInd w:val="0"/>
              <w:snapToGrid w:val="0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</w:tcPr>
          <w:p w14:paraId="0A903D26" w14:textId="3AFD6F06" w:rsidR="00C0102D" w:rsidRPr="00216C7B" w:rsidRDefault="00C0102D" w:rsidP="00E26911">
            <w:pPr>
              <w:adjustRightInd w:val="0"/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868C1B" w14:textId="77777777" w:rsidR="00C0102D" w:rsidRPr="00216C7B" w:rsidRDefault="00C0102D" w:rsidP="00E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C3D1" w:themeFill="accent3" w:themeFillTint="33"/>
          </w:tcPr>
          <w:p w14:paraId="76B9D593" w14:textId="03C1C05D" w:rsidR="00C0102D" w:rsidRPr="00216C7B" w:rsidRDefault="00C0102D" w:rsidP="00E2691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436C93" w14:textId="239AC69A" w:rsidR="00C0102D" w:rsidRPr="00216C7B" w:rsidRDefault="00C0102D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A92D1F" w14:textId="38800DB6" w:rsidR="00C0102D" w:rsidRPr="00216C7B" w:rsidRDefault="00C0102D" w:rsidP="00E26911">
            <w:pPr>
              <w:snapToGri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3950F060" w14:textId="2FFA249F" w:rsidR="00122369" w:rsidRDefault="00122369" w:rsidP="00AF1EB5">
      <w:pPr>
        <w:rPr>
          <w:lang w:val="en-AU"/>
        </w:rPr>
      </w:pPr>
    </w:p>
    <w:sectPr w:rsidR="00122369" w:rsidSect="00216C7B">
      <w:headerReference w:type="default" r:id="rId23"/>
      <w:footerReference w:type="even" r:id="rId24"/>
      <w:footerReference w:type="default" r:id="rId25"/>
      <w:pgSz w:w="16838" w:h="11906" w:orient="landscape" w:code="9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F12E8" w14:textId="77777777" w:rsidR="00237E71" w:rsidRDefault="00237E71" w:rsidP="003967DD">
      <w:pPr>
        <w:spacing w:after="0"/>
      </w:pPr>
      <w:r>
        <w:separator/>
      </w:r>
    </w:p>
  </w:endnote>
  <w:endnote w:type="continuationSeparator" w:id="0">
    <w:p w14:paraId="68055E6B" w14:textId="77777777" w:rsidR="00237E71" w:rsidRDefault="00237E7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3B6A5F7B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0A7F2" w14:textId="77777777" w:rsidR="00237E71" w:rsidRDefault="00237E71" w:rsidP="003967DD">
      <w:pPr>
        <w:spacing w:after="0"/>
      </w:pPr>
      <w:r>
        <w:separator/>
      </w:r>
    </w:p>
  </w:footnote>
  <w:footnote w:type="continuationSeparator" w:id="0">
    <w:p w14:paraId="2E8EA0C2" w14:textId="77777777" w:rsidR="00237E71" w:rsidRDefault="00237E7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7ADDC7D9" w:rsidR="003967DD" w:rsidRDefault="001225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1C5EF6E5">
          <wp:simplePos x="0" y="0"/>
          <wp:positionH relativeFrom="page">
            <wp:posOffset>13970</wp:posOffset>
          </wp:positionH>
          <wp:positionV relativeFrom="page">
            <wp:posOffset>14275</wp:posOffset>
          </wp:positionV>
          <wp:extent cx="10670938" cy="7540625"/>
          <wp:effectExtent l="0" t="0" r="0" b="317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938" cy="754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90367"/>
    <w:multiLevelType w:val="multilevel"/>
    <w:tmpl w:val="73E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TAxNDAzNzU2NLdU0lEKTi0uzszPAykwrgUAtyI4WywAAAA="/>
  </w:docVars>
  <w:rsids>
    <w:rsidRoot w:val="003967DD"/>
    <w:rsid w:val="00011F31"/>
    <w:rsid w:val="00013339"/>
    <w:rsid w:val="000256E2"/>
    <w:rsid w:val="0007009E"/>
    <w:rsid w:val="00077DA7"/>
    <w:rsid w:val="00080DA9"/>
    <w:rsid w:val="0008400E"/>
    <w:rsid w:val="000A47D4"/>
    <w:rsid w:val="000B62D4"/>
    <w:rsid w:val="000C600E"/>
    <w:rsid w:val="000E2A5E"/>
    <w:rsid w:val="00122369"/>
    <w:rsid w:val="00122524"/>
    <w:rsid w:val="00150E0F"/>
    <w:rsid w:val="00157212"/>
    <w:rsid w:val="0016287D"/>
    <w:rsid w:val="001640C0"/>
    <w:rsid w:val="001C51A6"/>
    <w:rsid w:val="001D0D94"/>
    <w:rsid w:val="001D13F9"/>
    <w:rsid w:val="001F39DD"/>
    <w:rsid w:val="00216C7B"/>
    <w:rsid w:val="00237E71"/>
    <w:rsid w:val="002512BE"/>
    <w:rsid w:val="00275FB8"/>
    <w:rsid w:val="002A4A96"/>
    <w:rsid w:val="002C1A17"/>
    <w:rsid w:val="002E393A"/>
    <w:rsid w:val="002E3BED"/>
    <w:rsid w:val="002F6115"/>
    <w:rsid w:val="00312720"/>
    <w:rsid w:val="00312A92"/>
    <w:rsid w:val="003272CE"/>
    <w:rsid w:val="00343AFC"/>
    <w:rsid w:val="0034745C"/>
    <w:rsid w:val="003967DD"/>
    <w:rsid w:val="003A4C39"/>
    <w:rsid w:val="004027BA"/>
    <w:rsid w:val="0042333B"/>
    <w:rsid w:val="004B2ED6"/>
    <w:rsid w:val="004C2C11"/>
    <w:rsid w:val="00512BBA"/>
    <w:rsid w:val="00555277"/>
    <w:rsid w:val="00567CF0"/>
    <w:rsid w:val="00574EBA"/>
    <w:rsid w:val="00584366"/>
    <w:rsid w:val="005A4F12"/>
    <w:rsid w:val="005A7966"/>
    <w:rsid w:val="005F40C1"/>
    <w:rsid w:val="00624A55"/>
    <w:rsid w:val="006671CE"/>
    <w:rsid w:val="00674FFA"/>
    <w:rsid w:val="006A1F8A"/>
    <w:rsid w:val="006A25AC"/>
    <w:rsid w:val="006E2B9A"/>
    <w:rsid w:val="0070219C"/>
    <w:rsid w:val="00710CED"/>
    <w:rsid w:val="00735566"/>
    <w:rsid w:val="00751FB3"/>
    <w:rsid w:val="007B556E"/>
    <w:rsid w:val="007D3E38"/>
    <w:rsid w:val="007F43DE"/>
    <w:rsid w:val="008065DA"/>
    <w:rsid w:val="008866E0"/>
    <w:rsid w:val="00890680"/>
    <w:rsid w:val="00892E24"/>
    <w:rsid w:val="008A7ACA"/>
    <w:rsid w:val="008B1737"/>
    <w:rsid w:val="008C3EEC"/>
    <w:rsid w:val="008F3D35"/>
    <w:rsid w:val="00952690"/>
    <w:rsid w:val="00995D68"/>
    <w:rsid w:val="009A43C6"/>
    <w:rsid w:val="009B0884"/>
    <w:rsid w:val="009C7503"/>
    <w:rsid w:val="009F6A77"/>
    <w:rsid w:val="00A31926"/>
    <w:rsid w:val="00A710DF"/>
    <w:rsid w:val="00AF1EB5"/>
    <w:rsid w:val="00B21562"/>
    <w:rsid w:val="00B61A64"/>
    <w:rsid w:val="00B727B6"/>
    <w:rsid w:val="00C0102D"/>
    <w:rsid w:val="00C02354"/>
    <w:rsid w:val="00C539BB"/>
    <w:rsid w:val="00C54E52"/>
    <w:rsid w:val="00C7514A"/>
    <w:rsid w:val="00CC5AA8"/>
    <w:rsid w:val="00CD5993"/>
    <w:rsid w:val="00D32222"/>
    <w:rsid w:val="00D80A97"/>
    <w:rsid w:val="00D85A4E"/>
    <w:rsid w:val="00DC4553"/>
    <w:rsid w:val="00DC4D0D"/>
    <w:rsid w:val="00DF4B8D"/>
    <w:rsid w:val="00E34263"/>
    <w:rsid w:val="00E34721"/>
    <w:rsid w:val="00E4317E"/>
    <w:rsid w:val="00E5030B"/>
    <w:rsid w:val="00E64758"/>
    <w:rsid w:val="00E67862"/>
    <w:rsid w:val="00E753EA"/>
    <w:rsid w:val="00E77EB9"/>
    <w:rsid w:val="00F5271F"/>
    <w:rsid w:val="00F94715"/>
    <w:rsid w:val="00FB055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unhideWhenUsed/>
    <w:rsid w:val="00D85A4E"/>
    <w:pPr>
      <w:spacing w:before="100"/>
    </w:pPr>
    <w:rPr>
      <w:rFonts w:eastAsia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C1A17"/>
    <w:pPr>
      <w:spacing w:before="100"/>
    </w:pPr>
    <w:rPr>
      <w:rFonts w:eastAsiaTheme="minorEastAsia"/>
      <w:sz w:val="20"/>
      <w:szCs w:val="20"/>
      <w:lang w:val="en-AU"/>
    </w:rPr>
    <w:tblPr>
      <w:tblStyleRowBandSize w:val="1"/>
      <w:tblStyleColBandSize w:val="1"/>
      <w:tblBorders>
        <w:top w:val="single" w:sz="4" w:space="0" w:color="E57100" w:themeColor="accent1"/>
        <w:left w:val="single" w:sz="4" w:space="0" w:color="E57100" w:themeColor="accent1"/>
        <w:bottom w:val="single" w:sz="4" w:space="0" w:color="E57100" w:themeColor="accent1"/>
        <w:right w:val="single" w:sz="4" w:space="0" w:color="E571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100" w:themeFill="accent1"/>
      </w:tcPr>
    </w:tblStylePr>
    <w:tblStylePr w:type="lastRow">
      <w:rPr>
        <w:b/>
        <w:bCs/>
      </w:rPr>
      <w:tblPr/>
      <w:tcPr>
        <w:tcBorders>
          <w:top w:val="double" w:sz="4" w:space="0" w:color="E571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100" w:themeColor="accent1"/>
          <w:right w:val="single" w:sz="4" w:space="0" w:color="E57100" w:themeColor="accent1"/>
        </w:tcBorders>
      </w:tcPr>
    </w:tblStylePr>
    <w:tblStylePr w:type="band1Horz">
      <w:tblPr/>
      <w:tcPr>
        <w:tcBorders>
          <w:top w:val="single" w:sz="4" w:space="0" w:color="E57100" w:themeColor="accent1"/>
          <w:bottom w:val="single" w:sz="4" w:space="0" w:color="E571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100" w:themeColor="accent1"/>
          <w:left w:val="nil"/>
        </w:tcBorders>
      </w:tcPr>
    </w:tblStylePr>
    <w:tblStylePr w:type="swCell">
      <w:tblPr/>
      <w:tcPr>
        <w:tcBorders>
          <w:top w:val="double" w:sz="4" w:space="0" w:color="E57100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1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A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ictoriancurriculum.vcaa.vic.edu.au/Curriculum/ContentDescription/VCMNA244" TargetMode="External"/><Relationship Id="rId18" Type="http://schemas.openxmlformats.org/officeDocument/2006/relationships/hyperlink" Target="http://victoriancurriculum.vcaa.vic.edu.au/Curriculum/ContentDescription/VCMNA15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victoriancurriculum.vcaa.vic.edu.au/Curriculum/ContentDescription/VCMNA212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victoriancurriculum.vcaa.vic.edu.au/Curriculum/ContentDescription/VCMNA211" TargetMode="External"/><Relationship Id="rId17" Type="http://schemas.openxmlformats.org/officeDocument/2006/relationships/hyperlink" Target="http://victoriancurriculum.vcaa.vic.edu.au/Curriculum/ContentDescription/VCMNA242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victoriancurriculum.vcaa.vic.edu.au/Curriculum/ContentDescription/VCMNA187" TargetMode="External"/><Relationship Id="rId20" Type="http://schemas.openxmlformats.org/officeDocument/2006/relationships/hyperlink" Target="http://victoriancurriculum.vcaa.vic.edu.au/Curriculum/ContentDescription/VCMNA15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ictoriancurriculum.vcaa.vic.edu.au/Curriculum/ContentDescription/VCMNA245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victoriancurriculum.vcaa.vic.edu.au/Curriculum/ContentDescription/VCMNA243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victoriancurriculum.vcaa.vic.edu.au/Curriculum/ContentDescription/VCMNA2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ictoriancurriculum.vcaa.vic.edu.au/Curriculum/ContentDescription/VCMNA188" TargetMode="External"/><Relationship Id="rId22" Type="http://schemas.openxmlformats.org/officeDocument/2006/relationships/hyperlink" Target="http://victoriancurriculum.vcaa.vic.edu.au/Curriculum/ContentDescription/VCMNA136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Props1.xml><?xml version="1.0" encoding="utf-8"?>
<ds:datastoreItem xmlns:ds="http://schemas.openxmlformats.org/officeDocument/2006/customXml" ds:itemID="{00EFAE96-35FB-4967-B332-15243E8B27DC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 Wardle</cp:lastModifiedBy>
  <cp:revision>7</cp:revision>
  <dcterms:created xsi:type="dcterms:W3CDTF">2021-04-29T01:44:00Z</dcterms:created>
  <dcterms:modified xsi:type="dcterms:W3CDTF">2021-04-29T01:49:00Z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</Properties>
</file>