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E0274" w14:textId="77777777" w:rsidR="00C07B16" w:rsidRPr="0027441D" w:rsidRDefault="00C07B16" w:rsidP="00C37731">
      <w:pPr>
        <w:pStyle w:val="Spacerparatopoffirstpage"/>
        <w:rPr>
          <w:rFonts w:ascii="Calibri" w:hAnsi="Calibri" w:cs="Calibri"/>
          <w:noProof w:val="0"/>
        </w:rPr>
        <w:sectPr w:rsidR="00C07B16" w:rsidRPr="0027441D" w:rsidSect="00CE750D">
          <w:footerReference w:type="default" r:id="rId12"/>
          <w:type w:val="continuous"/>
          <w:pgSz w:w="11906" w:h="16838" w:code="9"/>
          <w:pgMar w:top="567" w:right="851" w:bottom="1134" w:left="1134" w:header="510" w:footer="510" w:gutter="0"/>
          <w:cols w:space="340"/>
          <w:docGrid w:linePitch="360"/>
        </w:sectPr>
      </w:pPr>
      <w:bookmarkStart w:id="0" w:name="_GoBack"/>
      <w:bookmarkEnd w:id="0"/>
    </w:p>
    <w:p w14:paraId="5C40E9D7" w14:textId="77777777" w:rsidR="00306E5F" w:rsidRPr="0027441D" w:rsidRDefault="0075285D" w:rsidP="00C37731">
      <w:pPr>
        <w:pStyle w:val="Spacerparatopoffirstpage"/>
        <w:rPr>
          <w:rFonts w:ascii="Calibri" w:hAnsi="Calibri" w:cs="Calibri"/>
          <w:noProof w:val="0"/>
        </w:rPr>
      </w:pPr>
      <w:r w:rsidRPr="0027441D">
        <w:rPr>
          <w:rFonts w:ascii="Calibri" w:hAnsi="Calibri" w:cs="Calibri"/>
          <w:lang w:eastAsia="en-AU"/>
        </w:rPr>
        <w:drawing>
          <wp:anchor distT="0" distB="0" distL="114300" distR="114300" simplePos="0" relativeHeight="251657216" behindDoc="1" locked="1" layoutInCell="0" allowOverlap="1" wp14:anchorId="77D66E9F" wp14:editId="785EB176">
            <wp:simplePos x="0" y="0"/>
            <wp:positionH relativeFrom="page">
              <wp:posOffset>0</wp:posOffset>
            </wp:positionH>
            <wp:positionV relativeFrom="page">
              <wp:posOffset>324485</wp:posOffset>
            </wp:positionV>
            <wp:extent cx="7563600" cy="151236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3">
                      <a:extLst>
                        <a:ext uri="{28A0092B-C50C-407E-A947-70E740481C1C}">
                          <a14:useLocalDpi xmlns:a14="http://schemas.microsoft.com/office/drawing/2010/main" val="0"/>
                        </a:ext>
                      </a:extLst>
                    </a:blip>
                    <a:stretch>
                      <a:fillRect/>
                    </a:stretch>
                  </pic:blipFill>
                  <pic:spPr>
                    <a:xfrm>
                      <a:off x="0" y="0"/>
                      <a:ext cx="7563600" cy="151236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27441D" w14:paraId="5F25FBA9" w14:textId="77777777" w:rsidTr="001B5CC1">
        <w:trPr>
          <w:trHeight w:val="905"/>
        </w:trPr>
        <w:tc>
          <w:tcPr>
            <w:tcW w:w="9987" w:type="dxa"/>
            <w:shd w:val="clear" w:color="auto" w:fill="auto"/>
            <w:vAlign w:val="bottom"/>
          </w:tcPr>
          <w:p w14:paraId="4157C4CE" w14:textId="04945510" w:rsidR="004946F4" w:rsidRPr="0027441D" w:rsidRDefault="009B4538" w:rsidP="000D7DEE">
            <w:pPr>
              <w:pStyle w:val="DPCmainheading"/>
              <w:rPr>
                <w:rFonts w:ascii="Calibri" w:hAnsi="Calibri" w:cs="Calibri"/>
              </w:rPr>
            </w:pPr>
            <w:r w:rsidRPr="0027441D">
              <w:rPr>
                <w:rFonts w:ascii="Calibri" w:hAnsi="Calibri" w:cs="Calibri"/>
              </w:rPr>
              <w:t>Executive Reforms</w:t>
            </w:r>
          </w:p>
        </w:tc>
      </w:tr>
      <w:tr w:rsidR="005D6597" w:rsidRPr="0027441D" w14:paraId="276CD3D7" w14:textId="77777777" w:rsidTr="001B5CC1">
        <w:trPr>
          <w:trHeight w:val="298"/>
        </w:trPr>
        <w:tc>
          <w:tcPr>
            <w:tcW w:w="9987" w:type="dxa"/>
            <w:shd w:val="clear" w:color="auto" w:fill="auto"/>
            <w:tcMar>
              <w:top w:w="284" w:type="dxa"/>
              <w:bottom w:w="454" w:type="dxa"/>
            </w:tcMar>
          </w:tcPr>
          <w:p w14:paraId="4F3460A7" w14:textId="507A72D6" w:rsidR="005D6597" w:rsidRPr="0027441D" w:rsidRDefault="009B4538" w:rsidP="00CE750D">
            <w:pPr>
              <w:pStyle w:val="DPCmainsubheading"/>
              <w:rPr>
                <w:rFonts w:ascii="Calibri" w:hAnsi="Calibri" w:cs="Calibri"/>
              </w:rPr>
            </w:pPr>
            <w:r w:rsidRPr="0027441D">
              <w:rPr>
                <w:rFonts w:ascii="Calibri" w:hAnsi="Calibri" w:cs="Calibri"/>
              </w:rPr>
              <w:t>Questions and Answers</w:t>
            </w:r>
          </w:p>
        </w:tc>
      </w:tr>
    </w:tbl>
    <w:p w14:paraId="1507AB89" w14:textId="7FE102CA" w:rsidR="00893AF6" w:rsidRPr="0027441D" w:rsidRDefault="009B4538" w:rsidP="005E4097">
      <w:pPr>
        <w:pStyle w:val="Heading1"/>
        <w:rPr>
          <w:rFonts w:ascii="Calibri" w:hAnsi="Calibri" w:cs="Calibri"/>
        </w:rPr>
      </w:pPr>
      <w:bookmarkStart w:id="1" w:name="_Toc34817245"/>
      <w:r w:rsidRPr="0027441D">
        <w:rPr>
          <w:rFonts w:ascii="Calibri" w:hAnsi="Calibri" w:cs="Calibri"/>
        </w:rPr>
        <w:t>Contents</w:t>
      </w:r>
      <w:bookmarkEnd w:id="1"/>
    </w:p>
    <w:p w14:paraId="22D18433" w14:textId="6964C8EF" w:rsidR="00075E12" w:rsidRPr="007B1D3E" w:rsidRDefault="00147884">
      <w:pPr>
        <w:pStyle w:val="TOC1"/>
        <w:rPr>
          <w:rFonts w:ascii="Calibri" w:eastAsiaTheme="minorEastAsia" w:hAnsi="Calibri" w:cs="Calibri"/>
          <w:b w:val="0"/>
          <w:sz w:val="20"/>
          <w:szCs w:val="20"/>
          <w:lang w:eastAsia="en-AU"/>
        </w:rPr>
      </w:pPr>
      <w:r w:rsidRPr="007B1D3E">
        <w:rPr>
          <w:rFonts w:ascii="Calibri" w:hAnsi="Calibri" w:cs="Calibri"/>
          <w:sz w:val="20"/>
          <w:szCs w:val="20"/>
        </w:rPr>
        <w:fldChar w:fldCharType="begin"/>
      </w:r>
      <w:r w:rsidRPr="007B1D3E">
        <w:rPr>
          <w:rFonts w:ascii="Calibri" w:hAnsi="Calibri" w:cs="Calibri"/>
          <w:sz w:val="20"/>
          <w:szCs w:val="20"/>
        </w:rPr>
        <w:instrText xml:space="preserve"> TOC \o "1-2" \h \z \u </w:instrText>
      </w:r>
      <w:r w:rsidRPr="007B1D3E">
        <w:rPr>
          <w:rFonts w:ascii="Calibri" w:hAnsi="Calibri" w:cs="Calibri"/>
          <w:sz w:val="20"/>
          <w:szCs w:val="20"/>
        </w:rPr>
        <w:fldChar w:fldCharType="separate"/>
      </w:r>
      <w:hyperlink w:anchor="_Toc34817245" w:history="1">
        <w:r w:rsidR="00075E12" w:rsidRPr="007B1D3E">
          <w:rPr>
            <w:rStyle w:val="Hyperlink"/>
            <w:rFonts w:ascii="Calibri" w:hAnsi="Calibri" w:cs="Calibri"/>
            <w:sz w:val="20"/>
            <w:szCs w:val="20"/>
          </w:rPr>
          <w:t>Contents</w:t>
        </w:r>
        <w:r w:rsidR="00075E12" w:rsidRPr="007B1D3E">
          <w:rPr>
            <w:rFonts w:ascii="Calibri" w:hAnsi="Calibri" w:cs="Calibri"/>
            <w:webHidden/>
            <w:sz w:val="20"/>
            <w:szCs w:val="20"/>
          </w:rPr>
          <w:tab/>
        </w:r>
        <w:r w:rsidR="00075E12" w:rsidRPr="007B1D3E">
          <w:rPr>
            <w:rFonts w:ascii="Calibri" w:hAnsi="Calibri" w:cs="Calibri"/>
            <w:webHidden/>
            <w:sz w:val="20"/>
            <w:szCs w:val="20"/>
          </w:rPr>
          <w:fldChar w:fldCharType="begin"/>
        </w:r>
        <w:r w:rsidR="00075E12" w:rsidRPr="007B1D3E">
          <w:rPr>
            <w:rFonts w:ascii="Calibri" w:hAnsi="Calibri" w:cs="Calibri"/>
            <w:webHidden/>
            <w:sz w:val="20"/>
            <w:szCs w:val="20"/>
          </w:rPr>
          <w:instrText xml:space="preserve"> PAGEREF _Toc34817245 \h </w:instrText>
        </w:r>
        <w:r w:rsidR="00075E12" w:rsidRPr="007B1D3E">
          <w:rPr>
            <w:rFonts w:ascii="Calibri" w:hAnsi="Calibri" w:cs="Calibri"/>
            <w:webHidden/>
            <w:sz w:val="20"/>
            <w:szCs w:val="20"/>
          </w:rPr>
        </w:r>
        <w:r w:rsidR="00075E12" w:rsidRPr="007B1D3E">
          <w:rPr>
            <w:rFonts w:ascii="Calibri" w:hAnsi="Calibri" w:cs="Calibri"/>
            <w:webHidden/>
            <w:sz w:val="20"/>
            <w:szCs w:val="20"/>
          </w:rPr>
          <w:fldChar w:fldCharType="separate"/>
        </w:r>
        <w:r w:rsidR="00075E12" w:rsidRPr="007B1D3E">
          <w:rPr>
            <w:rFonts w:ascii="Calibri" w:hAnsi="Calibri" w:cs="Calibri"/>
            <w:webHidden/>
            <w:sz w:val="20"/>
            <w:szCs w:val="20"/>
          </w:rPr>
          <w:t>1</w:t>
        </w:r>
        <w:r w:rsidR="00075E12" w:rsidRPr="007B1D3E">
          <w:rPr>
            <w:rFonts w:ascii="Calibri" w:hAnsi="Calibri" w:cs="Calibri"/>
            <w:webHidden/>
            <w:sz w:val="20"/>
            <w:szCs w:val="20"/>
          </w:rPr>
          <w:fldChar w:fldCharType="end"/>
        </w:r>
      </w:hyperlink>
    </w:p>
    <w:p w14:paraId="5AC95FB5" w14:textId="65455ADB" w:rsidR="00075E12" w:rsidRPr="007B1D3E" w:rsidRDefault="002C6C14">
      <w:pPr>
        <w:pStyle w:val="TOC2"/>
        <w:rPr>
          <w:rFonts w:ascii="Calibri" w:eastAsiaTheme="minorEastAsia" w:hAnsi="Calibri" w:cs="Calibri"/>
          <w:sz w:val="20"/>
          <w:szCs w:val="20"/>
          <w:lang w:eastAsia="en-AU"/>
        </w:rPr>
      </w:pPr>
      <w:hyperlink w:anchor="_Toc34817246" w:history="1">
        <w:r w:rsidR="00075E12" w:rsidRPr="007B1D3E">
          <w:rPr>
            <w:rStyle w:val="Hyperlink"/>
            <w:rFonts w:ascii="Calibri" w:hAnsi="Calibri" w:cs="Calibri"/>
            <w:sz w:val="20"/>
            <w:szCs w:val="20"/>
          </w:rPr>
          <w:t>Background</w:t>
        </w:r>
        <w:r w:rsidR="00075E12" w:rsidRPr="007B1D3E">
          <w:rPr>
            <w:rFonts w:ascii="Calibri" w:hAnsi="Calibri" w:cs="Calibri"/>
            <w:webHidden/>
            <w:sz w:val="20"/>
            <w:szCs w:val="20"/>
          </w:rPr>
          <w:tab/>
        </w:r>
        <w:r w:rsidR="00075E12" w:rsidRPr="007B1D3E">
          <w:rPr>
            <w:rFonts w:ascii="Calibri" w:hAnsi="Calibri" w:cs="Calibri"/>
            <w:webHidden/>
            <w:sz w:val="20"/>
            <w:szCs w:val="20"/>
          </w:rPr>
          <w:fldChar w:fldCharType="begin"/>
        </w:r>
        <w:r w:rsidR="00075E12" w:rsidRPr="007B1D3E">
          <w:rPr>
            <w:rFonts w:ascii="Calibri" w:hAnsi="Calibri" w:cs="Calibri"/>
            <w:webHidden/>
            <w:sz w:val="20"/>
            <w:szCs w:val="20"/>
          </w:rPr>
          <w:instrText xml:space="preserve"> PAGEREF _Toc34817246 \h </w:instrText>
        </w:r>
        <w:r w:rsidR="00075E12" w:rsidRPr="007B1D3E">
          <w:rPr>
            <w:rFonts w:ascii="Calibri" w:hAnsi="Calibri" w:cs="Calibri"/>
            <w:webHidden/>
            <w:sz w:val="20"/>
            <w:szCs w:val="20"/>
          </w:rPr>
        </w:r>
        <w:r w:rsidR="00075E12" w:rsidRPr="007B1D3E">
          <w:rPr>
            <w:rFonts w:ascii="Calibri" w:hAnsi="Calibri" w:cs="Calibri"/>
            <w:webHidden/>
            <w:sz w:val="20"/>
            <w:szCs w:val="20"/>
          </w:rPr>
          <w:fldChar w:fldCharType="separate"/>
        </w:r>
        <w:r w:rsidR="00075E12" w:rsidRPr="007B1D3E">
          <w:rPr>
            <w:rFonts w:ascii="Calibri" w:hAnsi="Calibri" w:cs="Calibri"/>
            <w:webHidden/>
            <w:sz w:val="20"/>
            <w:szCs w:val="20"/>
          </w:rPr>
          <w:t>1</w:t>
        </w:r>
        <w:r w:rsidR="00075E12" w:rsidRPr="007B1D3E">
          <w:rPr>
            <w:rFonts w:ascii="Calibri" w:hAnsi="Calibri" w:cs="Calibri"/>
            <w:webHidden/>
            <w:sz w:val="20"/>
            <w:szCs w:val="20"/>
          </w:rPr>
          <w:fldChar w:fldCharType="end"/>
        </w:r>
      </w:hyperlink>
    </w:p>
    <w:p w14:paraId="7A699205" w14:textId="029CCB11" w:rsidR="00075E12" w:rsidRPr="007B1D3E" w:rsidRDefault="002C6C14">
      <w:pPr>
        <w:pStyle w:val="TOC2"/>
        <w:rPr>
          <w:rFonts w:ascii="Calibri" w:eastAsiaTheme="minorEastAsia" w:hAnsi="Calibri" w:cs="Calibri"/>
          <w:sz w:val="20"/>
          <w:szCs w:val="20"/>
          <w:lang w:eastAsia="en-AU"/>
        </w:rPr>
      </w:pPr>
      <w:hyperlink w:anchor="_Toc34817247" w:history="1">
        <w:r w:rsidR="00075E12" w:rsidRPr="007B1D3E">
          <w:rPr>
            <w:rStyle w:val="Hyperlink"/>
            <w:rFonts w:ascii="Calibri" w:hAnsi="Calibri" w:cs="Calibri"/>
            <w:sz w:val="20"/>
            <w:szCs w:val="20"/>
          </w:rPr>
          <w:t>Victorian Public Sector Executive Remuneration Determination</w:t>
        </w:r>
        <w:r w:rsidR="00075E12" w:rsidRPr="007B1D3E">
          <w:rPr>
            <w:rFonts w:ascii="Calibri" w:hAnsi="Calibri" w:cs="Calibri"/>
            <w:webHidden/>
            <w:sz w:val="20"/>
            <w:szCs w:val="20"/>
          </w:rPr>
          <w:tab/>
        </w:r>
        <w:r w:rsidR="00075E12" w:rsidRPr="007B1D3E">
          <w:rPr>
            <w:rFonts w:ascii="Calibri" w:hAnsi="Calibri" w:cs="Calibri"/>
            <w:webHidden/>
            <w:sz w:val="20"/>
            <w:szCs w:val="20"/>
          </w:rPr>
          <w:fldChar w:fldCharType="begin"/>
        </w:r>
        <w:r w:rsidR="00075E12" w:rsidRPr="007B1D3E">
          <w:rPr>
            <w:rFonts w:ascii="Calibri" w:hAnsi="Calibri" w:cs="Calibri"/>
            <w:webHidden/>
            <w:sz w:val="20"/>
            <w:szCs w:val="20"/>
          </w:rPr>
          <w:instrText xml:space="preserve"> PAGEREF _Toc34817247 \h </w:instrText>
        </w:r>
        <w:r w:rsidR="00075E12" w:rsidRPr="007B1D3E">
          <w:rPr>
            <w:rFonts w:ascii="Calibri" w:hAnsi="Calibri" w:cs="Calibri"/>
            <w:webHidden/>
            <w:sz w:val="20"/>
            <w:szCs w:val="20"/>
          </w:rPr>
        </w:r>
        <w:r w:rsidR="00075E12" w:rsidRPr="007B1D3E">
          <w:rPr>
            <w:rFonts w:ascii="Calibri" w:hAnsi="Calibri" w:cs="Calibri"/>
            <w:webHidden/>
            <w:sz w:val="20"/>
            <w:szCs w:val="20"/>
          </w:rPr>
          <w:fldChar w:fldCharType="separate"/>
        </w:r>
        <w:r w:rsidR="00075E12" w:rsidRPr="007B1D3E">
          <w:rPr>
            <w:rFonts w:ascii="Calibri" w:hAnsi="Calibri" w:cs="Calibri"/>
            <w:webHidden/>
            <w:sz w:val="20"/>
            <w:szCs w:val="20"/>
          </w:rPr>
          <w:t>2</w:t>
        </w:r>
        <w:r w:rsidR="00075E12" w:rsidRPr="007B1D3E">
          <w:rPr>
            <w:rFonts w:ascii="Calibri" w:hAnsi="Calibri" w:cs="Calibri"/>
            <w:webHidden/>
            <w:sz w:val="20"/>
            <w:szCs w:val="20"/>
          </w:rPr>
          <w:fldChar w:fldCharType="end"/>
        </w:r>
      </w:hyperlink>
    </w:p>
    <w:p w14:paraId="3F13BFE7" w14:textId="397800D2" w:rsidR="00075E12" w:rsidRPr="007B1D3E" w:rsidRDefault="002C6C14">
      <w:pPr>
        <w:pStyle w:val="TOC2"/>
        <w:rPr>
          <w:rFonts w:ascii="Calibri" w:eastAsiaTheme="minorEastAsia" w:hAnsi="Calibri" w:cs="Calibri"/>
          <w:sz w:val="20"/>
          <w:szCs w:val="20"/>
          <w:lang w:eastAsia="en-AU"/>
        </w:rPr>
      </w:pPr>
      <w:hyperlink w:anchor="_Toc34817248" w:history="1">
        <w:r w:rsidR="00075E12" w:rsidRPr="007B1D3E">
          <w:rPr>
            <w:rStyle w:val="Hyperlink"/>
            <w:rFonts w:ascii="Calibri" w:hAnsi="Calibri" w:cs="Calibri"/>
            <w:sz w:val="20"/>
            <w:szCs w:val="20"/>
          </w:rPr>
          <w:t>Changes to Executive Terminology</w:t>
        </w:r>
        <w:r w:rsidR="00075E12" w:rsidRPr="007B1D3E">
          <w:rPr>
            <w:rFonts w:ascii="Calibri" w:hAnsi="Calibri" w:cs="Calibri"/>
            <w:webHidden/>
            <w:sz w:val="20"/>
            <w:szCs w:val="20"/>
          </w:rPr>
          <w:tab/>
        </w:r>
        <w:r w:rsidR="00075E12" w:rsidRPr="007B1D3E">
          <w:rPr>
            <w:rFonts w:ascii="Calibri" w:hAnsi="Calibri" w:cs="Calibri"/>
            <w:webHidden/>
            <w:sz w:val="20"/>
            <w:szCs w:val="20"/>
          </w:rPr>
          <w:fldChar w:fldCharType="begin"/>
        </w:r>
        <w:r w:rsidR="00075E12" w:rsidRPr="007B1D3E">
          <w:rPr>
            <w:rFonts w:ascii="Calibri" w:hAnsi="Calibri" w:cs="Calibri"/>
            <w:webHidden/>
            <w:sz w:val="20"/>
            <w:szCs w:val="20"/>
          </w:rPr>
          <w:instrText xml:space="preserve"> PAGEREF _Toc34817248 \h </w:instrText>
        </w:r>
        <w:r w:rsidR="00075E12" w:rsidRPr="007B1D3E">
          <w:rPr>
            <w:rFonts w:ascii="Calibri" w:hAnsi="Calibri" w:cs="Calibri"/>
            <w:webHidden/>
            <w:sz w:val="20"/>
            <w:szCs w:val="20"/>
          </w:rPr>
        </w:r>
        <w:r w:rsidR="00075E12" w:rsidRPr="007B1D3E">
          <w:rPr>
            <w:rFonts w:ascii="Calibri" w:hAnsi="Calibri" w:cs="Calibri"/>
            <w:webHidden/>
            <w:sz w:val="20"/>
            <w:szCs w:val="20"/>
          </w:rPr>
          <w:fldChar w:fldCharType="separate"/>
        </w:r>
        <w:r w:rsidR="00075E12" w:rsidRPr="007B1D3E">
          <w:rPr>
            <w:rFonts w:ascii="Calibri" w:hAnsi="Calibri" w:cs="Calibri"/>
            <w:webHidden/>
            <w:sz w:val="20"/>
            <w:szCs w:val="20"/>
          </w:rPr>
          <w:t>5</w:t>
        </w:r>
        <w:r w:rsidR="00075E12" w:rsidRPr="007B1D3E">
          <w:rPr>
            <w:rFonts w:ascii="Calibri" w:hAnsi="Calibri" w:cs="Calibri"/>
            <w:webHidden/>
            <w:sz w:val="20"/>
            <w:szCs w:val="20"/>
          </w:rPr>
          <w:fldChar w:fldCharType="end"/>
        </w:r>
      </w:hyperlink>
    </w:p>
    <w:p w14:paraId="73B5E4F2" w14:textId="5BB430A0" w:rsidR="00075E12" w:rsidRPr="007B1D3E" w:rsidRDefault="002C6C14">
      <w:pPr>
        <w:pStyle w:val="TOC2"/>
        <w:rPr>
          <w:rFonts w:ascii="Calibri" w:eastAsiaTheme="minorEastAsia" w:hAnsi="Calibri" w:cs="Calibri"/>
          <w:sz w:val="20"/>
          <w:szCs w:val="20"/>
          <w:lang w:eastAsia="en-AU"/>
        </w:rPr>
      </w:pPr>
      <w:hyperlink w:anchor="_Toc34817249" w:history="1">
        <w:r w:rsidR="00075E12" w:rsidRPr="007B1D3E">
          <w:rPr>
            <w:rStyle w:val="Hyperlink"/>
            <w:rFonts w:ascii="Calibri" w:hAnsi="Calibri" w:cs="Calibri"/>
            <w:sz w:val="20"/>
            <w:szCs w:val="20"/>
          </w:rPr>
          <w:t>VPS Executive Classification Framework and Work Value Assessments</w:t>
        </w:r>
        <w:r w:rsidR="00075E12" w:rsidRPr="007B1D3E">
          <w:rPr>
            <w:rFonts w:ascii="Calibri" w:hAnsi="Calibri" w:cs="Calibri"/>
            <w:webHidden/>
            <w:sz w:val="20"/>
            <w:szCs w:val="20"/>
          </w:rPr>
          <w:tab/>
        </w:r>
        <w:r w:rsidR="00075E12" w:rsidRPr="007B1D3E">
          <w:rPr>
            <w:rFonts w:ascii="Calibri" w:hAnsi="Calibri" w:cs="Calibri"/>
            <w:webHidden/>
            <w:sz w:val="20"/>
            <w:szCs w:val="20"/>
          </w:rPr>
          <w:fldChar w:fldCharType="begin"/>
        </w:r>
        <w:r w:rsidR="00075E12" w:rsidRPr="007B1D3E">
          <w:rPr>
            <w:rFonts w:ascii="Calibri" w:hAnsi="Calibri" w:cs="Calibri"/>
            <w:webHidden/>
            <w:sz w:val="20"/>
            <w:szCs w:val="20"/>
          </w:rPr>
          <w:instrText xml:space="preserve"> PAGEREF _Toc34817249 \h </w:instrText>
        </w:r>
        <w:r w:rsidR="00075E12" w:rsidRPr="007B1D3E">
          <w:rPr>
            <w:rFonts w:ascii="Calibri" w:hAnsi="Calibri" w:cs="Calibri"/>
            <w:webHidden/>
            <w:sz w:val="20"/>
            <w:szCs w:val="20"/>
          </w:rPr>
        </w:r>
        <w:r w:rsidR="00075E12" w:rsidRPr="007B1D3E">
          <w:rPr>
            <w:rFonts w:ascii="Calibri" w:hAnsi="Calibri" w:cs="Calibri"/>
            <w:webHidden/>
            <w:sz w:val="20"/>
            <w:szCs w:val="20"/>
          </w:rPr>
          <w:fldChar w:fldCharType="separate"/>
        </w:r>
        <w:r w:rsidR="00075E12" w:rsidRPr="007B1D3E">
          <w:rPr>
            <w:rFonts w:ascii="Calibri" w:hAnsi="Calibri" w:cs="Calibri"/>
            <w:webHidden/>
            <w:sz w:val="20"/>
            <w:szCs w:val="20"/>
          </w:rPr>
          <w:t>6</w:t>
        </w:r>
        <w:r w:rsidR="00075E12" w:rsidRPr="007B1D3E">
          <w:rPr>
            <w:rFonts w:ascii="Calibri" w:hAnsi="Calibri" w:cs="Calibri"/>
            <w:webHidden/>
            <w:sz w:val="20"/>
            <w:szCs w:val="20"/>
          </w:rPr>
          <w:fldChar w:fldCharType="end"/>
        </w:r>
      </w:hyperlink>
    </w:p>
    <w:p w14:paraId="241D0490" w14:textId="0D914604" w:rsidR="00075E12" w:rsidRPr="007B1D3E" w:rsidRDefault="002C6C14">
      <w:pPr>
        <w:pStyle w:val="TOC2"/>
        <w:rPr>
          <w:rFonts w:ascii="Calibri" w:eastAsiaTheme="minorEastAsia" w:hAnsi="Calibri" w:cs="Calibri"/>
          <w:sz w:val="20"/>
          <w:szCs w:val="20"/>
          <w:lang w:eastAsia="en-AU"/>
        </w:rPr>
      </w:pPr>
      <w:hyperlink w:anchor="_Toc34817250" w:history="1">
        <w:r w:rsidR="00075E12" w:rsidRPr="007B1D3E">
          <w:rPr>
            <w:rStyle w:val="Hyperlink"/>
            <w:rFonts w:ascii="Calibri" w:hAnsi="Calibri" w:cs="Calibri"/>
            <w:sz w:val="20"/>
            <w:szCs w:val="20"/>
          </w:rPr>
          <w:t>Further assistance</w:t>
        </w:r>
        <w:r w:rsidR="00075E12" w:rsidRPr="007B1D3E">
          <w:rPr>
            <w:rFonts w:ascii="Calibri" w:hAnsi="Calibri" w:cs="Calibri"/>
            <w:webHidden/>
            <w:sz w:val="20"/>
            <w:szCs w:val="20"/>
          </w:rPr>
          <w:tab/>
        </w:r>
        <w:r w:rsidR="00075E12" w:rsidRPr="007B1D3E">
          <w:rPr>
            <w:rFonts w:ascii="Calibri" w:hAnsi="Calibri" w:cs="Calibri"/>
            <w:webHidden/>
            <w:sz w:val="20"/>
            <w:szCs w:val="20"/>
          </w:rPr>
          <w:fldChar w:fldCharType="begin"/>
        </w:r>
        <w:r w:rsidR="00075E12" w:rsidRPr="007B1D3E">
          <w:rPr>
            <w:rFonts w:ascii="Calibri" w:hAnsi="Calibri" w:cs="Calibri"/>
            <w:webHidden/>
            <w:sz w:val="20"/>
            <w:szCs w:val="20"/>
          </w:rPr>
          <w:instrText xml:space="preserve"> PAGEREF _Toc34817250 \h </w:instrText>
        </w:r>
        <w:r w:rsidR="00075E12" w:rsidRPr="007B1D3E">
          <w:rPr>
            <w:rFonts w:ascii="Calibri" w:hAnsi="Calibri" w:cs="Calibri"/>
            <w:webHidden/>
            <w:sz w:val="20"/>
            <w:szCs w:val="20"/>
          </w:rPr>
        </w:r>
        <w:r w:rsidR="00075E12" w:rsidRPr="007B1D3E">
          <w:rPr>
            <w:rFonts w:ascii="Calibri" w:hAnsi="Calibri" w:cs="Calibri"/>
            <w:webHidden/>
            <w:sz w:val="20"/>
            <w:szCs w:val="20"/>
          </w:rPr>
          <w:fldChar w:fldCharType="separate"/>
        </w:r>
        <w:r w:rsidR="00075E12" w:rsidRPr="007B1D3E">
          <w:rPr>
            <w:rFonts w:ascii="Calibri" w:hAnsi="Calibri" w:cs="Calibri"/>
            <w:webHidden/>
            <w:sz w:val="20"/>
            <w:szCs w:val="20"/>
          </w:rPr>
          <w:t>8</w:t>
        </w:r>
        <w:r w:rsidR="00075E12" w:rsidRPr="007B1D3E">
          <w:rPr>
            <w:rFonts w:ascii="Calibri" w:hAnsi="Calibri" w:cs="Calibri"/>
            <w:webHidden/>
            <w:sz w:val="20"/>
            <w:szCs w:val="20"/>
          </w:rPr>
          <w:fldChar w:fldCharType="end"/>
        </w:r>
      </w:hyperlink>
    </w:p>
    <w:p w14:paraId="64A8EEBB" w14:textId="0A34B35C" w:rsidR="009B4538" w:rsidRPr="0027441D" w:rsidRDefault="00147884" w:rsidP="009B4538">
      <w:pPr>
        <w:pStyle w:val="DPCbody"/>
        <w:rPr>
          <w:rFonts w:ascii="Calibri" w:hAnsi="Calibri" w:cs="Calibri"/>
        </w:rPr>
      </w:pPr>
      <w:r w:rsidRPr="007B1D3E">
        <w:rPr>
          <w:rFonts w:ascii="Calibri" w:hAnsi="Calibri" w:cs="Calibri"/>
          <w:sz w:val="20"/>
          <w:szCs w:val="20"/>
        </w:rPr>
        <w:fldChar w:fldCharType="end"/>
      </w:r>
    </w:p>
    <w:p w14:paraId="66F3B1ED" w14:textId="77777777" w:rsidR="009B4538" w:rsidRPr="007B1D3E" w:rsidRDefault="009B4538" w:rsidP="00D435B9">
      <w:pPr>
        <w:pStyle w:val="Heading2"/>
        <w:rPr>
          <w:rFonts w:ascii="Calibri" w:hAnsi="Calibri" w:cs="Calibri"/>
        </w:rPr>
      </w:pPr>
      <w:bookmarkStart w:id="2" w:name="_Toc33775146"/>
      <w:bookmarkStart w:id="3" w:name="_Toc34817246"/>
      <w:bookmarkStart w:id="4" w:name="_Toc410976288"/>
      <w:r w:rsidRPr="007B1D3E">
        <w:rPr>
          <w:rFonts w:ascii="Calibri" w:hAnsi="Calibri" w:cs="Calibri"/>
        </w:rPr>
        <w:t>Background</w:t>
      </w:r>
      <w:bookmarkEnd w:id="2"/>
      <w:bookmarkEnd w:id="3"/>
    </w:p>
    <w:p w14:paraId="2DFDBBCC" w14:textId="77777777" w:rsidR="009B4538" w:rsidRPr="0027441D" w:rsidRDefault="009B4538" w:rsidP="009B4538">
      <w:pPr>
        <w:rPr>
          <w:rFonts w:ascii="Calibri" w:hAnsi="Calibri" w:cs="Calibri"/>
        </w:rPr>
      </w:pPr>
    </w:p>
    <w:p w14:paraId="7A1A4DC2" w14:textId="5AE045B5" w:rsidR="009B4538" w:rsidRPr="0027441D" w:rsidRDefault="009B4538" w:rsidP="0059177C">
      <w:pPr>
        <w:spacing w:before="120" w:after="120"/>
        <w:rPr>
          <w:rFonts w:ascii="Calibri" w:hAnsi="Calibri" w:cs="Calibri"/>
        </w:rPr>
      </w:pPr>
      <w:r w:rsidRPr="0027441D">
        <w:rPr>
          <w:rFonts w:ascii="Calibri" w:hAnsi="Calibri" w:cs="Calibri"/>
        </w:rPr>
        <w:t xml:space="preserve">The Victorian Independent Remuneration Tribunal (Tribunal) was established in 2019 under the </w:t>
      </w:r>
      <w:r w:rsidRPr="0027441D">
        <w:rPr>
          <w:rFonts w:ascii="Calibri" w:hAnsi="Calibri" w:cs="Calibri"/>
          <w:i/>
        </w:rPr>
        <w:t>Victorian Independent Remuneration Tribunal and Improving Parliamentary Standards Act 2019</w:t>
      </w:r>
      <w:r w:rsidRPr="0027441D">
        <w:rPr>
          <w:rFonts w:ascii="Calibri" w:hAnsi="Calibri" w:cs="Calibri"/>
        </w:rPr>
        <w:t xml:space="preserve"> to determine executive remuneration bands, salaries and allowances for Victorian Members of Parliament and executives in the Victorian public sector.</w:t>
      </w:r>
    </w:p>
    <w:p w14:paraId="5E2604B6" w14:textId="25D94A62" w:rsidR="009B4538" w:rsidRPr="0027441D" w:rsidRDefault="009B4538" w:rsidP="0059177C">
      <w:pPr>
        <w:spacing w:before="120" w:after="120"/>
        <w:rPr>
          <w:rFonts w:ascii="Calibri" w:hAnsi="Calibri" w:cs="Calibri"/>
        </w:rPr>
      </w:pPr>
      <w:r w:rsidRPr="0027441D">
        <w:rPr>
          <w:rFonts w:ascii="Calibri" w:hAnsi="Calibri" w:cs="Calibri"/>
        </w:rPr>
        <w:t xml:space="preserve">The establishment of the Tribunal is part of a broad range of targeted reforms for the </w:t>
      </w:r>
      <w:r w:rsidR="005E0DB7">
        <w:rPr>
          <w:rFonts w:ascii="Calibri" w:hAnsi="Calibri" w:cs="Calibri"/>
        </w:rPr>
        <w:t>Victorian Public Service (</w:t>
      </w:r>
      <w:r w:rsidRPr="0027441D">
        <w:rPr>
          <w:rFonts w:ascii="Calibri" w:hAnsi="Calibri" w:cs="Calibri"/>
        </w:rPr>
        <w:t>VPS</w:t>
      </w:r>
      <w:r w:rsidR="005E0DB7">
        <w:rPr>
          <w:rFonts w:ascii="Calibri" w:hAnsi="Calibri" w:cs="Calibri"/>
        </w:rPr>
        <w:t>)</w:t>
      </w:r>
      <w:r w:rsidRPr="0027441D">
        <w:rPr>
          <w:rFonts w:ascii="Calibri" w:hAnsi="Calibri" w:cs="Calibri"/>
        </w:rPr>
        <w:t xml:space="preserve"> executive workforce being delivered by the Department of Premier and Cabinet (DPC) and the Victorian Public Sector Commission (VPSC). </w:t>
      </w:r>
    </w:p>
    <w:p w14:paraId="738F900F" w14:textId="0AECFCFC" w:rsidR="009B4538" w:rsidRPr="0027441D" w:rsidRDefault="009B4538" w:rsidP="0059177C">
      <w:pPr>
        <w:spacing w:before="120" w:after="120"/>
        <w:rPr>
          <w:rFonts w:ascii="Calibri" w:hAnsi="Calibri" w:cs="Calibri"/>
        </w:rPr>
      </w:pPr>
      <w:r w:rsidRPr="0027441D">
        <w:rPr>
          <w:rFonts w:ascii="Calibri" w:hAnsi="Calibri" w:cs="Calibri"/>
        </w:rPr>
        <w:t xml:space="preserve">The Tribunal’s first Determination for Members of Parliament was made in September 2019. The Tribunal’s second Determination, for VPS executive positions, was issued </w:t>
      </w:r>
      <w:r w:rsidRPr="00300AE7">
        <w:rPr>
          <w:rFonts w:ascii="Calibri" w:hAnsi="Calibri" w:cs="Calibri"/>
        </w:rPr>
        <w:t>on</w:t>
      </w:r>
      <w:r w:rsidR="005A062F" w:rsidRPr="00300AE7">
        <w:rPr>
          <w:rFonts w:ascii="Calibri" w:hAnsi="Calibri" w:cs="Calibri"/>
        </w:rPr>
        <w:t xml:space="preserve"> </w:t>
      </w:r>
      <w:r w:rsidR="00300AE7" w:rsidRPr="00300AE7">
        <w:rPr>
          <w:rFonts w:ascii="Calibri" w:hAnsi="Calibri" w:cs="Calibri"/>
        </w:rPr>
        <w:t>22 May 2020</w:t>
      </w:r>
      <w:r w:rsidRPr="0027441D">
        <w:rPr>
          <w:rFonts w:ascii="Calibri" w:hAnsi="Calibri" w:cs="Calibri"/>
        </w:rPr>
        <w:t>. There will be a separate Determination for public entity executive positions in 2020.</w:t>
      </w:r>
    </w:p>
    <w:p w14:paraId="65967666" w14:textId="77777777" w:rsidR="009B4538" w:rsidRPr="0027441D" w:rsidRDefault="009B4538" w:rsidP="0059177C">
      <w:pPr>
        <w:spacing w:before="120" w:after="120"/>
        <w:rPr>
          <w:rFonts w:ascii="Calibri" w:hAnsi="Calibri" w:cs="Calibri"/>
        </w:rPr>
      </w:pPr>
      <w:r w:rsidRPr="0027441D">
        <w:rPr>
          <w:rFonts w:ascii="Calibri" w:hAnsi="Calibri" w:cs="Calibri"/>
        </w:rPr>
        <w:t>As part of the executive reforms, a VPS Executive Classification Framework (the Framework) has been developed, which is intended to deliver:</w:t>
      </w:r>
    </w:p>
    <w:p w14:paraId="58491712" w14:textId="77777777" w:rsidR="009B4538" w:rsidRPr="0027441D" w:rsidRDefault="009B4538" w:rsidP="0059177C">
      <w:pPr>
        <w:pStyle w:val="ListParagraph"/>
        <w:numPr>
          <w:ilvl w:val="0"/>
          <w:numId w:val="17"/>
        </w:numPr>
        <w:spacing w:before="120" w:after="120"/>
        <w:contextualSpacing w:val="0"/>
        <w:rPr>
          <w:rFonts w:ascii="Calibri" w:hAnsi="Calibri" w:cs="Calibri"/>
          <w:sz w:val="20"/>
          <w:szCs w:val="20"/>
        </w:rPr>
      </w:pPr>
      <w:r w:rsidRPr="0027441D">
        <w:rPr>
          <w:rFonts w:ascii="Calibri" w:hAnsi="Calibri" w:cs="Calibri"/>
          <w:sz w:val="20"/>
          <w:szCs w:val="20"/>
        </w:rPr>
        <w:t>a consistent methodology to classify executive positions across the VPS, with a clear differentiation between and within bands</w:t>
      </w:r>
    </w:p>
    <w:p w14:paraId="0706FC96" w14:textId="77777777" w:rsidR="009B4538" w:rsidRPr="0027441D" w:rsidRDefault="009B4538" w:rsidP="0059177C">
      <w:pPr>
        <w:pStyle w:val="ListParagraph"/>
        <w:numPr>
          <w:ilvl w:val="0"/>
          <w:numId w:val="17"/>
        </w:numPr>
        <w:spacing w:before="120" w:after="120"/>
        <w:contextualSpacing w:val="0"/>
        <w:rPr>
          <w:rFonts w:ascii="Calibri" w:hAnsi="Calibri" w:cs="Calibri"/>
          <w:sz w:val="20"/>
          <w:szCs w:val="20"/>
        </w:rPr>
      </w:pPr>
      <w:r w:rsidRPr="0027441D">
        <w:rPr>
          <w:rFonts w:ascii="Calibri" w:hAnsi="Calibri" w:cs="Calibri"/>
          <w:sz w:val="20"/>
          <w:szCs w:val="20"/>
        </w:rPr>
        <w:t>the introduction of standard executive position titles</w:t>
      </w:r>
    </w:p>
    <w:p w14:paraId="3214C150" w14:textId="59BA0991" w:rsidR="009B4538" w:rsidRPr="0027441D" w:rsidRDefault="009B4538" w:rsidP="0059177C">
      <w:pPr>
        <w:pStyle w:val="ListParagraph"/>
        <w:numPr>
          <w:ilvl w:val="0"/>
          <w:numId w:val="17"/>
        </w:numPr>
        <w:spacing w:before="120" w:after="120"/>
        <w:contextualSpacing w:val="0"/>
        <w:rPr>
          <w:rFonts w:ascii="Calibri" w:hAnsi="Calibri" w:cs="Calibri"/>
          <w:sz w:val="20"/>
          <w:szCs w:val="20"/>
        </w:rPr>
      </w:pPr>
      <w:r w:rsidRPr="0027441D">
        <w:rPr>
          <w:rFonts w:ascii="Calibri" w:hAnsi="Calibri" w:cs="Calibri"/>
          <w:sz w:val="20"/>
          <w:szCs w:val="20"/>
        </w:rPr>
        <w:t xml:space="preserve">the renaming and reordering of the executive bands of the VPS, where </w:t>
      </w:r>
      <w:r w:rsidR="00713D67" w:rsidRPr="0027441D">
        <w:rPr>
          <w:rFonts w:ascii="Calibri" w:hAnsi="Calibri" w:cs="Calibri"/>
          <w:sz w:val="20"/>
          <w:szCs w:val="20"/>
        </w:rPr>
        <w:t>Executive Officer (</w:t>
      </w:r>
      <w:r w:rsidRPr="0027441D">
        <w:rPr>
          <w:rFonts w:ascii="Calibri" w:hAnsi="Calibri" w:cs="Calibri"/>
          <w:sz w:val="20"/>
          <w:szCs w:val="20"/>
        </w:rPr>
        <w:t>EO</w:t>
      </w:r>
      <w:r w:rsidR="00713D67" w:rsidRPr="0027441D">
        <w:rPr>
          <w:rFonts w:ascii="Calibri" w:hAnsi="Calibri" w:cs="Calibri"/>
          <w:sz w:val="20"/>
          <w:szCs w:val="20"/>
        </w:rPr>
        <w:t>)</w:t>
      </w:r>
      <w:r w:rsidRPr="0027441D">
        <w:rPr>
          <w:rFonts w:ascii="Calibri" w:hAnsi="Calibri" w:cs="Calibri"/>
          <w:sz w:val="20"/>
          <w:szCs w:val="20"/>
        </w:rPr>
        <w:t xml:space="preserve"> bands become </w:t>
      </w:r>
      <w:r w:rsidR="00713D67" w:rsidRPr="0027441D">
        <w:rPr>
          <w:rFonts w:ascii="Calibri" w:hAnsi="Calibri" w:cs="Calibri"/>
          <w:sz w:val="20"/>
          <w:szCs w:val="20"/>
        </w:rPr>
        <w:t>Senior Executive Service (</w:t>
      </w:r>
      <w:r w:rsidRPr="0027441D">
        <w:rPr>
          <w:rFonts w:ascii="Calibri" w:hAnsi="Calibri" w:cs="Calibri"/>
          <w:sz w:val="20"/>
          <w:szCs w:val="20"/>
        </w:rPr>
        <w:t>SES</w:t>
      </w:r>
      <w:r w:rsidR="00713D67" w:rsidRPr="0027441D">
        <w:rPr>
          <w:rFonts w:ascii="Calibri" w:hAnsi="Calibri" w:cs="Calibri"/>
          <w:sz w:val="20"/>
          <w:szCs w:val="20"/>
        </w:rPr>
        <w:t>)</w:t>
      </w:r>
      <w:r w:rsidRPr="0027441D">
        <w:rPr>
          <w:rFonts w:ascii="Calibri" w:hAnsi="Calibri" w:cs="Calibri"/>
          <w:sz w:val="20"/>
          <w:szCs w:val="20"/>
        </w:rPr>
        <w:t xml:space="preserve"> bands.</w:t>
      </w:r>
    </w:p>
    <w:p w14:paraId="6148E417" w14:textId="1F7C0EE6" w:rsidR="009B4538" w:rsidRPr="0027441D" w:rsidRDefault="009B4538" w:rsidP="0059177C">
      <w:pPr>
        <w:spacing w:before="120" w:after="120"/>
        <w:rPr>
          <w:rFonts w:ascii="Calibri" w:hAnsi="Calibri" w:cs="Calibri"/>
        </w:rPr>
      </w:pPr>
      <w:r w:rsidRPr="0027441D">
        <w:rPr>
          <w:rFonts w:ascii="Calibri" w:hAnsi="Calibri" w:cs="Calibri"/>
        </w:rPr>
        <w:t>The Tribunal’s VPS executive remuneration Determination</w:t>
      </w:r>
      <w:r w:rsidR="00D73860">
        <w:rPr>
          <w:rFonts w:ascii="Calibri" w:hAnsi="Calibri" w:cs="Calibri"/>
        </w:rPr>
        <w:t xml:space="preserve"> </w:t>
      </w:r>
      <w:r w:rsidR="005A062F" w:rsidRPr="0027441D">
        <w:rPr>
          <w:rFonts w:ascii="Calibri" w:hAnsi="Calibri" w:cs="Calibri"/>
        </w:rPr>
        <w:t xml:space="preserve">triggers the renaming of the executive level of the VPS to </w:t>
      </w:r>
      <w:r w:rsidR="00713D67" w:rsidRPr="0027441D">
        <w:rPr>
          <w:rFonts w:ascii="Calibri" w:hAnsi="Calibri" w:cs="Calibri"/>
        </w:rPr>
        <w:t>SES</w:t>
      </w:r>
      <w:r w:rsidR="005A062F" w:rsidRPr="0027441D">
        <w:rPr>
          <w:rFonts w:ascii="Calibri" w:hAnsi="Calibri" w:cs="Calibri"/>
        </w:rPr>
        <w:t xml:space="preserve"> and the introduction of SES bands to replace EO bands</w:t>
      </w:r>
      <w:r w:rsidRPr="0027441D">
        <w:rPr>
          <w:rFonts w:ascii="Calibri" w:hAnsi="Calibri" w:cs="Calibri"/>
        </w:rPr>
        <w:t>.</w:t>
      </w:r>
    </w:p>
    <w:p w14:paraId="5A74A95C" w14:textId="48920C28" w:rsidR="009B4538" w:rsidRPr="0027441D" w:rsidRDefault="009B4538" w:rsidP="009B4538">
      <w:pPr>
        <w:rPr>
          <w:rFonts w:ascii="Calibri" w:hAnsi="Calibri" w:cs="Calibri"/>
        </w:rPr>
      </w:pPr>
    </w:p>
    <w:p w14:paraId="25E93D4A" w14:textId="77777777" w:rsidR="009B4538" w:rsidRPr="0027441D" w:rsidRDefault="009B4538" w:rsidP="009B4538">
      <w:pPr>
        <w:rPr>
          <w:rFonts w:ascii="Calibri" w:hAnsi="Calibri" w:cs="Calibri"/>
        </w:rPr>
      </w:pPr>
    </w:p>
    <w:p w14:paraId="5B918E3B" w14:textId="77777777" w:rsidR="009B4538" w:rsidRPr="0027441D" w:rsidRDefault="009B4538">
      <w:pPr>
        <w:rPr>
          <w:rFonts w:ascii="Calibri" w:eastAsia="MS Gothic" w:hAnsi="Calibri" w:cs="Calibri"/>
          <w:bCs/>
          <w:iCs/>
          <w:color w:val="0072CE"/>
          <w:sz w:val="28"/>
          <w:szCs w:val="36"/>
        </w:rPr>
      </w:pPr>
      <w:bookmarkStart w:id="5" w:name="_Toc33775148"/>
      <w:r w:rsidRPr="0027441D">
        <w:rPr>
          <w:rFonts w:ascii="Calibri" w:hAnsi="Calibri" w:cs="Calibri"/>
          <w:sz w:val="28"/>
        </w:rPr>
        <w:br w:type="page"/>
      </w:r>
    </w:p>
    <w:p w14:paraId="12943C93" w14:textId="21EB5110" w:rsidR="009B4538" w:rsidRPr="007B1D3E" w:rsidRDefault="009B4538" w:rsidP="00D435B9">
      <w:pPr>
        <w:pStyle w:val="Heading2"/>
        <w:rPr>
          <w:rFonts w:ascii="Calibri" w:hAnsi="Calibri" w:cs="Calibri"/>
          <w:b/>
        </w:rPr>
      </w:pPr>
      <w:bookmarkStart w:id="6" w:name="_Toc34817247"/>
      <w:r w:rsidRPr="007B1D3E">
        <w:rPr>
          <w:rFonts w:ascii="Calibri" w:hAnsi="Calibri" w:cs="Calibri"/>
        </w:rPr>
        <w:lastRenderedPageBreak/>
        <w:t>Victorian Public Sector Executive Remuneration Determination</w:t>
      </w:r>
      <w:bookmarkEnd w:id="5"/>
      <w:bookmarkEnd w:id="6"/>
      <w:r w:rsidRPr="007B1D3E">
        <w:rPr>
          <w:rFonts w:ascii="Calibri" w:hAnsi="Calibri" w:cs="Calibri"/>
        </w:rPr>
        <w:t xml:space="preserve"> </w:t>
      </w:r>
    </w:p>
    <w:p w14:paraId="5BE497BC" w14:textId="6A9715EE" w:rsidR="009B4538" w:rsidRPr="0027441D" w:rsidRDefault="009B4538" w:rsidP="009B4538">
      <w:pPr>
        <w:pStyle w:val="Heading3"/>
      </w:pPr>
      <w:r w:rsidRPr="0027441D">
        <w:t>When will the Determination take effect?</w:t>
      </w:r>
    </w:p>
    <w:p w14:paraId="6B9DFA4F" w14:textId="05C96A46" w:rsidR="009B4538" w:rsidRPr="0027441D" w:rsidRDefault="009B4538" w:rsidP="009B4538">
      <w:pPr>
        <w:rPr>
          <w:rFonts w:ascii="Calibri" w:hAnsi="Calibri" w:cs="Calibri"/>
        </w:rPr>
      </w:pPr>
      <w:r w:rsidRPr="0027441D">
        <w:rPr>
          <w:rFonts w:ascii="Calibri" w:hAnsi="Calibri" w:cs="Calibri"/>
        </w:rPr>
        <w:t xml:space="preserve">The Determination was made on </w:t>
      </w:r>
      <w:r w:rsidR="00300AE7">
        <w:rPr>
          <w:rFonts w:ascii="Calibri" w:hAnsi="Calibri" w:cs="Calibri"/>
        </w:rPr>
        <w:t>22 May 2020</w:t>
      </w:r>
      <w:r w:rsidR="00FA0539">
        <w:rPr>
          <w:rFonts w:ascii="Calibri" w:hAnsi="Calibri" w:cs="Calibri"/>
        </w:rPr>
        <w:t xml:space="preserve"> </w:t>
      </w:r>
      <w:r w:rsidRPr="0027441D">
        <w:rPr>
          <w:rFonts w:ascii="Calibri" w:hAnsi="Calibri" w:cs="Calibri"/>
        </w:rPr>
        <w:t>and take</w:t>
      </w:r>
      <w:r w:rsidR="00764AD4">
        <w:rPr>
          <w:rFonts w:ascii="Calibri" w:hAnsi="Calibri" w:cs="Calibri"/>
        </w:rPr>
        <w:t>s</w:t>
      </w:r>
      <w:r w:rsidRPr="0027441D">
        <w:rPr>
          <w:rFonts w:ascii="Calibri" w:hAnsi="Calibri" w:cs="Calibri"/>
        </w:rPr>
        <w:t xml:space="preserve"> effect from 20 September 2019.</w:t>
      </w:r>
    </w:p>
    <w:p w14:paraId="3368A2FE" w14:textId="5439FCBB" w:rsidR="00F836D6" w:rsidRPr="00B31196" w:rsidRDefault="0070278B" w:rsidP="00F836D6">
      <w:pPr>
        <w:pStyle w:val="Heading3"/>
      </w:pPr>
      <w:r w:rsidRPr="00B31196">
        <w:t xml:space="preserve">What </w:t>
      </w:r>
      <w:proofErr w:type="gramStart"/>
      <w:r w:rsidRPr="00B31196">
        <w:t>are</w:t>
      </w:r>
      <w:proofErr w:type="gramEnd"/>
      <w:r w:rsidRPr="00B31196">
        <w:t xml:space="preserve"> the new </w:t>
      </w:r>
      <w:r w:rsidR="00D73860" w:rsidRPr="00B31196">
        <w:t xml:space="preserve">VPS </w:t>
      </w:r>
      <w:r w:rsidRPr="00B31196">
        <w:t>Executive Remuneration bands as set by the Determination?</w:t>
      </w:r>
    </w:p>
    <w:p w14:paraId="4FA1798F" w14:textId="6F6D66ED" w:rsidR="0059177C" w:rsidRPr="006469DF" w:rsidRDefault="0059177C" w:rsidP="00B31196">
      <w:pPr>
        <w:pStyle w:val="DPCbody"/>
        <w:spacing w:line="240" w:lineRule="auto"/>
        <w:rPr>
          <w:rFonts w:ascii="Calibri" w:hAnsi="Calibri" w:cs="Calibri"/>
          <w:sz w:val="20"/>
          <w:szCs w:val="20"/>
        </w:rPr>
      </w:pPr>
      <w:r w:rsidRPr="006469DF">
        <w:rPr>
          <w:rFonts w:ascii="Calibri" w:hAnsi="Calibri" w:cs="Calibri"/>
          <w:sz w:val="20"/>
          <w:szCs w:val="20"/>
        </w:rPr>
        <w:t xml:space="preserve">The Determination has set two VPS Executive Remuneration </w:t>
      </w:r>
      <w:r w:rsidR="00D63940">
        <w:rPr>
          <w:rFonts w:ascii="Calibri" w:hAnsi="Calibri" w:cs="Calibri"/>
          <w:sz w:val="20"/>
          <w:szCs w:val="20"/>
        </w:rPr>
        <w:t>values</w:t>
      </w:r>
      <w:r w:rsidRPr="006469DF">
        <w:rPr>
          <w:rFonts w:ascii="Calibri" w:hAnsi="Calibri" w:cs="Calibri"/>
          <w:sz w:val="20"/>
          <w:szCs w:val="20"/>
        </w:rPr>
        <w:t xml:space="preserve">. The first set of </w:t>
      </w:r>
      <w:r w:rsidR="00D63940">
        <w:rPr>
          <w:rFonts w:ascii="Calibri" w:hAnsi="Calibri" w:cs="Calibri"/>
          <w:sz w:val="20"/>
          <w:szCs w:val="20"/>
        </w:rPr>
        <w:t>values</w:t>
      </w:r>
      <w:r w:rsidR="00D63940" w:rsidRPr="006469DF">
        <w:rPr>
          <w:rFonts w:ascii="Calibri" w:hAnsi="Calibri" w:cs="Calibri"/>
          <w:sz w:val="20"/>
          <w:szCs w:val="20"/>
        </w:rPr>
        <w:t xml:space="preserve"> </w:t>
      </w:r>
      <w:r w:rsidRPr="006469DF">
        <w:rPr>
          <w:rFonts w:ascii="Calibri" w:hAnsi="Calibri" w:cs="Calibri"/>
          <w:sz w:val="20"/>
          <w:szCs w:val="20"/>
        </w:rPr>
        <w:t xml:space="preserve">will apply from 20 September 2019 to 30 June 2020. The second set of </w:t>
      </w:r>
      <w:r w:rsidR="00D63940">
        <w:rPr>
          <w:rFonts w:ascii="Calibri" w:hAnsi="Calibri" w:cs="Calibri"/>
          <w:sz w:val="20"/>
          <w:szCs w:val="20"/>
        </w:rPr>
        <w:t>values</w:t>
      </w:r>
      <w:r w:rsidR="00D63940" w:rsidRPr="006469DF">
        <w:rPr>
          <w:rFonts w:ascii="Calibri" w:hAnsi="Calibri" w:cs="Calibri"/>
          <w:sz w:val="20"/>
          <w:szCs w:val="20"/>
        </w:rPr>
        <w:t xml:space="preserve"> </w:t>
      </w:r>
      <w:r w:rsidRPr="006469DF">
        <w:rPr>
          <w:rFonts w:ascii="Calibri" w:hAnsi="Calibri" w:cs="Calibri"/>
          <w:sz w:val="20"/>
          <w:szCs w:val="20"/>
        </w:rPr>
        <w:t xml:space="preserve">will apply from 1 July 2020. The new </w:t>
      </w:r>
      <w:r w:rsidR="00D63940">
        <w:rPr>
          <w:rFonts w:ascii="Calibri" w:hAnsi="Calibri" w:cs="Calibri"/>
          <w:sz w:val="20"/>
          <w:szCs w:val="20"/>
        </w:rPr>
        <w:t>values</w:t>
      </w:r>
      <w:r w:rsidR="00D63940" w:rsidRPr="006469DF">
        <w:rPr>
          <w:rFonts w:ascii="Calibri" w:hAnsi="Calibri" w:cs="Calibri"/>
          <w:sz w:val="20"/>
          <w:szCs w:val="20"/>
        </w:rPr>
        <w:t xml:space="preserve"> </w:t>
      </w:r>
      <w:r w:rsidRPr="006469DF">
        <w:rPr>
          <w:rFonts w:ascii="Calibri" w:hAnsi="Calibri" w:cs="Calibri"/>
          <w:sz w:val="20"/>
          <w:szCs w:val="20"/>
        </w:rPr>
        <w:t xml:space="preserve">from </w:t>
      </w:r>
      <w:r w:rsidRPr="006469DF">
        <w:rPr>
          <w:rFonts w:ascii="Calibri" w:eastAsia="Times New Roman" w:hAnsi="Calibri" w:cs="Calibri"/>
          <w:sz w:val="20"/>
          <w:szCs w:val="20"/>
        </w:rPr>
        <w:t xml:space="preserve">1 July 2020 will remove the overlap of remuneration between bands and increase the base and the maximum </w:t>
      </w:r>
      <w:r w:rsidR="00D63940">
        <w:rPr>
          <w:rFonts w:ascii="Calibri" w:eastAsia="Times New Roman" w:hAnsi="Calibri" w:cs="Calibri"/>
          <w:sz w:val="20"/>
          <w:szCs w:val="20"/>
        </w:rPr>
        <w:t>values</w:t>
      </w:r>
      <w:r w:rsidR="00D63940" w:rsidRPr="006469DF">
        <w:rPr>
          <w:rFonts w:ascii="Calibri" w:eastAsia="Times New Roman" w:hAnsi="Calibri" w:cs="Calibri"/>
          <w:sz w:val="20"/>
          <w:szCs w:val="20"/>
        </w:rPr>
        <w:t xml:space="preserve"> </w:t>
      </w:r>
      <w:r w:rsidRPr="006469DF">
        <w:rPr>
          <w:rFonts w:ascii="Calibri" w:eastAsia="Times New Roman" w:hAnsi="Calibri" w:cs="Calibri"/>
          <w:sz w:val="20"/>
          <w:szCs w:val="20"/>
        </w:rPr>
        <w:t>of the bands.</w:t>
      </w:r>
      <w:r w:rsidR="00A04300">
        <w:rPr>
          <w:rFonts w:ascii="Calibri" w:eastAsia="Times New Roman" w:hAnsi="Calibri" w:cs="Calibri"/>
          <w:sz w:val="20"/>
          <w:szCs w:val="20"/>
        </w:rPr>
        <w:t xml:space="preserve"> The bands are outlined below.</w:t>
      </w:r>
    </w:p>
    <w:tbl>
      <w:tblPr>
        <w:tblStyle w:val="TableGrid2"/>
        <w:tblW w:w="0" w:type="auto"/>
        <w:tblLook w:val="04A0" w:firstRow="1" w:lastRow="0" w:firstColumn="1" w:lastColumn="0" w:noHBand="0" w:noVBand="1"/>
      </w:tblPr>
      <w:tblGrid>
        <w:gridCol w:w="3119"/>
        <w:gridCol w:w="3368"/>
        <w:gridCol w:w="3260"/>
      </w:tblGrid>
      <w:tr w:rsidR="00954DD6" w:rsidRPr="00A04300" w14:paraId="7B9D753C" w14:textId="77777777" w:rsidTr="00954DD6">
        <w:trPr>
          <w:cnfStyle w:val="100000000000" w:firstRow="1" w:lastRow="0" w:firstColumn="0" w:lastColumn="0" w:oddVBand="0" w:evenVBand="0" w:oddHBand="0" w:evenHBand="0" w:firstRowFirstColumn="0" w:firstRowLastColumn="0" w:lastRowFirstColumn="0" w:lastRowLastColumn="0"/>
          <w:trHeight w:val="487"/>
        </w:trPr>
        <w:tc>
          <w:tcPr>
            <w:tcW w:w="3119" w:type="dxa"/>
            <w:vMerge w:val="restart"/>
            <w:shd w:val="clear" w:color="auto" w:fill="D0CECE"/>
            <w:noWrap/>
            <w:hideMark/>
          </w:tcPr>
          <w:p w14:paraId="6F81B82E" w14:textId="77777777" w:rsidR="00A04300" w:rsidRPr="00A04300" w:rsidRDefault="00A04300" w:rsidP="00A04300">
            <w:pPr>
              <w:tabs>
                <w:tab w:val="left" w:pos="1964"/>
              </w:tabs>
              <w:spacing w:before="300"/>
              <w:rPr>
                <w:rFonts w:ascii="Calibri" w:hAnsi="Calibri"/>
                <w:b/>
                <w:bCs/>
                <w:lang w:eastAsia="ja-JP"/>
              </w:rPr>
            </w:pPr>
            <w:r w:rsidRPr="00A04300">
              <w:rPr>
                <w:rFonts w:ascii="Calibri" w:hAnsi="Calibri"/>
                <w:b/>
                <w:bCs/>
                <w:lang w:eastAsia="ja-JP"/>
              </w:rPr>
              <w:t>Band</w:t>
            </w:r>
          </w:p>
        </w:tc>
        <w:tc>
          <w:tcPr>
            <w:tcW w:w="6628" w:type="dxa"/>
            <w:gridSpan w:val="2"/>
            <w:shd w:val="clear" w:color="auto" w:fill="D0CECE"/>
            <w:noWrap/>
            <w:hideMark/>
          </w:tcPr>
          <w:p w14:paraId="5E83A6A8" w14:textId="77777777" w:rsidR="00A04300" w:rsidRPr="00A04300" w:rsidRDefault="00A04300" w:rsidP="00A04300">
            <w:pPr>
              <w:tabs>
                <w:tab w:val="left" w:pos="1964"/>
              </w:tabs>
              <w:jc w:val="center"/>
              <w:rPr>
                <w:rFonts w:ascii="Calibri" w:hAnsi="Calibri"/>
                <w:b/>
                <w:bCs/>
                <w:lang w:eastAsia="ja-JP"/>
              </w:rPr>
            </w:pPr>
            <w:r w:rsidRPr="00A04300">
              <w:rPr>
                <w:rFonts w:ascii="Calibri" w:hAnsi="Calibri"/>
                <w:b/>
                <w:bCs/>
                <w:lang w:eastAsia="ja-JP"/>
              </w:rPr>
              <w:t>Remuneration range (Total Remuneration Package)</w:t>
            </w:r>
          </w:p>
        </w:tc>
      </w:tr>
      <w:tr w:rsidR="00A04300" w:rsidRPr="00A04300" w14:paraId="584494F1" w14:textId="77777777" w:rsidTr="00300AE7">
        <w:trPr>
          <w:trHeight w:val="697"/>
        </w:trPr>
        <w:tc>
          <w:tcPr>
            <w:tcW w:w="0" w:type="dxa"/>
            <w:vMerge/>
            <w:shd w:val="clear" w:color="auto" w:fill="D0CECE"/>
            <w:hideMark/>
          </w:tcPr>
          <w:p w14:paraId="62A788D0" w14:textId="77777777" w:rsidR="00A04300" w:rsidRPr="00A04300" w:rsidRDefault="00A04300" w:rsidP="00A04300">
            <w:pPr>
              <w:tabs>
                <w:tab w:val="left" w:pos="1964"/>
              </w:tabs>
              <w:rPr>
                <w:rFonts w:ascii="Calibri" w:hAnsi="Calibri"/>
                <w:b/>
                <w:bCs/>
                <w:lang w:eastAsia="ja-JP"/>
              </w:rPr>
            </w:pPr>
          </w:p>
        </w:tc>
        <w:tc>
          <w:tcPr>
            <w:tcW w:w="3368" w:type="dxa"/>
            <w:shd w:val="clear" w:color="auto" w:fill="D0CECE"/>
            <w:noWrap/>
            <w:hideMark/>
          </w:tcPr>
          <w:p w14:paraId="503883E1" w14:textId="77777777" w:rsidR="00A04300" w:rsidRPr="00A04300" w:rsidRDefault="00A04300" w:rsidP="00A04300">
            <w:pPr>
              <w:tabs>
                <w:tab w:val="left" w:pos="1964"/>
              </w:tabs>
              <w:jc w:val="center"/>
              <w:rPr>
                <w:rFonts w:ascii="Calibri" w:hAnsi="Calibri"/>
                <w:b/>
                <w:bCs/>
                <w:lang w:eastAsia="ja-JP"/>
              </w:rPr>
            </w:pPr>
            <w:r w:rsidRPr="00A04300">
              <w:rPr>
                <w:rFonts w:ascii="Calibri" w:hAnsi="Calibri"/>
                <w:b/>
                <w:bCs/>
                <w:lang w:eastAsia="ja-JP"/>
              </w:rPr>
              <w:t>Effective from 20 September 2019 - 30 June 2020</w:t>
            </w:r>
          </w:p>
        </w:tc>
        <w:tc>
          <w:tcPr>
            <w:tcW w:w="3260" w:type="dxa"/>
            <w:shd w:val="clear" w:color="auto" w:fill="D0CECE"/>
            <w:noWrap/>
            <w:hideMark/>
          </w:tcPr>
          <w:p w14:paraId="2328334B" w14:textId="77777777" w:rsidR="00A04300" w:rsidRPr="00A04300" w:rsidRDefault="00A04300" w:rsidP="00A04300">
            <w:pPr>
              <w:tabs>
                <w:tab w:val="left" w:pos="1964"/>
              </w:tabs>
              <w:jc w:val="center"/>
              <w:rPr>
                <w:rFonts w:ascii="Calibri" w:hAnsi="Calibri"/>
                <w:b/>
                <w:bCs/>
                <w:lang w:eastAsia="ja-JP"/>
              </w:rPr>
            </w:pPr>
            <w:r w:rsidRPr="00A04300">
              <w:rPr>
                <w:rFonts w:ascii="Calibri" w:hAnsi="Calibri"/>
                <w:b/>
                <w:bCs/>
                <w:lang w:eastAsia="ja-JP"/>
              </w:rPr>
              <w:t>Effective from 1 July 2020</w:t>
            </w:r>
          </w:p>
        </w:tc>
      </w:tr>
      <w:tr w:rsidR="00A04300" w:rsidRPr="00A04300" w14:paraId="010D95A5" w14:textId="77777777" w:rsidTr="00300AE7">
        <w:trPr>
          <w:trHeight w:val="697"/>
        </w:trPr>
        <w:tc>
          <w:tcPr>
            <w:tcW w:w="0" w:type="dxa"/>
            <w:shd w:val="clear" w:color="auto" w:fill="EDEDED"/>
            <w:noWrap/>
            <w:hideMark/>
          </w:tcPr>
          <w:p w14:paraId="5A12D371" w14:textId="77777777" w:rsidR="00A04300" w:rsidRPr="00A04300" w:rsidRDefault="00A04300" w:rsidP="00A04300">
            <w:pPr>
              <w:tabs>
                <w:tab w:val="left" w:pos="1964"/>
              </w:tabs>
              <w:rPr>
                <w:rFonts w:ascii="Calibri" w:hAnsi="Calibri"/>
                <w:lang w:eastAsia="ja-JP"/>
              </w:rPr>
            </w:pPr>
            <w:r w:rsidRPr="00A04300">
              <w:rPr>
                <w:rFonts w:ascii="Calibri" w:hAnsi="Calibri"/>
                <w:lang w:eastAsia="ja-JP"/>
              </w:rPr>
              <w:t>Department Head / Victorian Public Sector Commissioner</w:t>
            </w:r>
          </w:p>
        </w:tc>
        <w:tc>
          <w:tcPr>
            <w:tcW w:w="3368" w:type="dxa"/>
            <w:shd w:val="clear" w:color="auto" w:fill="EDEDED"/>
            <w:noWrap/>
            <w:hideMark/>
          </w:tcPr>
          <w:p w14:paraId="1F46737D"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$457,082 - $650,000</w:t>
            </w:r>
          </w:p>
        </w:tc>
        <w:tc>
          <w:tcPr>
            <w:tcW w:w="3260" w:type="dxa"/>
            <w:shd w:val="clear" w:color="auto" w:fill="EDEDED"/>
            <w:noWrap/>
            <w:hideMark/>
          </w:tcPr>
          <w:p w14:paraId="6CC9494A"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$520,000 - $701,800</w:t>
            </w:r>
          </w:p>
        </w:tc>
      </w:tr>
      <w:tr w:rsidR="00A04300" w:rsidRPr="00A04300" w14:paraId="5EFAB248" w14:textId="77777777" w:rsidTr="00300AE7">
        <w:trPr>
          <w:trHeight w:val="697"/>
        </w:trPr>
        <w:tc>
          <w:tcPr>
            <w:tcW w:w="0" w:type="dxa"/>
            <w:shd w:val="clear" w:color="auto" w:fill="EDEDED"/>
            <w:noWrap/>
          </w:tcPr>
          <w:p w14:paraId="013294DD" w14:textId="77777777" w:rsidR="00A04300" w:rsidRPr="00A04300" w:rsidRDefault="00A04300" w:rsidP="00A04300">
            <w:pPr>
              <w:tabs>
                <w:tab w:val="left" w:pos="1964"/>
              </w:tabs>
              <w:rPr>
                <w:rFonts w:ascii="Calibri" w:hAnsi="Calibri"/>
                <w:lang w:eastAsia="ja-JP"/>
              </w:rPr>
            </w:pPr>
            <w:r w:rsidRPr="00A04300">
              <w:rPr>
                <w:rFonts w:ascii="Calibri" w:hAnsi="Calibri"/>
                <w:lang w:eastAsia="ja-JP"/>
              </w:rPr>
              <w:t>Senior Executive Service-3 / Executive Officer-1</w:t>
            </w:r>
          </w:p>
        </w:tc>
        <w:tc>
          <w:tcPr>
            <w:tcW w:w="3368" w:type="dxa"/>
            <w:shd w:val="clear" w:color="auto" w:fill="EDEDED"/>
            <w:noWrap/>
          </w:tcPr>
          <w:p w14:paraId="0C85A56D"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$312,274 - $457,081</w:t>
            </w:r>
          </w:p>
        </w:tc>
        <w:tc>
          <w:tcPr>
            <w:tcW w:w="3260" w:type="dxa"/>
            <w:shd w:val="clear" w:color="auto" w:fill="EDEDED"/>
            <w:noWrap/>
          </w:tcPr>
          <w:p w14:paraId="7E27FBFA"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$360,001 - $479,900</w:t>
            </w:r>
          </w:p>
        </w:tc>
      </w:tr>
      <w:tr w:rsidR="00A04300" w:rsidRPr="00A04300" w14:paraId="2A3F01CE" w14:textId="77777777" w:rsidTr="00300AE7">
        <w:trPr>
          <w:trHeight w:val="697"/>
        </w:trPr>
        <w:tc>
          <w:tcPr>
            <w:tcW w:w="0" w:type="dxa"/>
            <w:shd w:val="clear" w:color="auto" w:fill="EDEDED"/>
            <w:noWrap/>
          </w:tcPr>
          <w:p w14:paraId="52965CD5" w14:textId="77777777" w:rsidR="00A04300" w:rsidRPr="00A04300" w:rsidRDefault="00A04300" w:rsidP="00A04300">
            <w:pPr>
              <w:tabs>
                <w:tab w:val="left" w:pos="1964"/>
              </w:tabs>
              <w:rPr>
                <w:rFonts w:ascii="Calibri" w:hAnsi="Calibri"/>
                <w:lang w:eastAsia="ja-JP"/>
              </w:rPr>
            </w:pPr>
            <w:r w:rsidRPr="00A04300">
              <w:rPr>
                <w:rFonts w:ascii="Calibri" w:hAnsi="Calibri"/>
                <w:lang w:eastAsia="ja-JP"/>
              </w:rPr>
              <w:t>Senior Executive Service-2 / Executive Officer-2</w:t>
            </w:r>
          </w:p>
        </w:tc>
        <w:tc>
          <w:tcPr>
            <w:tcW w:w="3368" w:type="dxa"/>
            <w:shd w:val="clear" w:color="auto" w:fill="EDEDED"/>
            <w:noWrap/>
          </w:tcPr>
          <w:p w14:paraId="6D7427B3"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$214,883 - $343,938</w:t>
            </w:r>
          </w:p>
        </w:tc>
        <w:tc>
          <w:tcPr>
            <w:tcW w:w="3260" w:type="dxa"/>
            <w:shd w:val="clear" w:color="auto" w:fill="EDEDED"/>
            <w:noWrap/>
          </w:tcPr>
          <w:p w14:paraId="1C23F371"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$249,701 - $360,000</w:t>
            </w:r>
          </w:p>
        </w:tc>
      </w:tr>
      <w:tr w:rsidR="00A04300" w:rsidRPr="00A04300" w14:paraId="6D96DA77" w14:textId="77777777" w:rsidTr="00300AE7">
        <w:trPr>
          <w:trHeight w:val="697"/>
        </w:trPr>
        <w:tc>
          <w:tcPr>
            <w:tcW w:w="0" w:type="dxa"/>
            <w:shd w:val="clear" w:color="auto" w:fill="EDEDED"/>
            <w:noWrap/>
          </w:tcPr>
          <w:p w14:paraId="4E3507D0" w14:textId="77777777" w:rsidR="00A04300" w:rsidRPr="00A04300" w:rsidRDefault="00A04300" w:rsidP="00A04300">
            <w:pPr>
              <w:tabs>
                <w:tab w:val="left" w:pos="1964"/>
              </w:tabs>
              <w:rPr>
                <w:rFonts w:ascii="Calibri" w:hAnsi="Calibri"/>
                <w:lang w:eastAsia="ja-JP"/>
              </w:rPr>
            </w:pPr>
            <w:r w:rsidRPr="00A04300">
              <w:rPr>
                <w:rFonts w:ascii="Calibri" w:hAnsi="Calibri"/>
                <w:lang w:eastAsia="ja-JP"/>
              </w:rPr>
              <w:t>Senior Executive Service-1 / Executive Officer-3</w:t>
            </w:r>
          </w:p>
        </w:tc>
        <w:tc>
          <w:tcPr>
            <w:tcW w:w="3368" w:type="dxa"/>
            <w:shd w:val="clear" w:color="auto" w:fill="EDEDED"/>
            <w:noWrap/>
          </w:tcPr>
          <w:p w14:paraId="63799771"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$185,711 - $240,789</w:t>
            </w:r>
          </w:p>
        </w:tc>
        <w:tc>
          <w:tcPr>
            <w:tcW w:w="3260" w:type="dxa"/>
            <w:shd w:val="clear" w:color="auto" w:fill="EDEDED"/>
            <w:noWrap/>
          </w:tcPr>
          <w:p w14:paraId="4AB3C4EF"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$192,800 - $249,700</w:t>
            </w:r>
          </w:p>
        </w:tc>
      </w:tr>
    </w:tbl>
    <w:p w14:paraId="4F47F8AC" w14:textId="77777777" w:rsidR="00A04300" w:rsidRPr="00A04300" w:rsidRDefault="00A04300" w:rsidP="00A04300">
      <w:pPr>
        <w:spacing w:after="160" w:line="259" w:lineRule="auto"/>
        <w:rPr>
          <w:rFonts w:ascii="Calibri" w:eastAsia="Calibri" w:hAnsi="Calibri"/>
          <w:sz w:val="22"/>
          <w:szCs w:val="22"/>
        </w:rPr>
      </w:pPr>
    </w:p>
    <w:tbl>
      <w:tblPr>
        <w:tblStyle w:val="TableGrid2"/>
        <w:tblW w:w="0" w:type="auto"/>
        <w:tblLook w:val="04A0" w:firstRow="1" w:lastRow="0" w:firstColumn="1" w:lastColumn="0" w:noHBand="0" w:noVBand="1"/>
      </w:tblPr>
      <w:tblGrid>
        <w:gridCol w:w="3119"/>
        <w:gridCol w:w="3368"/>
        <w:gridCol w:w="3260"/>
      </w:tblGrid>
      <w:tr w:rsidR="00954DD6" w:rsidRPr="00A04300" w14:paraId="4FB4349B" w14:textId="77777777" w:rsidTr="00954DD6">
        <w:trPr>
          <w:cnfStyle w:val="100000000000" w:firstRow="1" w:lastRow="0" w:firstColumn="0" w:lastColumn="0" w:oddVBand="0" w:evenVBand="0" w:oddHBand="0" w:evenHBand="0" w:firstRowFirstColumn="0" w:firstRowLastColumn="0" w:lastRowFirstColumn="0" w:lastRowLastColumn="0"/>
          <w:trHeight w:val="458"/>
        </w:trPr>
        <w:tc>
          <w:tcPr>
            <w:tcW w:w="3119" w:type="dxa"/>
            <w:vMerge w:val="restart"/>
            <w:shd w:val="clear" w:color="auto" w:fill="D0CECE"/>
            <w:noWrap/>
            <w:hideMark/>
          </w:tcPr>
          <w:p w14:paraId="171BB8A0" w14:textId="77777777" w:rsidR="00A04300" w:rsidRPr="00A04300" w:rsidRDefault="00A04300" w:rsidP="00A04300">
            <w:pPr>
              <w:tabs>
                <w:tab w:val="left" w:pos="1964"/>
              </w:tabs>
              <w:spacing w:before="300"/>
              <w:rPr>
                <w:rFonts w:ascii="Calibri" w:hAnsi="Calibri"/>
                <w:b/>
                <w:bCs/>
                <w:lang w:eastAsia="ja-JP"/>
              </w:rPr>
            </w:pPr>
            <w:r w:rsidRPr="00A04300">
              <w:rPr>
                <w:rFonts w:ascii="Calibri" w:hAnsi="Calibri"/>
                <w:b/>
                <w:bCs/>
                <w:lang w:eastAsia="ja-JP"/>
              </w:rPr>
              <w:t>Band</w:t>
            </w:r>
          </w:p>
        </w:tc>
        <w:tc>
          <w:tcPr>
            <w:tcW w:w="6628" w:type="dxa"/>
            <w:gridSpan w:val="2"/>
            <w:shd w:val="clear" w:color="auto" w:fill="D0CECE"/>
            <w:noWrap/>
            <w:hideMark/>
          </w:tcPr>
          <w:p w14:paraId="1D86994F" w14:textId="77777777" w:rsidR="00A04300" w:rsidRPr="00A04300" w:rsidRDefault="00A04300" w:rsidP="00A04300">
            <w:pPr>
              <w:tabs>
                <w:tab w:val="left" w:pos="1964"/>
              </w:tabs>
              <w:jc w:val="center"/>
              <w:rPr>
                <w:rFonts w:ascii="Calibri" w:hAnsi="Calibri"/>
                <w:b/>
                <w:bCs/>
                <w:lang w:eastAsia="ja-JP"/>
              </w:rPr>
            </w:pPr>
            <w:r w:rsidRPr="00A04300">
              <w:rPr>
                <w:rFonts w:ascii="Calibri" w:hAnsi="Calibri"/>
                <w:b/>
                <w:bCs/>
                <w:lang w:eastAsia="ja-JP"/>
              </w:rPr>
              <w:t>Remuneration range (Total Remuneration Package)</w:t>
            </w:r>
          </w:p>
        </w:tc>
      </w:tr>
      <w:tr w:rsidR="00A04300" w:rsidRPr="00A04300" w14:paraId="46BD78F8" w14:textId="77777777" w:rsidTr="00300AE7">
        <w:trPr>
          <w:trHeight w:val="697"/>
        </w:trPr>
        <w:tc>
          <w:tcPr>
            <w:tcW w:w="0" w:type="dxa"/>
            <w:vMerge/>
            <w:shd w:val="clear" w:color="auto" w:fill="D0CECE"/>
            <w:hideMark/>
          </w:tcPr>
          <w:p w14:paraId="4F52EE08" w14:textId="77777777" w:rsidR="00A04300" w:rsidRPr="00A04300" w:rsidRDefault="00A04300" w:rsidP="00A04300">
            <w:pPr>
              <w:tabs>
                <w:tab w:val="left" w:pos="1964"/>
              </w:tabs>
              <w:rPr>
                <w:rFonts w:ascii="Calibri" w:hAnsi="Calibri"/>
                <w:b/>
                <w:bCs/>
                <w:lang w:eastAsia="ja-JP"/>
              </w:rPr>
            </w:pPr>
          </w:p>
        </w:tc>
        <w:tc>
          <w:tcPr>
            <w:tcW w:w="3368" w:type="dxa"/>
            <w:shd w:val="clear" w:color="auto" w:fill="D0CECE"/>
            <w:noWrap/>
            <w:hideMark/>
          </w:tcPr>
          <w:p w14:paraId="3B828CF0" w14:textId="77777777" w:rsidR="00A04300" w:rsidRPr="00A04300" w:rsidRDefault="00A04300" w:rsidP="00A04300">
            <w:pPr>
              <w:tabs>
                <w:tab w:val="left" w:pos="1964"/>
              </w:tabs>
              <w:jc w:val="center"/>
              <w:rPr>
                <w:rFonts w:ascii="Calibri" w:hAnsi="Calibri"/>
                <w:b/>
                <w:bCs/>
                <w:lang w:eastAsia="ja-JP"/>
              </w:rPr>
            </w:pPr>
            <w:r w:rsidRPr="00A04300">
              <w:rPr>
                <w:rFonts w:ascii="Calibri" w:hAnsi="Calibri"/>
                <w:b/>
                <w:bCs/>
                <w:lang w:eastAsia="ja-JP"/>
              </w:rPr>
              <w:t>Effective from 20 September 2019 - 30 June 2020</w:t>
            </w:r>
          </w:p>
        </w:tc>
        <w:tc>
          <w:tcPr>
            <w:tcW w:w="3260" w:type="dxa"/>
            <w:shd w:val="clear" w:color="auto" w:fill="D0CECE"/>
            <w:noWrap/>
            <w:hideMark/>
          </w:tcPr>
          <w:p w14:paraId="1A659979" w14:textId="77777777" w:rsidR="00A04300" w:rsidRPr="00A04300" w:rsidRDefault="00A04300" w:rsidP="00A04300">
            <w:pPr>
              <w:tabs>
                <w:tab w:val="left" w:pos="1964"/>
              </w:tabs>
              <w:jc w:val="center"/>
              <w:rPr>
                <w:rFonts w:ascii="Calibri" w:hAnsi="Calibri"/>
                <w:b/>
                <w:bCs/>
                <w:lang w:eastAsia="ja-JP"/>
              </w:rPr>
            </w:pPr>
            <w:r w:rsidRPr="00A04300">
              <w:rPr>
                <w:rFonts w:ascii="Calibri" w:hAnsi="Calibri"/>
                <w:b/>
                <w:bCs/>
                <w:lang w:eastAsia="ja-JP"/>
              </w:rPr>
              <w:t>Effective from 1 July 2020</w:t>
            </w:r>
          </w:p>
        </w:tc>
      </w:tr>
      <w:tr w:rsidR="00A04300" w:rsidRPr="00A04300" w14:paraId="0A10F1C7" w14:textId="77777777" w:rsidTr="00300AE7">
        <w:trPr>
          <w:trHeight w:val="514"/>
        </w:trPr>
        <w:tc>
          <w:tcPr>
            <w:tcW w:w="0" w:type="dxa"/>
            <w:shd w:val="clear" w:color="auto" w:fill="EDEDED"/>
            <w:noWrap/>
            <w:hideMark/>
          </w:tcPr>
          <w:p w14:paraId="6DD69CE8" w14:textId="77777777" w:rsidR="00A04300" w:rsidRPr="00A04300" w:rsidRDefault="00A04300" w:rsidP="00A04300">
            <w:pPr>
              <w:tabs>
                <w:tab w:val="left" w:pos="1964"/>
              </w:tabs>
              <w:rPr>
                <w:rFonts w:ascii="Calibri" w:hAnsi="Calibri"/>
                <w:lang w:eastAsia="ja-JP"/>
              </w:rPr>
            </w:pPr>
            <w:r w:rsidRPr="00A04300">
              <w:rPr>
                <w:rFonts w:ascii="Calibri" w:hAnsi="Calibri"/>
                <w:lang w:eastAsia="ja-JP"/>
              </w:rPr>
              <w:t>Administrative Office Head-3</w:t>
            </w:r>
          </w:p>
        </w:tc>
        <w:tc>
          <w:tcPr>
            <w:tcW w:w="3368" w:type="dxa"/>
            <w:shd w:val="clear" w:color="auto" w:fill="EDEDED"/>
            <w:noWrap/>
            <w:hideMark/>
          </w:tcPr>
          <w:p w14:paraId="5D4E4FD0"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$360,001 - $479,900</w:t>
            </w:r>
          </w:p>
        </w:tc>
        <w:tc>
          <w:tcPr>
            <w:tcW w:w="3260" w:type="dxa"/>
            <w:shd w:val="clear" w:color="auto" w:fill="EDEDED"/>
            <w:noWrap/>
            <w:hideMark/>
          </w:tcPr>
          <w:p w14:paraId="2058CF2F"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$360,001 - $479,900</w:t>
            </w:r>
          </w:p>
        </w:tc>
      </w:tr>
      <w:tr w:rsidR="00A04300" w:rsidRPr="00A04300" w14:paraId="6D5BC3EA" w14:textId="77777777" w:rsidTr="00300AE7">
        <w:trPr>
          <w:trHeight w:val="550"/>
        </w:trPr>
        <w:tc>
          <w:tcPr>
            <w:tcW w:w="0" w:type="dxa"/>
            <w:shd w:val="clear" w:color="auto" w:fill="EDEDED"/>
            <w:noWrap/>
          </w:tcPr>
          <w:p w14:paraId="47181F82" w14:textId="77777777" w:rsidR="00A04300" w:rsidRPr="00A04300" w:rsidRDefault="00A04300" w:rsidP="00A04300">
            <w:pPr>
              <w:tabs>
                <w:tab w:val="left" w:pos="1964"/>
              </w:tabs>
              <w:rPr>
                <w:rFonts w:ascii="Calibri" w:hAnsi="Calibri"/>
                <w:lang w:eastAsia="ja-JP"/>
              </w:rPr>
            </w:pPr>
            <w:r w:rsidRPr="00A04300">
              <w:rPr>
                <w:rFonts w:ascii="Calibri" w:hAnsi="Calibri"/>
                <w:lang w:eastAsia="ja-JP"/>
              </w:rPr>
              <w:t>Administrative Office Head-2</w:t>
            </w:r>
          </w:p>
        </w:tc>
        <w:tc>
          <w:tcPr>
            <w:tcW w:w="3368" w:type="dxa"/>
            <w:shd w:val="clear" w:color="auto" w:fill="EDEDED"/>
            <w:noWrap/>
          </w:tcPr>
          <w:p w14:paraId="037D8B42"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$249,701 - $360,000</w:t>
            </w:r>
          </w:p>
        </w:tc>
        <w:tc>
          <w:tcPr>
            <w:tcW w:w="3260" w:type="dxa"/>
            <w:shd w:val="clear" w:color="auto" w:fill="EDEDED"/>
            <w:noWrap/>
          </w:tcPr>
          <w:p w14:paraId="02540BF7"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$249,701 - $360,000</w:t>
            </w:r>
          </w:p>
        </w:tc>
      </w:tr>
      <w:tr w:rsidR="00A04300" w:rsidRPr="00A04300" w14:paraId="231133CD" w14:textId="77777777" w:rsidTr="00300AE7">
        <w:trPr>
          <w:trHeight w:val="572"/>
        </w:trPr>
        <w:tc>
          <w:tcPr>
            <w:tcW w:w="0" w:type="dxa"/>
            <w:shd w:val="clear" w:color="auto" w:fill="EDEDED"/>
            <w:noWrap/>
          </w:tcPr>
          <w:p w14:paraId="7477E942" w14:textId="77777777" w:rsidR="00A04300" w:rsidRPr="00A04300" w:rsidRDefault="00A04300" w:rsidP="00A04300">
            <w:pPr>
              <w:tabs>
                <w:tab w:val="left" w:pos="1964"/>
              </w:tabs>
              <w:rPr>
                <w:rFonts w:ascii="Calibri" w:hAnsi="Calibri"/>
                <w:lang w:eastAsia="ja-JP"/>
              </w:rPr>
            </w:pPr>
            <w:r w:rsidRPr="00A04300">
              <w:rPr>
                <w:rFonts w:ascii="Calibri" w:hAnsi="Calibri"/>
                <w:lang w:eastAsia="ja-JP"/>
              </w:rPr>
              <w:t>Administrative Office Head-1</w:t>
            </w:r>
          </w:p>
        </w:tc>
        <w:tc>
          <w:tcPr>
            <w:tcW w:w="3368" w:type="dxa"/>
            <w:shd w:val="clear" w:color="auto" w:fill="EDEDED"/>
            <w:noWrap/>
          </w:tcPr>
          <w:p w14:paraId="373C867B"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$192,800 - $249,700</w:t>
            </w:r>
          </w:p>
        </w:tc>
        <w:tc>
          <w:tcPr>
            <w:tcW w:w="3260" w:type="dxa"/>
            <w:shd w:val="clear" w:color="auto" w:fill="EDEDED"/>
            <w:noWrap/>
          </w:tcPr>
          <w:p w14:paraId="2800001D" w14:textId="77777777" w:rsidR="00A04300" w:rsidRPr="00A04300" w:rsidRDefault="00A04300" w:rsidP="00A04300">
            <w:pPr>
              <w:tabs>
                <w:tab w:val="left" w:pos="1964"/>
              </w:tabs>
              <w:jc w:val="center"/>
              <w:rPr>
                <w:rFonts w:ascii="Calibri" w:hAnsi="Calibri"/>
                <w:lang w:eastAsia="ja-JP"/>
              </w:rPr>
            </w:pPr>
            <w:r w:rsidRPr="00A04300">
              <w:rPr>
                <w:rFonts w:ascii="Calibri" w:hAnsi="Calibri"/>
                <w:lang w:eastAsia="ja-JP"/>
              </w:rPr>
              <w:t>$192,800 - $249,700</w:t>
            </w:r>
          </w:p>
        </w:tc>
      </w:tr>
    </w:tbl>
    <w:p w14:paraId="502DFD27" w14:textId="2BA8EAA5" w:rsidR="009B4538" w:rsidRPr="0027441D" w:rsidRDefault="009B4538" w:rsidP="009B4538">
      <w:pPr>
        <w:pStyle w:val="Heading3"/>
      </w:pPr>
      <w:bookmarkStart w:id="7" w:name="_Toc26348772"/>
      <w:bookmarkStart w:id="8" w:name="_Hlk25652837"/>
      <w:r w:rsidRPr="0027441D">
        <w:t>Who should follow the Determination?</w:t>
      </w:r>
      <w:bookmarkEnd w:id="7"/>
    </w:p>
    <w:p w14:paraId="0F55B10A" w14:textId="0A3E7C9C" w:rsidR="009B4538" w:rsidRPr="0027441D" w:rsidRDefault="009B4538" w:rsidP="009B4538">
      <w:pPr>
        <w:rPr>
          <w:rFonts w:ascii="Calibri" w:hAnsi="Calibri" w:cs="Calibri"/>
        </w:rPr>
      </w:pPr>
      <w:r w:rsidRPr="0027441D">
        <w:rPr>
          <w:rFonts w:ascii="Calibri" w:hAnsi="Calibri" w:cs="Calibri"/>
        </w:rPr>
        <w:t>The Determination will apply to executives employed in public service bodies (including departments, Administrative Offices and the VPSC). The following public service bodies are bound by the Determination:</w:t>
      </w:r>
    </w:p>
    <w:p w14:paraId="65758760" w14:textId="77777777" w:rsidR="009B4538" w:rsidRPr="0027441D" w:rsidRDefault="009B4538" w:rsidP="009B4538">
      <w:pPr>
        <w:pStyle w:val="ListParagraph"/>
        <w:numPr>
          <w:ilvl w:val="0"/>
          <w:numId w:val="21"/>
        </w:numPr>
        <w:rPr>
          <w:rFonts w:ascii="Calibri" w:hAnsi="Calibri" w:cs="Calibri"/>
          <w:sz w:val="20"/>
          <w:szCs w:val="20"/>
        </w:rPr>
      </w:pPr>
      <w:r w:rsidRPr="0027441D">
        <w:rPr>
          <w:rFonts w:ascii="Calibri" w:hAnsi="Calibri" w:cs="Calibri"/>
          <w:sz w:val="20"/>
          <w:szCs w:val="20"/>
        </w:rPr>
        <w:t>Department of Premier and Cabinet</w:t>
      </w:r>
    </w:p>
    <w:p w14:paraId="68D7574C" w14:textId="77777777" w:rsidR="009B4538" w:rsidRPr="0027441D" w:rsidRDefault="009B4538" w:rsidP="009B4538">
      <w:pPr>
        <w:pStyle w:val="ListParagraph"/>
        <w:numPr>
          <w:ilvl w:val="0"/>
          <w:numId w:val="21"/>
        </w:numPr>
        <w:rPr>
          <w:rFonts w:ascii="Calibri" w:hAnsi="Calibri" w:cs="Calibri"/>
          <w:sz w:val="20"/>
          <w:szCs w:val="20"/>
        </w:rPr>
      </w:pPr>
      <w:r w:rsidRPr="0027441D">
        <w:rPr>
          <w:rFonts w:ascii="Calibri" w:hAnsi="Calibri" w:cs="Calibri"/>
          <w:sz w:val="20"/>
          <w:szCs w:val="20"/>
        </w:rPr>
        <w:t>Department of Treasury and Finance</w:t>
      </w:r>
    </w:p>
    <w:p w14:paraId="283CEE41" w14:textId="77777777" w:rsidR="009B4538" w:rsidRPr="0027441D" w:rsidRDefault="009B4538" w:rsidP="009B4538">
      <w:pPr>
        <w:pStyle w:val="ListParagraph"/>
        <w:numPr>
          <w:ilvl w:val="0"/>
          <w:numId w:val="21"/>
        </w:numPr>
        <w:rPr>
          <w:rFonts w:ascii="Calibri" w:hAnsi="Calibri" w:cs="Calibri"/>
          <w:sz w:val="20"/>
          <w:szCs w:val="20"/>
        </w:rPr>
      </w:pPr>
      <w:r w:rsidRPr="0027441D">
        <w:rPr>
          <w:rFonts w:ascii="Calibri" w:hAnsi="Calibri" w:cs="Calibri"/>
          <w:sz w:val="20"/>
          <w:szCs w:val="20"/>
        </w:rPr>
        <w:t>Department of Transport</w:t>
      </w:r>
    </w:p>
    <w:p w14:paraId="448CFFD1" w14:textId="77777777" w:rsidR="009B4538" w:rsidRPr="0027441D" w:rsidRDefault="009B4538" w:rsidP="009B4538">
      <w:pPr>
        <w:pStyle w:val="ListParagraph"/>
        <w:numPr>
          <w:ilvl w:val="0"/>
          <w:numId w:val="21"/>
        </w:numPr>
        <w:rPr>
          <w:rFonts w:ascii="Calibri" w:hAnsi="Calibri" w:cs="Calibri"/>
          <w:sz w:val="20"/>
          <w:szCs w:val="20"/>
        </w:rPr>
      </w:pPr>
      <w:r w:rsidRPr="0027441D">
        <w:rPr>
          <w:rFonts w:ascii="Calibri" w:hAnsi="Calibri" w:cs="Calibri"/>
          <w:sz w:val="20"/>
          <w:szCs w:val="20"/>
        </w:rPr>
        <w:t xml:space="preserve">Department of Jobs Precincts and Regions </w:t>
      </w:r>
    </w:p>
    <w:p w14:paraId="703EC459" w14:textId="77777777" w:rsidR="009B4538" w:rsidRPr="0027441D" w:rsidRDefault="009B4538" w:rsidP="009B4538">
      <w:pPr>
        <w:pStyle w:val="ListParagraph"/>
        <w:numPr>
          <w:ilvl w:val="0"/>
          <w:numId w:val="21"/>
        </w:numPr>
        <w:rPr>
          <w:rFonts w:ascii="Calibri" w:hAnsi="Calibri" w:cs="Calibri"/>
          <w:sz w:val="20"/>
          <w:szCs w:val="20"/>
        </w:rPr>
      </w:pPr>
      <w:r w:rsidRPr="0027441D">
        <w:rPr>
          <w:rFonts w:ascii="Calibri" w:hAnsi="Calibri" w:cs="Calibri"/>
          <w:sz w:val="20"/>
          <w:szCs w:val="20"/>
        </w:rPr>
        <w:t>Department of Justice and Community Safety</w:t>
      </w:r>
    </w:p>
    <w:p w14:paraId="32FF78DA" w14:textId="77777777" w:rsidR="009B4538" w:rsidRPr="0027441D" w:rsidRDefault="009B4538" w:rsidP="009B4538">
      <w:pPr>
        <w:pStyle w:val="ListParagraph"/>
        <w:numPr>
          <w:ilvl w:val="0"/>
          <w:numId w:val="21"/>
        </w:numPr>
        <w:rPr>
          <w:rFonts w:ascii="Calibri" w:hAnsi="Calibri" w:cs="Calibri"/>
          <w:sz w:val="20"/>
          <w:szCs w:val="20"/>
        </w:rPr>
      </w:pPr>
      <w:r w:rsidRPr="0027441D">
        <w:rPr>
          <w:rFonts w:ascii="Calibri" w:hAnsi="Calibri" w:cs="Calibri"/>
          <w:sz w:val="20"/>
          <w:szCs w:val="20"/>
        </w:rPr>
        <w:t>Department of Education and Training</w:t>
      </w:r>
    </w:p>
    <w:p w14:paraId="0DCC1A0A" w14:textId="77777777" w:rsidR="009B4538" w:rsidRPr="0027441D" w:rsidRDefault="009B4538" w:rsidP="009B4538">
      <w:pPr>
        <w:pStyle w:val="ListParagraph"/>
        <w:numPr>
          <w:ilvl w:val="0"/>
          <w:numId w:val="21"/>
        </w:numPr>
        <w:rPr>
          <w:rFonts w:ascii="Calibri" w:hAnsi="Calibri" w:cs="Calibri"/>
          <w:sz w:val="20"/>
          <w:szCs w:val="20"/>
        </w:rPr>
      </w:pPr>
      <w:r w:rsidRPr="0027441D">
        <w:rPr>
          <w:rFonts w:ascii="Calibri" w:hAnsi="Calibri" w:cs="Calibri"/>
          <w:sz w:val="20"/>
          <w:szCs w:val="20"/>
        </w:rPr>
        <w:lastRenderedPageBreak/>
        <w:t>Department of Environment, Land, Water and Planning</w:t>
      </w:r>
    </w:p>
    <w:p w14:paraId="6A0FB91D" w14:textId="77777777" w:rsidR="009B4538" w:rsidRPr="0027441D" w:rsidRDefault="009B4538" w:rsidP="009B4538">
      <w:pPr>
        <w:pStyle w:val="ListParagraph"/>
        <w:numPr>
          <w:ilvl w:val="0"/>
          <w:numId w:val="21"/>
        </w:numPr>
        <w:rPr>
          <w:rFonts w:ascii="Calibri" w:hAnsi="Calibri" w:cs="Calibri"/>
          <w:sz w:val="20"/>
          <w:szCs w:val="20"/>
        </w:rPr>
      </w:pPr>
      <w:r w:rsidRPr="0027441D">
        <w:rPr>
          <w:rFonts w:ascii="Calibri" w:hAnsi="Calibri" w:cs="Calibri"/>
          <w:sz w:val="20"/>
          <w:szCs w:val="20"/>
        </w:rPr>
        <w:t>Department of Health and Humans Services</w:t>
      </w:r>
    </w:p>
    <w:p w14:paraId="783D7250" w14:textId="77777777" w:rsidR="009B4538" w:rsidRPr="0027441D" w:rsidRDefault="009B4538" w:rsidP="009B4538">
      <w:pPr>
        <w:pStyle w:val="ListParagraph"/>
        <w:numPr>
          <w:ilvl w:val="0"/>
          <w:numId w:val="21"/>
        </w:numPr>
        <w:rPr>
          <w:rFonts w:ascii="Calibri" w:hAnsi="Calibri" w:cs="Calibri"/>
          <w:sz w:val="20"/>
          <w:szCs w:val="20"/>
        </w:rPr>
      </w:pPr>
      <w:r w:rsidRPr="0027441D">
        <w:rPr>
          <w:rFonts w:ascii="Calibri" w:hAnsi="Calibri" w:cs="Calibri"/>
          <w:sz w:val="20"/>
          <w:szCs w:val="20"/>
        </w:rPr>
        <w:t>Victorian Public Sector Commission</w:t>
      </w:r>
    </w:p>
    <w:p w14:paraId="68574CAA"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Officer of the Governor</w:t>
      </w:r>
    </w:p>
    <w:p w14:paraId="7824FB48"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Office of the Victorian Government Architect</w:t>
      </w:r>
    </w:p>
    <w:p w14:paraId="3DC8FE14"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Office of the Chief Parliamentary Counsel</w:t>
      </w:r>
    </w:p>
    <w:p w14:paraId="62C82818"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Safer Care Victoria</w:t>
      </w:r>
    </w:p>
    <w:p w14:paraId="33B710F6"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Bushfire Recovery Victoria</w:t>
      </w:r>
    </w:p>
    <w:p w14:paraId="11128AF5"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Mental Health Reform Victoria</w:t>
      </w:r>
    </w:p>
    <w:p w14:paraId="0F698776"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Public Record Office Victoria</w:t>
      </w:r>
    </w:p>
    <w:p w14:paraId="5E7E8505"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Victorian Government Solicitors Office</w:t>
      </w:r>
    </w:p>
    <w:p w14:paraId="36C1F1C6"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Major Transport Infrastructure Authority</w:t>
      </w:r>
    </w:p>
    <w:p w14:paraId="4965146B"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Office of Projects Victoria</w:t>
      </w:r>
    </w:p>
    <w:p w14:paraId="45CD1E65" w14:textId="34DCA641"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La</w:t>
      </w:r>
      <w:r w:rsidR="0059177C">
        <w:rPr>
          <w:rFonts w:ascii="Calibri" w:hAnsi="Calibri" w:cs="Calibri"/>
          <w:sz w:val="20"/>
          <w:szCs w:val="20"/>
        </w:rPr>
        <w:t>t</w:t>
      </w:r>
      <w:r w:rsidRPr="0027441D">
        <w:rPr>
          <w:rFonts w:ascii="Calibri" w:hAnsi="Calibri" w:cs="Calibri"/>
          <w:sz w:val="20"/>
          <w:szCs w:val="20"/>
        </w:rPr>
        <w:t>robe Valley Authority</w:t>
      </w:r>
    </w:p>
    <w:p w14:paraId="6913D424"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Victorian Agency for Health Information</w:t>
      </w:r>
    </w:p>
    <w:p w14:paraId="38BE65E9"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Local Government Inspectorate</w:t>
      </w:r>
    </w:p>
    <w:p w14:paraId="7B5866A5"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Family Safety Victoria</w:t>
      </w:r>
    </w:p>
    <w:p w14:paraId="0966C154"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Suburban Rail Loop Authority</w:t>
      </w:r>
    </w:p>
    <w:p w14:paraId="461370E2" w14:textId="77777777" w:rsidR="009B4538" w:rsidRPr="0027441D" w:rsidRDefault="009B4538" w:rsidP="009B4538">
      <w:pPr>
        <w:pStyle w:val="ListParagraph"/>
        <w:numPr>
          <w:ilvl w:val="0"/>
          <w:numId w:val="21"/>
        </w:numPr>
        <w:spacing w:line="252" w:lineRule="auto"/>
        <w:rPr>
          <w:rFonts w:ascii="Calibri" w:hAnsi="Calibri" w:cs="Calibri"/>
          <w:sz w:val="20"/>
          <w:szCs w:val="20"/>
        </w:rPr>
      </w:pPr>
      <w:r w:rsidRPr="0027441D">
        <w:rPr>
          <w:rFonts w:ascii="Calibri" w:hAnsi="Calibri" w:cs="Calibri"/>
          <w:sz w:val="20"/>
          <w:szCs w:val="20"/>
        </w:rPr>
        <w:t>Service Victoria</w:t>
      </w:r>
    </w:p>
    <w:p w14:paraId="72DE5EDF" w14:textId="138EC805" w:rsidR="009B4538" w:rsidRDefault="009B4538" w:rsidP="009B4538">
      <w:pPr>
        <w:rPr>
          <w:rFonts w:ascii="Calibri" w:hAnsi="Calibri" w:cs="Calibri"/>
        </w:rPr>
      </w:pPr>
      <w:r w:rsidRPr="0027441D">
        <w:rPr>
          <w:rFonts w:ascii="Calibri" w:hAnsi="Calibri" w:cs="Calibri"/>
        </w:rPr>
        <w:t xml:space="preserve">Other executives employed under Part 3 of the </w:t>
      </w:r>
      <w:r w:rsidRPr="0027441D">
        <w:rPr>
          <w:rFonts w:ascii="Calibri" w:hAnsi="Calibri" w:cs="Calibri"/>
          <w:i/>
        </w:rPr>
        <w:t>Public Administration Act 2004</w:t>
      </w:r>
      <w:r w:rsidRPr="0027441D">
        <w:rPr>
          <w:rFonts w:ascii="Calibri" w:hAnsi="Calibri" w:cs="Calibri"/>
        </w:rPr>
        <w:t xml:space="preserve"> </w:t>
      </w:r>
      <w:r w:rsidR="00AD7C65" w:rsidRPr="00AD7C65">
        <w:rPr>
          <w:rFonts w:ascii="Calibri" w:hAnsi="Calibri" w:cs="Calibri"/>
        </w:rPr>
        <w:t xml:space="preserve">who have conventionally followed the previous VPS bands </w:t>
      </w:r>
      <w:r w:rsidRPr="0027441D">
        <w:rPr>
          <w:rFonts w:ascii="Calibri" w:hAnsi="Calibri" w:cs="Calibri"/>
        </w:rPr>
        <w:t>should follow the Determination, e.g. Victoria Police unsworn executives.</w:t>
      </w:r>
    </w:p>
    <w:p w14:paraId="679C124C" w14:textId="77777777" w:rsidR="006469DF" w:rsidRPr="0027441D" w:rsidRDefault="006469DF" w:rsidP="009B4538">
      <w:pPr>
        <w:rPr>
          <w:rFonts w:ascii="Calibri" w:hAnsi="Calibri" w:cs="Calibri"/>
        </w:rPr>
      </w:pPr>
    </w:p>
    <w:p w14:paraId="57EA89DF" w14:textId="77777777" w:rsidR="009B4538" w:rsidRPr="0027441D" w:rsidRDefault="009B4538" w:rsidP="009B4538">
      <w:pPr>
        <w:rPr>
          <w:rFonts w:ascii="Calibri" w:hAnsi="Calibri" w:cs="Calibri"/>
        </w:rPr>
      </w:pPr>
      <w:r w:rsidRPr="0027441D">
        <w:rPr>
          <w:rFonts w:ascii="Calibri" w:hAnsi="Calibri" w:cs="Calibri"/>
        </w:rPr>
        <w:t>The Determination will not apply to public entity executives. The Tribunal will make a separate Determination setting remuneration bands for executives employed in prescribed public entities in 2020</w:t>
      </w:r>
      <w:bookmarkEnd w:id="8"/>
      <w:r w:rsidRPr="0027441D">
        <w:rPr>
          <w:rFonts w:ascii="Calibri" w:hAnsi="Calibri" w:cs="Calibri"/>
        </w:rPr>
        <w:t xml:space="preserve">. The prescribed public entities are listed in the </w:t>
      </w:r>
      <w:hyperlink r:id="rId14" w:history="1">
        <w:r w:rsidRPr="0027441D">
          <w:rPr>
            <w:rStyle w:val="Hyperlink"/>
            <w:rFonts w:ascii="Calibri" w:hAnsi="Calibri" w:cs="Calibri"/>
          </w:rPr>
          <w:t>Victorian Independent Remuneration Tribunal and Improving Parliamentary Standards (Prescribed Public Entities) Regulations 2019</w:t>
        </w:r>
      </w:hyperlink>
      <w:r w:rsidRPr="0027441D">
        <w:rPr>
          <w:rFonts w:ascii="Calibri" w:hAnsi="Calibri" w:cs="Calibri"/>
        </w:rPr>
        <w:t>.</w:t>
      </w:r>
    </w:p>
    <w:p w14:paraId="5BB80966" w14:textId="77777777" w:rsidR="009B4538" w:rsidRPr="0027441D" w:rsidRDefault="009B4538" w:rsidP="00631658">
      <w:pPr>
        <w:pStyle w:val="Heading3"/>
      </w:pPr>
      <w:bookmarkStart w:id="9" w:name="_Toc26348778"/>
      <w:r w:rsidRPr="0027441D">
        <w:t>Victoria Police has historically used the VPS executive remuneration bands for un-sworn officers. Does the Determination apply to them?</w:t>
      </w:r>
      <w:bookmarkEnd w:id="9"/>
    </w:p>
    <w:p w14:paraId="3E4D82A5" w14:textId="3094A2D0" w:rsidR="009B4538" w:rsidRPr="0027441D" w:rsidRDefault="009B4538" w:rsidP="009B4538">
      <w:pPr>
        <w:rPr>
          <w:rFonts w:ascii="Calibri" w:hAnsi="Calibri" w:cs="Calibri"/>
        </w:rPr>
      </w:pPr>
      <w:r w:rsidRPr="0027441D">
        <w:rPr>
          <w:rFonts w:ascii="Calibri" w:hAnsi="Calibri" w:cs="Calibri"/>
        </w:rPr>
        <w:t xml:space="preserve">Victoria Police and other agencies that currently use the VPS bands by convention (because they employ executives under Part 3 of the </w:t>
      </w:r>
      <w:r w:rsidRPr="0027441D">
        <w:rPr>
          <w:rFonts w:ascii="Calibri" w:hAnsi="Calibri" w:cs="Calibri"/>
          <w:i/>
        </w:rPr>
        <w:t>Public Administration Act 2004)</w:t>
      </w:r>
      <w:r w:rsidRPr="0027441D">
        <w:rPr>
          <w:rFonts w:ascii="Calibri" w:hAnsi="Calibri" w:cs="Calibri"/>
        </w:rPr>
        <w:t xml:space="preserve"> should </w:t>
      </w:r>
      <w:r w:rsidR="009B333D">
        <w:rPr>
          <w:rFonts w:ascii="Calibri" w:hAnsi="Calibri" w:cs="Calibri"/>
        </w:rPr>
        <w:t xml:space="preserve">follow </w:t>
      </w:r>
      <w:r w:rsidRPr="0027441D">
        <w:rPr>
          <w:rFonts w:ascii="Calibri" w:hAnsi="Calibri" w:cs="Calibri"/>
        </w:rPr>
        <w:t xml:space="preserve">the </w:t>
      </w:r>
      <w:r w:rsidR="00AD7C65">
        <w:rPr>
          <w:rFonts w:ascii="Calibri" w:hAnsi="Calibri" w:cs="Calibri"/>
        </w:rPr>
        <w:t>Determination</w:t>
      </w:r>
      <w:r w:rsidRPr="0027441D">
        <w:rPr>
          <w:rFonts w:ascii="Calibri" w:hAnsi="Calibri" w:cs="Calibri"/>
        </w:rPr>
        <w:t>. This is not mandated by legislation but will be considered the best practice approach to maintain established remuneration practices and consistency with the rest of the VPS</w:t>
      </w:r>
      <w:r w:rsidR="00AD7C65">
        <w:rPr>
          <w:rFonts w:ascii="Calibri" w:hAnsi="Calibri" w:cs="Calibri"/>
        </w:rPr>
        <w:t xml:space="preserve"> executives</w:t>
      </w:r>
      <w:r w:rsidRPr="0027441D">
        <w:rPr>
          <w:rFonts w:ascii="Calibri" w:hAnsi="Calibri" w:cs="Calibri"/>
        </w:rPr>
        <w:t>.</w:t>
      </w:r>
    </w:p>
    <w:p w14:paraId="3E99BFB2" w14:textId="6685B8D9" w:rsidR="009B4538" w:rsidRPr="0027441D" w:rsidRDefault="009B4538" w:rsidP="009B4538">
      <w:pPr>
        <w:pStyle w:val="Heading3"/>
      </w:pPr>
      <w:r w:rsidRPr="0027441D">
        <w:t>What factors did the Tribunal consider as part of making the Determination?</w:t>
      </w:r>
    </w:p>
    <w:p w14:paraId="2B5BDBA5" w14:textId="77777777" w:rsidR="009B4538" w:rsidRPr="0027441D" w:rsidRDefault="009B4538" w:rsidP="009B4538">
      <w:pPr>
        <w:rPr>
          <w:rFonts w:ascii="Calibri" w:hAnsi="Calibri" w:cs="Calibri"/>
        </w:rPr>
      </w:pPr>
      <w:r w:rsidRPr="0027441D">
        <w:rPr>
          <w:rFonts w:ascii="Calibri" w:hAnsi="Calibri" w:cs="Calibri"/>
        </w:rPr>
        <w:t xml:space="preserve">The Tribunal is an independent statutory authority and makes Determinations </w:t>
      </w:r>
      <w:proofErr w:type="gramStart"/>
      <w:r w:rsidRPr="0027441D">
        <w:rPr>
          <w:rFonts w:ascii="Calibri" w:hAnsi="Calibri" w:cs="Calibri"/>
        </w:rPr>
        <w:t>taking into account</w:t>
      </w:r>
      <w:proofErr w:type="gramEnd"/>
      <w:r w:rsidRPr="0027441D">
        <w:rPr>
          <w:rFonts w:ascii="Calibri" w:hAnsi="Calibri" w:cs="Calibri"/>
        </w:rPr>
        <w:t xml:space="preserve"> a number of matters required under its legislation. The Tribunal has also consulted broadly, including calling for submissions from interested parties. </w:t>
      </w:r>
    </w:p>
    <w:p w14:paraId="7E060375" w14:textId="77777777" w:rsidR="009B4538" w:rsidRPr="0027441D" w:rsidRDefault="009B4538" w:rsidP="009B4538">
      <w:pPr>
        <w:rPr>
          <w:rFonts w:ascii="Calibri" w:hAnsi="Calibri" w:cs="Calibri"/>
        </w:rPr>
      </w:pPr>
      <w:r w:rsidRPr="0027441D">
        <w:rPr>
          <w:rFonts w:ascii="Calibri" w:hAnsi="Calibri" w:cs="Calibri"/>
        </w:rPr>
        <w:t xml:space="preserve">The Tribunal published a Notice of Intention to </w:t>
      </w:r>
      <w:proofErr w:type="gramStart"/>
      <w:r w:rsidRPr="0027441D">
        <w:rPr>
          <w:rFonts w:ascii="Calibri" w:hAnsi="Calibri" w:cs="Calibri"/>
        </w:rPr>
        <w:t>make a Determination</w:t>
      </w:r>
      <w:proofErr w:type="gramEnd"/>
      <w:r w:rsidRPr="0027441D">
        <w:rPr>
          <w:rFonts w:ascii="Calibri" w:hAnsi="Calibri" w:cs="Calibri"/>
        </w:rPr>
        <w:t xml:space="preserve"> in late 2019, which outlined the matters being considered by the Tribunal as part of making the Determination, including:</w:t>
      </w:r>
    </w:p>
    <w:p w14:paraId="47BF9A63" w14:textId="77777777" w:rsidR="009B4538" w:rsidRPr="0027441D" w:rsidRDefault="009B4538" w:rsidP="009B4538">
      <w:pPr>
        <w:pStyle w:val="ListParagraph"/>
        <w:numPr>
          <w:ilvl w:val="0"/>
          <w:numId w:val="18"/>
        </w:numPr>
        <w:rPr>
          <w:rFonts w:ascii="Calibri" w:hAnsi="Calibri" w:cs="Calibri"/>
          <w:sz w:val="20"/>
          <w:szCs w:val="20"/>
        </w:rPr>
      </w:pPr>
      <w:r w:rsidRPr="0027441D">
        <w:rPr>
          <w:rFonts w:ascii="Calibri" w:hAnsi="Calibri" w:cs="Calibri"/>
          <w:sz w:val="20"/>
          <w:szCs w:val="20"/>
        </w:rPr>
        <w:t xml:space="preserve">the roles of executives employed in public service bodies and the existing remuneration provided to executives under the </w:t>
      </w:r>
      <w:r w:rsidRPr="0027441D">
        <w:rPr>
          <w:rFonts w:ascii="Calibri" w:hAnsi="Calibri" w:cs="Calibri"/>
          <w:i/>
          <w:sz w:val="20"/>
          <w:szCs w:val="20"/>
        </w:rPr>
        <w:t>Public Administration Act 2004</w:t>
      </w:r>
    </w:p>
    <w:p w14:paraId="1C929D9C" w14:textId="77777777" w:rsidR="009B4538" w:rsidRPr="0027441D" w:rsidRDefault="009B4538" w:rsidP="009B4538">
      <w:pPr>
        <w:pStyle w:val="ListParagraph"/>
        <w:numPr>
          <w:ilvl w:val="0"/>
          <w:numId w:val="18"/>
        </w:numPr>
        <w:rPr>
          <w:rFonts w:ascii="Calibri" w:hAnsi="Calibri" w:cs="Calibri"/>
          <w:sz w:val="20"/>
          <w:szCs w:val="20"/>
        </w:rPr>
      </w:pPr>
      <w:r w:rsidRPr="0027441D">
        <w:rPr>
          <w:rFonts w:ascii="Calibri" w:hAnsi="Calibri" w:cs="Calibri"/>
          <w:sz w:val="20"/>
          <w:szCs w:val="20"/>
        </w:rPr>
        <w:t>any current statement or policy of the Victorian Government in relation to its Public Sector Wages Policy (or equivalent) and the remuneration and allowances of any specified occupation group</w:t>
      </w:r>
    </w:p>
    <w:p w14:paraId="3FB534C0" w14:textId="77777777" w:rsidR="009B4538" w:rsidRPr="0027441D" w:rsidRDefault="009B4538" w:rsidP="009B4538">
      <w:pPr>
        <w:pStyle w:val="ListParagraph"/>
        <w:numPr>
          <w:ilvl w:val="0"/>
          <w:numId w:val="18"/>
        </w:numPr>
        <w:rPr>
          <w:rFonts w:ascii="Calibri" w:hAnsi="Calibri" w:cs="Calibri"/>
          <w:sz w:val="20"/>
          <w:szCs w:val="20"/>
        </w:rPr>
      </w:pPr>
      <w:r w:rsidRPr="0027441D">
        <w:rPr>
          <w:rFonts w:ascii="Calibri" w:hAnsi="Calibri" w:cs="Calibri"/>
          <w:sz w:val="20"/>
          <w:szCs w:val="20"/>
        </w:rPr>
        <w:t>the financial position and fiscal strategy of the State of Victoria</w:t>
      </w:r>
    </w:p>
    <w:p w14:paraId="25B583BE" w14:textId="77777777" w:rsidR="009B4538" w:rsidRPr="0027441D" w:rsidRDefault="009B4538" w:rsidP="009B4538">
      <w:pPr>
        <w:pStyle w:val="ListParagraph"/>
        <w:numPr>
          <w:ilvl w:val="0"/>
          <w:numId w:val="18"/>
        </w:numPr>
        <w:rPr>
          <w:rFonts w:ascii="Calibri" w:hAnsi="Calibri" w:cs="Calibri"/>
          <w:sz w:val="20"/>
          <w:szCs w:val="20"/>
        </w:rPr>
      </w:pPr>
      <w:r w:rsidRPr="0027441D">
        <w:rPr>
          <w:rFonts w:ascii="Calibri" w:hAnsi="Calibri" w:cs="Calibri"/>
          <w:sz w:val="20"/>
          <w:szCs w:val="20"/>
        </w:rPr>
        <w:t>current and projected economic conditions and trends</w:t>
      </w:r>
    </w:p>
    <w:p w14:paraId="3F8BC945" w14:textId="77777777" w:rsidR="009B4538" w:rsidRPr="0027441D" w:rsidRDefault="009B4538" w:rsidP="009B4538">
      <w:pPr>
        <w:pStyle w:val="ListParagraph"/>
        <w:numPr>
          <w:ilvl w:val="0"/>
          <w:numId w:val="18"/>
        </w:numPr>
        <w:rPr>
          <w:rFonts w:ascii="Calibri" w:hAnsi="Calibri" w:cs="Calibri"/>
          <w:sz w:val="20"/>
          <w:szCs w:val="20"/>
        </w:rPr>
      </w:pPr>
      <w:r w:rsidRPr="0027441D">
        <w:rPr>
          <w:rFonts w:ascii="Calibri" w:hAnsi="Calibri" w:cs="Calibri"/>
          <w:sz w:val="20"/>
          <w:szCs w:val="20"/>
        </w:rPr>
        <w:t>submissions received in relation to the proposed Determination</w:t>
      </w:r>
    </w:p>
    <w:p w14:paraId="70B52D36" w14:textId="0947BFE5" w:rsidR="009B4538" w:rsidRDefault="009B4538" w:rsidP="009B4538">
      <w:pPr>
        <w:pStyle w:val="ListParagraph"/>
        <w:numPr>
          <w:ilvl w:val="0"/>
          <w:numId w:val="18"/>
        </w:numPr>
        <w:rPr>
          <w:rFonts w:ascii="Calibri" w:hAnsi="Calibri" w:cs="Calibri"/>
          <w:sz w:val="20"/>
          <w:szCs w:val="20"/>
        </w:rPr>
      </w:pPr>
      <w:r w:rsidRPr="0027441D">
        <w:rPr>
          <w:rFonts w:ascii="Calibri" w:hAnsi="Calibri" w:cs="Calibri"/>
          <w:sz w:val="20"/>
          <w:szCs w:val="20"/>
        </w:rPr>
        <w:t xml:space="preserve">the remuneration of public service executives in other Australian jurisdictions and the remuneration of comparable positions in the private sector. </w:t>
      </w:r>
    </w:p>
    <w:p w14:paraId="719465F4" w14:textId="77777777" w:rsidR="009B4538" w:rsidRPr="0027441D" w:rsidRDefault="009B4538" w:rsidP="009B4538">
      <w:pPr>
        <w:pStyle w:val="Heading3"/>
      </w:pPr>
      <w:r w:rsidRPr="0027441D">
        <w:lastRenderedPageBreak/>
        <w:t>What does the Determination mean for new executives?</w:t>
      </w:r>
    </w:p>
    <w:p w14:paraId="65182CDC" w14:textId="77777777" w:rsidR="009B4538" w:rsidRPr="0027441D" w:rsidRDefault="009B4538" w:rsidP="009B4538">
      <w:pPr>
        <w:rPr>
          <w:rFonts w:ascii="Calibri" w:hAnsi="Calibri" w:cs="Calibri"/>
        </w:rPr>
      </w:pPr>
      <w:r w:rsidRPr="0027441D">
        <w:rPr>
          <w:rFonts w:ascii="Calibri" w:hAnsi="Calibri" w:cs="Calibri"/>
        </w:rPr>
        <w:t xml:space="preserve">All new job advertisements and position descriptions should align to the new bands. All new executive contracts will be required to align with the new bands. </w:t>
      </w:r>
    </w:p>
    <w:p w14:paraId="6B7DF16D" w14:textId="77777777" w:rsidR="009B4538" w:rsidRPr="0027441D" w:rsidRDefault="009B4538" w:rsidP="00631658">
      <w:pPr>
        <w:pStyle w:val="Heading3"/>
      </w:pPr>
      <w:bookmarkStart w:id="10" w:name="_Toc26348774"/>
      <w:r w:rsidRPr="0027441D">
        <w:t>Who is responsible for determining where executives are placed in the bands?</w:t>
      </w:r>
      <w:bookmarkEnd w:id="10"/>
    </w:p>
    <w:p w14:paraId="59A3C5F4" w14:textId="7ADB352A" w:rsidR="009B4538" w:rsidRDefault="009B4538" w:rsidP="009B4538">
      <w:pPr>
        <w:rPr>
          <w:rFonts w:ascii="Calibri" w:hAnsi="Calibri" w:cs="Calibri"/>
        </w:rPr>
      </w:pPr>
      <w:r w:rsidRPr="0027441D">
        <w:rPr>
          <w:rFonts w:ascii="Calibri" w:hAnsi="Calibri" w:cs="Calibri"/>
        </w:rPr>
        <w:t xml:space="preserve">The Tribunal does not set individual executive remuneration. </w:t>
      </w:r>
      <w:r w:rsidR="006469DF">
        <w:rPr>
          <w:rFonts w:ascii="Calibri" w:hAnsi="Calibri" w:cs="Calibri"/>
        </w:rPr>
        <w:t>However, t</w:t>
      </w:r>
      <w:r w:rsidRPr="0027441D">
        <w:rPr>
          <w:rFonts w:ascii="Calibri" w:hAnsi="Calibri" w:cs="Calibri"/>
        </w:rPr>
        <w:t xml:space="preserve">he Tribunal </w:t>
      </w:r>
      <w:r w:rsidR="006469DF">
        <w:rPr>
          <w:rFonts w:ascii="Calibri" w:hAnsi="Calibri" w:cs="Calibri"/>
        </w:rPr>
        <w:t>has issued</w:t>
      </w:r>
      <w:r w:rsidRPr="0027441D">
        <w:rPr>
          <w:rFonts w:ascii="Calibri" w:hAnsi="Calibri" w:cs="Calibri"/>
        </w:rPr>
        <w:t xml:space="preserve"> guidelines about the placement of executives within the bands</w:t>
      </w:r>
      <w:r w:rsidR="006469DF">
        <w:rPr>
          <w:rFonts w:ascii="Calibri" w:hAnsi="Calibri" w:cs="Calibri"/>
        </w:rPr>
        <w:t xml:space="preserve">, which employers should </w:t>
      </w:r>
      <w:proofErr w:type="gramStart"/>
      <w:r w:rsidR="006469DF">
        <w:rPr>
          <w:rFonts w:ascii="Calibri" w:hAnsi="Calibri" w:cs="Calibri"/>
        </w:rPr>
        <w:t>give consideration to</w:t>
      </w:r>
      <w:proofErr w:type="gramEnd"/>
      <w:r w:rsidRPr="0027441D">
        <w:rPr>
          <w:rFonts w:ascii="Calibri" w:hAnsi="Calibri" w:cs="Calibri"/>
        </w:rPr>
        <w:t xml:space="preserve">. </w:t>
      </w:r>
    </w:p>
    <w:p w14:paraId="04DFE44A" w14:textId="77777777" w:rsidR="006469DF" w:rsidRPr="0027441D" w:rsidRDefault="006469DF" w:rsidP="009B4538">
      <w:pPr>
        <w:rPr>
          <w:rFonts w:ascii="Calibri" w:hAnsi="Calibri" w:cs="Calibri"/>
        </w:rPr>
      </w:pPr>
    </w:p>
    <w:p w14:paraId="7AEDF615" w14:textId="16917DB5" w:rsidR="009B4538" w:rsidRPr="0027441D" w:rsidRDefault="009B4538" w:rsidP="009B4538">
      <w:pPr>
        <w:rPr>
          <w:rFonts w:ascii="Calibri" w:hAnsi="Calibri" w:cs="Calibri"/>
        </w:rPr>
      </w:pPr>
      <w:r w:rsidRPr="0027441D">
        <w:rPr>
          <w:rFonts w:ascii="Calibri" w:hAnsi="Calibri" w:cs="Calibri"/>
        </w:rPr>
        <w:t>The remuneration offered to an executive is at the discretion of the employer (</w:t>
      </w:r>
      <w:r w:rsidR="006D4025">
        <w:rPr>
          <w:rFonts w:ascii="Calibri" w:hAnsi="Calibri" w:cs="Calibri"/>
        </w:rPr>
        <w:t>Department Head</w:t>
      </w:r>
      <w:r w:rsidRPr="0027441D">
        <w:rPr>
          <w:rFonts w:ascii="Calibri" w:hAnsi="Calibri" w:cs="Calibri"/>
        </w:rPr>
        <w:t>/</w:t>
      </w:r>
      <w:r w:rsidR="00D5722F" w:rsidRPr="0027441D">
        <w:rPr>
          <w:rFonts w:ascii="Calibri" w:hAnsi="Calibri" w:cs="Calibri"/>
        </w:rPr>
        <w:t>Administrative Office</w:t>
      </w:r>
      <w:r w:rsidRPr="0027441D">
        <w:rPr>
          <w:rFonts w:ascii="Calibri" w:hAnsi="Calibri" w:cs="Calibri"/>
        </w:rPr>
        <w:t xml:space="preserve"> Head/VPSC Commissioner), provided it is within the relevant band for the role. The relevant band </w:t>
      </w:r>
      <w:r w:rsidR="00EF4493" w:rsidRPr="0027441D">
        <w:rPr>
          <w:rFonts w:ascii="Calibri" w:hAnsi="Calibri" w:cs="Calibri"/>
        </w:rPr>
        <w:t xml:space="preserve">for existing executives will be their </w:t>
      </w:r>
      <w:r w:rsidRPr="0027441D">
        <w:rPr>
          <w:rFonts w:ascii="Calibri" w:hAnsi="Calibri" w:cs="Calibri"/>
        </w:rPr>
        <w:t xml:space="preserve">existing EO band </w:t>
      </w:r>
      <w:r w:rsidR="00EF4493" w:rsidRPr="0027441D">
        <w:rPr>
          <w:rFonts w:ascii="Calibri" w:hAnsi="Calibri" w:cs="Calibri"/>
        </w:rPr>
        <w:t>mapped to the</w:t>
      </w:r>
      <w:r w:rsidRPr="0027441D">
        <w:rPr>
          <w:rFonts w:ascii="Calibri" w:hAnsi="Calibri" w:cs="Calibri"/>
        </w:rPr>
        <w:t xml:space="preserve"> corresponding SES band. </w:t>
      </w:r>
    </w:p>
    <w:p w14:paraId="160678AB" w14:textId="77777777" w:rsidR="009B4538" w:rsidRPr="0027441D" w:rsidRDefault="009B4538" w:rsidP="009B4538">
      <w:pPr>
        <w:pStyle w:val="Heading3"/>
      </w:pPr>
      <w:bookmarkStart w:id="11" w:name="_Toc26348775"/>
      <w:r w:rsidRPr="0027441D">
        <w:t>Should executives automatically maintain the same relative position within a band?</w:t>
      </w:r>
      <w:bookmarkEnd w:id="11"/>
      <w:r w:rsidRPr="0027441D">
        <w:t xml:space="preserve"> </w:t>
      </w:r>
    </w:p>
    <w:p w14:paraId="11500779" w14:textId="77777777" w:rsidR="009B4538" w:rsidRPr="0027441D" w:rsidRDefault="009B4538" w:rsidP="009B4538">
      <w:pPr>
        <w:rPr>
          <w:rFonts w:ascii="Calibri" w:hAnsi="Calibri" w:cs="Calibri"/>
        </w:rPr>
      </w:pPr>
      <w:r w:rsidRPr="0027441D">
        <w:rPr>
          <w:rFonts w:ascii="Calibri" w:hAnsi="Calibri" w:cs="Calibri"/>
          <w:iCs/>
        </w:rPr>
        <w:t>No.</w:t>
      </w:r>
      <w:r w:rsidRPr="0027441D">
        <w:rPr>
          <w:rFonts w:ascii="Calibri" w:hAnsi="Calibri" w:cs="Calibri"/>
        </w:rPr>
        <w:t xml:space="preserve"> It is at the discretion of the employer to determine where an executive is placed within the band. </w:t>
      </w:r>
    </w:p>
    <w:p w14:paraId="70FD5C54" w14:textId="77777777" w:rsidR="009B4538" w:rsidRPr="0027441D" w:rsidRDefault="009B4538" w:rsidP="009B4538">
      <w:pPr>
        <w:pStyle w:val="Heading3"/>
      </w:pPr>
      <w:bookmarkStart w:id="12" w:name="_Toc26348776"/>
      <w:r w:rsidRPr="0027441D">
        <w:t>Should executives who are remunerated above the top of their classification band have their remuneration or classification adjusted?</w:t>
      </w:r>
      <w:bookmarkEnd w:id="12"/>
    </w:p>
    <w:p w14:paraId="42CBE905" w14:textId="56EC622C" w:rsidR="009B4538" w:rsidRDefault="009B4538" w:rsidP="009B4538">
      <w:pPr>
        <w:rPr>
          <w:rFonts w:ascii="Calibri" w:hAnsi="Calibri" w:cs="Calibri"/>
        </w:rPr>
      </w:pPr>
      <w:r w:rsidRPr="0027441D">
        <w:rPr>
          <w:rFonts w:ascii="Calibri" w:hAnsi="Calibri" w:cs="Calibri"/>
          <w:iCs/>
        </w:rPr>
        <w:t xml:space="preserve">No. </w:t>
      </w:r>
      <w:r w:rsidRPr="0027441D">
        <w:rPr>
          <w:rFonts w:ascii="Calibri" w:hAnsi="Calibri" w:cs="Calibri"/>
        </w:rPr>
        <w:t>Executives who</w:t>
      </w:r>
      <w:r w:rsidR="00185ABE">
        <w:rPr>
          <w:rFonts w:ascii="Calibri" w:hAnsi="Calibri" w:cs="Calibri"/>
        </w:rPr>
        <w:t>,</w:t>
      </w:r>
      <w:r w:rsidRPr="0027441D">
        <w:rPr>
          <w:rFonts w:ascii="Calibri" w:hAnsi="Calibri" w:cs="Calibri"/>
        </w:rPr>
        <w:t xml:space="preserve"> at the time of the Determination</w:t>
      </w:r>
      <w:r w:rsidR="00185ABE">
        <w:rPr>
          <w:rFonts w:ascii="Calibri" w:hAnsi="Calibri" w:cs="Calibri"/>
        </w:rPr>
        <w:t>,</w:t>
      </w:r>
      <w:r w:rsidRPr="0027441D">
        <w:rPr>
          <w:rFonts w:ascii="Calibri" w:hAnsi="Calibri" w:cs="Calibri"/>
        </w:rPr>
        <w:t xml:space="preserve"> are remunerated above their relevant classification</w:t>
      </w:r>
      <w:r w:rsidR="00185ABE">
        <w:rPr>
          <w:rFonts w:ascii="Calibri" w:hAnsi="Calibri" w:cs="Calibri"/>
        </w:rPr>
        <w:t>,</w:t>
      </w:r>
      <w:r w:rsidRPr="0027441D">
        <w:rPr>
          <w:rFonts w:ascii="Calibri" w:hAnsi="Calibri" w:cs="Calibri"/>
        </w:rPr>
        <w:t xml:space="preserve"> will not have their remuneration decreased to align with the new bands, as their remuneration is governed by an </w:t>
      </w:r>
      <w:r w:rsidR="00F13A58">
        <w:rPr>
          <w:rFonts w:ascii="Calibri" w:hAnsi="Calibri" w:cs="Calibri"/>
        </w:rPr>
        <w:t xml:space="preserve">employment </w:t>
      </w:r>
      <w:r w:rsidRPr="0027441D">
        <w:rPr>
          <w:rFonts w:ascii="Calibri" w:hAnsi="Calibri" w:cs="Calibri"/>
        </w:rPr>
        <w:t>contract. Similarly, if an executive’s remuneration is aligned with a higher classification, their designated classification level will not be increased based solely on their remuneration. Employers may await the outcome of the VPSC’s work value assessment before considering whether to reclassify a role (see below).</w:t>
      </w:r>
    </w:p>
    <w:p w14:paraId="457F0D06" w14:textId="77777777" w:rsidR="001D52CD" w:rsidRPr="0027441D" w:rsidRDefault="001D52CD" w:rsidP="009B4538">
      <w:pPr>
        <w:rPr>
          <w:rFonts w:ascii="Calibri" w:hAnsi="Calibri" w:cs="Calibri"/>
        </w:rPr>
      </w:pPr>
    </w:p>
    <w:p w14:paraId="75875435" w14:textId="46EFA65B" w:rsidR="0072650B" w:rsidRPr="0027441D" w:rsidRDefault="009B4538" w:rsidP="009B4538">
      <w:pPr>
        <w:rPr>
          <w:rFonts w:ascii="Calibri" w:hAnsi="Calibri" w:cs="Calibri"/>
        </w:rPr>
      </w:pPr>
      <w:r w:rsidRPr="0027441D">
        <w:rPr>
          <w:rFonts w:ascii="Calibri" w:hAnsi="Calibri" w:cs="Calibri"/>
        </w:rPr>
        <w:t xml:space="preserve">As per section 25(4) of the </w:t>
      </w:r>
      <w:r w:rsidRPr="0027441D">
        <w:rPr>
          <w:rFonts w:ascii="Calibri" w:hAnsi="Calibri" w:cs="Calibri"/>
          <w:i/>
        </w:rPr>
        <w:t>Public Administration Act 2004</w:t>
      </w:r>
      <w:r w:rsidRPr="0027441D">
        <w:rPr>
          <w:rFonts w:ascii="Calibri" w:hAnsi="Calibri" w:cs="Calibri"/>
        </w:rPr>
        <w:t xml:space="preserve"> and section 37 of the </w:t>
      </w:r>
      <w:r w:rsidRPr="0027441D">
        <w:rPr>
          <w:rFonts w:ascii="Calibri" w:hAnsi="Calibri" w:cs="Calibri"/>
          <w:i/>
        </w:rPr>
        <w:t>Victorian Independent Remuneration Tribunal and Improving Parliamentary Standards Act 2019</w:t>
      </w:r>
      <w:r w:rsidRPr="0027441D">
        <w:rPr>
          <w:rFonts w:ascii="Calibri" w:hAnsi="Calibri" w:cs="Calibri"/>
        </w:rPr>
        <w:t xml:space="preserve">, the remuneration paid to an executive may </w:t>
      </w:r>
      <w:r w:rsidR="00EF4493" w:rsidRPr="0027441D">
        <w:rPr>
          <w:rFonts w:ascii="Calibri" w:hAnsi="Calibri" w:cs="Calibri"/>
        </w:rPr>
        <w:t xml:space="preserve">only </w:t>
      </w:r>
      <w:r w:rsidRPr="0027441D">
        <w:rPr>
          <w:rFonts w:ascii="Calibri" w:hAnsi="Calibri" w:cs="Calibri"/>
        </w:rPr>
        <w:t xml:space="preserve">exceed the maximum of the relevant remuneration band if the employer of the executive has obtained the advice of the Tribunal. For more information please visit the Tribunal’s website. </w:t>
      </w:r>
    </w:p>
    <w:p w14:paraId="19C55C35" w14:textId="71B40281" w:rsidR="0072650B" w:rsidRPr="0027441D" w:rsidRDefault="0072650B" w:rsidP="00EF4493">
      <w:pPr>
        <w:pStyle w:val="Heading3"/>
      </w:pPr>
      <w:bookmarkStart w:id="13" w:name="_Hlk34993218"/>
      <w:r w:rsidRPr="0027441D">
        <w:t>Will employers be required to seek the Tribunal’s advice about existing above-band remuneration?</w:t>
      </w:r>
    </w:p>
    <w:p w14:paraId="0D5B8A02" w14:textId="6D575630" w:rsidR="0072650B" w:rsidRPr="0027441D" w:rsidRDefault="0072650B" w:rsidP="009B4538">
      <w:pPr>
        <w:rPr>
          <w:rFonts w:ascii="Calibri" w:hAnsi="Calibri" w:cs="Calibri"/>
        </w:rPr>
      </w:pPr>
      <w:r w:rsidRPr="0027441D">
        <w:rPr>
          <w:rFonts w:ascii="Calibri" w:hAnsi="Calibri" w:cs="Calibri"/>
        </w:rPr>
        <w:t xml:space="preserve">Employers will be required to </w:t>
      </w:r>
      <w:r w:rsidR="004F190A" w:rsidRPr="0027441D">
        <w:rPr>
          <w:rFonts w:ascii="Calibri" w:hAnsi="Calibri" w:cs="Calibri"/>
        </w:rPr>
        <w:t xml:space="preserve">seek the Tribunal’s advice about </w:t>
      </w:r>
      <w:r w:rsidRPr="0027441D">
        <w:rPr>
          <w:rFonts w:ascii="Calibri" w:hAnsi="Calibri" w:cs="Calibri"/>
        </w:rPr>
        <w:t xml:space="preserve">maintaining </w:t>
      </w:r>
      <w:r w:rsidR="004F190A" w:rsidRPr="0027441D">
        <w:rPr>
          <w:rFonts w:ascii="Calibri" w:hAnsi="Calibri" w:cs="Calibri"/>
        </w:rPr>
        <w:t xml:space="preserve">any existing above-band remuneration arrangements. The Tribunal </w:t>
      </w:r>
      <w:r w:rsidR="00FD00D6">
        <w:rPr>
          <w:rFonts w:ascii="Calibri" w:hAnsi="Calibri" w:cs="Calibri"/>
        </w:rPr>
        <w:t xml:space="preserve">will </w:t>
      </w:r>
      <w:r w:rsidR="00F15E44">
        <w:rPr>
          <w:rFonts w:ascii="Calibri" w:hAnsi="Calibri" w:cs="Calibri"/>
        </w:rPr>
        <w:t>write to</w:t>
      </w:r>
      <w:r w:rsidR="00FD00D6">
        <w:rPr>
          <w:rFonts w:ascii="Calibri" w:hAnsi="Calibri" w:cs="Calibri"/>
        </w:rPr>
        <w:t xml:space="preserve"> </w:t>
      </w:r>
      <w:r w:rsidR="004F190A" w:rsidRPr="0027441D">
        <w:rPr>
          <w:rFonts w:ascii="Calibri" w:hAnsi="Calibri" w:cs="Calibri"/>
        </w:rPr>
        <w:t>employers</w:t>
      </w:r>
      <w:r w:rsidR="008F57BE">
        <w:rPr>
          <w:rFonts w:ascii="Calibri" w:hAnsi="Calibri" w:cs="Calibri"/>
        </w:rPr>
        <w:t xml:space="preserve"> to confirm the process required to seek their advice on above-band remuneration</w:t>
      </w:r>
      <w:r w:rsidR="004F190A" w:rsidRPr="0027441D">
        <w:rPr>
          <w:rFonts w:ascii="Calibri" w:hAnsi="Calibri" w:cs="Calibri"/>
        </w:rPr>
        <w:t>.</w:t>
      </w:r>
      <w:r w:rsidR="00FC0146">
        <w:rPr>
          <w:rFonts w:ascii="Calibri" w:hAnsi="Calibri" w:cs="Calibri"/>
        </w:rPr>
        <w:t xml:space="preserve"> </w:t>
      </w:r>
      <w:r w:rsidR="00FC0146" w:rsidRPr="0027441D">
        <w:rPr>
          <w:rFonts w:ascii="Calibri" w:hAnsi="Calibri" w:cs="Calibri"/>
        </w:rPr>
        <w:t>For more information please visit the Tribunal’s website.</w:t>
      </w:r>
    </w:p>
    <w:p w14:paraId="44F4A6D8" w14:textId="4693790E" w:rsidR="009B4538" w:rsidRPr="00300AE7" w:rsidRDefault="009B4538" w:rsidP="009B4538">
      <w:pPr>
        <w:pStyle w:val="Heading3"/>
      </w:pPr>
      <w:bookmarkStart w:id="14" w:name="_Toc26348787"/>
      <w:bookmarkEnd w:id="13"/>
      <w:r w:rsidRPr="00300AE7">
        <w:t xml:space="preserve">If </w:t>
      </w:r>
      <w:r w:rsidR="008D3DBC" w:rsidRPr="00300AE7">
        <w:t xml:space="preserve">an executive’s current remuneration is below </w:t>
      </w:r>
      <w:r w:rsidRPr="00300AE7">
        <w:t>the base</w:t>
      </w:r>
      <w:r w:rsidR="008D3DBC" w:rsidRPr="00300AE7">
        <w:t xml:space="preserve"> of their relevant band, </w:t>
      </w:r>
      <w:r w:rsidR="00D63940" w:rsidRPr="00300AE7">
        <w:t>should</w:t>
      </w:r>
      <w:r w:rsidR="008D3DBC" w:rsidRPr="00300AE7">
        <w:t xml:space="preserve"> their remuneration increase? </w:t>
      </w:r>
      <w:r w:rsidRPr="00300AE7">
        <w:t xml:space="preserve"> </w:t>
      </w:r>
      <w:bookmarkEnd w:id="14"/>
    </w:p>
    <w:p w14:paraId="29D6EDE0" w14:textId="41539077" w:rsidR="008D3DBC" w:rsidRDefault="009B4538" w:rsidP="008D3DBC">
      <w:pPr>
        <w:rPr>
          <w:rFonts w:ascii="Calibri" w:hAnsi="Calibri" w:cs="Calibri"/>
        </w:rPr>
      </w:pPr>
      <w:r w:rsidRPr="0027441D">
        <w:rPr>
          <w:rFonts w:ascii="Calibri" w:hAnsi="Calibri" w:cs="Calibri"/>
        </w:rPr>
        <w:t xml:space="preserve">Yes. Under section 25(4)(a) of the </w:t>
      </w:r>
      <w:r w:rsidRPr="0027441D">
        <w:rPr>
          <w:rFonts w:ascii="Calibri" w:hAnsi="Calibri" w:cs="Calibri"/>
          <w:i/>
        </w:rPr>
        <w:t>Public Administration Act 2004</w:t>
      </w:r>
      <w:r w:rsidRPr="0027441D">
        <w:rPr>
          <w:rFonts w:ascii="Calibri" w:hAnsi="Calibri" w:cs="Calibri"/>
        </w:rPr>
        <w:t xml:space="preserve">, an executive’s remuneration cannot be lower than the base of the relevant remuneration band in the Determination. Therefore, if an executive’s remuneration is below their designated band, their remuneration must </w:t>
      </w:r>
      <w:r w:rsidR="008D3DBC">
        <w:rPr>
          <w:rFonts w:ascii="Calibri" w:hAnsi="Calibri" w:cs="Calibri"/>
        </w:rPr>
        <w:t>increase</w:t>
      </w:r>
      <w:r w:rsidRPr="0027441D">
        <w:rPr>
          <w:rFonts w:ascii="Calibri" w:hAnsi="Calibri" w:cs="Calibri"/>
        </w:rPr>
        <w:t xml:space="preserve"> to the base of that band. </w:t>
      </w:r>
    </w:p>
    <w:p w14:paraId="4F79FF5A" w14:textId="043DAA79" w:rsidR="009B4538" w:rsidRPr="0027441D" w:rsidRDefault="009B4538" w:rsidP="008D3DBC">
      <w:pPr>
        <w:rPr>
          <w:rFonts w:ascii="Calibri" w:hAnsi="Calibri" w:cs="Calibri"/>
        </w:rPr>
      </w:pPr>
    </w:p>
    <w:p w14:paraId="57C190B0" w14:textId="49EB6D4C" w:rsidR="008D3DBC" w:rsidRDefault="008D3DBC" w:rsidP="009B4538">
      <w:pPr>
        <w:rPr>
          <w:rFonts w:ascii="Calibri" w:hAnsi="Calibri" w:cs="Calibri"/>
        </w:rPr>
      </w:pPr>
      <w:r>
        <w:rPr>
          <w:rFonts w:ascii="Calibri" w:hAnsi="Calibri" w:cs="Calibri"/>
        </w:rPr>
        <w:t xml:space="preserve">From </w:t>
      </w:r>
      <w:r w:rsidR="00177D12">
        <w:rPr>
          <w:rFonts w:ascii="Calibri" w:hAnsi="Calibri" w:cs="Calibri"/>
        </w:rPr>
        <w:t xml:space="preserve">1 July 2020, </w:t>
      </w:r>
      <w:r w:rsidR="00177D12" w:rsidRPr="0059177C">
        <w:rPr>
          <w:rFonts w:ascii="Calibri" w:hAnsi="Calibri" w:cs="Calibri"/>
        </w:rPr>
        <w:t xml:space="preserve">new </w:t>
      </w:r>
      <w:r>
        <w:rPr>
          <w:rFonts w:ascii="Calibri" w:hAnsi="Calibri" w:cs="Calibri"/>
        </w:rPr>
        <w:t>values</w:t>
      </w:r>
      <w:r w:rsidRPr="0059177C">
        <w:rPr>
          <w:rFonts w:ascii="Calibri" w:hAnsi="Calibri" w:cs="Calibri"/>
        </w:rPr>
        <w:t xml:space="preserve"> </w:t>
      </w:r>
      <w:r w:rsidR="00177D12" w:rsidRPr="0059177C">
        <w:rPr>
          <w:rFonts w:ascii="Calibri" w:hAnsi="Calibri" w:cs="Calibri"/>
        </w:rPr>
        <w:t xml:space="preserve">will be introduced which remove the overlap of remuneration between bands and increase the base and the maximum </w:t>
      </w:r>
      <w:r>
        <w:rPr>
          <w:rFonts w:ascii="Calibri" w:hAnsi="Calibri" w:cs="Calibri"/>
        </w:rPr>
        <w:t>values</w:t>
      </w:r>
      <w:r w:rsidRPr="0059177C">
        <w:rPr>
          <w:rFonts w:ascii="Calibri" w:hAnsi="Calibri" w:cs="Calibri"/>
        </w:rPr>
        <w:t xml:space="preserve"> </w:t>
      </w:r>
      <w:r w:rsidR="00177D12" w:rsidRPr="0059177C">
        <w:rPr>
          <w:rFonts w:ascii="Calibri" w:hAnsi="Calibri" w:cs="Calibri"/>
        </w:rPr>
        <w:t>of the bands.</w:t>
      </w:r>
      <w:r w:rsidR="00177D12">
        <w:rPr>
          <w:rFonts w:ascii="Calibri" w:hAnsi="Calibri" w:cs="Calibri"/>
        </w:rPr>
        <w:t xml:space="preserve"> </w:t>
      </w:r>
      <w:r>
        <w:rPr>
          <w:rFonts w:ascii="Calibri" w:hAnsi="Calibri" w:cs="Calibri"/>
        </w:rPr>
        <w:t>Relevant e</w:t>
      </w:r>
      <w:r w:rsidR="00177D12">
        <w:rPr>
          <w:rFonts w:ascii="Calibri" w:hAnsi="Calibri" w:cs="Calibri"/>
        </w:rPr>
        <w:t xml:space="preserve">xecutives </w:t>
      </w:r>
      <w:r>
        <w:rPr>
          <w:rFonts w:ascii="Calibri" w:hAnsi="Calibri" w:cs="Calibri"/>
        </w:rPr>
        <w:t xml:space="preserve">will be </w:t>
      </w:r>
      <w:r w:rsidR="00177D12">
        <w:rPr>
          <w:rFonts w:ascii="Calibri" w:hAnsi="Calibri" w:cs="Calibri"/>
        </w:rPr>
        <w:t xml:space="preserve">entitled to an uplift </w:t>
      </w:r>
      <w:r w:rsidR="007145E6">
        <w:rPr>
          <w:rFonts w:ascii="Calibri" w:hAnsi="Calibri" w:cs="Calibri"/>
        </w:rPr>
        <w:t xml:space="preserve">to their </w:t>
      </w:r>
      <w:r w:rsidR="00D21B49">
        <w:rPr>
          <w:rFonts w:ascii="Calibri" w:hAnsi="Calibri" w:cs="Calibri"/>
        </w:rPr>
        <w:t>Total Remuneration Package</w:t>
      </w:r>
      <w:r w:rsidR="007145E6">
        <w:rPr>
          <w:rFonts w:ascii="Calibri" w:hAnsi="Calibri" w:cs="Calibri"/>
        </w:rPr>
        <w:t xml:space="preserve"> commencing on 1 July 2020, </w:t>
      </w:r>
      <w:r w:rsidR="00177D12">
        <w:rPr>
          <w:rFonts w:ascii="Calibri" w:hAnsi="Calibri" w:cs="Calibri"/>
        </w:rPr>
        <w:t xml:space="preserve">to </w:t>
      </w:r>
      <w:r w:rsidR="007145E6">
        <w:rPr>
          <w:rFonts w:ascii="Calibri" w:hAnsi="Calibri" w:cs="Calibri"/>
        </w:rPr>
        <w:t xml:space="preserve">ensure they are </w:t>
      </w:r>
      <w:r w:rsidR="00177D12">
        <w:rPr>
          <w:rFonts w:ascii="Calibri" w:hAnsi="Calibri" w:cs="Calibri"/>
        </w:rPr>
        <w:t xml:space="preserve">paid at least the minimum set for their </w:t>
      </w:r>
      <w:r w:rsidR="00177D12">
        <w:rPr>
          <w:rFonts w:ascii="Calibri" w:hAnsi="Calibri" w:cs="Calibri"/>
        </w:rPr>
        <w:lastRenderedPageBreak/>
        <w:t>remuneration band</w:t>
      </w:r>
      <w:r w:rsidR="007145E6">
        <w:rPr>
          <w:rFonts w:ascii="Calibri" w:hAnsi="Calibri" w:cs="Calibri"/>
        </w:rPr>
        <w:t xml:space="preserve">. The change to their </w:t>
      </w:r>
      <w:r w:rsidR="00D21B49">
        <w:rPr>
          <w:rFonts w:ascii="Calibri" w:hAnsi="Calibri" w:cs="Calibri"/>
        </w:rPr>
        <w:t>Total Remuneration Package</w:t>
      </w:r>
      <w:r w:rsidR="007145E6">
        <w:rPr>
          <w:rFonts w:ascii="Calibri" w:hAnsi="Calibri" w:cs="Calibri"/>
        </w:rPr>
        <w:t xml:space="preserve"> will </w:t>
      </w:r>
      <w:r w:rsidR="00177D12">
        <w:rPr>
          <w:rFonts w:ascii="Calibri" w:hAnsi="Calibri" w:cs="Calibri"/>
        </w:rPr>
        <w:t xml:space="preserve">require </w:t>
      </w:r>
      <w:r w:rsidR="00D81851">
        <w:rPr>
          <w:rFonts w:ascii="Calibri" w:hAnsi="Calibri" w:cs="Calibri"/>
        </w:rPr>
        <w:t xml:space="preserve">the </w:t>
      </w:r>
      <w:r w:rsidR="007145E6">
        <w:rPr>
          <w:rFonts w:ascii="Calibri" w:hAnsi="Calibri" w:cs="Calibri"/>
        </w:rPr>
        <w:t xml:space="preserve">employer to make </w:t>
      </w:r>
      <w:r w:rsidR="00177D12">
        <w:rPr>
          <w:rFonts w:ascii="Calibri" w:hAnsi="Calibri" w:cs="Calibri"/>
        </w:rPr>
        <w:t>a contract variation.</w:t>
      </w:r>
    </w:p>
    <w:p w14:paraId="485AA183" w14:textId="77777777" w:rsidR="00D21B49" w:rsidRDefault="00D21B49" w:rsidP="00D21B49">
      <w:pPr>
        <w:pStyle w:val="Heading3"/>
      </w:pPr>
      <w:r>
        <w:t xml:space="preserve">How will an Administrative Office Head be allocated to a Remuneration Band? </w:t>
      </w:r>
    </w:p>
    <w:p w14:paraId="57F2E9A1" w14:textId="77777777" w:rsidR="00D21B49" w:rsidRDefault="00D21B49" w:rsidP="00D21B49"/>
    <w:p w14:paraId="1CF9AF24" w14:textId="77777777" w:rsidR="00D21B49" w:rsidRPr="00D21B49" w:rsidRDefault="00D21B49" w:rsidP="00D21B49">
      <w:pPr>
        <w:rPr>
          <w:rFonts w:ascii="Calibri" w:hAnsi="Calibri" w:cs="Calibri"/>
        </w:rPr>
      </w:pPr>
      <w:r w:rsidRPr="00D21B49">
        <w:rPr>
          <w:rFonts w:ascii="Calibri" w:hAnsi="Calibri" w:cs="Calibri"/>
        </w:rPr>
        <w:t xml:space="preserve">Administrative Office (AO) Heads are in scope of the Remuneration Determination. The Determination creates three new remuneration bands for AO Heads. As there are no existing remuneration bands for AO </w:t>
      </w:r>
      <w:r>
        <w:rPr>
          <w:rFonts w:ascii="Calibri" w:hAnsi="Calibri" w:cs="Calibri"/>
        </w:rPr>
        <w:t>H</w:t>
      </w:r>
      <w:r w:rsidRPr="00D21B49">
        <w:rPr>
          <w:rFonts w:ascii="Calibri" w:hAnsi="Calibri" w:cs="Calibri"/>
        </w:rPr>
        <w:t xml:space="preserve">eads, the allocation of an existing AO </w:t>
      </w:r>
      <w:r>
        <w:rPr>
          <w:rFonts w:ascii="Calibri" w:hAnsi="Calibri" w:cs="Calibri"/>
        </w:rPr>
        <w:t>H</w:t>
      </w:r>
      <w:r w:rsidRPr="00D21B49">
        <w:rPr>
          <w:rFonts w:ascii="Calibri" w:hAnsi="Calibri" w:cs="Calibri"/>
        </w:rPr>
        <w:t xml:space="preserve">ead to a remuneration band will be determined based on their existing </w:t>
      </w:r>
      <w:r>
        <w:rPr>
          <w:rFonts w:ascii="Calibri" w:hAnsi="Calibri" w:cs="Calibri"/>
        </w:rPr>
        <w:t>Total Remuneration Package</w:t>
      </w:r>
      <w:r w:rsidRPr="00D21B49">
        <w:rPr>
          <w:rFonts w:ascii="Calibri" w:hAnsi="Calibri" w:cs="Calibri"/>
        </w:rPr>
        <w:t xml:space="preserve"> on the day before the determination was made. </w:t>
      </w:r>
    </w:p>
    <w:p w14:paraId="31C0AFE7" w14:textId="77777777" w:rsidR="00D21B49" w:rsidRPr="00D21B49" w:rsidRDefault="00D21B49" w:rsidP="00D21B49">
      <w:pPr>
        <w:rPr>
          <w:rFonts w:ascii="Calibri" w:hAnsi="Calibri" w:cs="Calibri"/>
        </w:rPr>
      </w:pPr>
    </w:p>
    <w:p w14:paraId="4828F0C2" w14:textId="77777777" w:rsidR="00D21B49" w:rsidRPr="00D21B49" w:rsidRDefault="00D21B49" w:rsidP="00D21B49">
      <w:pPr>
        <w:rPr>
          <w:rFonts w:ascii="Calibri" w:hAnsi="Calibri" w:cs="Calibri"/>
        </w:rPr>
      </w:pPr>
      <w:r w:rsidRPr="00D21B49">
        <w:rPr>
          <w:rFonts w:ascii="Calibri" w:hAnsi="Calibri" w:cs="Calibri"/>
        </w:rPr>
        <w:t xml:space="preserve">The VPS Executive Classification Framework is being amended to explicitly provide for the classification of AO head roles as either AO head 1, 2 or 3, to correlate to the remuneration bands. When an AO position becomes vacant and before a new AO head is appointed, it will be necessary to undertake a role assessment to determine its correct classification prior to a remuneration recommendation being put to the Premier, who is the AO Head employer. In addition, prior to an adjustment to the remuneration of an incumbent AO head, it will be necessary to undertake a role assessment to confirm the role is correctly classified. </w:t>
      </w:r>
    </w:p>
    <w:p w14:paraId="5740FF24" w14:textId="77777777" w:rsidR="00B31196" w:rsidRPr="00300AE7" w:rsidRDefault="00B31196" w:rsidP="00B31196">
      <w:pPr>
        <w:pStyle w:val="Heading3"/>
      </w:pPr>
      <w:r w:rsidRPr="00300AE7">
        <w:t>Will new executive contracts be required to give effect to the Determination?</w:t>
      </w:r>
    </w:p>
    <w:p w14:paraId="16BFCDA5" w14:textId="6D05B6AD" w:rsidR="00B31196" w:rsidRPr="00B31196" w:rsidRDefault="00B31196" w:rsidP="00B31196">
      <w:pPr>
        <w:rPr>
          <w:rFonts w:ascii="Calibri" w:hAnsi="Calibri" w:cs="Calibri"/>
        </w:rPr>
      </w:pPr>
      <w:r w:rsidRPr="0027441D">
        <w:rPr>
          <w:rFonts w:ascii="Calibri" w:hAnsi="Calibri" w:cs="Calibri"/>
        </w:rPr>
        <w:t xml:space="preserve">No. The Determination will set remuneration bands; it will not vary the terms and conditions of individual executive contracts. The only change to executive remuneration </w:t>
      </w:r>
      <w:r>
        <w:rPr>
          <w:rFonts w:ascii="Calibri" w:hAnsi="Calibri" w:cs="Calibri"/>
        </w:rPr>
        <w:t xml:space="preserve">may arise on the introduction of the new values on 1 July 2020, </w:t>
      </w:r>
      <w:r w:rsidRPr="0027441D">
        <w:rPr>
          <w:rFonts w:ascii="Calibri" w:hAnsi="Calibri" w:cs="Calibri"/>
        </w:rPr>
        <w:t>if an executive’s remuneration falls below the base of their relevant band</w:t>
      </w:r>
      <w:r>
        <w:rPr>
          <w:rFonts w:ascii="Calibri" w:hAnsi="Calibri" w:cs="Calibri"/>
        </w:rPr>
        <w:t>. In this event,</w:t>
      </w:r>
      <w:r w:rsidRPr="0027441D">
        <w:rPr>
          <w:rFonts w:ascii="Calibri" w:hAnsi="Calibri" w:cs="Calibri"/>
        </w:rPr>
        <w:t xml:space="preserve"> </w:t>
      </w:r>
      <w:r>
        <w:rPr>
          <w:rFonts w:ascii="Calibri" w:hAnsi="Calibri" w:cs="Calibri"/>
        </w:rPr>
        <w:t xml:space="preserve">the executive’s </w:t>
      </w:r>
      <w:r w:rsidRPr="0027441D">
        <w:rPr>
          <w:rFonts w:ascii="Calibri" w:hAnsi="Calibri" w:cs="Calibri"/>
        </w:rPr>
        <w:t xml:space="preserve">remuneration will need to be uplifted to the new base. For executives in this category, a new remuneration schedule will need to be provided by their department. </w:t>
      </w:r>
    </w:p>
    <w:p w14:paraId="4BD89CA6" w14:textId="5024BE27" w:rsidR="000B7A76" w:rsidRPr="0027441D" w:rsidRDefault="000B7A76" w:rsidP="00631658">
      <w:pPr>
        <w:pStyle w:val="Heading3"/>
      </w:pPr>
      <w:bookmarkStart w:id="15" w:name="_Toc26348791"/>
      <w:r w:rsidRPr="0027441D">
        <w:t>Is an executive required to accept a remuneration increase?</w:t>
      </w:r>
    </w:p>
    <w:p w14:paraId="4FFE7222" w14:textId="1F1875AE" w:rsidR="000B7A76" w:rsidRPr="007B1D3E" w:rsidRDefault="000B7A76" w:rsidP="000B7A76">
      <w:pPr>
        <w:rPr>
          <w:rFonts w:ascii="Calibri" w:hAnsi="Calibri" w:cs="Calibri"/>
          <w:iCs/>
        </w:rPr>
      </w:pPr>
      <w:r w:rsidRPr="0027441D">
        <w:rPr>
          <w:rFonts w:ascii="Calibri" w:hAnsi="Calibri" w:cs="Calibri"/>
        </w:rPr>
        <w:t xml:space="preserve">In order to ensure the employer is compliant with section 25(4)(a) of the </w:t>
      </w:r>
      <w:r w:rsidRPr="0027441D">
        <w:rPr>
          <w:rFonts w:ascii="Calibri" w:hAnsi="Calibri" w:cs="Calibri"/>
          <w:i/>
        </w:rPr>
        <w:t>Public Administration Act 2004</w:t>
      </w:r>
      <w:r w:rsidRPr="0027441D">
        <w:rPr>
          <w:rFonts w:ascii="Calibri" w:hAnsi="Calibri" w:cs="Calibri"/>
          <w:iCs/>
        </w:rPr>
        <w:t xml:space="preserve">, </w:t>
      </w:r>
      <w:r w:rsidR="00E10EE4" w:rsidRPr="0027441D">
        <w:rPr>
          <w:rFonts w:ascii="Calibri" w:hAnsi="Calibri" w:cs="Calibri"/>
          <w:iCs/>
        </w:rPr>
        <w:t>an</w:t>
      </w:r>
      <w:r w:rsidRPr="0027441D">
        <w:rPr>
          <w:rFonts w:ascii="Calibri" w:hAnsi="Calibri" w:cs="Calibri"/>
          <w:iCs/>
        </w:rPr>
        <w:t xml:space="preserve"> executive’s remuneration must be at least the minimum required by the relevant remuneration band.</w:t>
      </w:r>
    </w:p>
    <w:p w14:paraId="14BF573D" w14:textId="0D110D13" w:rsidR="009B4538" w:rsidRPr="0027441D" w:rsidRDefault="009B4538" w:rsidP="009B4538">
      <w:pPr>
        <w:pStyle w:val="Heading3"/>
      </w:pPr>
      <w:r w:rsidRPr="0027441D">
        <w:t>Will the Determination change superannuation contributions?</w:t>
      </w:r>
      <w:bookmarkEnd w:id="15"/>
    </w:p>
    <w:p w14:paraId="0B827DE1" w14:textId="77777777" w:rsidR="009B4538" w:rsidRPr="0027441D" w:rsidRDefault="009B4538" w:rsidP="009B4538">
      <w:pPr>
        <w:rPr>
          <w:rFonts w:ascii="Calibri" w:eastAsiaTheme="majorEastAsia" w:hAnsi="Calibri" w:cs="Calibri"/>
          <w:color w:val="000000" w:themeColor="text1"/>
          <w:szCs w:val="26"/>
        </w:rPr>
      </w:pPr>
      <w:r w:rsidRPr="0027441D">
        <w:rPr>
          <w:rFonts w:ascii="Calibri" w:hAnsi="Calibri" w:cs="Calibri"/>
        </w:rPr>
        <w:t>The Determination sets bands for total remuneration packages, inclusive of superannuation. The Determination will not override any entitlements or statutory requirements that apply in relation to employer superannuation contributions</w:t>
      </w:r>
      <w:r w:rsidRPr="0027441D">
        <w:rPr>
          <w:rFonts w:ascii="Calibri" w:eastAsiaTheme="majorEastAsia" w:hAnsi="Calibri" w:cs="Calibri"/>
          <w:color w:val="000000" w:themeColor="text1"/>
          <w:szCs w:val="26"/>
        </w:rPr>
        <w:t>.</w:t>
      </w:r>
    </w:p>
    <w:p w14:paraId="2823D57D" w14:textId="77777777" w:rsidR="009B4538" w:rsidRPr="0027441D" w:rsidRDefault="009B4538" w:rsidP="009B4538">
      <w:pPr>
        <w:pStyle w:val="Heading3"/>
      </w:pPr>
      <w:bookmarkStart w:id="16" w:name="_Toc26348792"/>
      <w:r w:rsidRPr="0027441D">
        <w:t>How will vehicles and any other non-financial remuneration be accounted for in the new executive remuneration bands?</w:t>
      </w:r>
      <w:bookmarkEnd w:id="16"/>
    </w:p>
    <w:p w14:paraId="01C1F175" w14:textId="4A2DA32D" w:rsidR="009B4538" w:rsidRPr="0027441D" w:rsidRDefault="009B4538" w:rsidP="009B4538">
      <w:pPr>
        <w:rPr>
          <w:rFonts w:ascii="Calibri" w:hAnsi="Calibri" w:cs="Calibri"/>
        </w:rPr>
      </w:pPr>
      <w:r w:rsidRPr="0027441D">
        <w:rPr>
          <w:rFonts w:ascii="Calibri" w:hAnsi="Calibri" w:cs="Calibri"/>
        </w:rPr>
        <w:t>The Determination sets the bands for total remuneration, inclusive of non</w:t>
      </w:r>
      <w:r w:rsidR="006C574D" w:rsidRPr="0027441D">
        <w:rPr>
          <w:rFonts w:ascii="Calibri" w:hAnsi="Calibri" w:cs="Calibri"/>
        </w:rPr>
        <w:t>-</w:t>
      </w:r>
      <w:r w:rsidRPr="0027441D">
        <w:rPr>
          <w:rFonts w:ascii="Calibri" w:hAnsi="Calibri" w:cs="Calibri"/>
        </w:rPr>
        <w:t xml:space="preserve">salary benefits and superannuation. There will not be any change in the way a total remuneration package is calculated. </w:t>
      </w:r>
      <w:r w:rsidR="00EF4493" w:rsidRPr="0027441D">
        <w:rPr>
          <w:rFonts w:ascii="Calibri" w:hAnsi="Calibri" w:cs="Calibri"/>
        </w:rPr>
        <w:t>The e</w:t>
      </w:r>
      <w:r w:rsidRPr="0027441D">
        <w:rPr>
          <w:rFonts w:ascii="Calibri" w:hAnsi="Calibri" w:cs="Calibri"/>
        </w:rPr>
        <w:t xml:space="preserve">xisting executive remuneration policy and the standard executive employment contract will remain in the same format </w:t>
      </w:r>
      <w:r w:rsidR="00EF4493" w:rsidRPr="0027441D">
        <w:rPr>
          <w:rFonts w:ascii="Calibri" w:hAnsi="Calibri" w:cs="Calibri"/>
        </w:rPr>
        <w:t xml:space="preserve">they are </w:t>
      </w:r>
      <w:r w:rsidRPr="0027441D">
        <w:rPr>
          <w:rFonts w:ascii="Calibri" w:hAnsi="Calibri" w:cs="Calibri"/>
        </w:rPr>
        <w:t xml:space="preserve">currently in. The executive motor vehicle policy will not be affected by the Determination. </w:t>
      </w:r>
    </w:p>
    <w:p w14:paraId="0858CF34" w14:textId="192F1D95" w:rsidR="009B4538" w:rsidRPr="0027441D" w:rsidRDefault="009B4538" w:rsidP="009B4538">
      <w:pPr>
        <w:pStyle w:val="Heading3"/>
      </w:pPr>
      <w:bookmarkStart w:id="17" w:name="_Toc26348777"/>
      <w:r w:rsidRPr="0027441D">
        <w:t>Will the Tribunal provide any guidance on transitional issues?</w:t>
      </w:r>
      <w:bookmarkEnd w:id="17"/>
    </w:p>
    <w:p w14:paraId="5211AC1F" w14:textId="4E2954DD" w:rsidR="009B4538" w:rsidRDefault="009B4538" w:rsidP="009B4538">
      <w:pPr>
        <w:rPr>
          <w:rFonts w:ascii="Calibri" w:hAnsi="Calibri" w:cs="Calibri"/>
        </w:rPr>
      </w:pPr>
      <w:r w:rsidRPr="0027441D">
        <w:rPr>
          <w:rFonts w:ascii="Calibri" w:hAnsi="Calibri" w:cs="Calibri"/>
        </w:rPr>
        <w:t xml:space="preserve">The Tribunal’s role is to determine what the new executive remuneration bands are and </w:t>
      </w:r>
      <w:r w:rsidR="001D52CD">
        <w:rPr>
          <w:rFonts w:ascii="Calibri" w:hAnsi="Calibri" w:cs="Calibri"/>
        </w:rPr>
        <w:t xml:space="preserve">it </w:t>
      </w:r>
      <w:r w:rsidR="0041639C">
        <w:rPr>
          <w:rFonts w:ascii="Calibri" w:hAnsi="Calibri" w:cs="Calibri"/>
        </w:rPr>
        <w:t xml:space="preserve">has </w:t>
      </w:r>
      <w:r w:rsidR="001D52CD">
        <w:rPr>
          <w:rFonts w:ascii="Calibri" w:hAnsi="Calibri" w:cs="Calibri"/>
        </w:rPr>
        <w:t>also</w:t>
      </w:r>
      <w:r w:rsidR="001D52CD" w:rsidRPr="0027441D">
        <w:rPr>
          <w:rFonts w:ascii="Calibri" w:hAnsi="Calibri" w:cs="Calibri"/>
        </w:rPr>
        <w:t xml:space="preserve"> </w:t>
      </w:r>
      <w:r w:rsidRPr="0027441D">
        <w:rPr>
          <w:rFonts w:ascii="Calibri" w:hAnsi="Calibri" w:cs="Calibri"/>
        </w:rPr>
        <w:t xml:space="preserve">issue guidelines </w:t>
      </w:r>
      <w:proofErr w:type="gramStart"/>
      <w:r w:rsidRPr="0027441D">
        <w:rPr>
          <w:rFonts w:ascii="Calibri" w:hAnsi="Calibri" w:cs="Calibri"/>
        </w:rPr>
        <w:t>with regard to</w:t>
      </w:r>
      <w:proofErr w:type="gramEnd"/>
      <w:r w:rsidRPr="0027441D">
        <w:rPr>
          <w:rFonts w:ascii="Calibri" w:hAnsi="Calibri" w:cs="Calibri"/>
        </w:rPr>
        <w:t xml:space="preserve"> the placement of executives in remuneration bands. The Tribunal does not provide guidance on the operational requirements to support the change from EO to SES terminology. </w:t>
      </w:r>
    </w:p>
    <w:p w14:paraId="057C8C81" w14:textId="77777777" w:rsidR="001D52CD" w:rsidRPr="0027441D" w:rsidRDefault="001D52CD" w:rsidP="009B4538">
      <w:pPr>
        <w:rPr>
          <w:rFonts w:ascii="Calibri" w:hAnsi="Calibri" w:cs="Calibri"/>
        </w:rPr>
      </w:pPr>
    </w:p>
    <w:p w14:paraId="7EACC07A" w14:textId="7508AF90" w:rsidR="0077610B" w:rsidRDefault="009B4538" w:rsidP="009B4538">
      <w:pPr>
        <w:rPr>
          <w:rFonts w:ascii="Calibri" w:hAnsi="Calibri" w:cs="Calibri"/>
        </w:rPr>
      </w:pPr>
      <w:r w:rsidRPr="0027441D">
        <w:rPr>
          <w:rFonts w:ascii="Calibri" w:hAnsi="Calibri" w:cs="Calibri"/>
        </w:rPr>
        <w:t xml:space="preserve">Initial guidance for </w:t>
      </w:r>
      <w:r w:rsidR="009A7149" w:rsidRPr="0027441D">
        <w:rPr>
          <w:rFonts w:ascii="Calibri" w:hAnsi="Calibri" w:cs="Calibri"/>
        </w:rPr>
        <w:t>Human Resources</w:t>
      </w:r>
      <w:r w:rsidRPr="0027441D">
        <w:rPr>
          <w:rFonts w:ascii="Calibri" w:hAnsi="Calibri" w:cs="Calibri"/>
        </w:rPr>
        <w:t xml:space="preserve"> representatives on the operational issues relating to the transition to the new bands should be directed to Governance Branch in DPC and the VPSC in the first instance (</w:t>
      </w:r>
      <w:r w:rsidR="000F26B3">
        <w:rPr>
          <w:rFonts w:ascii="Calibri" w:hAnsi="Calibri" w:cs="Calibri"/>
        </w:rPr>
        <w:t>s</w:t>
      </w:r>
      <w:r w:rsidRPr="0027441D">
        <w:rPr>
          <w:rFonts w:ascii="Calibri" w:hAnsi="Calibri" w:cs="Calibri"/>
        </w:rPr>
        <w:t xml:space="preserve">ee Q’s </w:t>
      </w:r>
      <w:r w:rsidR="00B31196">
        <w:rPr>
          <w:rFonts w:ascii="Calibri" w:hAnsi="Calibri" w:cs="Calibri"/>
        </w:rPr>
        <w:t>3</w:t>
      </w:r>
      <w:r w:rsidR="007C62EE">
        <w:rPr>
          <w:rFonts w:ascii="Calibri" w:hAnsi="Calibri" w:cs="Calibri"/>
        </w:rPr>
        <w:t>3</w:t>
      </w:r>
      <w:r w:rsidRPr="0027441D">
        <w:rPr>
          <w:rFonts w:ascii="Calibri" w:hAnsi="Calibri" w:cs="Calibri"/>
        </w:rPr>
        <w:t xml:space="preserve"> &amp; </w:t>
      </w:r>
      <w:r w:rsidR="00B31196">
        <w:rPr>
          <w:rFonts w:ascii="Calibri" w:hAnsi="Calibri" w:cs="Calibri"/>
        </w:rPr>
        <w:t>3</w:t>
      </w:r>
      <w:r w:rsidR="007C62EE">
        <w:rPr>
          <w:rFonts w:ascii="Calibri" w:hAnsi="Calibri" w:cs="Calibri"/>
        </w:rPr>
        <w:t>4</w:t>
      </w:r>
      <w:r w:rsidRPr="0027441D">
        <w:rPr>
          <w:rFonts w:ascii="Calibri" w:hAnsi="Calibri" w:cs="Calibri"/>
        </w:rPr>
        <w:t xml:space="preserve"> below).</w:t>
      </w:r>
      <w:r w:rsidRPr="0027441D" w:rsidDel="00E02D10">
        <w:rPr>
          <w:rFonts w:ascii="Calibri" w:hAnsi="Calibri" w:cs="Calibri"/>
        </w:rPr>
        <w:t xml:space="preserve"> </w:t>
      </w:r>
    </w:p>
    <w:p w14:paraId="1E651000" w14:textId="58A9D8C0" w:rsidR="00B31196" w:rsidRPr="0027441D" w:rsidRDefault="00B31196" w:rsidP="00B31196">
      <w:pPr>
        <w:pStyle w:val="Heading3"/>
      </w:pPr>
      <w:r w:rsidRPr="0027441D">
        <w:lastRenderedPageBreak/>
        <w:t>Will there be an annual remuneration adjustment process from 1</w:t>
      </w:r>
      <w:r>
        <w:t> </w:t>
      </w:r>
      <w:r w:rsidRPr="0027441D">
        <w:t>July 2020?</w:t>
      </w:r>
    </w:p>
    <w:p w14:paraId="77DA7D13" w14:textId="56187768" w:rsidR="00B31196" w:rsidRDefault="00B31196" w:rsidP="009B4538">
      <w:pPr>
        <w:rPr>
          <w:rFonts w:ascii="Calibri" w:hAnsi="Calibri" w:cs="Calibri"/>
        </w:rPr>
      </w:pPr>
      <w:r w:rsidRPr="0027441D">
        <w:rPr>
          <w:rFonts w:ascii="Calibri" w:hAnsi="Calibri" w:cs="Calibri"/>
        </w:rPr>
        <w:t xml:space="preserve">The Determination will not supplant the Premier’s annual remuneration adjustment process. There will be separate advice circulated about the annual adjustment </w:t>
      </w:r>
      <w:r>
        <w:rPr>
          <w:rFonts w:ascii="Calibri" w:hAnsi="Calibri" w:cs="Calibri"/>
        </w:rPr>
        <w:t>process for 2020</w:t>
      </w:r>
      <w:r w:rsidRPr="0027441D">
        <w:rPr>
          <w:rFonts w:ascii="Calibri" w:hAnsi="Calibri" w:cs="Calibri"/>
        </w:rPr>
        <w:t xml:space="preserve">. Executives who have been appointed, re-appointed or received a remuneration increase within the last six months are not usually eligible </w:t>
      </w:r>
      <w:r>
        <w:rPr>
          <w:rFonts w:ascii="Calibri" w:hAnsi="Calibri" w:cs="Calibri"/>
        </w:rPr>
        <w:t>for</w:t>
      </w:r>
      <w:r w:rsidRPr="0027441D">
        <w:rPr>
          <w:rFonts w:ascii="Calibri" w:hAnsi="Calibri" w:cs="Calibri"/>
        </w:rPr>
        <w:t xml:space="preserve"> the annual remuneration increase.</w:t>
      </w:r>
    </w:p>
    <w:p w14:paraId="03A9AC6C" w14:textId="59FE4D92" w:rsidR="00847D10" w:rsidRDefault="00847D10" w:rsidP="009B4538">
      <w:pPr>
        <w:rPr>
          <w:rFonts w:ascii="Calibri" w:hAnsi="Calibri" w:cs="Calibri"/>
        </w:rPr>
      </w:pPr>
    </w:p>
    <w:p w14:paraId="5CFE5D9E" w14:textId="20D9E8F9" w:rsidR="009B4538" w:rsidRPr="007B1D3E" w:rsidRDefault="009B4538" w:rsidP="0077610B">
      <w:pPr>
        <w:pStyle w:val="Heading2"/>
        <w:rPr>
          <w:rFonts w:ascii="Calibri" w:hAnsi="Calibri" w:cs="Calibri"/>
        </w:rPr>
      </w:pPr>
      <w:bookmarkStart w:id="18" w:name="_Toc34817248"/>
      <w:r w:rsidRPr="007B1D3E">
        <w:rPr>
          <w:rFonts w:ascii="Calibri" w:hAnsi="Calibri" w:cs="Calibri"/>
        </w:rPr>
        <w:t>Changes to Executive Terminology</w:t>
      </w:r>
      <w:bookmarkEnd w:id="18"/>
    </w:p>
    <w:p w14:paraId="255A4F7D" w14:textId="77777777" w:rsidR="009B4538" w:rsidRPr="0027441D" w:rsidRDefault="009B4538" w:rsidP="009B4538">
      <w:pPr>
        <w:pStyle w:val="Heading3"/>
      </w:pPr>
      <w:r w:rsidRPr="0027441D">
        <w:t>What is the change to executive level terminology?</w:t>
      </w:r>
    </w:p>
    <w:p w14:paraId="14A84721" w14:textId="2BB23FDD" w:rsidR="009B4538" w:rsidRDefault="009B4538" w:rsidP="009B4538">
      <w:pPr>
        <w:rPr>
          <w:rFonts w:ascii="Calibri" w:hAnsi="Calibri" w:cs="Calibri"/>
        </w:rPr>
      </w:pPr>
      <w:r w:rsidRPr="0027441D">
        <w:rPr>
          <w:rFonts w:ascii="Calibri" w:hAnsi="Calibri" w:cs="Calibri"/>
        </w:rPr>
        <w:t xml:space="preserve">The change in terminology from EO to SES will be formally introduced at the same time as the Determination of the values of VPS executive remuneration bands. Under the new terminology, SES-1 will refer to the lowest classification level and SES-3 will refer to the highest classification. </w:t>
      </w:r>
    </w:p>
    <w:p w14:paraId="545DA31C" w14:textId="77777777" w:rsidR="00DC5C78" w:rsidRDefault="00DC5C78" w:rsidP="009B4538">
      <w:pPr>
        <w:rPr>
          <w:rFonts w:ascii="Calibri" w:hAnsi="Calibri" w:cs="Calibri"/>
        </w:rPr>
      </w:pPr>
    </w:p>
    <w:p w14:paraId="16BD72DD" w14:textId="10D64302" w:rsidR="009B4538" w:rsidRDefault="009B4538" w:rsidP="009B4538">
      <w:pPr>
        <w:rPr>
          <w:rFonts w:ascii="Calibri" w:hAnsi="Calibri" w:cs="Calibri"/>
        </w:rPr>
      </w:pPr>
      <w:r w:rsidRPr="0027441D">
        <w:rPr>
          <w:rFonts w:ascii="Calibri" w:hAnsi="Calibri" w:cs="Calibri"/>
        </w:rPr>
        <w:t>The existing and new terminology for executive classification bands is reflected in the below table.</w:t>
      </w:r>
    </w:p>
    <w:p w14:paraId="06D56930" w14:textId="77777777" w:rsidR="00DC5C78" w:rsidRPr="0027441D" w:rsidRDefault="00DC5C78" w:rsidP="009B4538">
      <w:pPr>
        <w:rPr>
          <w:rFonts w:ascii="Calibri" w:hAnsi="Calibri" w:cs="Calibri"/>
        </w:rPr>
      </w:pPr>
    </w:p>
    <w:tbl>
      <w:tblPr>
        <w:tblStyle w:val="ListTable2"/>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62"/>
        <w:gridCol w:w="2849"/>
      </w:tblGrid>
      <w:tr w:rsidR="009B4538" w:rsidRPr="0027441D" w14:paraId="775C6C7C" w14:textId="77777777" w:rsidTr="000D03F6">
        <w:trPr>
          <w:cnfStyle w:val="100000000000" w:firstRow="1" w:lastRow="0" w:firstColumn="0" w:lastColumn="0" w:oddVBand="0" w:evenVBand="0" w:oddHBand="0"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162" w:type="dxa"/>
          </w:tcPr>
          <w:p w14:paraId="7CEC52C3" w14:textId="77777777" w:rsidR="009B4538" w:rsidRPr="0027441D" w:rsidRDefault="009B4538" w:rsidP="000D03F6">
            <w:pPr>
              <w:rPr>
                <w:rFonts w:ascii="Calibri" w:hAnsi="Calibri" w:cs="Calibri"/>
              </w:rPr>
            </w:pPr>
            <w:r w:rsidRPr="0027441D">
              <w:rPr>
                <w:rFonts w:ascii="Calibri" w:hAnsi="Calibri" w:cs="Calibri"/>
              </w:rPr>
              <w:t>Existing classification</w:t>
            </w:r>
          </w:p>
        </w:tc>
        <w:tc>
          <w:tcPr>
            <w:tcW w:w="2849" w:type="dxa"/>
          </w:tcPr>
          <w:p w14:paraId="112FF1D0" w14:textId="77777777" w:rsidR="009B4538" w:rsidRPr="0027441D" w:rsidRDefault="009B4538" w:rsidP="000D03F6">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7441D">
              <w:rPr>
                <w:rFonts w:ascii="Calibri" w:hAnsi="Calibri" w:cs="Calibri"/>
              </w:rPr>
              <w:t>New classification</w:t>
            </w:r>
          </w:p>
        </w:tc>
      </w:tr>
      <w:tr w:rsidR="009B4538" w:rsidRPr="0027441D" w14:paraId="776B0902" w14:textId="77777777" w:rsidTr="000D03F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162" w:type="dxa"/>
          </w:tcPr>
          <w:p w14:paraId="2FBACC88" w14:textId="77777777" w:rsidR="009B4538" w:rsidRPr="0027441D" w:rsidRDefault="009B4538" w:rsidP="000D03F6">
            <w:pPr>
              <w:rPr>
                <w:rFonts w:ascii="Calibri" w:hAnsi="Calibri" w:cs="Calibri"/>
                <w:b w:val="0"/>
              </w:rPr>
            </w:pPr>
            <w:r w:rsidRPr="0027441D">
              <w:rPr>
                <w:rFonts w:ascii="Calibri" w:hAnsi="Calibri" w:cs="Calibri"/>
              </w:rPr>
              <w:t>EO-1</w:t>
            </w:r>
          </w:p>
        </w:tc>
        <w:tc>
          <w:tcPr>
            <w:tcW w:w="2849" w:type="dxa"/>
          </w:tcPr>
          <w:p w14:paraId="2C453E12" w14:textId="77777777" w:rsidR="009B4538" w:rsidRPr="0027441D" w:rsidRDefault="009B4538" w:rsidP="000D03F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7441D">
              <w:rPr>
                <w:rFonts w:ascii="Calibri" w:hAnsi="Calibri" w:cs="Calibri"/>
              </w:rPr>
              <w:t>SES-3</w:t>
            </w:r>
          </w:p>
        </w:tc>
      </w:tr>
      <w:tr w:rsidR="009B4538" w:rsidRPr="0027441D" w14:paraId="67531604" w14:textId="77777777" w:rsidTr="000D03F6">
        <w:trPr>
          <w:trHeight w:val="415"/>
          <w:jc w:val="center"/>
        </w:trPr>
        <w:tc>
          <w:tcPr>
            <w:cnfStyle w:val="001000000000" w:firstRow="0" w:lastRow="0" w:firstColumn="1" w:lastColumn="0" w:oddVBand="0" w:evenVBand="0" w:oddHBand="0" w:evenHBand="0" w:firstRowFirstColumn="0" w:firstRowLastColumn="0" w:lastRowFirstColumn="0" w:lastRowLastColumn="0"/>
            <w:tcW w:w="3162" w:type="dxa"/>
          </w:tcPr>
          <w:p w14:paraId="60459513" w14:textId="77777777" w:rsidR="009B4538" w:rsidRPr="0027441D" w:rsidRDefault="009B4538" w:rsidP="000D03F6">
            <w:pPr>
              <w:rPr>
                <w:rFonts w:ascii="Calibri" w:hAnsi="Calibri" w:cs="Calibri"/>
                <w:b w:val="0"/>
              </w:rPr>
            </w:pPr>
            <w:r w:rsidRPr="0027441D">
              <w:rPr>
                <w:rFonts w:ascii="Calibri" w:hAnsi="Calibri" w:cs="Calibri"/>
              </w:rPr>
              <w:t>EO-2</w:t>
            </w:r>
          </w:p>
        </w:tc>
        <w:tc>
          <w:tcPr>
            <w:tcW w:w="2849" w:type="dxa"/>
          </w:tcPr>
          <w:p w14:paraId="6874E3C6" w14:textId="77777777" w:rsidR="009B4538" w:rsidRPr="0027441D" w:rsidRDefault="009B4538" w:rsidP="000D03F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441D">
              <w:rPr>
                <w:rFonts w:ascii="Calibri" w:hAnsi="Calibri" w:cs="Calibri"/>
              </w:rPr>
              <w:t>SES-2</w:t>
            </w:r>
          </w:p>
        </w:tc>
      </w:tr>
      <w:tr w:rsidR="009B4538" w:rsidRPr="0027441D" w14:paraId="1A1AA7EF" w14:textId="77777777" w:rsidTr="000D03F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162" w:type="dxa"/>
          </w:tcPr>
          <w:p w14:paraId="798097A7" w14:textId="77777777" w:rsidR="009B4538" w:rsidRPr="0027441D" w:rsidRDefault="009B4538" w:rsidP="000D03F6">
            <w:pPr>
              <w:rPr>
                <w:rFonts w:ascii="Calibri" w:hAnsi="Calibri" w:cs="Calibri"/>
                <w:b w:val="0"/>
              </w:rPr>
            </w:pPr>
            <w:r w:rsidRPr="0027441D">
              <w:rPr>
                <w:rFonts w:ascii="Calibri" w:hAnsi="Calibri" w:cs="Calibri"/>
              </w:rPr>
              <w:t>EO-3</w:t>
            </w:r>
          </w:p>
        </w:tc>
        <w:tc>
          <w:tcPr>
            <w:tcW w:w="2849" w:type="dxa"/>
          </w:tcPr>
          <w:p w14:paraId="5546D9B4" w14:textId="77777777" w:rsidR="009B4538" w:rsidRPr="0027441D" w:rsidRDefault="009B4538" w:rsidP="000D03F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7441D">
              <w:rPr>
                <w:rFonts w:ascii="Calibri" w:hAnsi="Calibri" w:cs="Calibri"/>
              </w:rPr>
              <w:t>SES-1</w:t>
            </w:r>
          </w:p>
        </w:tc>
      </w:tr>
    </w:tbl>
    <w:p w14:paraId="0BA931A0" w14:textId="6587E10E" w:rsidR="009B4538" w:rsidRPr="0027441D" w:rsidRDefault="009B4538" w:rsidP="009B4538">
      <w:pPr>
        <w:pStyle w:val="Heading3"/>
      </w:pPr>
      <w:r w:rsidRPr="0027441D">
        <w:t xml:space="preserve">When will the change to </w:t>
      </w:r>
      <w:r w:rsidR="00713D67" w:rsidRPr="0027441D">
        <w:t>SES</w:t>
      </w:r>
      <w:r w:rsidRPr="0027441D">
        <w:t xml:space="preserve"> take place?</w:t>
      </w:r>
    </w:p>
    <w:p w14:paraId="0B905BF2" w14:textId="1D197F19" w:rsidR="009B4538" w:rsidRPr="0027441D" w:rsidRDefault="009B4538" w:rsidP="009B4538">
      <w:pPr>
        <w:rPr>
          <w:rFonts w:ascii="Calibri" w:hAnsi="Calibri" w:cs="Calibri"/>
        </w:rPr>
      </w:pPr>
      <w:r w:rsidRPr="0027441D">
        <w:rPr>
          <w:rFonts w:ascii="Calibri" w:hAnsi="Calibri" w:cs="Calibri"/>
        </w:rPr>
        <w:t xml:space="preserve">The change in terminology from </w:t>
      </w:r>
      <w:r w:rsidR="00713D67" w:rsidRPr="0027441D">
        <w:rPr>
          <w:rFonts w:ascii="Calibri" w:hAnsi="Calibri" w:cs="Calibri"/>
        </w:rPr>
        <w:t>EO</w:t>
      </w:r>
      <w:r w:rsidRPr="0027441D">
        <w:rPr>
          <w:rFonts w:ascii="Calibri" w:hAnsi="Calibri" w:cs="Calibri"/>
        </w:rPr>
        <w:t xml:space="preserve"> to SES will be formally introduced at the same time as the Determination of the values of VPS executive remuneration bands.  The change to SES terminology will apply to existing, vacant and new VPS executive positions.</w:t>
      </w:r>
    </w:p>
    <w:p w14:paraId="3C240664" w14:textId="77777777" w:rsidR="009B4538" w:rsidRPr="0027441D" w:rsidRDefault="009B4538" w:rsidP="009B4538">
      <w:pPr>
        <w:pStyle w:val="Heading3"/>
      </w:pPr>
      <w:bookmarkStart w:id="19" w:name="_Toc26286355"/>
      <w:bookmarkStart w:id="20" w:name="_Toc26348764"/>
      <w:bookmarkStart w:id="21" w:name="_Toc26286351"/>
      <w:bookmarkStart w:id="22" w:name="_Toc26348759"/>
      <w:r w:rsidRPr="0027441D">
        <w:t>How does the change to executive level terminology relate to the new standard position titles?</w:t>
      </w:r>
      <w:bookmarkEnd w:id="19"/>
      <w:bookmarkEnd w:id="20"/>
    </w:p>
    <w:p w14:paraId="4D15FC00" w14:textId="4E567A8B" w:rsidR="009B4538" w:rsidRPr="0027441D" w:rsidRDefault="009B4538" w:rsidP="009B4538">
      <w:pPr>
        <w:rPr>
          <w:rFonts w:ascii="Calibri" w:hAnsi="Calibri" w:cs="Calibri"/>
        </w:rPr>
      </w:pPr>
      <w:r w:rsidRPr="0027441D">
        <w:rPr>
          <w:rFonts w:ascii="Calibri" w:hAnsi="Calibri" w:cs="Calibri"/>
        </w:rPr>
        <w:t xml:space="preserve">Alongside the introduction of the </w:t>
      </w:r>
      <w:r w:rsidR="00713D67" w:rsidRPr="0027441D">
        <w:rPr>
          <w:rFonts w:ascii="Calibri" w:hAnsi="Calibri" w:cs="Calibri"/>
        </w:rPr>
        <w:t>SES</w:t>
      </w:r>
      <w:r w:rsidRPr="0027441D">
        <w:rPr>
          <w:rFonts w:ascii="Calibri" w:hAnsi="Calibri" w:cs="Calibri"/>
        </w:rPr>
        <w:t xml:space="preserve"> terminology, the Framework includes provision for a new standard position title model for VPS executive positions. The model creates clear relationships between classification band, titles and positions.</w:t>
      </w:r>
    </w:p>
    <w:p w14:paraId="5F716563" w14:textId="77777777" w:rsidR="009B4538" w:rsidRPr="0027441D" w:rsidRDefault="009B4538" w:rsidP="009B4538">
      <w:pPr>
        <w:rPr>
          <w:rFonts w:ascii="Calibri" w:hAnsi="Calibri" w:cs="Calibri"/>
        </w:rPr>
      </w:pPr>
      <w:r w:rsidRPr="0027441D">
        <w:rPr>
          <w:rFonts w:ascii="Calibri" w:hAnsi="Calibri" w:cs="Calibri"/>
        </w:rPr>
        <w:t>The Framework requires that 80 per cent of executive positions in each organisation align with the standard position titles model. The flexibility in the model allows for the retention of legislated titles.</w:t>
      </w:r>
    </w:p>
    <w:p w14:paraId="16CFC257" w14:textId="27473992" w:rsidR="009B4538" w:rsidRDefault="009B4538" w:rsidP="009B4538">
      <w:pPr>
        <w:rPr>
          <w:rFonts w:ascii="Calibri" w:hAnsi="Calibri" w:cs="Calibri"/>
        </w:rPr>
      </w:pPr>
      <w:r w:rsidRPr="0027441D">
        <w:rPr>
          <w:rFonts w:ascii="Calibri" w:hAnsi="Calibri" w:cs="Calibri"/>
        </w:rPr>
        <w:t>It is recommended that organisations implement the model within two years of classification assessments being undertaken. The new standard position titles are reflected in the below table.</w:t>
      </w:r>
    </w:p>
    <w:p w14:paraId="72786C0E" w14:textId="77777777" w:rsidR="00DC5C78" w:rsidRPr="0027441D" w:rsidRDefault="00DC5C78" w:rsidP="009B4538">
      <w:pPr>
        <w:rPr>
          <w:rFonts w:ascii="Calibri" w:hAnsi="Calibri" w:cs="Calibri"/>
        </w:rPr>
      </w:pPr>
    </w:p>
    <w:tbl>
      <w:tblPr>
        <w:tblStyle w:val="ListTable2"/>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3889"/>
      </w:tblGrid>
      <w:tr w:rsidR="009B4538" w:rsidRPr="0027441D" w14:paraId="1CDD8F9D" w14:textId="77777777" w:rsidTr="000D03F6">
        <w:trPr>
          <w:cnfStyle w:val="100000000000" w:firstRow="1" w:lastRow="0" w:firstColumn="0" w:lastColumn="0" w:oddVBand="0" w:evenVBand="0" w:oddHBand="0"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2122" w:type="dxa"/>
          </w:tcPr>
          <w:p w14:paraId="3B5F4F95" w14:textId="77777777" w:rsidR="009B4538" w:rsidRPr="0027441D" w:rsidRDefault="009B4538" w:rsidP="000D03F6">
            <w:pPr>
              <w:rPr>
                <w:rFonts w:ascii="Calibri" w:hAnsi="Calibri" w:cs="Calibri"/>
              </w:rPr>
            </w:pPr>
            <w:r w:rsidRPr="0027441D">
              <w:rPr>
                <w:rFonts w:ascii="Calibri" w:hAnsi="Calibri" w:cs="Calibri"/>
              </w:rPr>
              <w:t>New classification</w:t>
            </w:r>
          </w:p>
        </w:tc>
        <w:tc>
          <w:tcPr>
            <w:tcW w:w="3889" w:type="dxa"/>
          </w:tcPr>
          <w:p w14:paraId="527CE803" w14:textId="77777777" w:rsidR="009B4538" w:rsidRPr="0027441D" w:rsidRDefault="009B4538" w:rsidP="000D03F6">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7441D">
              <w:rPr>
                <w:rFonts w:ascii="Calibri" w:hAnsi="Calibri" w:cs="Calibri"/>
              </w:rPr>
              <w:t>New standard position titles</w:t>
            </w:r>
          </w:p>
        </w:tc>
      </w:tr>
      <w:tr w:rsidR="009B4538" w:rsidRPr="0027441D" w14:paraId="00DAD602" w14:textId="77777777" w:rsidTr="000D03F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122" w:type="dxa"/>
          </w:tcPr>
          <w:p w14:paraId="7ADB2950" w14:textId="77777777" w:rsidR="009B4538" w:rsidRPr="0027441D" w:rsidRDefault="009B4538" w:rsidP="000D03F6">
            <w:pPr>
              <w:rPr>
                <w:rFonts w:ascii="Calibri" w:hAnsi="Calibri" w:cs="Calibri"/>
                <w:b w:val="0"/>
              </w:rPr>
            </w:pPr>
            <w:r w:rsidRPr="0027441D">
              <w:rPr>
                <w:rFonts w:ascii="Calibri" w:hAnsi="Calibri" w:cs="Calibri"/>
              </w:rPr>
              <w:t>SES-3</w:t>
            </w:r>
          </w:p>
        </w:tc>
        <w:tc>
          <w:tcPr>
            <w:tcW w:w="3889" w:type="dxa"/>
          </w:tcPr>
          <w:p w14:paraId="44CCD381" w14:textId="77777777" w:rsidR="009B4538" w:rsidRPr="0027441D" w:rsidRDefault="009B4538" w:rsidP="000D03F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7441D">
              <w:rPr>
                <w:rFonts w:ascii="Calibri" w:hAnsi="Calibri" w:cs="Calibri"/>
              </w:rPr>
              <w:t>Deputy Secretary</w:t>
            </w:r>
          </w:p>
        </w:tc>
      </w:tr>
      <w:tr w:rsidR="009B4538" w:rsidRPr="0027441D" w14:paraId="71F55463" w14:textId="77777777" w:rsidTr="000D03F6">
        <w:trPr>
          <w:trHeight w:val="415"/>
          <w:jc w:val="center"/>
        </w:trPr>
        <w:tc>
          <w:tcPr>
            <w:cnfStyle w:val="001000000000" w:firstRow="0" w:lastRow="0" w:firstColumn="1" w:lastColumn="0" w:oddVBand="0" w:evenVBand="0" w:oddHBand="0" w:evenHBand="0" w:firstRowFirstColumn="0" w:firstRowLastColumn="0" w:lastRowFirstColumn="0" w:lastRowLastColumn="0"/>
            <w:tcW w:w="2122" w:type="dxa"/>
          </w:tcPr>
          <w:p w14:paraId="6650AB8B" w14:textId="77777777" w:rsidR="009B4538" w:rsidRPr="0027441D" w:rsidRDefault="009B4538" w:rsidP="000D03F6">
            <w:pPr>
              <w:rPr>
                <w:rFonts w:ascii="Calibri" w:hAnsi="Calibri" w:cs="Calibri"/>
                <w:b w:val="0"/>
              </w:rPr>
            </w:pPr>
            <w:r w:rsidRPr="0027441D">
              <w:rPr>
                <w:rFonts w:ascii="Calibri" w:hAnsi="Calibri" w:cs="Calibri"/>
              </w:rPr>
              <w:t>SES-2</w:t>
            </w:r>
          </w:p>
        </w:tc>
        <w:tc>
          <w:tcPr>
            <w:tcW w:w="3889" w:type="dxa"/>
          </w:tcPr>
          <w:p w14:paraId="3FD1E2C4" w14:textId="77777777" w:rsidR="009B4538" w:rsidRPr="0027441D" w:rsidRDefault="009B4538" w:rsidP="000D03F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441D">
              <w:rPr>
                <w:rFonts w:ascii="Calibri" w:hAnsi="Calibri" w:cs="Calibri"/>
              </w:rPr>
              <w:t>Executive Director</w:t>
            </w:r>
          </w:p>
        </w:tc>
      </w:tr>
      <w:tr w:rsidR="009B4538" w:rsidRPr="0027441D" w14:paraId="6A47168A" w14:textId="77777777" w:rsidTr="000D03F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122" w:type="dxa"/>
          </w:tcPr>
          <w:p w14:paraId="6BB35C56" w14:textId="77777777" w:rsidR="009B4538" w:rsidRPr="0027441D" w:rsidRDefault="009B4538" w:rsidP="000D03F6">
            <w:pPr>
              <w:rPr>
                <w:rFonts w:ascii="Calibri" w:hAnsi="Calibri" w:cs="Calibri"/>
                <w:b w:val="0"/>
              </w:rPr>
            </w:pPr>
            <w:r w:rsidRPr="0027441D">
              <w:rPr>
                <w:rFonts w:ascii="Calibri" w:hAnsi="Calibri" w:cs="Calibri"/>
              </w:rPr>
              <w:t>SES-1</w:t>
            </w:r>
          </w:p>
        </w:tc>
        <w:tc>
          <w:tcPr>
            <w:tcW w:w="3889" w:type="dxa"/>
          </w:tcPr>
          <w:p w14:paraId="5AEA518B" w14:textId="77777777" w:rsidR="009B4538" w:rsidRPr="0027441D" w:rsidRDefault="009B4538" w:rsidP="000D03F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7441D">
              <w:rPr>
                <w:rFonts w:ascii="Calibri" w:hAnsi="Calibri" w:cs="Calibri"/>
              </w:rPr>
              <w:t>Director</w:t>
            </w:r>
          </w:p>
        </w:tc>
      </w:tr>
    </w:tbl>
    <w:p w14:paraId="44388C31" w14:textId="77777777" w:rsidR="009B4538" w:rsidRPr="0027441D" w:rsidRDefault="009B4538" w:rsidP="009B4538">
      <w:pPr>
        <w:pStyle w:val="Heading3"/>
      </w:pPr>
      <w:bookmarkStart w:id="23" w:name="_Toc26348767"/>
      <w:bookmarkStart w:id="24" w:name="_Toc26286356"/>
      <w:bookmarkStart w:id="25" w:name="_Toc26348765"/>
      <w:r w:rsidRPr="0027441D">
        <w:lastRenderedPageBreak/>
        <w:t>When is the new executive standard titles model to be implemented?</w:t>
      </w:r>
      <w:bookmarkEnd w:id="23"/>
    </w:p>
    <w:p w14:paraId="33B9E74E" w14:textId="5AE36FB2" w:rsidR="009B4538" w:rsidRPr="0027441D" w:rsidRDefault="009B4538" w:rsidP="000F26B3">
      <w:pPr>
        <w:rPr>
          <w:rFonts w:ascii="Calibri" w:hAnsi="Calibri" w:cs="Calibri"/>
        </w:rPr>
      </w:pPr>
      <w:r w:rsidRPr="0027441D">
        <w:rPr>
          <w:rFonts w:ascii="Calibri" w:hAnsi="Calibri" w:cs="Calibri"/>
        </w:rPr>
        <w:t>The new standard position titles model</w:t>
      </w:r>
      <w:r w:rsidR="000F26B3">
        <w:rPr>
          <w:rFonts w:ascii="Calibri" w:hAnsi="Calibri" w:cs="Calibri"/>
        </w:rPr>
        <w:t xml:space="preserve"> </w:t>
      </w:r>
      <w:r w:rsidR="00473CF5">
        <w:rPr>
          <w:rFonts w:ascii="Calibri" w:hAnsi="Calibri" w:cs="Calibri"/>
        </w:rPr>
        <w:t>is</w:t>
      </w:r>
      <w:r w:rsidR="000F26B3">
        <w:rPr>
          <w:rFonts w:ascii="Calibri" w:hAnsi="Calibri" w:cs="Calibri"/>
        </w:rPr>
        <w:t xml:space="preserve"> </w:t>
      </w:r>
      <w:r w:rsidRPr="0027441D">
        <w:rPr>
          <w:rFonts w:ascii="Calibri" w:hAnsi="Calibri" w:cs="Calibri"/>
        </w:rPr>
        <w:t>outlined in the Framework</w:t>
      </w:r>
      <w:r w:rsidR="000F26B3">
        <w:rPr>
          <w:rFonts w:ascii="Calibri" w:hAnsi="Calibri" w:cs="Calibri"/>
        </w:rPr>
        <w:t>.</w:t>
      </w:r>
      <w:r w:rsidRPr="0027441D">
        <w:rPr>
          <w:rFonts w:ascii="Calibri" w:hAnsi="Calibri" w:cs="Calibri"/>
        </w:rPr>
        <w:t xml:space="preserve"> Changes to role titles for existing executives will be at the discretion of the public service body Head and may follow recommendations provided by the VPSC at the completion of work value assessments. Alternatively, role titles may be considered when an executive’s contract expires. </w:t>
      </w:r>
    </w:p>
    <w:p w14:paraId="7DEB624A" w14:textId="77777777" w:rsidR="009B4538" w:rsidRPr="0027441D" w:rsidRDefault="009B4538" w:rsidP="009B4538">
      <w:pPr>
        <w:pStyle w:val="Heading3"/>
      </w:pPr>
      <w:bookmarkStart w:id="26" w:name="_Toc26348786"/>
      <w:r w:rsidRPr="0027441D">
        <w:t>Will the employment contract for existing executives need to be amended to reflect the change to SES terminology and any potential change in remuneration?</w:t>
      </w:r>
      <w:bookmarkEnd w:id="26"/>
    </w:p>
    <w:p w14:paraId="4A26B19C" w14:textId="77777777" w:rsidR="009B4538" w:rsidRPr="0027441D" w:rsidRDefault="009B4538" w:rsidP="009B4538">
      <w:pPr>
        <w:rPr>
          <w:rFonts w:ascii="Calibri" w:hAnsi="Calibri" w:cs="Calibri"/>
        </w:rPr>
      </w:pPr>
      <w:r w:rsidRPr="0027441D">
        <w:rPr>
          <w:rFonts w:ascii="Calibri" w:hAnsi="Calibri" w:cs="Calibri"/>
        </w:rPr>
        <w:t xml:space="preserve">No. The SES terminology will apply to all current, vacant and new executive positions in the VPS. There will be no need to amend individual contracts to reflect this terminology, as it is VPS-wide and not a material change. </w:t>
      </w:r>
    </w:p>
    <w:p w14:paraId="497889E9" w14:textId="574D3FCA" w:rsidR="009B4538" w:rsidRPr="0027441D" w:rsidRDefault="009B4538" w:rsidP="009B4538">
      <w:pPr>
        <w:rPr>
          <w:rFonts w:ascii="Calibri" w:hAnsi="Calibri" w:cs="Calibri"/>
        </w:rPr>
      </w:pPr>
      <w:r w:rsidRPr="0027441D">
        <w:rPr>
          <w:rFonts w:ascii="Calibri" w:hAnsi="Calibri" w:cs="Calibri"/>
        </w:rPr>
        <w:t xml:space="preserve">It is recommended that </w:t>
      </w:r>
      <w:r w:rsidR="00D5722F" w:rsidRPr="0027441D">
        <w:rPr>
          <w:rFonts w:ascii="Calibri" w:hAnsi="Calibri" w:cs="Calibri"/>
        </w:rPr>
        <w:t>employers</w:t>
      </w:r>
      <w:r w:rsidRPr="0027441D">
        <w:rPr>
          <w:rFonts w:ascii="Calibri" w:hAnsi="Calibri" w:cs="Calibri"/>
        </w:rPr>
        <w:t xml:space="preserve"> communicate with all executives to inform them that the terminology for their position has been changed from EO to SES, and that this does not represent a change in their classification or remuneration.</w:t>
      </w:r>
    </w:p>
    <w:p w14:paraId="304F7A20" w14:textId="77777777" w:rsidR="009B4538" w:rsidRPr="0027441D" w:rsidRDefault="009B4538" w:rsidP="009B4538">
      <w:pPr>
        <w:rPr>
          <w:rFonts w:ascii="Calibri" w:hAnsi="Calibri" w:cs="Calibri"/>
        </w:rPr>
      </w:pPr>
      <w:r w:rsidRPr="0027441D">
        <w:rPr>
          <w:rFonts w:ascii="Calibri" w:hAnsi="Calibri" w:cs="Calibri"/>
        </w:rPr>
        <w:t>All new executive contracts will need to reflect the new SES terminology.</w:t>
      </w:r>
    </w:p>
    <w:p w14:paraId="740CE63A" w14:textId="4B60C142" w:rsidR="009B4538" w:rsidRPr="0027441D" w:rsidRDefault="009B4538" w:rsidP="009B4538">
      <w:pPr>
        <w:rPr>
          <w:rFonts w:ascii="Calibri" w:hAnsi="Calibri" w:cs="Calibri"/>
        </w:rPr>
      </w:pPr>
      <w:r w:rsidRPr="0027441D">
        <w:rPr>
          <w:rFonts w:ascii="Calibri" w:hAnsi="Calibri" w:cs="Calibri"/>
        </w:rPr>
        <w:t xml:space="preserve">If remuneration is amended following the </w:t>
      </w:r>
      <w:r w:rsidR="00D73860">
        <w:rPr>
          <w:rFonts w:ascii="Calibri" w:hAnsi="Calibri" w:cs="Calibri"/>
        </w:rPr>
        <w:t>D</w:t>
      </w:r>
      <w:r w:rsidRPr="0027441D">
        <w:rPr>
          <w:rFonts w:ascii="Calibri" w:hAnsi="Calibri" w:cs="Calibri"/>
        </w:rPr>
        <w:t xml:space="preserve">etermination, a new remuneration </w:t>
      </w:r>
      <w:r w:rsidR="000F26B3">
        <w:rPr>
          <w:rFonts w:ascii="Calibri" w:hAnsi="Calibri" w:cs="Calibri"/>
        </w:rPr>
        <w:t>S</w:t>
      </w:r>
      <w:r w:rsidRPr="0027441D">
        <w:rPr>
          <w:rFonts w:ascii="Calibri" w:hAnsi="Calibri" w:cs="Calibri"/>
        </w:rPr>
        <w:t>chedule will need to be provided to the executive. Separately, if there is a change to an executive’s band and/or job title (e.g. following a work value assessment) this would require a variation to Schedule A of their contract.</w:t>
      </w:r>
    </w:p>
    <w:p w14:paraId="2DE93FA6" w14:textId="77777777" w:rsidR="009B4538" w:rsidRPr="0027441D" w:rsidRDefault="009B4538" w:rsidP="009B4538">
      <w:pPr>
        <w:pStyle w:val="Heading3"/>
      </w:pPr>
      <w:r w:rsidRPr="0027441D">
        <w:t>What about recruitment processes currently underway?</w:t>
      </w:r>
    </w:p>
    <w:p w14:paraId="683B9174" w14:textId="36C38FBB" w:rsidR="009B4538" w:rsidRPr="0027441D" w:rsidRDefault="009B4538" w:rsidP="009B4538">
      <w:pPr>
        <w:rPr>
          <w:rFonts w:ascii="Calibri" w:hAnsi="Calibri" w:cs="Calibri"/>
        </w:rPr>
      </w:pPr>
      <w:r w:rsidRPr="0027441D">
        <w:rPr>
          <w:rFonts w:ascii="Calibri" w:hAnsi="Calibri" w:cs="Calibri"/>
        </w:rPr>
        <w:t xml:space="preserve">The Jobs and Skills Exchange and the </w:t>
      </w:r>
      <w:proofErr w:type="spellStart"/>
      <w:r w:rsidRPr="0027441D">
        <w:rPr>
          <w:rFonts w:ascii="Calibri" w:hAnsi="Calibri" w:cs="Calibri"/>
        </w:rPr>
        <w:t>Careers.Vic</w:t>
      </w:r>
      <w:proofErr w:type="spellEnd"/>
      <w:r w:rsidRPr="0027441D">
        <w:rPr>
          <w:rFonts w:ascii="Calibri" w:hAnsi="Calibri" w:cs="Calibri"/>
        </w:rPr>
        <w:t xml:space="preserve"> websites will be updated to ensure job advertisements reflect the new SES terminology and associated remuneration bands as soon as possible. Job offers made from</w:t>
      </w:r>
      <w:r w:rsidR="00D5722F" w:rsidRPr="0027441D">
        <w:rPr>
          <w:rFonts w:ascii="Calibri" w:hAnsi="Calibri" w:cs="Calibri"/>
        </w:rPr>
        <w:t xml:space="preserve"> </w:t>
      </w:r>
      <w:r w:rsidR="00300AE7">
        <w:rPr>
          <w:rFonts w:ascii="Calibri" w:hAnsi="Calibri" w:cs="Calibri"/>
        </w:rPr>
        <w:t>22 May 2020</w:t>
      </w:r>
      <w:r w:rsidRPr="0027441D">
        <w:rPr>
          <w:rFonts w:ascii="Calibri" w:hAnsi="Calibri" w:cs="Calibri"/>
        </w:rPr>
        <w:t xml:space="preserve"> onwards should reflect the new terminology and remuneration rates even if the job was advertised using the old </w:t>
      </w:r>
      <w:r w:rsidR="000F26B3">
        <w:rPr>
          <w:rFonts w:ascii="Calibri" w:hAnsi="Calibri" w:cs="Calibri"/>
        </w:rPr>
        <w:t xml:space="preserve">VPS </w:t>
      </w:r>
      <w:r w:rsidRPr="0027441D">
        <w:rPr>
          <w:rFonts w:ascii="Calibri" w:hAnsi="Calibri" w:cs="Calibri"/>
        </w:rPr>
        <w:t>bands</w:t>
      </w:r>
      <w:r w:rsidR="000F26B3">
        <w:rPr>
          <w:rFonts w:ascii="Calibri" w:hAnsi="Calibri" w:cs="Calibri"/>
        </w:rPr>
        <w:t xml:space="preserve"> and executive level terminology</w:t>
      </w:r>
      <w:r w:rsidRPr="0027441D">
        <w:rPr>
          <w:rFonts w:ascii="Calibri" w:hAnsi="Calibri" w:cs="Calibri"/>
        </w:rPr>
        <w:t>.</w:t>
      </w:r>
    </w:p>
    <w:p w14:paraId="5047FA4A" w14:textId="77777777" w:rsidR="009B4538" w:rsidRPr="0027441D" w:rsidRDefault="009B4538" w:rsidP="009B4538">
      <w:pPr>
        <w:pStyle w:val="Heading3"/>
      </w:pPr>
      <w:r w:rsidRPr="0027441D">
        <w:t>What will happen to the role of Assistant Director?</w:t>
      </w:r>
      <w:bookmarkEnd w:id="24"/>
      <w:bookmarkEnd w:id="25"/>
    </w:p>
    <w:p w14:paraId="7459B8FA" w14:textId="07AFEC7D" w:rsidR="009B4538" w:rsidRPr="0027441D" w:rsidRDefault="009B4538" w:rsidP="009B4538">
      <w:pPr>
        <w:rPr>
          <w:rFonts w:ascii="Calibri" w:hAnsi="Calibri" w:cs="Calibri"/>
        </w:rPr>
      </w:pPr>
      <w:r w:rsidRPr="0027441D">
        <w:rPr>
          <w:rFonts w:ascii="Calibri" w:hAnsi="Calibri" w:cs="Calibri"/>
        </w:rPr>
        <w:t xml:space="preserve">There is no Assistant Director position title in the </w:t>
      </w:r>
      <w:r w:rsidR="00031796">
        <w:rPr>
          <w:rFonts w:ascii="Calibri" w:hAnsi="Calibri" w:cs="Calibri"/>
        </w:rPr>
        <w:t xml:space="preserve">executive </w:t>
      </w:r>
      <w:r w:rsidRPr="0027441D">
        <w:rPr>
          <w:rFonts w:ascii="Calibri" w:hAnsi="Calibri" w:cs="Calibri"/>
        </w:rPr>
        <w:t xml:space="preserve">standard position titles model in the Framework. An </w:t>
      </w:r>
      <w:r w:rsidR="00031796">
        <w:rPr>
          <w:rFonts w:ascii="Calibri" w:hAnsi="Calibri" w:cs="Calibri"/>
        </w:rPr>
        <w:t xml:space="preserve">SES classified role with an </w:t>
      </w:r>
      <w:r w:rsidRPr="0027441D">
        <w:rPr>
          <w:rFonts w:ascii="Calibri" w:hAnsi="Calibri" w:cs="Calibri"/>
        </w:rPr>
        <w:t>Assistant Director role title can be changed at the discretion of the public service body Head</w:t>
      </w:r>
      <w:r w:rsidR="00031796">
        <w:rPr>
          <w:rFonts w:ascii="Calibri" w:hAnsi="Calibri" w:cs="Calibri"/>
        </w:rPr>
        <w:t xml:space="preserve"> and may follow recommendations provided by the VPSC at the completion of work value assessments. </w:t>
      </w:r>
      <w:r w:rsidRPr="0027441D">
        <w:rPr>
          <w:rFonts w:ascii="Calibri" w:hAnsi="Calibri" w:cs="Calibri"/>
        </w:rPr>
        <w:t xml:space="preserve">If </w:t>
      </w:r>
      <w:r w:rsidR="00031796">
        <w:rPr>
          <w:rFonts w:ascii="Calibri" w:hAnsi="Calibri" w:cs="Calibri"/>
        </w:rPr>
        <w:t xml:space="preserve">the role is not SES classified, </w:t>
      </w:r>
      <w:r w:rsidRPr="0027441D">
        <w:rPr>
          <w:rFonts w:ascii="Calibri" w:hAnsi="Calibri" w:cs="Calibri"/>
        </w:rPr>
        <w:t xml:space="preserve">then </w:t>
      </w:r>
      <w:r w:rsidR="00031796">
        <w:rPr>
          <w:rFonts w:ascii="Calibri" w:hAnsi="Calibri" w:cs="Calibri"/>
        </w:rPr>
        <w:t xml:space="preserve">a </w:t>
      </w:r>
      <w:r w:rsidRPr="0027441D">
        <w:rPr>
          <w:rFonts w:ascii="Calibri" w:hAnsi="Calibri" w:cs="Calibri"/>
        </w:rPr>
        <w:t>change to the</w:t>
      </w:r>
      <w:r w:rsidR="00031796">
        <w:rPr>
          <w:rFonts w:ascii="Calibri" w:hAnsi="Calibri" w:cs="Calibri"/>
        </w:rPr>
        <w:t xml:space="preserve"> role</w:t>
      </w:r>
      <w:r w:rsidRPr="0027441D">
        <w:rPr>
          <w:rFonts w:ascii="Calibri" w:hAnsi="Calibri" w:cs="Calibri"/>
        </w:rPr>
        <w:t xml:space="preserve"> title</w:t>
      </w:r>
      <w:r w:rsidR="00031796">
        <w:rPr>
          <w:rFonts w:ascii="Calibri" w:hAnsi="Calibri" w:cs="Calibri"/>
        </w:rPr>
        <w:t xml:space="preserve"> is not necessary</w:t>
      </w:r>
      <w:r w:rsidRPr="0027441D">
        <w:rPr>
          <w:rFonts w:ascii="Calibri" w:hAnsi="Calibri" w:cs="Calibri"/>
        </w:rPr>
        <w:t>.</w:t>
      </w:r>
    </w:p>
    <w:p w14:paraId="39C8D6DB" w14:textId="55961E38" w:rsidR="009B4538" w:rsidRPr="007B1D3E" w:rsidRDefault="009A7149" w:rsidP="00D435B9">
      <w:pPr>
        <w:pStyle w:val="Heading2"/>
        <w:rPr>
          <w:rFonts w:ascii="Calibri" w:hAnsi="Calibri" w:cs="Calibri"/>
          <w:b/>
        </w:rPr>
      </w:pPr>
      <w:bookmarkStart w:id="27" w:name="_Toc33775149"/>
      <w:bookmarkStart w:id="28" w:name="_Toc34817249"/>
      <w:r w:rsidRPr="007B1D3E">
        <w:rPr>
          <w:rFonts w:ascii="Calibri" w:hAnsi="Calibri" w:cs="Calibri"/>
        </w:rPr>
        <w:t xml:space="preserve">VPS </w:t>
      </w:r>
      <w:r w:rsidR="009B4538" w:rsidRPr="007B1D3E">
        <w:rPr>
          <w:rFonts w:ascii="Calibri" w:hAnsi="Calibri" w:cs="Calibri"/>
        </w:rPr>
        <w:t>Executive Classification Framework and Work Value Assessments</w:t>
      </w:r>
      <w:bookmarkEnd w:id="27"/>
      <w:bookmarkEnd w:id="28"/>
    </w:p>
    <w:p w14:paraId="68E758C3" w14:textId="01BDF3DB" w:rsidR="009B4538" w:rsidRPr="0027441D" w:rsidRDefault="009B4538" w:rsidP="009B4538">
      <w:pPr>
        <w:pStyle w:val="Heading3"/>
      </w:pPr>
      <w:r w:rsidRPr="0027441D">
        <w:t xml:space="preserve">How will the transition to </w:t>
      </w:r>
      <w:r w:rsidR="00713D67" w:rsidRPr="0027441D">
        <w:t>SES</w:t>
      </w:r>
      <w:r w:rsidRPr="0027441D">
        <w:t xml:space="preserve"> terminology affect the work value assessments of executive positions underway across the </w:t>
      </w:r>
      <w:r w:rsidR="009A7149" w:rsidRPr="0027441D">
        <w:t>VPS</w:t>
      </w:r>
      <w:r w:rsidRPr="0027441D">
        <w:t>?</w:t>
      </w:r>
      <w:bookmarkEnd w:id="21"/>
      <w:bookmarkEnd w:id="22"/>
    </w:p>
    <w:p w14:paraId="0E451C71" w14:textId="44FFA110" w:rsidR="009B4538" w:rsidRDefault="009B4538" w:rsidP="009B4538">
      <w:pPr>
        <w:rPr>
          <w:rFonts w:ascii="Calibri" w:hAnsi="Calibri" w:cs="Calibri"/>
        </w:rPr>
      </w:pPr>
      <w:r w:rsidRPr="0027441D">
        <w:rPr>
          <w:rFonts w:ascii="Calibri" w:hAnsi="Calibri" w:cs="Calibri"/>
        </w:rPr>
        <w:t>The change in terminology from EO to SES does not impact the classification outcome for a position, it will only change the labelling of the outcome. For example, a position which would have been assessed to meet the EO</w:t>
      </w:r>
      <w:r w:rsidR="00713D67" w:rsidRPr="0027441D">
        <w:rPr>
          <w:rFonts w:ascii="Calibri" w:hAnsi="Calibri" w:cs="Calibri"/>
        </w:rPr>
        <w:t>-</w:t>
      </w:r>
      <w:r w:rsidRPr="0027441D">
        <w:rPr>
          <w:rFonts w:ascii="Calibri" w:hAnsi="Calibri" w:cs="Calibri"/>
        </w:rPr>
        <w:t xml:space="preserve">3 classification, will be known as an SES-1 position. </w:t>
      </w:r>
    </w:p>
    <w:p w14:paraId="1DD2AB7F" w14:textId="77777777" w:rsidR="008D3DBC" w:rsidRPr="0027441D" w:rsidRDefault="008D3DBC" w:rsidP="009B4538">
      <w:pPr>
        <w:rPr>
          <w:rFonts w:ascii="Calibri" w:hAnsi="Calibri" w:cs="Calibri"/>
        </w:rPr>
      </w:pPr>
    </w:p>
    <w:p w14:paraId="0C60C83C" w14:textId="3609E1F5" w:rsidR="009B4538" w:rsidRDefault="009B4538" w:rsidP="009B4538">
      <w:pPr>
        <w:rPr>
          <w:rFonts w:ascii="Calibri" w:hAnsi="Calibri" w:cs="Calibri"/>
        </w:rPr>
      </w:pPr>
      <w:r w:rsidRPr="0027441D">
        <w:rPr>
          <w:rFonts w:ascii="Calibri" w:hAnsi="Calibri" w:cs="Calibri"/>
        </w:rPr>
        <w:t xml:space="preserve">The VPSC are providing support to VPS departments and connected service agencies to ensure the consistent classification of executive positions across the VPS. This program of work is in progress and is expected to be fully implemented by December 2020. </w:t>
      </w:r>
    </w:p>
    <w:p w14:paraId="342E3E09" w14:textId="77777777" w:rsidR="008D3DBC" w:rsidRPr="0027441D" w:rsidRDefault="008D3DBC" w:rsidP="009B4538">
      <w:pPr>
        <w:rPr>
          <w:rFonts w:ascii="Calibri" w:hAnsi="Calibri" w:cs="Calibri"/>
        </w:rPr>
      </w:pPr>
    </w:p>
    <w:p w14:paraId="77EE6D93" w14:textId="77777777" w:rsidR="009B4538" w:rsidRPr="0027441D" w:rsidRDefault="009B4538" w:rsidP="009B4538">
      <w:pPr>
        <w:rPr>
          <w:rFonts w:ascii="Calibri" w:hAnsi="Calibri" w:cs="Calibri"/>
        </w:rPr>
      </w:pPr>
      <w:r w:rsidRPr="0027441D">
        <w:rPr>
          <w:rFonts w:ascii="Calibri" w:hAnsi="Calibri" w:cs="Calibri"/>
        </w:rPr>
        <w:t>The program of work the VPSC is supporting includes the completion of work value assessments of executive positions and the provision of a findings report to the relevant VPS public sector body Heads. The findings report provides high level outcomes with recommendations for positions assessed across the three bands.</w:t>
      </w:r>
    </w:p>
    <w:p w14:paraId="10EEA10F" w14:textId="17B21E8E" w:rsidR="009B4538" w:rsidRPr="0027441D" w:rsidRDefault="009B4538" w:rsidP="009B4538">
      <w:pPr>
        <w:pStyle w:val="Heading3"/>
      </w:pPr>
      <w:bookmarkStart w:id="29" w:name="_Toc26348760"/>
      <w:r w:rsidRPr="0027441D">
        <w:lastRenderedPageBreak/>
        <w:t xml:space="preserve">How will the Determination affect the work value assessments of executive positions underway across the </w:t>
      </w:r>
      <w:r w:rsidR="009A7149" w:rsidRPr="0027441D">
        <w:t>VPS</w:t>
      </w:r>
      <w:r w:rsidRPr="0027441D">
        <w:t>?</w:t>
      </w:r>
      <w:bookmarkEnd w:id="29"/>
    </w:p>
    <w:p w14:paraId="2DA56B48" w14:textId="6D0EA46D" w:rsidR="009B4538" w:rsidRDefault="009B4538" w:rsidP="009B4538">
      <w:pPr>
        <w:rPr>
          <w:rFonts w:ascii="Calibri" w:hAnsi="Calibri" w:cs="Calibri"/>
        </w:rPr>
      </w:pPr>
      <w:r w:rsidRPr="0027441D">
        <w:rPr>
          <w:rFonts w:ascii="Calibri" w:hAnsi="Calibri" w:cs="Calibri"/>
        </w:rPr>
        <w:t xml:space="preserve">A work value assessment under the Framework determines both the classification band for a position </w:t>
      </w:r>
      <w:proofErr w:type="gramStart"/>
      <w:r w:rsidRPr="0027441D">
        <w:rPr>
          <w:rFonts w:ascii="Calibri" w:hAnsi="Calibri" w:cs="Calibri"/>
        </w:rPr>
        <w:t>and also</w:t>
      </w:r>
      <w:proofErr w:type="gramEnd"/>
      <w:r w:rsidRPr="0027441D">
        <w:rPr>
          <w:rFonts w:ascii="Calibri" w:hAnsi="Calibri" w:cs="Calibri"/>
        </w:rPr>
        <w:t xml:space="preserve"> whether a position is in the low, medium or high range of a classification band. </w:t>
      </w:r>
    </w:p>
    <w:p w14:paraId="65C6DC89" w14:textId="77777777" w:rsidR="008D3DBC" w:rsidRPr="0027441D" w:rsidRDefault="008D3DBC" w:rsidP="009B4538">
      <w:pPr>
        <w:rPr>
          <w:rFonts w:ascii="Calibri" w:hAnsi="Calibri" w:cs="Calibri"/>
        </w:rPr>
      </w:pPr>
    </w:p>
    <w:p w14:paraId="3E1170CA" w14:textId="19FA5D6C" w:rsidR="009B4538" w:rsidRPr="0027441D" w:rsidRDefault="0041639C" w:rsidP="009B4538">
      <w:pPr>
        <w:rPr>
          <w:rFonts w:ascii="Calibri" w:hAnsi="Calibri" w:cs="Calibri"/>
        </w:rPr>
      </w:pPr>
      <w:r>
        <w:rPr>
          <w:rFonts w:ascii="Calibri" w:hAnsi="Calibri" w:cs="Calibri"/>
        </w:rPr>
        <w:t>T</w:t>
      </w:r>
      <w:r w:rsidR="009B4538" w:rsidRPr="0027441D">
        <w:rPr>
          <w:rFonts w:ascii="Calibri" w:hAnsi="Calibri" w:cs="Calibri"/>
        </w:rPr>
        <w:t xml:space="preserve">he Tribunal </w:t>
      </w:r>
      <w:r>
        <w:rPr>
          <w:rFonts w:ascii="Calibri" w:hAnsi="Calibri" w:cs="Calibri"/>
        </w:rPr>
        <w:t xml:space="preserve">has also </w:t>
      </w:r>
      <w:r w:rsidR="009B4538" w:rsidRPr="0027441D">
        <w:rPr>
          <w:rFonts w:ascii="Calibri" w:hAnsi="Calibri" w:cs="Calibri"/>
        </w:rPr>
        <w:t>issue</w:t>
      </w:r>
      <w:r>
        <w:rPr>
          <w:rFonts w:ascii="Calibri" w:hAnsi="Calibri" w:cs="Calibri"/>
        </w:rPr>
        <w:t>d</w:t>
      </w:r>
      <w:r w:rsidR="009B4538" w:rsidRPr="0027441D">
        <w:rPr>
          <w:rFonts w:ascii="Calibri" w:hAnsi="Calibri" w:cs="Calibri"/>
        </w:rPr>
        <w:t xml:space="preserve"> guidelines regarding the placement of executives within the remuneration bands.</w:t>
      </w:r>
      <w:r w:rsidR="005A062F" w:rsidRPr="0027441D">
        <w:rPr>
          <w:rFonts w:ascii="Calibri" w:hAnsi="Calibri" w:cs="Calibri"/>
        </w:rPr>
        <w:t xml:space="preserve"> </w:t>
      </w:r>
    </w:p>
    <w:p w14:paraId="3E20C1BC" w14:textId="77777777" w:rsidR="009B4538" w:rsidRPr="0027441D" w:rsidRDefault="009B4538" w:rsidP="009B4538">
      <w:pPr>
        <w:pStyle w:val="Heading3"/>
      </w:pPr>
      <w:bookmarkStart w:id="30" w:name="_Toc26348766"/>
      <w:bookmarkStart w:id="31" w:name="_Toc26348761"/>
      <w:r w:rsidRPr="0027441D">
        <w:t>When will the work value assessments be completed?</w:t>
      </w:r>
      <w:bookmarkEnd w:id="30"/>
    </w:p>
    <w:p w14:paraId="09B526A9" w14:textId="19076630" w:rsidR="009B4538" w:rsidRDefault="009B4538" w:rsidP="009B4538">
      <w:pPr>
        <w:rPr>
          <w:rFonts w:ascii="Calibri" w:hAnsi="Calibri" w:cs="Calibri"/>
        </w:rPr>
      </w:pPr>
      <w:r w:rsidRPr="0027441D">
        <w:rPr>
          <w:rFonts w:ascii="Calibri" w:hAnsi="Calibri" w:cs="Calibri"/>
        </w:rPr>
        <w:t xml:space="preserve">Work value assessments are being undertaken progressively over the next 12 months. The VPSC is supporting this process and should be contacted with any questions about the timing of assessments. </w:t>
      </w:r>
    </w:p>
    <w:p w14:paraId="4BE800ED" w14:textId="77777777" w:rsidR="008D3DBC" w:rsidRPr="0027441D" w:rsidRDefault="008D3DBC" w:rsidP="009B4538">
      <w:pPr>
        <w:rPr>
          <w:rFonts w:ascii="Calibri" w:hAnsi="Calibri" w:cs="Calibri"/>
        </w:rPr>
      </w:pPr>
    </w:p>
    <w:p w14:paraId="0598E150" w14:textId="035EC678" w:rsidR="009B4538" w:rsidRPr="0027441D" w:rsidRDefault="009B4538" w:rsidP="009B4538">
      <w:pPr>
        <w:rPr>
          <w:rFonts w:ascii="Calibri" w:hAnsi="Calibri" w:cs="Calibri"/>
        </w:rPr>
      </w:pPr>
      <w:r w:rsidRPr="0027441D">
        <w:rPr>
          <w:rFonts w:ascii="Calibri" w:hAnsi="Calibri" w:cs="Calibri"/>
        </w:rPr>
        <w:t>Executives with questions about the work value assessment process or outcomes should speak to their H</w:t>
      </w:r>
      <w:r w:rsidR="000F26B3">
        <w:rPr>
          <w:rFonts w:ascii="Calibri" w:hAnsi="Calibri" w:cs="Calibri"/>
        </w:rPr>
        <w:t xml:space="preserve">uman </w:t>
      </w:r>
      <w:r w:rsidRPr="0027441D">
        <w:rPr>
          <w:rFonts w:ascii="Calibri" w:hAnsi="Calibri" w:cs="Calibri"/>
        </w:rPr>
        <w:t>R</w:t>
      </w:r>
      <w:r w:rsidR="000F26B3">
        <w:rPr>
          <w:rFonts w:ascii="Calibri" w:hAnsi="Calibri" w:cs="Calibri"/>
        </w:rPr>
        <w:t>esources</w:t>
      </w:r>
      <w:r w:rsidRPr="0027441D">
        <w:rPr>
          <w:rFonts w:ascii="Calibri" w:hAnsi="Calibri" w:cs="Calibri"/>
        </w:rPr>
        <w:t xml:space="preserve"> team in the first instance.</w:t>
      </w:r>
    </w:p>
    <w:p w14:paraId="55086B37" w14:textId="77777777" w:rsidR="009B4538" w:rsidRPr="0027441D" w:rsidRDefault="009B4538" w:rsidP="009B4538">
      <w:pPr>
        <w:pStyle w:val="Heading3"/>
      </w:pPr>
      <w:r w:rsidRPr="0027441D">
        <w:t>What happens if, following assessment, a position is classified at either a higher or lower band than where it sits currently?</w:t>
      </w:r>
      <w:bookmarkEnd w:id="31"/>
    </w:p>
    <w:p w14:paraId="63C09D9D" w14:textId="2167E366" w:rsidR="009B4538" w:rsidRPr="0027441D" w:rsidRDefault="009B4538" w:rsidP="009B4538">
      <w:pPr>
        <w:rPr>
          <w:rFonts w:ascii="Calibri" w:hAnsi="Calibri" w:cs="Calibri"/>
        </w:rPr>
      </w:pPr>
      <w:r w:rsidRPr="0027441D">
        <w:rPr>
          <w:rFonts w:ascii="Calibri" w:hAnsi="Calibri" w:cs="Calibri"/>
        </w:rPr>
        <w:t xml:space="preserve">There are several options available to align executive outcomes where a work value assessment determines a position to be misaligned. However, in all circumstances, it is for the public </w:t>
      </w:r>
      <w:r w:rsidR="00277779" w:rsidRPr="0027441D">
        <w:rPr>
          <w:rFonts w:ascii="Calibri" w:hAnsi="Calibri" w:cs="Calibri"/>
        </w:rPr>
        <w:t>service</w:t>
      </w:r>
      <w:r w:rsidRPr="0027441D">
        <w:rPr>
          <w:rFonts w:ascii="Calibri" w:hAnsi="Calibri" w:cs="Calibri"/>
        </w:rPr>
        <w:t xml:space="preserve"> body Head to decide how to align executive outcomes. The options available to a public </w:t>
      </w:r>
      <w:r w:rsidR="00277779" w:rsidRPr="0027441D">
        <w:rPr>
          <w:rFonts w:ascii="Calibri" w:hAnsi="Calibri" w:cs="Calibri"/>
        </w:rPr>
        <w:t>service</w:t>
      </w:r>
      <w:r w:rsidRPr="0027441D">
        <w:rPr>
          <w:rFonts w:ascii="Calibri" w:hAnsi="Calibri" w:cs="Calibri"/>
        </w:rPr>
        <w:t xml:space="preserve"> body Head are set out in the Framework and include:</w:t>
      </w:r>
    </w:p>
    <w:p w14:paraId="6F6B7902" w14:textId="77777777" w:rsidR="009B4538" w:rsidRPr="0027441D" w:rsidRDefault="009B4538" w:rsidP="009B4538">
      <w:pPr>
        <w:pStyle w:val="ListParagraph"/>
        <w:numPr>
          <w:ilvl w:val="0"/>
          <w:numId w:val="19"/>
        </w:numPr>
        <w:rPr>
          <w:rFonts w:ascii="Calibri" w:hAnsi="Calibri" w:cs="Calibri"/>
          <w:sz w:val="20"/>
          <w:szCs w:val="20"/>
        </w:rPr>
      </w:pPr>
      <w:r w:rsidRPr="0027441D">
        <w:rPr>
          <w:rFonts w:ascii="Calibri" w:hAnsi="Calibri" w:cs="Calibri"/>
          <w:sz w:val="20"/>
          <w:szCs w:val="20"/>
        </w:rPr>
        <w:t>removing/adding tasks and responsibilities or accountabilities to lower or raise the work value to create a better fit of the role to its current classification; or</w:t>
      </w:r>
    </w:p>
    <w:p w14:paraId="090E2DED" w14:textId="1BE1705C" w:rsidR="009B4538" w:rsidRPr="0027441D" w:rsidRDefault="009B4538" w:rsidP="009B4538">
      <w:pPr>
        <w:pStyle w:val="ListParagraph"/>
        <w:numPr>
          <w:ilvl w:val="0"/>
          <w:numId w:val="19"/>
        </w:numPr>
        <w:rPr>
          <w:rFonts w:ascii="Calibri" w:hAnsi="Calibri" w:cs="Calibri"/>
          <w:sz w:val="20"/>
          <w:szCs w:val="20"/>
        </w:rPr>
      </w:pPr>
      <w:r w:rsidRPr="0027441D">
        <w:rPr>
          <w:rFonts w:ascii="Calibri" w:hAnsi="Calibri" w:cs="Calibri"/>
          <w:sz w:val="20"/>
          <w:szCs w:val="20"/>
        </w:rPr>
        <w:t xml:space="preserve">reclassifying the position: this can happen immediately, when the position becomes vacant, or following the expiry of an executive’s </w:t>
      </w:r>
      <w:r w:rsidR="009A7149" w:rsidRPr="0027441D">
        <w:rPr>
          <w:rFonts w:ascii="Calibri" w:hAnsi="Calibri" w:cs="Calibri"/>
          <w:sz w:val="20"/>
          <w:szCs w:val="20"/>
        </w:rPr>
        <w:t xml:space="preserve">current </w:t>
      </w:r>
      <w:r w:rsidRPr="0027441D">
        <w:rPr>
          <w:rFonts w:ascii="Calibri" w:hAnsi="Calibri" w:cs="Calibri"/>
          <w:sz w:val="20"/>
          <w:szCs w:val="20"/>
        </w:rPr>
        <w:t>employment contract.</w:t>
      </w:r>
    </w:p>
    <w:p w14:paraId="00049BAB" w14:textId="77777777" w:rsidR="009B4538" w:rsidRPr="0027441D" w:rsidRDefault="009B4538" w:rsidP="009B4538">
      <w:pPr>
        <w:pStyle w:val="Heading3"/>
      </w:pPr>
      <w:bookmarkStart w:id="32" w:name="_Toc26348762"/>
      <w:r w:rsidRPr="0027441D">
        <w:t>Following a work value assessment of a position, can an executive appeal any change to the position classification?</w:t>
      </w:r>
      <w:bookmarkEnd w:id="32"/>
      <w:r w:rsidRPr="0027441D">
        <w:t xml:space="preserve"> </w:t>
      </w:r>
    </w:p>
    <w:p w14:paraId="4BD495EF" w14:textId="1E785480" w:rsidR="009B4538" w:rsidRDefault="009B4538" w:rsidP="009B4538">
      <w:pPr>
        <w:rPr>
          <w:rFonts w:ascii="Calibri" w:hAnsi="Calibri" w:cs="Calibri"/>
        </w:rPr>
      </w:pPr>
      <w:r w:rsidRPr="0027441D">
        <w:rPr>
          <w:rFonts w:ascii="Calibri" w:hAnsi="Calibri" w:cs="Calibri"/>
        </w:rPr>
        <w:t xml:space="preserve">The outcomes are provided to the relevant </w:t>
      </w:r>
      <w:r w:rsidR="00277779" w:rsidRPr="0027441D">
        <w:rPr>
          <w:rFonts w:ascii="Calibri" w:hAnsi="Calibri" w:cs="Calibri"/>
        </w:rPr>
        <w:t xml:space="preserve">public service </w:t>
      </w:r>
      <w:r w:rsidRPr="0027441D">
        <w:rPr>
          <w:rFonts w:ascii="Calibri" w:hAnsi="Calibri" w:cs="Calibri"/>
        </w:rPr>
        <w:t xml:space="preserve">body Head in a </w:t>
      </w:r>
      <w:proofErr w:type="gramStart"/>
      <w:r w:rsidRPr="0027441D">
        <w:rPr>
          <w:rFonts w:ascii="Calibri" w:hAnsi="Calibri" w:cs="Calibri"/>
        </w:rPr>
        <w:t>findings</w:t>
      </w:r>
      <w:proofErr w:type="gramEnd"/>
      <w:r w:rsidRPr="0027441D">
        <w:rPr>
          <w:rFonts w:ascii="Calibri" w:hAnsi="Calibri" w:cs="Calibri"/>
        </w:rPr>
        <w:t xml:space="preserve"> report after all assessments in the organisation have been completed. The outcomes are advisory and any decision to reclassify a position is a matter for the public service body Head.</w:t>
      </w:r>
    </w:p>
    <w:p w14:paraId="094E6228" w14:textId="77777777" w:rsidR="008D3DBC" w:rsidRPr="0027441D" w:rsidRDefault="008D3DBC" w:rsidP="009B4538">
      <w:pPr>
        <w:rPr>
          <w:rFonts w:ascii="Calibri" w:hAnsi="Calibri" w:cs="Calibri"/>
        </w:rPr>
      </w:pPr>
    </w:p>
    <w:p w14:paraId="3588CF1D" w14:textId="77777777" w:rsidR="009B4538" w:rsidRPr="0027441D" w:rsidRDefault="009B4538" w:rsidP="009B4538">
      <w:pPr>
        <w:rPr>
          <w:rFonts w:ascii="Calibri" w:hAnsi="Calibri" w:cs="Calibri"/>
        </w:rPr>
      </w:pPr>
      <w:r w:rsidRPr="0027441D">
        <w:rPr>
          <w:rFonts w:ascii="Calibri" w:hAnsi="Calibri" w:cs="Calibri"/>
        </w:rPr>
        <w:t xml:space="preserve">As with any employment-related action that personally affects an incumbent, an executive employed under Part 3 of the </w:t>
      </w:r>
      <w:r w:rsidRPr="0027441D">
        <w:rPr>
          <w:rFonts w:ascii="Calibri" w:hAnsi="Calibri" w:cs="Calibri"/>
          <w:i/>
        </w:rPr>
        <w:t>Public Administration Act 2004</w:t>
      </w:r>
      <w:r w:rsidRPr="0027441D">
        <w:rPr>
          <w:rFonts w:ascii="Calibri" w:hAnsi="Calibri" w:cs="Calibri"/>
        </w:rPr>
        <w:t xml:space="preserve"> may apply to their employer for an initial review of that action. All public service employers must have a review process in place that complies with the Public Administration (Review of Actions) Regulations 2015 and the Reasonable Avenue of Redress Standard.</w:t>
      </w:r>
    </w:p>
    <w:p w14:paraId="5C7E5257" w14:textId="605A8F9F" w:rsidR="009B4538" w:rsidRPr="0027441D" w:rsidRDefault="009B4538" w:rsidP="009B4538">
      <w:pPr>
        <w:pStyle w:val="Heading3"/>
      </w:pPr>
      <w:bookmarkStart w:id="33" w:name="_Toc26348788"/>
      <w:bookmarkStart w:id="34" w:name="_Toc26286354"/>
      <w:bookmarkStart w:id="35" w:name="_Toc26348763"/>
      <w:r w:rsidRPr="0027441D">
        <w:t xml:space="preserve">Should </w:t>
      </w:r>
      <w:r w:rsidR="009A7149" w:rsidRPr="0027441D">
        <w:t>employers</w:t>
      </w:r>
      <w:r w:rsidRPr="0027441D">
        <w:t xml:space="preserve"> be using the </w:t>
      </w:r>
      <w:r w:rsidR="00D73860">
        <w:t>F</w:t>
      </w:r>
      <w:r w:rsidRPr="0027441D">
        <w:t>ramework when they are employing new executives?</w:t>
      </w:r>
      <w:bookmarkEnd w:id="33"/>
    </w:p>
    <w:p w14:paraId="7529C665" w14:textId="1F186017" w:rsidR="009B4538" w:rsidRDefault="009B4538" w:rsidP="009B4538">
      <w:pPr>
        <w:rPr>
          <w:rFonts w:ascii="Calibri" w:hAnsi="Calibri" w:cs="Calibri"/>
        </w:rPr>
      </w:pPr>
      <w:r w:rsidRPr="0027441D">
        <w:rPr>
          <w:rFonts w:ascii="Calibri" w:hAnsi="Calibri" w:cs="Calibri"/>
        </w:rPr>
        <w:t xml:space="preserve">Yes. Employers should consider the </w:t>
      </w:r>
      <w:r w:rsidR="00D73860">
        <w:rPr>
          <w:rFonts w:ascii="Calibri" w:hAnsi="Calibri" w:cs="Calibri"/>
        </w:rPr>
        <w:t>F</w:t>
      </w:r>
      <w:r w:rsidRPr="0027441D">
        <w:rPr>
          <w:rFonts w:ascii="Calibri" w:hAnsi="Calibri" w:cs="Calibri"/>
        </w:rPr>
        <w:t xml:space="preserve">ramework for all vacant and new positions and this can occur prior to the executive work value assessment. Support on the </w:t>
      </w:r>
      <w:r w:rsidR="00D73860">
        <w:rPr>
          <w:rFonts w:ascii="Calibri" w:hAnsi="Calibri" w:cs="Calibri"/>
        </w:rPr>
        <w:t>F</w:t>
      </w:r>
      <w:r w:rsidRPr="0027441D">
        <w:rPr>
          <w:rFonts w:ascii="Calibri" w:hAnsi="Calibri" w:cs="Calibri"/>
        </w:rPr>
        <w:t xml:space="preserve">ramework is being provided by the VPSC and the </w:t>
      </w:r>
      <w:r w:rsidR="00D73860">
        <w:rPr>
          <w:rFonts w:ascii="Calibri" w:hAnsi="Calibri" w:cs="Calibri"/>
        </w:rPr>
        <w:t>F</w:t>
      </w:r>
      <w:r w:rsidRPr="0027441D">
        <w:rPr>
          <w:rFonts w:ascii="Calibri" w:hAnsi="Calibri" w:cs="Calibri"/>
        </w:rPr>
        <w:t xml:space="preserve">ramework is publicly available on the VPSC website. </w:t>
      </w:r>
    </w:p>
    <w:p w14:paraId="052B17BE" w14:textId="77777777" w:rsidR="008D3DBC" w:rsidRPr="0027441D" w:rsidRDefault="008D3DBC" w:rsidP="009B4538">
      <w:pPr>
        <w:rPr>
          <w:rFonts w:ascii="Calibri" w:hAnsi="Calibri" w:cs="Calibri"/>
        </w:rPr>
      </w:pPr>
    </w:p>
    <w:p w14:paraId="5EACF505" w14:textId="3D9D27A2" w:rsidR="009B4538" w:rsidRPr="0027441D" w:rsidRDefault="009B4538" w:rsidP="009B4538">
      <w:pPr>
        <w:rPr>
          <w:rFonts w:ascii="Calibri" w:hAnsi="Calibri" w:cs="Calibri"/>
        </w:rPr>
      </w:pPr>
      <w:r w:rsidRPr="0027441D">
        <w:rPr>
          <w:rFonts w:ascii="Calibri" w:hAnsi="Calibri" w:cs="Calibri"/>
        </w:rPr>
        <w:t xml:space="preserve">As part of the </w:t>
      </w:r>
      <w:r w:rsidR="00D73860">
        <w:rPr>
          <w:rFonts w:ascii="Calibri" w:hAnsi="Calibri" w:cs="Calibri"/>
        </w:rPr>
        <w:t>F</w:t>
      </w:r>
      <w:r w:rsidRPr="0027441D">
        <w:rPr>
          <w:rFonts w:ascii="Calibri" w:hAnsi="Calibri" w:cs="Calibri"/>
        </w:rPr>
        <w:t>ramework implementation support, the VPSC are assessing executive positions and providing training to H</w:t>
      </w:r>
      <w:r w:rsidR="005E7F90">
        <w:rPr>
          <w:rFonts w:ascii="Calibri" w:hAnsi="Calibri" w:cs="Calibri"/>
        </w:rPr>
        <w:t xml:space="preserve">uman </w:t>
      </w:r>
      <w:r w:rsidRPr="0027441D">
        <w:rPr>
          <w:rFonts w:ascii="Calibri" w:hAnsi="Calibri" w:cs="Calibri"/>
        </w:rPr>
        <w:t>R</w:t>
      </w:r>
      <w:r w:rsidR="005E7F90">
        <w:rPr>
          <w:rFonts w:ascii="Calibri" w:hAnsi="Calibri" w:cs="Calibri"/>
        </w:rPr>
        <w:t>esources</w:t>
      </w:r>
      <w:r w:rsidR="00653BF7">
        <w:rPr>
          <w:rFonts w:ascii="Calibri" w:hAnsi="Calibri" w:cs="Calibri"/>
        </w:rPr>
        <w:t xml:space="preserve"> teams</w:t>
      </w:r>
      <w:r w:rsidRPr="0027441D">
        <w:rPr>
          <w:rFonts w:ascii="Calibri" w:hAnsi="Calibri" w:cs="Calibri"/>
        </w:rPr>
        <w:t xml:space="preserve"> </w:t>
      </w:r>
      <w:r w:rsidR="006819FA">
        <w:rPr>
          <w:rFonts w:ascii="Calibri" w:hAnsi="Calibri" w:cs="Calibri"/>
        </w:rPr>
        <w:t xml:space="preserve">across </w:t>
      </w:r>
      <w:r w:rsidRPr="0027441D">
        <w:rPr>
          <w:rFonts w:ascii="Calibri" w:hAnsi="Calibri" w:cs="Calibri"/>
        </w:rPr>
        <w:t xml:space="preserve">VPS departments </w:t>
      </w:r>
      <w:r w:rsidR="006819FA">
        <w:rPr>
          <w:rFonts w:ascii="Calibri" w:hAnsi="Calibri" w:cs="Calibri"/>
        </w:rPr>
        <w:t xml:space="preserve">and connected service agencies </w:t>
      </w:r>
      <w:r w:rsidRPr="0027441D">
        <w:rPr>
          <w:rFonts w:ascii="Calibri" w:hAnsi="Calibri" w:cs="Calibri"/>
        </w:rPr>
        <w:t xml:space="preserve">on how to undertake work value assessments in the long term. </w:t>
      </w:r>
    </w:p>
    <w:p w14:paraId="2C40A30D" w14:textId="6FEBDC90" w:rsidR="009B4538" w:rsidRPr="0027441D" w:rsidRDefault="009B4538" w:rsidP="009B4538">
      <w:pPr>
        <w:rPr>
          <w:rFonts w:ascii="Calibri" w:hAnsi="Calibri" w:cs="Calibri"/>
        </w:rPr>
      </w:pPr>
      <w:r w:rsidRPr="0027441D">
        <w:rPr>
          <w:rFonts w:ascii="Calibri" w:hAnsi="Calibri" w:cs="Calibri"/>
        </w:rPr>
        <w:t xml:space="preserve">The </w:t>
      </w:r>
      <w:r w:rsidR="00D73860">
        <w:rPr>
          <w:rFonts w:ascii="Calibri" w:hAnsi="Calibri" w:cs="Calibri"/>
        </w:rPr>
        <w:t>F</w:t>
      </w:r>
      <w:r w:rsidRPr="0027441D">
        <w:rPr>
          <w:rFonts w:ascii="Calibri" w:hAnsi="Calibri" w:cs="Calibri"/>
        </w:rPr>
        <w:t>ramework and methodology provide clarity on how to assess and determine the appropriate work value and classification of an executive position.</w:t>
      </w:r>
    </w:p>
    <w:p w14:paraId="01753313" w14:textId="467969F6" w:rsidR="005A062F" w:rsidRPr="0027441D" w:rsidRDefault="005A062F" w:rsidP="00584B7C">
      <w:pPr>
        <w:pStyle w:val="Heading3"/>
      </w:pPr>
      <w:r w:rsidRPr="0027441D">
        <w:lastRenderedPageBreak/>
        <w:t>How will the Determination be applied where a VPS executive position is yet to be assessed under the Framework?</w:t>
      </w:r>
    </w:p>
    <w:p w14:paraId="0D5E3108" w14:textId="3AE2E0B4" w:rsidR="005A062F" w:rsidRPr="0027441D" w:rsidRDefault="005A062F" w:rsidP="005A062F">
      <w:pPr>
        <w:rPr>
          <w:rFonts w:ascii="Calibri" w:hAnsi="Calibri" w:cs="Calibri"/>
        </w:rPr>
      </w:pPr>
      <w:r w:rsidRPr="0027441D">
        <w:rPr>
          <w:rFonts w:ascii="Calibri" w:hAnsi="Calibri" w:cs="Calibri"/>
        </w:rPr>
        <w:t xml:space="preserve">Existing executives do not require an assessment to be placed within an SES band. Their existing </w:t>
      </w:r>
      <w:r w:rsidR="009A7149" w:rsidRPr="0027441D">
        <w:rPr>
          <w:rFonts w:ascii="Calibri" w:hAnsi="Calibri" w:cs="Calibri"/>
        </w:rPr>
        <w:t xml:space="preserve">EO </w:t>
      </w:r>
      <w:r w:rsidRPr="0027441D">
        <w:rPr>
          <w:rFonts w:ascii="Calibri" w:hAnsi="Calibri" w:cs="Calibri"/>
        </w:rPr>
        <w:t xml:space="preserve">remuneration band will map them to the relevant new </w:t>
      </w:r>
      <w:r w:rsidR="009A7149" w:rsidRPr="0027441D">
        <w:rPr>
          <w:rFonts w:ascii="Calibri" w:hAnsi="Calibri" w:cs="Calibri"/>
        </w:rPr>
        <w:t xml:space="preserve">SES </w:t>
      </w:r>
      <w:r w:rsidRPr="0027441D">
        <w:rPr>
          <w:rFonts w:ascii="Calibri" w:hAnsi="Calibri" w:cs="Calibri"/>
        </w:rPr>
        <w:t>band. Following an assessment under the Framework, a role may be considered for reclassification or a remuneration adjustment based on the work value score.</w:t>
      </w:r>
    </w:p>
    <w:p w14:paraId="46BBE238" w14:textId="77777777" w:rsidR="009B4538" w:rsidRPr="007B1D3E" w:rsidRDefault="009B4538" w:rsidP="00D435B9">
      <w:pPr>
        <w:pStyle w:val="Heading2"/>
        <w:rPr>
          <w:rFonts w:ascii="Calibri" w:hAnsi="Calibri" w:cs="Calibri"/>
          <w:b/>
        </w:rPr>
      </w:pPr>
      <w:bookmarkStart w:id="36" w:name="_Toc33775150"/>
      <w:bookmarkStart w:id="37" w:name="_Toc34817250"/>
      <w:r w:rsidRPr="007B1D3E">
        <w:rPr>
          <w:rFonts w:ascii="Calibri" w:hAnsi="Calibri" w:cs="Calibri"/>
        </w:rPr>
        <w:t>Further assistance</w:t>
      </w:r>
      <w:bookmarkEnd w:id="36"/>
      <w:bookmarkEnd w:id="37"/>
    </w:p>
    <w:p w14:paraId="30E25689" w14:textId="77777777" w:rsidR="009B4538" w:rsidRPr="0027441D" w:rsidRDefault="009B4538" w:rsidP="009B4538">
      <w:pPr>
        <w:pStyle w:val="Heading3"/>
      </w:pPr>
      <w:bookmarkStart w:id="38" w:name="_Toc26348797"/>
      <w:bookmarkEnd w:id="34"/>
      <w:bookmarkEnd w:id="35"/>
      <w:r w:rsidRPr="0027441D">
        <w:t>Who should VPS executives contact if they have questions about changes to their executive contract?</w:t>
      </w:r>
      <w:bookmarkEnd w:id="38"/>
    </w:p>
    <w:p w14:paraId="761E9797" w14:textId="7E01443D" w:rsidR="009B4538" w:rsidRPr="0027441D" w:rsidRDefault="009B4538" w:rsidP="009B4538">
      <w:pPr>
        <w:rPr>
          <w:rFonts w:ascii="Calibri" w:hAnsi="Calibri" w:cs="Calibri"/>
        </w:rPr>
      </w:pPr>
      <w:r w:rsidRPr="0027441D">
        <w:rPr>
          <w:rFonts w:ascii="Calibri" w:hAnsi="Calibri" w:cs="Calibri"/>
        </w:rPr>
        <w:t>Executives should contact their departmental H</w:t>
      </w:r>
      <w:r w:rsidR="005E7F90">
        <w:rPr>
          <w:rFonts w:ascii="Calibri" w:hAnsi="Calibri" w:cs="Calibri"/>
        </w:rPr>
        <w:t xml:space="preserve">uman </w:t>
      </w:r>
      <w:r w:rsidRPr="0027441D">
        <w:rPr>
          <w:rFonts w:ascii="Calibri" w:hAnsi="Calibri" w:cs="Calibri"/>
        </w:rPr>
        <w:t>R</w:t>
      </w:r>
      <w:r w:rsidR="005E7F90">
        <w:rPr>
          <w:rFonts w:ascii="Calibri" w:hAnsi="Calibri" w:cs="Calibri"/>
        </w:rPr>
        <w:t>esources</w:t>
      </w:r>
      <w:r w:rsidRPr="0027441D">
        <w:rPr>
          <w:rFonts w:ascii="Calibri" w:hAnsi="Calibri" w:cs="Calibri"/>
        </w:rPr>
        <w:t xml:space="preserve"> team in the first instance.</w:t>
      </w:r>
    </w:p>
    <w:p w14:paraId="0EAA632F" w14:textId="7429A52F" w:rsidR="009B4538" w:rsidRPr="0027441D" w:rsidRDefault="009B4538" w:rsidP="009B4538">
      <w:pPr>
        <w:pStyle w:val="Heading3"/>
      </w:pPr>
      <w:bookmarkStart w:id="39" w:name="_Toc26348798"/>
      <w:r w:rsidRPr="0027441D">
        <w:t>Who should department H</w:t>
      </w:r>
      <w:r w:rsidR="005E7F90">
        <w:t xml:space="preserve">uman </w:t>
      </w:r>
      <w:r w:rsidRPr="0027441D">
        <w:t>R</w:t>
      </w:r>
      <w:r w:rsidR="005E7F90">
        <w:t>esources</w:t>
      </w:r>
      <w:r w:rsidRPr="0027441D">
        <w:t xml:space="preserve"> teams contact if they have questions about executive employment following the Determination and terminology changes?</w:t>
      </w:r>
      <w:bookmarkEnd w:id="39"/>
    </w:p>
    <w:p w14:paraId="39ABC822" w14:textId="0D648E64" w:rsidR="009B4538" w:rsidRPr="0027441D" w:rsidRDefault="009B4538" w:rsidP="009B4538">
      <w:pPr>
        <w:rPr>
          <w:rFonts w:ascii="Calibri" w:hAnsi="Calibri" w:cs="Calibri"/>
        </w:rPr>
      </w:pPr>
      <w:r w:rsidRPr="0027441D">
        <w:rPr>
          <w:rFonts w:ascii="Calibri" w:hAnsi="Calibri" w:cs="Calibri"/>
        </w:rPr>
        <w:t xml:space="preserve">Questions about </w:t>
      </w:r>
      <w:r w:rsidRPr="0027441D">
        <w:rPr>
          <w:rFonts w:ascii="Calibri" w:hAnsi="Calibri" w:cs="Calibri"/>
          <w:b/>
        </w:rPr>
        <w:t>work value assessments</w:t>
      </w:r>
      <w:r w:rsidRPr="0027441D">
        <w:rPr>
          <w:rFonts w:ascii="Calibri" w:hAnsi="Calibri" w:cs="Calibri"/>
        </w:rPr>
        <w:t xml:space="preserve"> and any changes to the </w:t>
      </w:r>
      <w:r w:rsidRPr="0027441D">
        <w:rPr>
          <w:rFonts w:ascii="Calibri" w:hAnsi="Calibri" w:cs="Calibri"/>
          <w:b/>
        </w:rPr>
        <w:t>executive contract and handbook</w:t>
      </w:r>
      <w:r w:rsidRPr="0027441D">
        <w:rPr>
          <w:rFonts w:ascii="Calibri" w:hAnsi="Calibri" w:cs="Calibri"/>
        </w:rPr>
        <w:t xml:space="preserve"> should be directed to the VPSC (</w:t>
      </w:r>
      <w:hyperlink r:id="rId15" w:history="1">
        <w:r w:rsidRPr="0027441D">
          <w:rPr>
            <w:rStyle w:val="Hyperlink"/>
            <w:rFonts w:ascii="Calibri" w:hAnsi="Calibri" w:cs="Calibri"/>
          </w:rPr>
          <w:t>executiveclassifications@vpsc.vic.gov.au</w:t>
        </w:r>
      </w:hyperlink>
      <w:r w:rsidRPr="0027441D">
        <w:rPr>
          <w:rFonts w:ascii="Calibri" w:hAnsi="Calibri" w:cs="Calibri"/>
        </w:rPr>
        <w:t>).</w:t>
      </w:r>
    </w:p>
    <w:p w14:paraId="5667CAB1" w14:textId="77777777" w:rsidR="009B4538" w:rsidRPr="0027441D" w:rsidRDefault="009B4538" w:rsidP="009B4538">
      <w:pPr>
        <w:rPr>
          <w:rFonts w:ascii="Calibri" w:hAnsi="Calibri" w:cs="Calibri"/>
        </w:rPr>
      </w:pPr>
    </w:p>
    <w:p w14:paraId="0E2993D3" w14:textId="20379017" w:rsidR="009B4538" w:rsidRPr="0027441D" w:rsidRDefault="009B4538" w:rsidP="009B4538">
      <w:pPr>
        <w:rPr>
          <w:rFonts w:ascii="Calibri" w:hAnsi="Calibri" w:cs="Calibri"/>
        </w:rPr>
      </w:pPr>
      <w:r w:rsidRPr="0027441D">
        <w:rPr>
          <w:rFonts w:ascii="Calibri" w:hAnsi="Calibri" w:cs="Calibri"/>
        </w:rPr>
        <w:t xml:space="preserve">Questions about the </w:t>
      </w:r>
      <w:r w:rsidRPr="0027441D">
        <w:rPr>
          <w:rFonts w:ascii="Calibri" w:hAnsi="Calibri" w:cs="Calibri"/>
          <w:b/>
        </w:rPr>
        <w:t>Determination</w:t>
      </w:r>
      <w:r w:rsidRPr="0027441D">
        <w:rPr>
          <w:rFonts w:ascii="Calibri" w:hAnsi="Calibri" w:cs="Calibri"/>
        </w:rPr>
        <w:t xml:space="preserve"> should be directed to the Tribunal (</w:t>
      </w:r>
      <w:hyperlink r:id="rId16" w:history="1">
        <w:r w:rsidRPr="0027441D">
          <w:rPr>
            <w:rStyle w:val="Hyperlink"/>
            <w:rFonts w:ascii="Calibri" w:hAnsi="Calibri" w:cs="Calibri"/>
          </w:rPr>
          <w:t>enquiries@remunerationtribunal.vic.gov.au</w:t>
        </w:r>
      </w:hyperlink>
      <w:r w:rsidRPr="0027441D">
        <w:rPr>
          <w:rFonts w:ascii="Calibri" w:hAnsi="Calibri" w:cs="Calibri"/>
        </w:rPr>
        <w:t>).</w:t>
      </w:r>
    </w:p>
    <w:p w14:paraId="4134B612" w14:textId="77777777" w:rsidR="009B4538" w:rsidRPr="0027441D" w:rsidRDefault="009B4538" w:rsidP="009B4538">
      <w:pPr>
        <w:rPr>
          <w:rFonts w:ascii="Calibri" w:hAnsi="Calibri" w:cs="Calibri"/>
        </w:rPr>
      </w:pPr>
    </w:p>
    <w:p w14:paraId="6C18C677" w14:textId="785DF489" w:rsidR="009B4538" w:rsidRPr="0027441D" w:rsidRDefault="009B4538" w:rsidP="009B4538">
      <w:pPr>
        <w:rPr>
          <w:rFonts w:ascii="Calibri" w:hAnsi="Calibri" w:cs="Calibri"/>
        </w:rPr>
      </w:pPr>
      <w:r w:rsidRPr="0027441D">
        <w:rPr>
          <w:rFonts w:ascii="Calibri" w:hAnsi="Calibri" w:cs="Calibri"/>
        </w:rPr>
        <w:t xml:space="preserve">Questions in relation to the </w:t>
      </w:r>
      <w:r w:rsidRPr="0027441D">
        <w:rPr>
          <w:rFonts w:ascii="Calibri" w:hAnsi="Calibri" w:cs="Calibri"/>
          <w:b/>
          <w:bCs/>
        </w:rPr>
        <w:t>transition</w:t>
      </w:r>
      <w:r w:rsidRPr="0027441D">
        <w:rPr>
          <w:rFonts w:ascii="Calibri" w:hAnsi="Calibri" w:cs="Calibri"/>
        </w:rPr>
        <w:t xml:space="preserve"> of executives to the new classification bands should be directed to Governance Branch in DPC (</w:t>
      </w:r>
      <w:hyperlink r:id="rId17" w:history="1">
        <w:r w:rsidR="005E7F90" w:rsidRPr="005E7F90">
          <w:rPr>
            <w:rStyle w:val="Hyperlink"/>
            <w:rFonts w:ascii="Calibri" w:hAnsi="Calibri" w:cs="Calibri"/>
          </w:rPr>
          <w:t>publicsectorworkforce@dpc.vic.gov.au</w:t>
        </w:r>
      </w:hyperlink>
      <w:r w:rsidRPr="0027441D">
        <w:rPr>
          <w:rFonts w:ascii="Calibri" w:hAnsi="Calibri" w:cs="Calibri"/>
        </w:rPr>
        <w:t>).</w:t>
      </w:r>
      <w:bookmarkEnd w:id="4"/>
    </w:p>
    <w:sectPr w:rsidR="009B4538" w:rsidRPr="0027441D" w:rsidSect="001B5CC1">
      <w:headerReference w:type="default" r:id="rId18"/>
      <w:footerReference w:type="default" r:id="rId19"/>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6C6B6" w14:textId="77777777" w:rsidR="00493BEE" w:rsidRDefault="00493BEE">
      <w:r>
        <w:separator/>
      </w:r>
    </w:p>
  </w:endnote>
  <w:endnote w:type="continuationSeparator" w:id="0">
    <w:p w14:paraId="71ED7ED4" w14:textId="77777777" w:rsidR="00493BEE" w:rsidRDefault="00493BEE">
      <w:r>
        <w:continuationSeparator/>
      </w:r>
    </w:p>
  </w:endnote>
  <w:endnote w:type="continuationNotice" w:id="1">
    <w:p w14:paraId="68ECCDEB" w14:textId="77777777" w:rsidR="00493BEE" w:rsidRDefault="00493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1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47FE" w14:textId="654353EF" w:rsidR="00CE750D" w:rsidRDefault="009B4538">
    <w:pPr>
      <w:pStyle w:val="Footer"/>
    </w:pPr>
    <w:r>
      <w:rPr>
        <w:noProof/>
        <w:lang w:eastAsia="en-AU"/>
      </w:rPr>
      <mc:AlternateContent>
        <mc:Choice Requires="wps">
          <w:drawing>
            <wp:anchor distT="0" distB="0" distL="114300" distR="114300" simplePos="0" relativeHeight="251659264" behindDoc="0" locked="0" layoutInCell="0" allowOverlap="1" wp14:anchorId="62F7EFEF" wp14:editId="48A834E0">
              <wp:simplePos x="0" y="0"/>
              <wp:positionH relativeFrom="page">
                <wp:posOffset>0</wp:posOffset>
              </wp:positionH>
              <wp:positionV relativeFrom="page">
                <wp:posOffset>10234930</wp:posOffset>
              </wp:positionV>
              <wp:extent cx="7560310" cy="266700"/>
              <wp:effectExtent l="0" t="0" r="0" b="0"/>
              <wp:wrapNone/>
              <wp:docPr id="2" name="MSIPCM9963404b89ecfbc160cccf6f" descr="{&quot;HashCode&quot;:-156385822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5C190" w14:textId="1047FDEB" w:rsidR="009B4538" w:rsidRPr="009B4538" w:rsidRDefault="009B4538" w:rsidP="009B4538">
                          <w:pPr>
                            <w:rPr>
                              <w:rFonts w:ascii="Calibri" w:hAnsi="Calibri" w:cs="Calibri"/>
                              <w:color w:val="000000"/>
                              <w:sz w:val="22"/>
                            </w:rPr>
                          </w:pPr>
                          <w:r w:rsidRPr="009B4538">
                            <w:rPr>
                              <w:rFonts w:ascii="Calibri" w:hAnsi="Calibri" w:cs="Calibri"/>
                              <w:color w:val="000000"/>
                              <w:sz w:val="22"/>
                            </w:rPr>
                            <w:t>OFFICIAL-SENSITIVE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F7EFEF" id="_x0000_t202" coordsize="21600,21600" o:spt="202" path="m,l,21600r21600,l21600,xe">
              <v:stroke joinstyle="miter"/>
              <v:path gradientshapeok="t" o:connecttype="rect"/>
            </v:shapetype>
            <v:shape id="MSIPCM9963404b89ecfbc160cccf6f" o:spid="_x0000_s1026" type="#_x0000_t202" alt="{&quot;HashCode&quot;:-156385822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jLHQMAADgGAAAOAAAAZHJzL2Uyb0RvYy54bWysVEtv2zAMvg/YfxB02GmpH3GcOKtbtCmy&#10;FUjbAOnQsyLLsTBbciUlcVb0v4+S7fSxHYZhF4kiKYr8+Imn501Voh1TmkuR4uDEx4gJKjMuNin+&#10;fj8fTDDShoiMlFKwFB+YxudnHz+c7uspC2Uhy4wpBEGEnu7rFBfG1FPP07RgFdEnsmYCjLlUFTFw&#10;VBsvU2QP0avSC30/9vZSZbWSlGkN2qvWiM9c/Dxn1NzluWYGlSmG3IxblVvXdvXOTsl0o0hdcNql&#10;Qf4hi4pwAY8eQ10RQ9BW8d9CVZwqqWVuTqisPJnnnDJXA1QT+O+qWRWkZq4WAEfXR5j0/wtLb3dL&#10;hXiW4hAjQSpo0c3qejm7SZJ4GPnRepIwmq9pEPuU0jzOMcqYpoDg06fHrTRfvhFdzGTG2tN0EIzi&#10;4WQ0CcPgc+fA+KYwnXkSAUU6wwPPTNHpR8noqF+WhLKKif5O6zKX0jDVyl2Aa5GxpgvQbkvFK6IO&#10;b7xWwAEgZ+fXZ3Uv607jHx9esLx/E5TPlhv7Wk8BolUNIJnmUjbA8V6vQWlb3uSqsjs0E4EdWHY4&#10;Mos1BlFQjkexPwzARMEWxvHYd9TzXm7XSpuvTFbICilWkLUjFNkttIFMwLV3sY8JOedl6dhbCrRP&#10;cTwc+e7C0QI3SmF9IQmI0UktK5+SIIz8yzAZzOPJeBDNo9EgGfuTgR8kl0nsR0l0NX+28YJoWvAs&#10;Y2LBBet/SBD9HQO7v9py2/2RN6lqWfLM1mFzs9XNSoV2BL7qGjjwwwINRbzy8t6m48xQXb+7Kj3b&#10;s7Y3VjLNuukauZbZAfqoJOALrdA1nXN4dEG0WRIF3x6UMMrMHSx5KQFU2UkYFVL9/JPe+gMWYMVo&#10;D2MkxfpxSxTDqLwW8E/DUeRDr5FxJxCUE5IgiuCw7rViW80k1B24tJxofU3Zi7mS1QOMugv7HJiI&#10;oPAoANWLMwMnMMCopOziwskwYmpiFmJVUxu6R/m+eSCq7ohmAL9b2U8aMn3Ht9bX3hTyYmtkzh0Z&#10;LbItnIC9PcB4cl3oRqmdf6/Pzutl4J/9Ag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FP1KMsdAwAAOAYAAA4AAAAAAAAA&#10;AAAAAAAALgIAAGRycy9lMm9Eb2MueG1sUEsBAi0AFAAGAAgAAAAhAGARxibeAAAACwEAAA8AAAAA&#10;AAAAAAAAAAAAdwUAAGRycy9kb3ducmV2LnhtbFBLBQYAAAAABAAEAPMAAACCBgAAAAA=&#10;" o:allowincell="f" filled="f" stroked="f" strokeweight=".5pt">
              <v:textbox inset="20pt,0,,0">
                <w:txbxContent>
                  <w:p w14:paraId="1215C190" w14:textId="1047FDEB" w:rsidR="009B4538" w:rsidRPr="009B4538" w:rsidRDefault="009B4538" w:rsidP="009B4538">
                    <w:pPr>
                      <w:rPr>
                        <w:rFonts w:ascii="Calibri" w:hAnsi="Calibri" w:cs="Calibri"/>
                        <w:color w:val="000000"/>
                        <w:sz w:val="22"/>
                      </w:rPr>
                    </w:pPr>
                    <w:r w:rsidRPr="009B4538">
                      <w:rPr>
                        <w:rFonts w:ascii="Calibri" w:hAnsi="Calibri" w:cs="Calibri"/>
                        <w:color w:val="000000"/>
                        <w:sz w:val="22"/>
                      </w:rPr>
                      <w:t>OFFICIAL-SENSITIVE</w:t>
                    </w:r>
                  </w:p>
                </w:txbxContent>
              </v:textbox>
              <w10:wrap anchorx="page" anchory="page"/>
            </v:shape>
          </w:pict>
        </mc:Fallback>
      </mc:AlternateContent>
    </w:r>
    <w:r w:rsidR="00336814">
      <w:rPr>
        <w:noProof/>
        <w:lang w:eastAsia="en-AU"/>
      </w:rPr>
      <w:drawing>
        <wp:anchor distT="0" distB="0" distL="114300" distR="114300" simplePos="0" relativeHeight="251656192" behindDoc="0" locked="1" layoutInCell="0" allowOverlap="1" wp14:anchorId="181627BE" wp14:editId="24FF7506">
          <wp:simplePos x="0" y="0"/>
          <wp:positionH relativeFrom="page">
            <wp:posOffset>635</wp:posOffset>
          </wp:positionH>
          <wp:positionV relativeFrom="page">
            <wp:posOffset>9939655</wp:posOffset>
          </wp:positionV>
          <wp:extent cx="7559640" cy="502918"/>
          <wp:effectExtent l="0" t="0" r="0" b="0"/>
          <wp:wrapNone/>
          <wp:docPr id="7" name="Picture 7"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5029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A6BB" w14:textId="3B988AE4" w:rsidR="00657303" w:rsidRPr="00A95E3B" w:rsidRDefault="009B4538" w:rsidP="00B01E7E">
    <w:pPr>
      <w:pStyle w:val="DPCfooter"/>
    </w:pPr>
    <w:r>
      <w:rPr>
        <w:noProof/>
      </w:rPr>
      <mc:AlternateContent>
        <mc:Choice Requires="wps">
          <w:drawing>
            <wp:anchor distT="0" distB="0" distL="114300" distR="114300" simplePos="0" relativeHeight="251663872" behindDoc="0" locked="0" layoutInCell="0" allowOverlap="1" wp14:anchorId="2F5457B8" wp14:editId="32BD236D">
              <wp:simplePos x="0" y="0"/>
              <wp:positionH relativeFrom="page">
                <wp:posOffset>0</wp:posOffset>
              </wp:positionH>
              <wp:positionV relativeFrom="page">
                <wp:posOffset>10234930</wp:posOffset>
              </wp:positionV>
              <wp:extent cx="7560310" cy="266700"/>
              <wp:effectExtent l="0" t="0" r="0" b="0"/>
              <wp:wrapNone/>
              <wp:docPr id="5" name="MSIPCM9f6749419ce1ddd5c3a73754" descr="{&quot;HashCode&quot;:-156385822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BD780" w14:textId="6409D7B3" w:rsidR="009B4538" w:rsidRPr="009B4538" w:rsidRDefault="009B4538" w:rsidP="009B4538">
                          <w:pPr>
                            <w:rPr>
                              <w:rFonts w:ascii="Calibri" w:hAnsi="Calibri" w:cs="Calibri"/>
                              <w:color w:val="000000"/>
                              <w:sz w:val="22"/>
                            </w:rPr>
                          </w:pPr>
                          <w:r w:rsidRPr="009B4538">
                            <w:rPr>
                              <w:rFonts w:ascii="Calibri" w:hAnsi="Calibri" w:cs="Calibri"/>
                              <w:color w:val="000000"/>
                              <w:sz w:val="22"/>
                            </w:rPr>
                            <w:t>OFFICIAL-SENSITIVE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5457B8" id="_x0000_t202" coordsize="21600,21600" o:spt="202" path="m,l,21600r21600,l21600,xe">
              <v:stroke joinstyle="miter"/>
              <v:path gradientshapeok="t" o:connecttype="rect"/>
            </v:shapetype>
            <v:shape id="MSIPCM9f6749419ce1ddd5c3a73754" o:spid="_x0000_s1027" type="#_x0000_t202" alt="{&quot;HashCode&quot;:-1563858221,&quot;Height&quot;:841.0,&quot;Width&quot;:595.0,&quot;Placement&quot;:&quot;Footer&quot;,&quot;Index&quot;:&quot;Primary&quot;,&quot;Section&quot;:2,&quot;Top&quot;:0.0,&quot;Left&quot;:0.0}" style="position:absolute;margin-left:0;margin-top:805.9pt;width:595.3pt;height:21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Zp/HQMAAD8GAAAOAAAAZHJzL2Uyb0RvYy54bWysVFtv0zAUfkfiP1h+4IkulyZpU5ahrVNh&#10;UjcqdWjPru0sFokdbHfNQPx3jp2kbIMHhHixz83n+vmcvu+aGj1wbYSSBY5OQoy4pIoJeV/gz7er&#10;yRwjY4lkpFaSF/iRG/z+7PWr00O74LGqVM24RuBEmsWhLXBlbbsIAkMr3hBzolouQVkq3RALrL4P&#10;mCYH8N7UQRyGWXBQmrVaUW4MSC97JT7z/suSU/upLA23qC4w5Gb9qf25c2dwdkoW95q0laBDGuQf&#10;smiIkBD06OqSWIL2WvzmqhFUK6NKe0JVE6iyFJT7GqCaKHxRzbYiLfe1QHNMe2yT+X9u6c3DRiPB&#10;CpxiJEkDI7reXm2W13mZzZI8iXLKI8ZYSqdkNp2lCUaMGwod/P7m617Zdx+JqZaK8Z5bTKI0m87T&#10;eRxHbwcDLu4rO6jnCUBkUNwJZqtBnubpUb6pCeUNl+Ob3mSllOW6pwcHV5LxbnDQXxstGqIfn1lt&#10;AQMAzsEuHt7eqnaQhMfAa16OMUH4w2Hj0JoFtGjbQpNsd6E6wPgoNyB0I+9K3bgbholADyh7PCKL&#10;dxZREM7SLJxGoKKgi7NsFnroBb9et9rYD1w1yBEF1pC1BxR5WBsLmYDpaOKCSbUSde3RW0t0KHA2&#10;TUP/4KiBF7V0tpAE+BioHpXf8yhOwos4n6yy+WySrJJ0ks/C+SSM8os8C2Hyl6sfzl+ULCrBGJdr&#10;Ifn4Q6Lk7xA4/NUe2/6PPEvVqFowV4fLzVW3rDV6IPBVd4CBL67RUMQTq+B5Ol4N1Y23rzJwM+tn&#10;4yjb7TqP7+Pcdoo9wji1gjbDRExLVwJir4mxG6Lh94MQNpr9BEdZK+itGiiMKqW//Unu7KEloMXo&#10;ANukwObrnmiOUX0l4bvGaRLCyJH1HBDaE3mUJMDsRqncN0sF5Uc+LU86W1uPZKlVcwcb79yFAxWR&#10;FIJCv0ZyaYEDBWxMys/PPQ2bpiV2Lbctda7HZt92d0S3A94stPFGjQuHLF7Arrd1L6U631tVCo9J&#10;1+C+nTACx8CW8sMYNqpbg095b/Vr75/9BA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HoJmn8dAwAAPwYAAA4AAAAAAAAA&#10;AAAAAAAALgIAAGRycy9lMm9Eb2MueG1sUEsBAi0AFAAGAAgAAAAhAGARxibeAAAACwEAAA8AAAAA&#10;AAAAAAAAAAAAdwUAAGRycy9kb3ducmV2LnhtbFBLBQYAAAAABAAEAPMAAACCBgAAAAA=&#10;" o:allowincell="f" filled="f" stroked="f" strokeweight=".5pt">
              <v:textbox inset="20pt,0,,0">
                <w:txbxContent>
                  <w:p w14:paraId="224BD780" w14:textId="6409D7B3" w:rsidR="009B4538" w:rsidRPr="009B4538" w:rsidRDefault="009B4538" w:rsidP="009B4538">
                    <w:pPr>
                      <w:rPr>
                        <w:rFonts w:ascii="Calibri" w:hAnsi="Calibri" w:cs="Calibri"/>
                        <w:color w:val="000000"/>
                        <w:sz w:val="22"/>
                      </w:rPr>
                    </w:pPr>
                    <w:r w:rsidRPr="009B4538">
                      <w:rPr>
                        <w:rFonts w:ascii="Calibri" w:hAnsi="Calibri" w:cs="Calibri"/>
                        <w:color w:val="000000"/>
                        <w:sz w:val="22"/>
                      </w:rPr>
                      <w:t>OFFICIAL-SENSITIVE</w:t>
                    </w:r>
                  </w:p>
                </w:txbxContent>
              </v:textbox>
              <w10:wrap anchorx="page" anchory="page"/>
            </v:shape>
          </w:pict>
        </mc:Fallback>
      </mc:AlternateContent>
    </w:r>
    <w:r w:rsidR="006768DF" w:rsidRPr="00A95E3B">
      <w:tab/>
    </w:r>
    <w:r w:rsidR="00EF362A" w:rsidRPr="00A95E3B">
      <w:fldChar w:fldCharType="begin"/>
    </w:r>
    <w:r w:rsidR="00EF362A" w:rsidRPr="00A95E3B">
      <w:instrText xml:space="preserve"> PAGE   \* MERGEFORMAT </w:instrText>
    </w:r>
    <w:r w:rsidR="00EF362A" w:rsidRPr="00A95E3B">
      <w:fldChar w:fldCharType="separate"/>
    </w:r>
    <w:r w:rsidR="00F9697E">
      <w:rPr>
        <w:noProof/>
      </w:rPr>
      <w:t>2</w:t>
    </w:r>
    <w:r w:rsidR="00EF362A"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25884" w14:textId="77777777" w:rsidR="00493BEE" w:rsidRDefault="00493BEE" w:rsidP="002862F1">
      <w:pPr>
        <w:spacing w:before="120"/>
      </w:pPr>
      <w:r>
        <w:separator/>
      </w:r>
    </w:p>
  </w:footnote>
  <w:footnote w:type="continuationSeparator" w:id="0">
    <w:p w14:paraId="3563C2E6" w14:textId="77777777" w:rsidR="00493BEE" w:rsidRDefault="00493BEE">
      <w:r>
        <w:continuationSeparator/>
      </w:r>
    </w:p>
  </w:footnote>
  <w:footnote w:type="continuationNotice" w:id="1">
    <w:p w14:paraId="516F6CE5" w14:textId="77777777" w:rsidR="00493BEE" w:rsidRDefault="00493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30B2" w14:textId="77777777" w:rsidR="00657303" w:rsidRDefault="00326A66">
    <w:pPr>
      <w:pStyle w:val="Header"/>
    </w:pPr>
    <w:r>
      <w:rPr>
        <w:noProof/>
        <w:lang w:eastAsia="en-AU"/>
      </w:rPr>
      <w:drawing>
        <wp:anchor distT="0" distB="0" distL="114300" distR="114300" simplePos="0" relativeHeight="251671040" behindDoc="0" locked="1" layoutInCell="0" allowOverlap="1" wp14:anchorId="77392837" wp14:editId="66C8B94B">
          <wp:simplePos x="0" y="0"/>
          <wp:positionH relativeFrom="page">
            <wp:posOffset>-69215</wp:posOffset>
          </wp:positionH>
          <wp:positionV relativeFrom="page">
            <wp:posOffset>340360</wp:posOffset>
          </wp:positionV>
          <wp:extent cx="7700645" cy="510540"/>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00645"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2E065A47"/>
    <w:multiLevelType w:val="hybridMultilevel"/>
    <w:tmpl w:val="197AA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3A683A"/>
    <w:multiLevelType w:val="hybridMultilevel"/>
    <w:tmpl w:val="8072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7B6796D"/>
    <w:multiLevelType w:val="hybridMultilevel"/>
    <w:tmpl w:val="498CE0F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6CD5F0E"/>
    <w:multiLevelType w:val="hybridMultilevel"/>
    <w:tmpl w:val="CFA47694"/>
    <w:lvl w:ilvl="0" w:tplc="CDAE02A2">
      <w:start w:val="1"/>
      <w:numFmt w:val="decimal"/>
      <w:pStyle w:val="Heading3"/>
      <w:lvlText w:val="%1."/>
      <w:lvlJc w:val="left"/>
      <w:pPr>
        <w:ind w:left="720" w:hanging="493"/>
      </w:pPr>
      <w:rPr>
        <w:rFonts w:hint="default"/>
        <w:b/>
        <w:bCs w:val="0"/>
        <w:color w:val="00559A"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45106B"/>
    <w:multiLevelType w:val="hybridMultilevel"/>
    <w:tmpl w:val="07BAC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11"/>
  </w:num>
  <w:num w:numId="10">
    <w:abstractNumId w:val="1"/>
  </w:num>
  <w:num w:numId="11">
    <w:abstractNumId w:val="9"/>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10"/>
  </w:num>
  <w:num w:numId="20">
    <w:abstractNumId w:val="12"/>
  </w:num>
  <w:num w:numId="21">
    <w:abstractNumId w:val="13"/>
  </w:num>
  <w:num w:numId="22">
    <w:abstractNumId w:val="12"/>
  </w:num>
  <w:num w:numId="23">
    <w:abstractNumId w:val="12"/>
  </w:num>
  <w:num w:numId="24">
    <w:abstractNumId w:val="12"/>
  </w:num>
  <w:num w:numId="25">
    <w:abstractNumId w:val="12"/>
  </w:num>
  <w:num w:numId="26">
    <w:abstractNumId w:val="12"/>
    <w:lvlOverride w:ilvl="0">
      <w:startOverride w:val="1"/>
    </w:lvlOverride>
  </w:num>
  <w:num w:numId="27">
    <w:abstractNumId w:val="12"/>
    <w:lvlOverride w:ilvl="0">
      <w:startOverride w:val="1"/>
    </w:lvlOverride>
  </w:num>
  <w:num w:numId="28">
    <w:abstractNumId w:val="12"/>
  </w:num>
  <w:num w:numId="29">
    <w:abstractNumId w:val="12"/>
    <w:lvlOverride w:ilvl="0">
      <w:startOverride w:val="1"/>
    </w:lvlOverride>
  </w:num>
  <w:num w:numId="30">
    <w:abstractNumId w:val="12"/>
  </w:num>
  <w:num w:numId="31">
    <w:abstractNumId w:val="12"/>
    <w:lvlOverride w:ilvl="0">
      <w:startOverride w:val="1"/>
    </w:lvlOverride>
  </w:num>
  <w:num w:numId="3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38"/>
    <w:rsid w:val="000072B6"/>
    <w:rsid w:val="0001021B"/>
    <w:rsid w:val="00011D89"/>
    <w:rsid w:val="000137AB"/>
    <w:rsid w:val="00024D89"/>
    <w:rsid w:val="0002578B"/>
    <w:rsid w:val="00025E00"/>
    <w:rsid w:val="00031796"/>
    <w:rsid w:val="00033D81"/>
    <w:rsid w:val="00037D82"/>
    <w:rsid w:val="00041BF0"/>
    <w:rsid w:val="0004536B"/>
    <w:rsid w:val="00046B68"/>
    <w:rsid w:val="000527DD"/>
    <w:rsid w:val="000578B2"/>
    <w:rsid w:val="00060959"/>
    <w:rsid w:val="00074219"/>
    <w:rsid w:val="00074ED5"/>
    <w:rsid w:val="00075E12"/>
    <w:rsid w:val="000815CF"/>
    <w:rsid w:val="00090171"/>
    <w:rsid w:val="0009080D"/>
    <w:rsid w:val="00093964"/>
    <w:rsid w:val="00096CD1"/>
    <w:rsid w:val="000A012C"/>
    <w:rsid w:val="000A0EB9"/>
    <w:rsid w:val="000A186C"/>
    <w:rsid w:val="000B21ED"/>
    <w:rsid w:val="000B3B7B"/>
    <w:rsid w:val="000B543D"/>
    <w:rsid w:val="000B5BF7"/>
    <w:rsid w:val="000B6BC8"/>
    <w:rsid w:val="000B7A76"/>
    <w:rsid w:val="000C42EA"/>
    <w:rsid w:val="000C4546"/>
    <w:rsid w:val="000C4E3A"/>
    <w:rsid w:val="000D1242"/>
    <w:rsid w:val="000D7DEE"/>
    <w:rsid w:val="000E3CC7"/>
    <w:rsid w:val="000E6BD4"/>
    <w:rsid w:val="000E6F6A"/>
    <w:rsid w:val="000F1F1E"/>
    <w:rsid w:val="000F2259"/>
    <w:rsid w:val="000F26B3"/>
    <w:rsid w:val="0010342F"/>
    <w:rsid w:val="0010392D"/>
    <w:rsid w:val="00103E86"/>
    <w:rsid w:val="00104FE3"/>
    <w:rsid w:val="00120BD3"/>
    <w:rsid w:val="00122FEA"/>
    <w:rsid w:val="001232BD"/>
    <w:rsid w:val="00124ED5"/>
    <w:rsid w:val="001447B3"/>
    <w:rsid w:val="00147884"/>
    <w:rsid w:val="00153BB2"/>
    <w:rsid w:val="00161939"/>
    <w:rsid w:val="00161AA0"/>
    <w:rsid w:val="00162093"/>
    <w:rsid w:val="00164CF0"/>
    <w:rsid w:val="0017697D"/>
    <w:rsid w:val="001771DD"/>
    <w:rsid w:val="00177995"/>
    <w:rsid w:val="00177A8C"/>
    <w:rsid w:val="00177D12"/>
    <w:rsid w:val="001828F5"/>
    <w:rsid w:val="00185ABE"/>
    <w:rsid w:val="00186B33"/>
    <w:rsid w:val="00192F9D"/>
    <w:rsid w:val="00196EB8"/>
    <w:rsid w:val="001979FF"/>
    <w:rsid w:val="00197B17"/>
    <w:rsid w:val="001A3ACE"/>
    <w:rsid w:val="001A47AD"/>
    <w:rsid w:val="001B5CC1"/>
    <w:rsid w:val="001C1999"/>
    <w:rsid w:val="001C2A72"/>
    <w:rsid w:val="001D0B75"/>
    <w:rsid w:val="001D3C09"/>
    <w:rsid w:val="001D44E8"/>
    <w:rsid w:val="001D4AC4"/>
    <w:rsid w:val="001D52CD"/>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2082"/>
    <w:rsid w:val="00213A1E"/>
    <w:rsid w:val="00214939"/>
    <w:rsid w:val="00214D82"/>
    <w:rsid w:val="00216C03"/>
    <w:rsid w:val="00217AFF"/>
    <w:rsid w:val="00220C04"/>
    <w:rsid w:val="002333F5"/>
    <w:rsid w:val="00235D6F"/>
    <w:rsid w:val="00237C67"/>
    <w:rsid w:val="00240565"/>
    <w:rsid w:val="00246C5E"/>
    <w:rsid w:val="00251343"/>
    <w:rsid w:val="00253641"/>
    <w:rsid w:val="00254F7A"/>
    <w:rsid w:val="002620BC"/>
    <w:rsid w:val="00263A90"/>
    <w:rsid w:val="0026408B"/>
    <w:rsid w:val="00267C3E"/>
    <w:rsid w:val="002709BB"/>
    <w:rsid w:val="0027441D"/>
    <w:rsid w:val="00277779"/>
    <w:rsid w:val="002802E3"/>
    <w:rsid w:val="00281A24"/>
    <w:rsid w:val="0028213D"/>
    <w:rsid w:val="002862F1"/>
    <w:rsid w:val="00290F7E"/>
    <w:rsid w:val="00291373"/>
    <w:rsid w:val="0029597D"/>
    <w:rsid w:val="002962C3"/>
    <w:rsid w:val="00296A72"/>
    <w:rsid w:val="002A2209"/>
    <w:rsid w:val="002A483C"/>
    <w:rsid w:val="002B1729"/>
    <w:rsid w:val="002B1899"/>
    <w:rsid w:val="002B4DD4"/>
    <w:rsid w:val="002B5277"/>
    <w:rsid w:val="002B77C1"/>
    <w:rsid w:val="002C2728"/>
    <w:rsid w:val="002C2FD4"/>
    <w:rsid w:val="002C6C14"/>
    <w:rsid w:val="002D6FC1"/>
    <w:rsid w:val="002E01D0"/>
    <w:rsid w:val="002E161D"/>
    <w:rsid w:val="002E418E"/>
    <w:rsid w:val="002E6C95"/>
    <w:rsid w:val="002E7C36"/>
    <w:rsid w:val="002F32D0"/>
    <w:rsid w:val="002F5F31"/>
    <w:rsid w:val="00300AE7"/>
    <w:rsid w:val="00302216"/>
    <w:rsid w:val="00303E53"/>
    <w:rsid w:val="00306E5F"/>
    <w:rsid w:val="00307E14"/>
    <w:rsid w:val="00314054"/>
    <w:rsid w:val="00314CE5"/>
    <w:rsid w:val="0031510A"/>
    <w:rsid w:val="00316F27"/>
    <w:rsid w:val="00326A66"/>
    <w:rsid w:val="00327870"/>
    <w:rsid w:val="0033259D"/>
    <w:rsid w:val="00336814"/>
    <w:rsid w:val="003406C6"/>
    <w:rsid w:val="003418CC"/>
    <w:rsid w:val="003452D9"/>
    <w:rsid w:val="003459BD"/>
    <w:rsid w:val="003474E8"/>
    <w:rsid w:val="003477D5"/>
    <w:rsid w:val="00350D38"/>
    <w:rsid w:val="003744CF"/>
    <w:rsid w:val="00374717"/>
    <w:rsid w:val="0037676C"/>
    <w:rsid w:val="00381450"/>
    <w:rsid w:val="003829E5"/>
    <w:rsid w:val="00382DEA"/>
    <w:rsid w:val="0039185F"/>
    <w:rsid w:val="003956CC"/>
    <w:rsid w:val="00395C9A"/>
    <w:rsid w:val="003A6B67"/>
    <w:rsid w:val="003B15E6"/>
    <w:rsid w:val="003B6ECA"/>
    <w:rsid w:val="003C2045"/>
    <w:rsid w:val="003C2E6A"/>
    <w:rsid w:val="003C43A1"/>
    <w:rsid w:val="003C55F4"/>
    <w:rsid w:val="003C7A3F"/>
    <w:rsid w:val="003D3E8F"/>
    <w:rsid w:val="003D6475"/>
    <w:rsid w:val="003E375C"/>
    <w:rsid w:val="003E6FA6"/>
    <w:rsid w:val="003F0445"/>
    <w:rsid w:val="003F0CF0"/>
    <w:rsid w:val="003F16EF"/>
    <w:rsid w:val="003F3289"/>
    <w:rsid w:val="00401FCF"/>
    <w:rsid w:val="004148F9"/>
    <w:rsid w:val="0041639C"/>
    <w:rsid w:val="0042084E"/>
    <w:rsid w:val="00424D65"/>
    <w:rsid w:val="00435D7D"/>
    <w:rsid w:val="00436F62"/>
    <w:rsid w:val="00442C6C"/>
    <w:rsid w:val="00443CBE"/>
    <w:rsid w:val="004441BC"/>
    <w:rsid w:val="004450DF"/>
    <w:rsid w:val="00451575"/>
    <w:rsid w:val="0045230A"/>
    <w:rsid w:val="00457337"/>
    <w:rsid w:val="0046021C"/>
    <w:rsid w:val="0047156E"/>
    <w:rsid w:val="0047372D"/>
    <w:rsid w:val="00473CF5"/>
    <w:rsid w:val="004743DD"/>
    <w:rsid w:val="00474CEA"/>
    <w:rsid w:val="00483968"/>
    <w:rsid w:val="00484F86"/>
    <w:rsid w:val="00490746"/>
    <w:rsid w:val="00490852"/>
    <w:rsid w:val="004909D3"/>
    <w:rsid w:val="00493BEE"/>
    <w:rsid w:val="004946F4"/>
    <w:rsid w:val="0049487E"/>
    <w:rsid w:val="004A3E81"/>
    <w:rsid w:val="004A5C62"/>
    <w:rsid w:val="004A707D"/>
    <w:rsid w:val="004B537B"/>
    <w:rsid w:val="004C6EEE"/>
    <w:rsid w:val="004C702B"/>
    <w:rsid w:val="004D016B"/>
    <w:rsid w:val="004D0AF2"/>
    <w:rsid w:val="004D1B22"/>
    <w:rsid w:val="004D36F2"/>
    <w:rsid w:val="004E1818"/>
    <w:rsid w:val="004E2DED"/>
    <w:rsid w:val="004E4649"/>
    <w:rsid w:val="004E5C2B"/>
    <w:rsid w:val="004F00DD"/>
    <w:rsid w:val="004F190A"/>
    <w:rsid w:val="004F2133"/>
    <w:rsid w:val="004F55F1"/>
    <w:rsid w:val="004F6936"/>
    <w:rsid w:val="00503DC6"/>
    <w:rsid w:val="005061AB"/>
    <w:rsid w:val="00506F5D"/>
    <w:rsid w:val="005120A9"/>
    <w:rsid w:val="005126D0"/>
    <w:rsid w:val="00520AB8"/>
    <w:rsid w:val="00526865"/>
    <w:rsid w:val="00536499"/>
    <w:rsid w:val="00543903"/>
    <w:rsid w:val="005447FE"/>
    <w:rsid w:val="00546E29"/>
    <w:rsid w:val="00547A95"/>
    <w:rsid w:val="005514C5"/>
    <w:rsid w:val="00555B7E"/>
    <w:rsid w:val="00572031"/>
    <w:rsid w:val="00576E84"/>
    <w:rsid w:val="00581CF6"/>
    <w:rsid w:val="00584B7C"/>
    <w:rsid w:val="0058757E"/>
    <w:rsid w:val="0059177C"/>
    <w:rsid w:val="00596A4B"/>
    <w:rsid w:val="00597507"/>
    <w:rsid w:val="005A062F"/>
    <w:rsid w:val="005A7647"/>
    <w:rsid w:val="005B21B6"/>
    <w:rsid w:val="005B7A63"/>
    <w:rsid w:val="005C42BA"/>
    <w:rsid w:val="005C49DA"/>
    <w:rsid w:val="005C50F3"/>
    <w:rsid w:val="005C5D91"/>
    <w:rsid w:val="005D07B8"/>
    <w:rsid w:val="005D6597"/>
    <w:rsid w:val="005E0DB7"/>
    <w:rsid w:val="005E14E7"/>
    <w:rsid w:val="005E4097"/>
    <w:rsid w:val="005E447E"/>
    <w:rsid w:val="005E7F90"/>
    <w:rsid w:val="005F0775"/>
    <w:rsid w:val="005F0CF5"/>
    <w:rsid w:val="005F21EB"/>
    <w:rsid w:val="005F69BA"/>
    <w:rsid w:val="00605908"/>
    <w:rsid w:val="00610D7C"/>
    <w:rsid w:val="00613414"/>
    <w:rsid w:val="0062408D"/>
    <w:rsid w:val="00627DA7"/>
    <w:rsid w:val="00631658"/>
    <w:rsid w:val="006358B4"/>
    <w:rsid w:val="006371A6"/>
    <w:rsid w:val="006405B3"/>
    <w:rsid w:val="006419AA"/>
    <w:rsid w:val="00644B1D"/>
    <w:rsid w:val="00644B7E"/>
    <w:rsid w:val="006469DF"/>
    <w:rsid w:val="00646A68"/>
    <w:rsid w:val="0065092E"/>
    <w:rsid w:val="00653BF7"/>
    <w:rsid w:val="006557A7"/>
    <w:rsid w:val="00656290"/>
    <w:rsid w:val="00657303"/>
    <w:rsid w:val="006621D7"/>
    <w:rsid w:val="0066302A"/>
    <w:rsid w:val="00667638"/>
    <w:rsid w:val="00670597"/>
    <w:rsid w:val="00673388"/>
    <w:rsid w:val="00673A34"/>
    <w:rsid w:val="006768DF"/>
    <w:rsid w:val="00677574"/>
    <w:rsid w:val="006819FA"/>
    <w:rsid w:val="00682BB2"/>
    <w:rsid w:val="0068454C"/>
    <w:rsid w:val="00691B62"/>
    <w:rsid w:val="006A18C2"/>
    <w:rsid w:val="006A2472"/>
    <w:rsid w:val="006B077C"/>
    <w:rsid w:val="006B4404"/>
    <w:rsid w:val="006C574D"/>
    <w:rsid w:val="006D2A3F"/>
    <w:rsid w:val="006D4025"/>
    <w:rsid w:val="006E138B"/>
    <w:rsid w:val="006E7E44"/>
    <w:rsid w:val="006F1FDC"/>
    <w:rsid w:val="006F36B5"/>
    <w:rsid w:val="007013EF"/>
    <w:rsid w:val="007023E0"/>
    <w:rsid w:val="0070278B"/>
    <w:rsid w:val="00702B10"/>
    <w:rsid w:val="00713D67"/>
    <w:rsid w:val="007145E6"/>
    <w:rsid w:val="007216AA"/>
    <w:rsid w:val="00721AB5"/>
    <w:rsid w:val="00721DEF"/>
    <w:rsid w:val="00722719"/>
    <w:rsid w:val="00724A43"/>
    <w:rsid w:val="0072650B"/>
    <w:rsid w:val="007304B6"/>
    <w:rsid w:val="007346E4"/>
    <w:rsid w:val="00735D59"/>
    <w:rsid w:val="00740F22"/>
    <w:rsid w:val="00741F1A"/>
    <w:rsid w:val="00741FE7"/>
    <w:rsid w:val="007450F8"/>
    <w:rsid w:val="0074696E"/>
    <w:rsid w:val="00750135"/>
    <w:rsid w:val="0075285D"/>
    <w:rsid w:val="00754E36"/>
    <w:rsid w:val="00763139"/>
    <w:rsid w:val="00764AD4"/>
    <w:rsid w:val="0076737C"/>
    <w:rsid w:val="00772D5E"/>
    <w:rsid w:val="0077610B"/>
    <w:rsid w:val="00776928"/>
    <w:rsid w:val="00782F2C"/>
    <w:rsid w:val="00786F16"/>
    <w:rsid w:val="00796E20"/>
    <w:rsid w:val="00797C32"/>
    <w:rsid w:val="00797FA8"/>
    <w:rsid w:val="007A4FB3"/>
    <w:rsid w:val="007A57F6"/>
    <w:rsid w:val="007B0914"/>
    <w:rsid w:val="007B1374"/>
    <w:rsid w:val="007B1D3E"/>
    <w:rsid w:val="007B589F"/>
    <w:rsid w:val="007B6186"/>
    <w:rsid w:val="007C62EE"/>
    <w:rsid w:val="007C7301"/>
    <w:rsid w:val="007C7859"/>
    <w:rsid w:val="007D0A10"/>
    <w:rsid w:val="007D2BDE"/>
    <w:rsid w:val="007D2FB6"/>
    <w:rsid w:val="007D3EA2"/>
    <w:rsid w:val="007D4D5A"/>
    <w:rsid w:val="007E0DE2"/>
    <w:rsid w:val="007E5373"/>
    <w:rsid w:val="007F2AE0"/>
    <w:rsid w:val="007F31B6"/>
    <w:rsid w:val="007F546C"/>
    <w:rsid w:val="007F665E"/>
    <w:rsid w:val="00800412"/>
    <w:rsid w:val="00801EEF"/>
    <w:rsid w:val="0080587B"/>
    <w:rsid w:val="00806468"/>
    <w:rsid w:val="00816735"/>
    <w:rsid w:val="00820141"/>
    <w:rsid w:val="00820E0C"/>
    <w:rsid w:val="008260DA"/>
    <w:rsid w:val="00832E34"/>
    <w:rsid w:val="0083513C"/>
    <w:rsid w:val="00847D10"/>
    <w:rsid w:val="008516F2"/>
    <w:rsid w:val="00852EE6"/>
    <w:rsid w:val="00853EE4"/>
    <w:rsid w:val="00855535"/>
    <w:rsid w:val="00860662"/>
    <w:rsid w:val="008633F0"/>
    <w:rsid w:val="0086387D"/>
    <w:rsid w:val="00867D9D"/>
    <w:rsid w:val="00872E0A"/>
    <w:rsid w:val="00875285"/>
    <w:rsid w:val="008770B0"/>
    <w:rsid w:val="00884B62"/>
    <w:rsid w:val="0088529C"/>
    <w:rsid w:val="00892553"/>
    <w:rsid w:val="0089270A"/>
    <w:rsid w:val="00893AF6"/>
    <w:rsid w:val="00894BC4"/>
    <w:rsid w:val="008A07A8"/>
    <w:rsid w:val="008A6BAC"/>
    <w:rsid w:val="008B2EE4"/>
    <w:rsid w:val="008B4D3D"/>
    <w:rsid w:val="008B57C7"/>
    <w:rsid w:val="008C2F92"/>
    <w:rsid w:val="008C748D"/>
    <w:rsid w:val="008D3DBC"/>
    <w:rsid w:val="008D4236"/>
    <w:rsid w:val="008D462F"/>
    <w:rsid w:val="008E4376"/>
    <w:rsid w:val="008F57BE"/>
    <w:rsid w:val="008F765E"/>
    <w:rsid w:val="00900719"/>
    <w:rsid w:val="00906490"/>
    <w:rsid w:val="009111B2"/>
    <w:rsid w:val="0091238B"/>
    <w:rsid w:val="00924AE1"/>
    <w:rsid w:val="009269B1"/>
    <w:rsid w:val="00937BD9"/>
    <w:rsid w:val="009500F3"/>
    <w:rsid w:val="00950E2C"/>
    <w:rsid w:val="00951D50"/>
    <w:rsid w:val="009525EB"/>
    <w:rsid w:val="00954DD6"/>
    <w:rsid w:val="00961400"/>
    <w:rsid w:val="00963646"/>
    <w:rsid w:val="0097122E"/>
    <w:rsid w:val="00973EC3"/>
    <w:rsid w:val="009817CA"/>
    <w:rsid w:val="009853E1"/>
    <w:rsid w:val="00986E6B"/>
    <w:rsid w:val="0099137C"/>
    <w:rsid w:val="00991769"/>
    <w:rsid w:val="00994386"/>
    <w:rsid w:val="00996541"/>
    <w:rsid w:val="009A279E"/>
    <w:rsid w:val="009A7149"/>
    <w:rsid w:val="009B0A6F"/>
    <w:rsid w:val="009B333D"/>
    <w:rsid w:val="009B4538"/>
    <w:rsid w:val="009B4852"/>
    <w:rsid w:val="009B59E9"/>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04300"/>
    <w:rsid w:val="00A113E3"/>
    <w:rsid w:val="00A11421"/>
    <w:rsid w:val="00A15457"/>
    <w:rsid w:val="00A157B1"/>
    <w:rsid w:val="00A22229"/>
    <w:rsid w:val="00A324A3"/>
    <w:rsid w:val="00A34DFE"/>
    <w:rsid w:val="00A44882"/>
    <w:rsid w:val="00A54147"/>
    <w:rsid w:val="00A54715"/>
    <w:rsid w:val="00A6061C"/>
    <w:rsid w:val="00A62D44"/>
    <w:rsid w:val="00A65FEE"/>
    <w:rsid w:val="00A7161C"/>
    <w:rsid w:val="00A77AA3"/>
    <w:rsid w:val="00A862CE"/>
    <w:rsid w:val="00A872E5"/>
    <w:rsid w:val="00A92501"/>
    <w:rsid w:val="00A95E3B"/>
    <w:rsid w:val="00A96067"/>
    <w:rsid w:val="00A96E65"/>
    <w:rsid w:val="00A97C72"/>
    <w:rsid w:val="00AA5208"/>
    <w:rsid w:val="00AA63D4"/>
    <w:rsid w:val="00AB06E8"/>
    <w:rsid w:val="00AB1CD3"/>
    <w:rsid w:val="00AB2256"/>
    <w:rsid w:val="00AB3256"/>
    <w:rsid w:val="00AB352F"/>
    <w:rsid w:val="00AB5739"/>
    <w:rsid w:val="00AB7485"/>
    <w:rsid w:val="00AC274B"/>
    <w:rsid w:val="00AC6D36"/>
    <w:rsid w:val="00AD0CBA"/>
    <w:rsid w:val="00AD26E2"/>
    <w:rsid w:val="00AD2ED9"/>
    <w:rsid w:val="00AD525E"/>
    <w:rsid w:val="00AD6D6E"/>
    <w:rsid w:val="00AD7C65"/>
    <w:rsid w:val="00AE126A"/>
    <w:rsid w:val="00AE3005"/>
    <w:rsid w:val="00AE3B0A"/>
    <w:rsid w:val="00AE3BAA"/>
    <w:rsid w:val="00AE59A0"/>
    <w:rsid w:val="00AF0C57"/>
    <w:rsid w:val="00AF26DD"/>
    <w:rsid w:val="00AF26F3"/>
    <w:rsid w:val="00B00672"/>
    <w:rsid w:val="00B01B4D"/>
    <w:rsid w:val="00B01E7E"/>
    <w:rsid w:val="00B04610"/>
    <w:rsid w:val="00B06571"/>
    <w:rsid w:val="00B068BA"/>
    <w:rsid w:val="00B13851"/>
    <w:rsid w:val="00B13B1C"/>
    <w:rsid w:val="00B179A3"/>
    <w:rsid w:val="00B22291"/>
    <w:rsid w:val="00B2417B"/>
    <w:rsid w:val="00B24E6F"/>
    <w:rsid w:val="00B26CB5"/>
    <w:rsid w:val="00B27256"/>
    <w:rsid w:val="00B2752E"/>
    <w:rsid w:val="00B307CC"/>
    <w:rsid w:val="00B30DA8"/>
    <w:rsid w:val="00B31196"/>
    <w:rsid w:val="00B44A60"/>
    <w:rsid w:val="00B45141"/>
    <w:rsid w:val="00B5273A"/>
    <w:rsid w:val="00B573C5"/>
    <w:rsid w:val="00B6015A"/>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714C"/>
    <w:rsid w:val="00BA2615"/>
    <w:rsid w:val="00BA31B6"/>
    <w:rsid w:val="00BA718C"/>
    <w:rsid w:val="00BB5CF9"/>
    <w:rsid w:val="00BB7A10"/>
    <w:rsid w:val="00BC366E"/>
    <w:rsid w:val="00BC7D4F"/>
    <w:rsid w:val="00BC7ED7"/>
    <w:rsid w:val="00BD2850"/>
    <w:rsid w:val="00BE28D2"/>
    <w:rsid w:val="00BF7F58"/>
    <w:rsid w:val="00C00C7D"/>
    <w:rsid w:val="00C01381"/>
    <w:rsid w:val="00C0527D"/>
    <w:rsid w:val="00C079B8"/>
    <w:rsid w:val="00C07B16"/>
    <w:rsid w:val="00C123EA"/>
    <w:rsid w:val="00C12A49"/>
    <w:rsid w:val="00C133EE"/>
    <w:rsid w:val="00C160A6"/>
    <w:rsid w:val="00C24634"/>
    <w:rsid w:val="00C2730D"/>
    <w:rsid w:val="00C27DE9"/>
    <w:rsid w:val="00C33388"/>
    <w:rsid w:val="00C37731"/>
    <w:rsid w:val="00C37AB9"/>
    <w:rsid w:val="00C4173A"/>
    <w:rsid w:val="00C507FB"/>
    <w:rsid w:val="00C6012D"/>
    <w:rsid w:val="00C602FF"/>
    <w:rsid w:val="00C61174"/>
    <w:rsid w:val="00C611AA"/>
    <w:rsid w:val="00C6148F"/>
    <w:rsid w:val="00C62F7A"/>
    <w:rsid w:val="00C63B9C"/>
    <w:rsid w:val="00C6682F"/>
    <w:rsid w:val="00C676CE"/>
    <w:rsid w:val="00C67970"/>
    <w:rsid w:val="00C7275E"/>
    <w:rsid w:val="00C74C5D"/>
    <w:rsid w:val="00C76E88"/>
    <w:rsid w:val="00C863C4"/>
    <w:rsid w:val="00C86E1E"/>
    <w:rsid w:val="00C93C3E"/>
    <w:rsid w:val="00C952A3"/>
    <w:rsid w:val="00C968B2"/>
    <w:rsid w:val="00CA12E3"/>
    <w:rsid w:val="00CA6611"/>
    <w:rsid w:val="00CB177C"/>
    <w:rsid w:val="00CB5B6B"/>
    <w:rsid w:val="00CC2BFD"/>
    <w:rsid w:val="00CD20A8"/>
    <w:rsid w:val="00CD26B2"/>
    <w:rsid w:val="00CD3476"/>
    <w:rsid w:val="00CD64DF"/>
    <w:rsid w:val="00CE1508"/>
    <w:rsid w:val="00CE750D"/>
    <w:rsid w:val="00CF10EA"/>
    <w:rsid w:val="00CF2F50"/>
    <w:rsid w:val="00CF3C87"/>
    <w:rsid w:val="00D02919"/>
    <w:rsid w:val="00D04C61"/>
    <w:rsid w:val="00D04D8E"/>
    <w:rsid w:val="00D05B8D"/>
    <w:rsid w:val="00D07EC0"/>
    <w:rsid w:val="00D07F00"/>
    <w:rsid w:val="00D15FD2"/>
    <w:rsid w:val="00D208B9"/>
    <w:rsid w:val="00D21873"/>
    <w:rsid w:val="00D21B49"/>
    <w:rsid w:val="00D33E72"/>
    <w:rsid w:val="00D35BD6"/>
    <w:rsid w:val="00D361B5"/>
    <w:rsid w:val="00D411A2"/>
    <w:rsid w:val="00D435B9"/>
    <w:rsid w:val="00D50B9C"/>
    <w:rsid w:val="00D52D73"/>
    <w:rsid w:val="00D52E58"/>
    <w:rsid w:val="00D5644D"/>
    <w:rsid w:val="00D56C68"/>
    <w:rsid w:val="00D5722F"/>
    <w:rsid w:val="00D63940"/>
    <w:rsid w:val="00D714CC"/>
    <w:rsid w:val="00D73860"/>
    <w:rsid w:val="00D75EA7"/>
    <w:rsid w:val="00D81851"/>
    <w:rsid w:val="00D81F21"/>
    <w:rsid w:val="00D82E60"/>
    <w:rsid w:val="00D844FC"/>
    <w:rsid w:val="00D8480B"/>
    <w:rsid w:val="00D87FB0"/>
    <w:rsid w:val="00D95470"/>
    <w:rsid w:val="00D97CC0"/>
    <w:rsid w:val="00DA2619"/>
    <w:rsid w:val="00DA4239"/>
    <w:rsid w:val="00DA56B5"/>
    <w:rsid w:val="00DB0B61"/>
    <w:rsid w:val="00DB314A"/>
    <w:rsid w:val="00DB38CA"/>
    <w:rsid w:val="00DB6419"/>
    <w:rsid w:val="00DB64FE"/>
    <w:rsid w:val="00DC090B"/>
    <w:rsid w:val="00DC2CF1"/>
    <w:rsid w:val="00DC447E"/>
    <w:rsid w:val="00DC4FCF"/>
    <w:rsid w:val="00DC50E0"/>
    <w:rsid w:val="00DC5C78"/>
    <w:rsid w:val="00DC6386"/>
    <w:rsid w:val="00DD1130"/>
    <w:rsid w:val="00DD1951"/>
    <w:rsid w:val="00DD3E6F"/>
    <w:rsid w:val="00DD6628"/>
    <w:rsid w:val="00DE3250"/>
    <w:rsid w:val="00DE6028"/>
    <w:rsid w:val="00DE78A3"/>
    <w:rsid w:val="00DF1A71"/>
    <w:rsid w:val="00DF68C7"/>
    <w:rsid w:val="00E10EE4"/>
    <w:rsid w:val="00E170DC"/>
    <w:rsid w:val="00E26818"/>
    <w:rsid w:val="00E27FFC"/>
    <w:rsid w:val="00E30B15"/>
    <w:rsid w:val="00E40181"/>
    <w:rsid w:val="00E407BE"/>
    <w:rsid w:val="00E46998"/>
    <w:rsid w:val="00E5090F"/>
    <w:rsid w:val="00E61DDE"/>
    <w:rsid w:val="00E629A1"/>
    <w:rsid w:val="00E63343"/>
    <w:rsid w:val="00E65162"/>
    <w:rsid w:val="00E7556F"/>
    <w:rsid w:val="00E7578A"/>
    <w:rsid w:val="00E767FD"/>
    <w:rsid w:val="00E82C55"/>
    <w:rsid w:val="00E851B1"/>
    <w:rsid w:val="00E87E47"/>
    <w:rsid w:val="00E92AC3"/>
    <w:rsid w:val="00E95C2E"/>
    <w:rsid w:val="00E96F1F"/>
    <w:rsid w:val="00EB00E0"/>
    <w:rsid w:val="00EB5286"/>
    <w:rsid w:val="00EB5BBE"/>
    <w:rsid w:val="00EB6EAF"/>
    <w:rsid w:val="00EB7422"/>
    <w:rsid w:val="00EC059F"/>
    <w:rsid w:val="00EC1F24"/>
    <w:rsid w:val="00ED5B9B"/>
    <w:rsid w:val="00ED6BAD"/>
    <w:rsid w:val="00ED7447"/>
    <w:rsid w:val="00EE1488"/>
    <w:rsid w:val="00EE3166"/>
    <w:rsid w:val="00EE4D5D"/>
    <w:rsid w:val="00EE62E6"/>
    <w:rsid w:val="00EE7A6A"/>
    <w:rsid w:val="00EF109B"/>
    <w:rsid w:val="00EF362A"/>
    <w:rsid w:val="00EF36AF"/>
    <w:rsid w:val="00EF4493"/>
    <w:rsid w:val="00F00F9C"/>
    <w:rsid w:val="00F02ABA"/>
    <w:rsid w:val="00F0437A"/>
    <w:rsid w:val="00F11037"/>
    <w:rsid w:val="00F13A58"/>
    <w:rsid w:val="00F14D8D"/>
    <w:rsid w:val="00F15E44"/>
    <w:rsid w:val="00F22EF4"/>
    <w:rsid w:val="00F250A9"/>
    <w:rsid w:val="00F30FF4"/>
    <w:rsid w:val="00F331AD"/>
    <w:rsid w:val="00F43A37"/>
    <w:rsid w:val="00F4641B"/>
    <w:rsid w:val="00F46EB8"/>
    <w:rsid w:val="00F47277"/>
    <w:rsid w:val="00F47826"/>
    <w:rsid w:val="00F511E4"/>
    <w:rsid w:val="00F52D09"/>
    <w:rsid w:val="00F52E08"/>
    <w:rsid w:val="00F53D0B"/>
    <w:rsid w:val="00F55B21"/>
    <w:rsid w:val="00F56EF6"/>
    <w:rsid w:val="00F64696"/>
    <w:rsid w:val="00F65AA9"/>
    <w:rsid w:val="00F6768F"/>
    <w:rsid w:val="00F72C2C"/>
    <w:rsid w:val="00F73838"/>
    <w:rsid w:val="00F76CAB"/>
    <w:rsid w:val="00F772C6"/>
    <w:rsid w:val="00F836D6"/>
    <w:rsid w:val="00F85195"/>
    <w:rsid w:val="00F938BA"/>
    <w:rsid w:val="00F94A4E"/>
    <w:rsid w:val="00F9697E"/>
    <w:rsid w:val="00FA0539"/>
    <w:rsid w:val="00FA2C46"/>
    <w:rsid w:val="00FB4CDA"/>
    <w:rsid w:val="00FC0146"/>
    <w:rsid w:val="00FC0F81"/>
    <w:rsid w:val="00FC2283"/>
    <w:rsid w:val="00FC28D3"/>
    <w:rsid w:val="00FC395C"/>
    <w:rsid w:val="00FD00D6"/>
    <w:rsid w:val="00FD2FEB"/>
    <w:rsid w:val="00FD3766"/>
    <w:rsid w:val="00FD47C4"/>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696A0E2"/>
  <w15:docId w15:val="{C14887F5-0AA9-40F9-95BB-37C29C80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sdException w:name="Smart Link Error"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F14D8D"/>
    <w:pPr>
      <w:keepNext/>
      <w:keepLines/>
      <w:numPr>
        <w:numId w:val="20"/>
      </w:numPr>
      <w:spacing w:before="100" w:beforeAutospacing="1" w:line="259" w:lineRule="auto"/>
      <w:outlineLvl w:val="2"/>
    </w:pPr>
    <w:rPr>
      <w:rFonts w:ascii="Calibri" w:eastAsia="MS Gothic" w:hAnsi="Calibri" w:cs="Calibri"/>
      <w:b/>
      <w:bCs/>
      <w:color w:val="00559A" w:themeColor="accent1" w:themeShade="BF"/>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9B4538"/>
    <w:rPr>
      <w:rFonts w:ascii="Calibri" w:eastAsia="MS Gothic" w:hAnsi="Calibri" w:cs="Calibri"/>
      <w:b/>
      <w:bCs/>
      <w:color w:val="00559A" w:themeColor="accent1" w:themeShade="BF"/>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ListParagraph">
    <w:name w:val="List Paragraph"/>
    <w:basedOn w:val="Normal"/>
    <w:link w:val="ListParagraphChar"/>
    <w:uiPriority w:val="34"/>
    <w:qFormat/>
    <w:rsid w:val="009B453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9B4538"/>
    <w:rPr>
      <w:rFonts w:asciiTheme="minorHAnsi" w:eastAsiaTheme="minorHAnsi" w:hAnsiTheme="minorHAnsi" w:cstheme="minorBidi"/>
      <w:sz w:val="22"/>
      <w:szCs w:val="22"/>
      <w:lang w:eastAsia="en-US"/>
    </w:rPr>
  </w:style>
  <w:style w:type="table" w:styleId="ListTable2">
    <w:name w:val="List Table 2"/>
    <w:basedOn w:val="TableNormal"/>
    <w:uiPriority w:val="47"/>
    <w:rsid w:val="009B4538"/>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etterText">
    <w:name w:val="Letter Text"/>
    <w:rsid w:val="009B4538"/>
    <w:rPr>
      <w:rFonts w:ascii="Calibri" w:eastAsiaTheme="minorEastAsia" w:hAnsi="Calibri" w:cstheme="minorBidi"/>
      <w:sz w:val="22"/>
      <w:szCs w:val="22"/>
      <w:lang w:eastAsia="en-US"/>
    </w:rPr>
  </w:style>
  <w:style w:type="character" w:styleId="UnresolvedMention">
    <w:name w:val="Unresolved Mention"/>
    <w:basedOn w:val="DefaultParagraphFont"/>
    <w:uiPriority w:val="99"/>
    <w:semiHidden/>
    <w:rsid w:val="009B4538"/>
    <w:rPr>
      <w:color w:val="605E5C"/>
      <w:shd w:val="clear" w:color="auto" w:fill="E1DFDD"/>
    </w:rPr>
  </w:style>
  <w:style w:type="paragraph" w:styleId="BalloonText">
    <w:name w:val="Balloon Text"/>
    <w:basedOn w:val="Normal"/>
    <w:link w:val="BalloonTextChar"/>
    <w:uiPriority w:val="99"/>
    <w:semiHidden/>
    <w:unhideWhenUsed/>
    <w:rsid w:val="00347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4E8"/>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F13A58"/>
    <w:rPr>
      <w:sz w:val="16"/>
      <w:szCs w:val="16"/>
    </w:rPr>
  </w:style>
  <w:style w:type="paragraph" w:styleId="CommentText">
    <w:name w:val="annotation text"/>
    <w:basedOn w:val="Normal"/>
    <w:link w:val="CommentTextChar"/>
    <w:uiPriority w:val="99"/>
    <w:semiHidden/>
    <w:unhideWhenUsed/>
    <w:rsid w:val="00F13A58"/>
  </w:style>
  <w:style w:type="character" w:customStyle="1" w:styleId="CommentTextChar">
    <w:name w:val="Comment Text Char"/>
    <w:basedOn w:val="DefaultParagraphFont"/>
    <w:link w:val="CommentText"/>
    <w:uiPriority w:val="99"/>
    <w:semiHidden/>
    <w:rsid w:val="00F13A5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13A58"/>
    <w:rPr>
      <w:b/>
      <w:bCs/>
    </w:rPr>
  </w:style>
  <w:style w:type="character" w:customStyle="1" w:styleId="CommentSubjectChar">
    <w:name w:val="Comment Subject Char"/>
    <w:basedOn w:val="CommentTextChar"/>
    <w:link w:val="CommentSubject"/>
    <w:uiPriority w:val="99"/>
    <w:semiHidden/>
    <w:rsid w:val="00F13A58"/>
    <w:rPr>
      <w:rFonts w:ascii="Cambria" w:hAnsi="Cambria"/>
      <w:b/>
      <w:bCs/>
      <w:lang w:eastAsia="en-US"/>
    </w:rPr>
  </w:style>
  <w:style w:type="paragraph" w:styleId="Revision">
    <w:name w:val="Revision"/>
    <w:hidden/>
    <w:uiPriority w:val="71"/>
    <w:rsid w:val="00F14D8D"/>
    <w:rPr>
      <w:rFonts w:ascii="Cambria" w:hAnsi="Cambria"/>
      <w:lang w:eastAsia="en-US"/>
    </w:rPr>
  </w:style>
  <w:style w:type="paragraph" w:styleId="BodyText">
    <w:name w:val="Body Text"/>
    <w:aliases w:val="Body Text PB"/>
    <w:basedOn w:val="Normal"/>
    <w:link w:val="BodyTextChar"/>
    <w:qFormat/>
    <w:rsid w:val="00F836D6"/>
    <w:pPr>
      <w:tabs>
        <w:tab w:val="left" w:pos="454"/>
      </w:tabs>
      <w:spacing w:before="60"/>
    </w:pPr>
    <w:rPr>
      <w:rFonts w:ascii="Arial" w:hAnsi="Arial"/>
      <w:sz w:val="24"/>
    </w:rPr>
  </w:style>
  <w:style w:type="character" w:customStyle="1" w:styleId="BodyTextChar">
    <w:name w:val="Body Text Char"/>
    <w:aliases w:val="Body Text PB Char"/>
    <w:basedOn w:val="DefaultParagraphFont"/>
    <w:link w:val="BodyText"/>
    <w:rsid w:val="00F836D6"/>
    <w:rPr>
      <w:rFonts w:ascii="Arial" w:hAnsi="Arial"/>
      <w:sz w:val="24"/>
      <w:lang w:eastAsia="en-US"/>
    </w:rPr>
  </w:style>
  <w:style w:type="table" w:customStyle="1" w:styleId="TableGrid1">
    <w:name w:val="Table Grid1"/>
    <w:basedOn w:val="TableNormal"/>
    <w:next w:val="TableGrid"/>
    <w:uiPriority w:val="59"/>
    <w:rsid w:val="00B179A3"/>
    <w:rPr>
      <w:rFonts w:ascii="Calibri" w:hAnsi="Calibri"/>
      <w:sz w:val="24"/>
      <w:szCs w:val="24"/>
      <w:lang w:eastAsia="ja-JP"/>
    </w:rPr>
    <w:tblPr>
      <w:tblBorders>
        <w:insideH w:val="single" w:sz="4" w:space="0" w:color="7B7B7B"/>
        <w:insideV w:val="single" w:sz="4" w:space="0" w:color="7B7B7B"/>
      </w:tblBorders>
    </w:tblPr>
    <w:tblStylePr w:type="firstRow">
      <w:tblPr/>
      <w:tcPr>
        <w:shd w:val="clear" w:color="auto" w:fill="A5A5A5"/>
      </w:tcPr>
    </w:tblStylePr>
  </w:style>
  <w:style w:type="table" w:customStyle="1" w:styleId="TableGrid2">
    <w:name w:val="Table Grid2"/>
    <w:basedOn w:val="TableNormal"/>
    <w:next w:val="TableGrid"/>
    <w:uiPriority w:val="59"/>
    <w:rsid w:val="00A04300"/>
    <w:rPr>
      <w:rFonts w:ascii="Calibri" w:hAnsi="Calibri"/>
      <w:sz w:val="24"/>
      <w:szCs w:val="24"/>
      <w:lang w:eastAsia="ja-JP"/>
    </w:rPr>
    <w:tblPr>
      <w:tblBorders>
        <w:insideH w:val="single" w:sz="4" w:space="0" w:color="7B7B7B"/>
        <w:insideV w:val="single" w:sz="4" w:space="0" w:color="7B7B7B"/>
      </w:tblBorders>
    </w:tblPr>
    <w:tblStylePr w:type="firstRow">
      <w:tblPr/>
      <w:tcPr>
        <w:shd w:val="clear" w:color="auto" w:fill="A5A5A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84943">
      <w:bodyDiv w:val="1"/>
      <w:marLeft w:val="0"/>
      <w:marRight w:val="0"/>
      <w:marTop w:val="0"/>
      <w:marBottom w:val="0"/>
      <w:divBdr>
        <w:top w:val="none" w:sz="0" w:space="0" w:color="auto"/>
        <w:left w:val="none" w:sz="0" w:space="0" w:color="auto"/>
        <w:bottom w:val="none" w:sz="0" w:space="0" w:color="auto"/>
        <w:right w:val="none" w:sz="0" w:space="0" w:color="auto"/>
      </w:divBdr>
    </w:div>
    <w:div w:id="16577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publicsectorworkforce@dpc.vic.gov.au" TargetMode="External"/><Relationship Id="rId2" Type="http://schemas.openxmlformats.org/officeDocument/2006/relationships/customXml" Target="../customXml/item2.xml"/><Relationship Id="rId16" Type="http://schemas.openxmlformats.org/officeDocument/2006/relationships/hyperlink" Target="mailto:enquiries@remunerationtribunal.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xecutiveclassifications@vpsc.vic.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Domino/Web_Notes/LDMS/PubStatbook.nsf/b05145073fa2a882ca256da4001bc4e7/E47D33F7D4D2A7F6CA258440001418FE/$FILE/19-065sra%20authoris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DEECD_Publisher xmlns="http://schemas.microsoft.com/sharepoint/v3">Department of Education and Training</DEECD_Publisher>
    <TaxCatchAll xmlns="cb9114c1-daad-44dd-acad-30f4246641f2">
      <Value>115</Value>
      <Value>120</Value>
    </TaxCatchAll>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Description xmlns="http://schemas.microsoft.com/sharepoint/v3">Executive Remuneration Reform Question and Answers</DEECD_Description>
    <PublishingStartDate xmlns="http://schemas.microsoft.com/sharepoint/v3" xsi:nil="true"/>
  </documentManagement>
</p:properties>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1517-9712-46D5-ABF4-B63902EED870}">
  <ds:schemaRef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1d5161c9-8b49-4e1b-a30a-1a2257eabad0"/>
  </ds:schemaRefs>
</ds:datastoreItem>
</file>

<file path=customXml/itemProps2.xml><?xml version="1.0" encoding="utf-8"?>
<ds:datastoreItem xmlns:ds="http://schemas.openxmlformats.org/officeDocument/2006/customXml" ds:itemID="{4E0A009F-8505-4304-97CD-A467BC712F97}">
  <ds:schemaRefs>
    <ds:schemaRef ds:uri="http://www.w3.org/2001/XMLSchema"/>
  </ds:schemaRefs>
</ds:datastoreItem>
</file>

<file path=customXml/itemProps3.xml><?xml version="1.0" encoding="utf-8"?>
<ds:datastoreItem xmlns:ds="http://schemas.openxmlformats.org/officeDocument/2006/customXml" ds:itemID="{4B1187A4-26AA-40BB-A230-02BE1324A73D}">
  <ds:schemaRefs>
    <ds:schemaRef ds:uri="http://schemas.microsoft.com/sharepoint/v3/contenttype/forms"/>
  </ds:schemaRefs>
</ds:datastoreItem>
</file>

<file path=customXml/itemProps4.xml><?xml version="1.0" encoding="utf-8"?>
<ds:datastoreItem xmlns:ds="http://schemas.openxmlformats.org/officeDocument/2006/customXml" ds:itemID="{75F26423-2213-44A1-AD56-D59B5FDDA3DA}"/>
</file>

<file path=customXml/itemProps5.xml><?xml version="1.0" encoding="utf-8"?>
<ds:datastoreItem xmlns:ds="http://schemas.openxmlformats.org/officeDocument/2006/customXml" ds:itemID="{1B9474BB-AA73-46CC-ADC8-F2FD1352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3520</Words>
  <Characters>20481</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23954</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Remuneration Reforms Question and Answers</dc:title>
  <dc:creator>Elise Lima-Bosworth (DPC)</dc:creator>
  <cp:lastModifiedBy>Parfrey, Rob C</cp:lastModifiedBy>
  <cp:revision>2</cp:revision>
  <cp:lastPrinted>2015-01-28T03:08:00Z</cp:lastPrinted>
  <dcterms:created xsi:type="dcterms:W3CDTF">2020-05-25T23:01:00Z</dcterms:created>
  <dcterms:modified xsi:type="dcterms:W3CDTF">2020-05-25T23:01:00Z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17d22cff-4d41-44a1-a7ea-af857521bf50_Enabled">
    <vt:lpwstr>True</vt:lpwstr>
  </property>
  <property fmtid="{D5CDD505-2E9C-101B-9397-08002B2CF9AE}" pid="4" name="MSIP_Label_17d22cff-4d41-44a1-a7ea-af857521bf50_SiteId">
    <vt:lpwstr>722ea0be-3e1c-4b11-ad6f-9401d6856e24</vt:lpwstr>
  </property>
  <property fmtid="{D5CDD505-2E9C-101B-9397-08002B2CF9AE}" pid="5" name="MSIP_Label_17d22cff-4d41-44a1-a7ea-af857521bf50_Owner">
    <vt:lpwstr>elise.lima-bosworth@dpc.vic.gov.au</vt:lpwstr>
  </property>
  <property fmtid="{D5CDD505-2E9C-101B-9397-08002B2CF9AE}" pid="6" name="MSIP_Label_17d22cff-4d41-44a1-a7ea-af857521bf50_SetDate">
    <vt:lpwstr>2020-02-28T01:23:30.6771884Z</vt:lpwstr>
  </property>
  <property fmtid="{D5CDD505-2E9C-101B-9397-08002B2CF9AE}" pid="7" name="MSIP_Label_17d22cff-4d41-44a1-a7ea-af857521bf50_Name">
    <vt:lpwstr>OFFICIAL-SENSITIVE</vt:lpwstr>
  </property>
  <property fmtid="{D5CDD505-2E9C-101B-9397-08002B2CF9AE}" pid="8" name="MSIP_Label_17d22cff-4d41-44a1-a7ea-af857521bf50_Application">
    <vt:lpwstr>Microsoft Azure Information Protection</vt:lpwstr>
  </property>
  <property fmtid="{D5CDD505-2E9C-101B-9397-08002B2CF9AE}" pid="9" name="MSIP_Label_17d22cff-4d41-44a1-a7ea-af857521bf50_Extended_MSFT_Method">
    <vt:lpwstr>Manual</vt:lpwstr>
  </property>
  <property fmtid="{D5CDD505-2E9C-101B-9397-08002B2CF9AE}" pid="10" name="Sensitivity">
    <vt:lpwstr>OFFICIAL-SENSITIVE</vt:lpwstr>
  </property>
  <property fmtid="{D5CDD505-2E9C-101B-9397-08002B2CF9AE}" pid="11" name="ContentTypeId">
    <vt:lpwstr>0x0101008840106FE30D4F50BC61A726A7CA6E3800B55670BA5C76BC428088DD3B316F98C8</vt:lpwstr>
  </property>
  <property fmtid="{D5CDD505-2E9C-101B-9397-08002B2CF9AE}" pid="12" name="DEECD_Author">
    <vt:lpwstr>120;#HRWeb|4e014723-a4da-42a2-b679-c90ea77e3371</vt:lpwstr>
  </property>
  <property fmtid="{D5CDD505-2E9C-101B-9397-08002B2CF9AE}" pid="13" name="DEECD_ItemType">
    <vt:lpwstr>115;#Document|82a2edb4-a4c4-40b1-b05a-5fe52d42e4c4</vt:lpwstr>
  </property>
  <property fmtid="{D5CDD505-2E9C-101B-9397-08002B2CF9AE}" pid="14" name="DEECD_SubjectCategory">
    <vt:lpwstr/>
  </property>
  <property fmtid="{D5CDD505-2E9C-101B-9397-08002B2CF9AE}" pid="15" name="DEECD_Audience">
    <vt:lpwstr/>
  </property>
</Properties>
</file>