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6B4C5" w14:textId="5D56815F" w:rsidR="00B62A36" w:rsidRDefault="00DF1591" w:rsidP="00B62A36">
      <w:pPr>
        <w:rPr>
          <w:rFonts w:ascii="Arial" w:eastAsiaTheme="minorEastAsia" w:hAnsi="Arial" w:cs="Arial"/>
          <w:b/>
          <w:color w:val="004EA8"/>
          <w:sz w:val="44"/>
          <w:szCs w:val="44"/>
          <w:lang w:val="en-US"/>
        </w:rPr>
      </w:pPr>
      <w:bookmarkStart w:id="0" w:name="_GoBack"/>
      <w:bookmarkEnd w:id="0"/>
      <w:r w:rsidRPr="007C60BE">
        <w:rPr>
          <w:rFonts w:ascii="Arial" w:eastAsiaTheme="minorEastAsia" w:hAnsi="Arial" w:cs="Arial"/>
          <w:b/>
          <w:color w:val="004EA8"/>
          <w:sz w:val="44"/>
          <w:szCs w:val="44"/>
          <w:lang w:val="en-US"/>
        </w:rPr>
        <w:t xml:space="preserve">Recruitment </w:t>
      </w:r>
      <w:r w:rsidR="006A5AFF" w:rsidRPr="007C60BE">
        <w:rPr>
          <w:rFonts w:ascii="Arial" w:eastAsiaTheme="minorEastAsia" w:hAnsi="Arial" w:cs="Arial"/>
          <w:b/>
          <w:color w:val="004EA8"/>
          <w:sz w:val="44"/>
          <w:szCs w:val="44"/>
          <w:lang w:val="en-US"/>
        </w:rPr>
        <w:t xml:space="preserve">in </w:t>
      </w:r>
      <w:r w:rsidR="000326AB">
        <w:rPr>
          <w:rFonts w:ascii="Arial" w:eastAsiaTheme="minorEastAsia" w:hAnsi="Arial" w:cs="Arial"/>
          <w:b/>
          <w:color w:val="004EA8"/>
          <w:sz w:val="44"/>
          <w:szCs w:val="44"/>
          <w:lang w:val="en-US"/>
        </w:rPr>
        <w:t>the teaching service</w:t>
      </w:r>
      <w:r w:rsidR="006A5AFF" w:rsidRPr="007C60BE">
        <w:rPr>
          <w:rFonts w:ascii="Arial" w:eastAsiaTheme="minorEastAsia" w:hAnsi="Arial" w:cs="Arial"/>
          <w:b/>
          <w:color w:val="004EA8"/>
          <w:sz w:val="44"/>
          <w:szCs w:val="44"/>
          <w:lang w:val="en-US"/>
        </w:rPr>
        <w:t xml:space="preserve"> </w:t>
      </w:r>
      <w:r w:rsidR="00D023CC">
        <w:rPr>
          <w:rFonts w:ascii="Arial" w:eastAsiaTheme="minorEastAsia" w:hAnsi="Arial" w:cs="Arial"/>
          <w:b/>
          <w:color w:val="004EA8"/>
          <w:sz w:val="44"/>
          <w:szCs w:val="44"/>
          <w:lang w:val="en-US"/>
        </w:rPr>
        <w:t>during COVID-19</w:t>
      </w:r>
    </w:p>
    <w:p w14:paraId="1EB90786" w14:textId="77777777" w:rsidR="00056A95" w:rsidRDefault="00056A95" w:rsidP="00056A95">
      <w:pPr>
        <w:pStyle w:val="ESHeading1"/>
        <w:rPr>
          <w:sz w:val="32"/>
          <w:szCs w:val="32"/>
        </w:rPr>
      </w:pPr>
      <w:bookmarkStart w:id="1" w:name="_Toc280864907"/>
      <w:bookmarkStart w:id="2" w:name="_Toc280865139"/>
      <w:bookmarkStart w:id="3" w:name="_Toc362504796"/>
      <w:bookmarkStart w:id="4" w:name="_Toc491948728"/>
      <w:bookmarkStart w:id="5" w:name="_Toc495052308"/>
      <w:r w:rsidRPr="00EB6A76">
        <w:rPr>
          <w:sz w:val="32"/>
          <w:szCs w:val="32"/>
        </w:rPr>
        <w:t>Overview</w:t>
      </w:r>
      <w:bookmarkEnd w:id="1"/>
      <w:bookmarkEnd w:id="2"/>
      <w:bookmarkEnd w:id="3"/>
      <w:bookmarkEnd w:id="4"/>
      <w:bookmarkEnd w:id="5"/>
    </w:p>
    <w:p w14:paraId="17DEF7C2" w14:textId="025DF7A5" w:rsidR="000326AB" w:rsidRDefault="00C00862" w:rsidP="00C00862">
      <w:r>
        <w:t xml:space="preserve">Current circumstances regarding COVID-19 have impacted working environments in schools, which includes processes for recruitment and selection. The </w:t>
      </w:r>
      <w:bookmarkStart w:id="6" w:name="_Hlk37076006"/>
      <w:r>
        <w:fldChar w:fldCharType="begin"/>
      </w:r>
      <w:r>
        <w:instrText xml:space="preserve"> HYPERLINK "https://www.education.vic.gov.au/hrweb/careers/Pages/recruitinsch.aspx" </w:instrText>
      </w:r>
      <w:r>
        <w:fldChar w:fldCharType="separate"/>
      </w:r>
      <w:r w:rsidRPr="00CA7608">
        <w:rPr>
          <w:rStyle w:val="Hyperlink"/>
        </w:rPr>
        <w:t>Recruitment in Schools Guide</w:t>
      </w:r>
      <w:r>
        <w:rPr>
          <w:rStyle w:val="Hyperlink"/>
        </w:rPr>
        <w:fldChar w:fldCharType="end"/>
      </w:r>
      <w:bookmarkEnd w:id="6"/>
      <w:r w:rsidR="000326AB">
        <w:t xml:space="preserve"> and the </w:t>
      </w:r>
      <w:hyperlink r:id="rId10" w:history="1">
        <w:r w:rsidR="000326AB" w:rsidRPr="000326AB">
          <w:rPr>
            <w:rStyle w:val="Hyperlink"/>
          </w:rPr>
          <w:t>Principal Selection Guidelines</w:t>
        </w:r>
      </w:hyperlink>
      <w:r w:rsidR="000326AB">
        <w:t xml:space="preserve"> </w:t>
      </w:r>
      <w:r>
        <w:t>continue to be the key reference</w:t>
      </w:r>
      <w:r w:rsidR="000326AB">
        <w:t>s</w:t>
      </w:r>
      <w:r>
        <w:t xml:space="preserve"> for recruitment policy and procedures, </w:t>
      </w:r>
      <w:r w:rsidR="00967E33">
        <w:t xml:space="preserve">and must still be complied with </w:t>
      </w:r>
      <w:r w:rsidRPr="000326AB">
        <w:t xml:space="preserve">however </w:t>
      </w:r>
      <w:r w:rsidR="00ED4BEA">
        <w:t xml:space="preserve">the following </w:t>
      </w:r>
      <w:r>
        <w:t xml:space="preserve">additional information can assist during these times. The intent of this document is to provide an additional resource to assist with recruitment and selection practices in </w:t>
      </w:r>
      <w:r w:rsidR="000326AB">
        <w:t>the teaching service</w:t>
      </w:r>
      <w:r>
        <w:t xml:space="preserve"> when working remotely.</w:t>
      </w:r>
    </w:p>
    <w:p w14:paraId="3BA1D75A" w14:textId="69F21742" w:rsidR="00C00862" w:rsidRPr="00FE3FCA" w:rsidRDefault="00C00862" w:rsidP="00C00862">
      <w:pPr>
        <w:jc w:val="both"/>
      </w:pPr>
      <w:r>
        <w:t>While procedures may differ</w:t>
      </w:r>
      <w:r w:rsidR="000326AB">
        <w:t xml:space="preserve">, </w:t>
      </w:r>
      <w:r w:rsidRPr="00FE3FCA">
        <w:t xml:space="preserve">the Secretary </w:t>
      </w:r>
      <w:r>
        <w:t>to</w:t>
      </w:r>
      <w:r w:rsidRPr="00FE3FCA">
        <w:t xml:space="preserve"> the Department of Education and Training is required under the </w:t>
      </w:r>
      <w:r w:rsidRPr="00FE3FCA">
        <w:rPr>
          <w:i/>
        </w:rPr>
        <w:t>Public Administration Act 2004</w:t>
      </w:r>
      <w:r w:rsidRPr="00FE3FCA">
        <w:t xml:space="preserve"> to establish employment processes that ensure:</w:t>
      </w:r>
    </w:p>
    <w:p w14:paraId="4ACF62FF" w14:textId="77777777" w:rsidR="00C00862" w:rsidRPr="00FE3FCA" w:rsidRDefault="00C00862" w:rsidP="00C00862">
      <w:pPr>
        <w:pStyle w:val="DraftHeading3"/>
        <w:numPr>
          <w:ilvl w:val="0"/>
          <w:numId w:val="3"/>
        </w:numPr>
        <w:tabs>
          <w:tab w:val="right" w:pos="1757"/>
        </w:tabs>
        <w:spacing w:before="0"/>
        <w:rPr>
          <w:rFonts w:ascii="Calibri" w:eastAsiaTheme="minorEastAsia" w:hAnsi="Calibri" w:cstheme="minorBidi"/>
          <w:sz w:val="22"/>
          <w:szCs w:val="22"/>
          <w:lang w:val="en-US"/>
        </w:rPr>
      </w:pPr>
      <w:r w:rsidRPr="00FE3FCA">
        <w:rPr>
          <w:rFonts w:ascii="Calibri" w:eastAsiaTheme="minorEastAsia" w:hAnsi="Calibri" w:cstheme="minorBidi"/>
          <w:sz w:val="22"/>
          <w:szCs w:val="22"/>
          <w:lang w:val="en-US"/>
        </w:rPr>
        <w:t>employment decisions are based on merit; and</w:t>
      </w:r>
    </w:p>
    <w:p w14:paraId="1115BF89" w14:textId="77777777" w:rsidR="00C00862" w:rsidRPr="00FE3FCA" w:rsidRDefault="00C00862" w:rsidP="00C00862">
      <w:pPr>
        <w:pStyle w:val="DraftHeading3"/>
        <w:numPr>
          <w:ilvl w:val="0"/>
          <w:numId w:val="3"/>
        </w:numPr>
        <w:tabs>
          <w:tab w:val="right" w:pos="1757"/>
        </w:tabs>
        <w:spacing w:before="0"/>
        <w:rPr>
          <w:rFonts w:ascii="Calibri" w:eastAsiaTheme="minorEastAsia" w:hAnsi="Calibri" w:cstheme="minorBidi"/>
          <w:sz w:val="22"/>
          <w:szCs w:val="22"/>
          <w:lang w:val="en-US"/>
        </w:rPr>
      </w:pPr>
      <w:r w:rsidRPr="00FE3FCA">
        <w:rPr>
          <w:rFonts w:ascii="Calibri" w:eastAsiaTheme="minorEastAsia" w:hAnsi="Calibri" w:cstheme="minorBidi"/>
          <w:sz w:val="22"/>
          <w:szCs w:val="22"/>
          <w:lang w:val="en-US"/>
        </w:rPr>
        <w:t>public sector employees are treated fairly and reasonably; and</w:t>
      </w:r>
    </w:p>
    <w:p w14:paraId="0A6197A8" w14:textId="77777777" w:rsidR="00C00862" w:rsidRPr="00FE3FCA" w:rsidRDefault="00C00862" w:rsidP="00C00862">
      <w:pPr>
        <w:pStyle w:val="DraftHeading3"/>
        <w:numPr>
          <w:ilvl w:val="0"/>
          <w:numId w:val="3"/>
        </w:numPr>
        <w:tabs>
          <w:tab w:val="right" w:pos="1757"/>
        </w:tabs>
        <w:spacing w:before="0"/>
        <w:rPr>
          <w:rFonts w:ascii="Calibri" w:eastAsiaTheme="minorEastAsia" w:hAnsi="Calibri" w:cstheme="minorBidi"/>
          <w:sz w:val="22"/>
          <w:szCs w:val="22"/>
          <w:lang w:val="en-US"/>
        </w:rPr>
      </w:pPr>
      <w:r w:rsidRPr="00FE3FCA">
        <w:rPr>
          <w:rFonts w:ascii="Calibri" w:eastAsiaTheme="minorEastAsia" w:hAnsi="Calibri" w:cstheme="minorBidi"/>
          <w:sz w:val="22"/>
          <w:szCs w:val="22"/>
          <w:lang w:val="en-US"/>
        </w:rPr>
        <w:t>equal employment opportunity is provided; and</w:t>
      </w:r>
    </w:p>
    <w:p w14:paraId="5D03B3F0" w14:textId="77777777" w:rsidR="00C00862" w:rsidRPr="00FE3FCA" w:rsidRDefault="00C00862" w:rsidP="00C00862">
      <w:pPr>
        <w:pStyle w:val="DraftHeading3"/>
        <w:numPr>
          <w:ilvl w:val="0"/>
          <w:numId w:val="3"/>
        </w:numPr>
        <w:tabs>
          <w:tab w:val="right" w:pos="1757"/>
        </w:tabs>
        <w:spacing w:before="0"/>
        <w:rPr>
          <w:rFonts w:ascii="Calibri" w:eastAsiaTheme="minorEastAsia" w:hAnsi="Calibri" w:cstheme="minorBidi"/>
          <w:sz w:val="22"/>
          <w:szCs w:val="22"/>
          <w:lang w:val="en-US"/>
        </w:rPr>
      </w:pPr>
      <w:r w:rsidRPr="00FE3FCA">
        <w:rPr>
          <w:rFonts w:ascii="Calibri" w:eastAsiaTheme="minorEastAsia" w:hAnsi="Calibri" w:cstheme="minorBidi"/>
          <w:sz w:val="22"/>
          <w:szCs w:val="22"/>
          <w:lang w:val="en-US"/>
        </w:rPr>
        <w:t>human rights as set out in the Charter of Human Rights and Responsibilities are upheld; and</w:t>
      </w:r>
    </w:p>
    <w:p w14:paraId="721AE8F5" w14:textId="77777777" w:rsidR="00C00862" w:rsidRPr="00FE3FCA" w:rsidRDefault="00C00862" w:rsidP="00C00862">
      <w:pPr>
        <w:pStyle w:val="DraftHeading3"/>
        <w:numPr>
          <w:ilvl w:val="0"/>
          <w:numId w:val="3"/>
        </w:numPr>
        <w:spacing w:before="0"/>
        <w:ind w:left="714" w:hanging="357"/>
        <w:rPr>
          <w:rFonts w:ascii="Calibri" w:eastAsiaTheme="minorEastAsia" w:hAnsi="Calibri" w:cstheme="minorBidi"/>
          <w:sz w:val="22"/>
          <w:szCs w:val="22"/>
          <w:lang w:val="en-US"/>
        </w:rPr>
      </w:pPr>
      <w:r w:rsidRPr="00FE3FCA">
        <w:rPr>
          <w:rFonts w:ascii="Calibri" w:eastAsiaTheme="minorEastAsia" w:hAnsi="Calibri" w:cstheme="minorBidi"/>
          <w:sz w:val="22"/>
          <w:szCs w:val="22"/>
          <w:lang w:val="en-US"/>
        </w:rPr>
        <w:t>public sector employees have a reasonable avenue of redress against unfair or unreasonable treatment; and</w:t>
      </w:r>
    </w:p>
    <w:p w14:paraId="0D67F8FE" w14:textId="77777777" w:rsidR="00C00862" w:rsidRPr="00FE3FCA" w:rsidRDefault="00C00862" w:rsidP="00C00862">
      <w:pPr>
        <w:pStyle w:val="DraftHeading3"/>
        <w:numPr>
          <w:ilvl w:val="0"/>
          <w:numId w:val="3"/>
        </w:numPr>
        <w:tabs>
          <w:tab w:val="right" w:pos="1757"/>
        </w:tabs>
        <w:spacing w:before="0" w:after="200"/>
        <w:ind w:left="714" w:hanging="357"/>
        <w:rPr>
          <w:rFonts w:ascii="Calibri" w:eastAsiaTheme="minorEastAsia" w:hAnsi="Calibri" w:cstheme="minorBidi"/>
          <w:sz w:val="22"/>
          <w:szCs w:val="22"/>
          <w:lang w:val="en-US"/>
        </w:rPr>
      </w:pPr>
      <w:r w:rsidRPr="00FE3FCA">
        <w:rPr>
          <w:rFonts w:ascii="Calibri" w:eastAsiaTheme="minorEastAsia" w:hAnsi="Calibri" w:cstheme="minorBidi"/>
          <w:sz w:val="22"/>
          <w:szCs w:val="22"/>
          <w:lang w:val="en-US"/>
        </w:rPr>
        <w:t>in the case of public service bodies, the development of a career public service is fostered.</w:t>
      </w:r>
    </w:p>
    <w:p w14:paraId="46ECA47E" w14:textId="7F6F524E" w:rsidR="005413D7" w:rsidRDefault="00C00862" w:rsidP="005413D7">
      <w:pPr>
        <w:jc w:val="both"/>
        <w:rPr>
          <w:rFonts w:eastAsia="Arial" w:cstheme="minorHAnsi"/>
          <w:color w:val="000000" w:themeColor="text1"/>
        </w:rPr>
      </w:pPr>
      <w:r w:rsidRPr="00FE3FCA">
        <w:t>Public sector employers must also comply with any employment standards issued by the Public</w:t>
      </w:r>
      <w:r>
        <w:t xml:space="preserve"> Sector Standards Commissioner.</w:t>
      </w:r>
      <w:r w:rsidRPr="00FE3FCA">
        <w:t xml:space="preserve"> One of those standards addresses merit in employment.</w:t>
      </w:r>
      <w:r w:rsidR="005413D7">
        <w:t xml:space="preserve"> </w:t>
      </w:r>
      <w:r w:rsidRPr="007056F2">
        <w:rPr>
          <w:rFonts w:eastAsia="Arial" w:cstheme="minorHAnsi"/>
          <w:color w:val="000000" w:themeColor="text1"/>
        </w:rPr>
        <w:t xml:space="preserve">The merit principle requires that employment decisions are based on a proper assessment of an individual’s work-related qualities, abilities and potential </w:t>
      </w:r>
      <w:r>
        <w:rPr>
          <w:rFonts w:eastAsia="Arial" w:cstheme="minorHAnsi"/>
          <w:color w:val="000000" w:themeColor="text1"/>
        </w:rPr>
        <w:t>as assessed against the selection criteria</w:t>
      </w:r>
      <w:r w:rsidRPr="007056F2">
        <w:rPr>
          <w:rFonts w:eastAsia="Arial" w:cstheme="minorHAnsi"/>
          <w:color w:val="000000" w:themeColor="text1"/>
        </w:rPr>
        <w:t xml:space="preserve">. </w:t>
      </w:r>
    </w:p>
    <w:p w14:paraId="0B0ADC5C" w14:textId="12A24F58" w:rsidR="005413D7" w:rsidRDefault="00C00862" w:rsidP="005413D7">
      <w:pPr>
        <w:jc w:val="both"/>
        <w:rPr>
          <w:rFonts w:eastAsia="Arial" w:cstheme="minorHAnsi"/>
          <w:color w:val="000000" w:themeColor="text1"/>
        </w:rPr>
      </w:pPr>
      <w:r w:rsidRPr="007056F2">
        <w:rPr>
          <w:rFonts w:eastAsia="Arial" w:cstheme="minorHAnsi"/>
          <w:color w:val="000000" w:themeColor="text1"/>
        </w:rPr>
        <w:t>There is a risk that a recruitment process that materially deviates from a department’s established recruitment policies and processes, will give rise to a claim that the process failed to enable a ‘proper’ assessment of an individual’s work-related qualities, abilities and potential</w:t>
      </w:r>
      <w:r w:rsidR="005413D7">
        <w:rPr>
          <w:rFonts w:eastAsia="Arial" w:cstheme="minorHAnsi"/>
          <w:color w:val="000000" w:themeColor="text1"/>
        </w:rPr>
        <w:t xml:space="preserve"> and may give rise to a selection grievance</w:t>
      </w:r>
      <w:r w:rsidRPr="007056F2">
        <w:rPr>
          <w:rFonts w:eastAsia="Arial" w:cstheme="minorHAnsi"/>
          <w:color w:val="000000" w:themeColor="text1"/>
        </w:rPr>
        <w:t xml:space="preserve">. </w:t>
      </w:r>
    </w:p>
    <w:p w14:paraId="549CB990" w14:textId="45AF8AA5" w:rsidR="00C00862" w:rsidRPr="005413D7" w:rsidRDefault="005413D7" w:rsidP="005413D7">
      <w:pPr>
        <w:jc w:val="both"/>
      </w:pPr>
      <w:r>
        <w:rPr>
          <w:rFonts w:eastAsia="Arial" w:cstheme="minorHAnsi"/>
          <w:color w:val="000000" w:themeColor="text1"/>
        </w:rPr>
        <w:t xml:space="preserve">The key message is to conduct </w:t>
      </w:r>
      <w:r w:rsidR="00BE18E9">
        <w:rPr>
          <w:rFonts w:eastAsia="Arial" w:cstheme="minorHAnsi"/>
          <w:color w:val="000000" w:themeColor="text1"/>
        </w:rPr>
        <w:t>your normal</w:t>
      </w:r>
      <w:r>
        <w:rPr>
          <w:rFonts w:eastAsia="Arial" w:cstheme="minorHAnsi"/>
          <w:color w:val="000000" w:themeColor="text1"/>
        </w:rPr>
        <w:t xml:space="preserve"> recruitment process </w:t>
      </w:r>
      <w:r w:rsidR="00BE18E9">
        <w:rPr>
          <w:rFonts w:eastAsia="Arial" w:cstheme="minorHAnsi"/>
          <w:color w:val="000000" w:themeColor="text1"/>
        </w:rPr>
        <w:t>to the best exten</w:t>
      </w:r>
      <w:r w:rsidR="00B62A36">
        <w:rPr>
          <w:rFonts w:eastAsia="Arial" w:cstheme="minorHAnsi"/>
          <w:color w:val="000000" w:themeColor="text1"/>
        </w:rPr>
        <w:t>t</w:t>
      </w:r>
      <w:r w:rsidR="00BE18E9">
        <w:rPr>
          <w:rFonts w:eastAsia="Arial" w:cstheme="minorHAnsi"/>
          <w:color w:val="000000" w:themeColor="text1"/>
        </w:rPr>
        <w:t xml:space="preserve"> possible</w:t>
      </w:r>
      <w:r>
        <w:rPr>
          <w:rFonts w:eastAsia="Arial" w:cstheme="minorHAnsi"/>
          <w:color w:val="000000" w:themeColor="text1"/>
        </w:rPr>
        <w:t xml:space="preserve"> while </w:t>
      </w:r>
      <w:r w:rsidR="00833496">
        <w:rPr>
          <w:rFonts w:eastAsia="Arial" w:cstheme="minorHAnsi"/>
          <w:color w:val="000000" w:themeColor="text1"/>
        </w:rPr>
        <w:t>adjusting in a fair and equitable way</w:t>
      </w:r>
      <w:r>
        <w:rPr>
          <w:rFonts w:eastAsia="Arial" w:cstheme="minorHAnsi"/>
          <w:color w:val="000000" w:themeColor="text1"/>
        </w:rPr>
        <w:t xml:space="preserve"> those </w:t>
      </w:r>
      <w:r w:rsidR="00833496">
        <w:rPr>
          <w:rFonts w:eastAsia="Arial" w:cstheme="minorHAnsi"/>
          <w:color w:val="000000" w:themeColor="text1"/>
        </w:rPr>
        <w:t>processes that may previously have occurred face-to-face.</w:t>
      </w:r>
      <w:r>
        <w:rPr>
          <w:rFonts w:eastAsia="Arial" w:cstheme="minorHAnsi"/>
          <w:color w:val="000000" w:themeColor="text1"/>
        </w:rPr>
        <w:t xml:space="preserve"> </w:t>
      </w:r>
      <w:r w:rsidR="00833496">
        <w:rPr>
          <w:rFonts w:eastAsia="Arial" w:cstheme="minorHAnsi"/>
          <w:color w:val="000000" w:themeColor="text1"/>
        </w:rPr>
        <w:t>For example,</w:t>
      </w:r>
      <w:r w:rsidR="00C00862" w:rsidRPr="007056F2">
        <w:rPr>
          <w:rFonts w:eastAsia="Arial" w:cstheme="minorHAnsi"/>
          <w:color w:val="000000" w:themeColor="text1"/>
        </w:rPr>
        <w:t xml:space="preserve"> </w:t>
      </w:r>
      <w:r w:rsidR="00833496">
        <w:rPr>
          <w:rFonts w:eastAsia="Arial" w:cstheme="minorHAnsi"/>
          <w:color w:val="000000" w:themeColor="text1"/>
        </w:rPr>
        <w:t xml:space="preserve">where an </w:t>
      </w:r>
      <w:r w:rsidR="00C00862" w:rsidRPr="007056F2">
        <w:rPr>
          <w:rFonts w:eastAsia="Arial" w:cstheme="minorHAnsi"/>
          <w:color w:val="000000" w:themeColor="text1"/>
        </w:rPr>
        <w:t xml:space="preserve">in-person panel interview </w:t>
      </w:r>
      <w:r w:rsidR="00833496">
        <w:rPr>
          <w:rFonts w:eastAsia="Arial" w:cstheme="minorHAnsi"/>
          <w:color w:val="000000" w:themeColor="text1"/>
        </w:rPr>
        <w:t>is</w:t>
      </w:r>
      <w:r w:rsidR="00C00862" w:rsidRPr="007056F2">
        <w:rPr>
          <w:rFonts w:eastAsia="Arial" w:cstheme="minorHAnsi"/>
          <w:color w:val="000000" w:themeColor="text1"/>
        </w:rPr>
        <w:t xml:space="preserve"> not appropriate, alternative methods should be explored by the selection panel. </w:t>
      </w:r>
    </w:p>
    <w:p w14:paraId="718C43D3" w14:textId="52898516" w:rsidR="0025149A" w:rsidRPr="00A045B0" w:rsidRDefault="00AF6217" w:rsidP="0025149A">
      <w:pPr>
        <w:pStyle w:val="ESHeading1"/>
        <w:rPr>
          <w:sz w:val="32"/>
          <w:szCs w:val="32"/>
        </w:rPr>
      </w:pPr>
      <w:r>
        <w:rPr>
          <w:sz w:val="32"/>
          <w:szCs w:val="32"/>
        </w:rPr>
        <w:t>Applicant consideration</w:t>
      </w:r>
    </w:p>
    <w:p w14:paraId="26C20933" w14:textId="3EF3551C" w:rsidR="00A045B0" w:rsidRDefault="00A045B0" w:rsidP="00A045B0">
      <w:pPr>
        <w:pStyle w:val="Body"/>
      </w:pPr>
      <w:r>
        <w:rPr>
          <w:rFonts w:eastAsia="Arial" w:cstheme="minorHAnsi"/>
          <w:color w:val="000000" w:themeColor="text1"/>
        </w:rPr>
        <w:t xml:space="preserve">Given </w:t>
      </w:r>
      <w:r w:rsidRPr="00A045B0">
        <w:t xml:space="preserve">the current situation regarding COVID-19, it is integral that selection panels demonstrate care of the applicants in the selection process. Consistent with existing recruitment policy the diversity of applicants’ backgrounds and capabilities should be </w:t>
      </w:r>
      <w:r w:rsidRPr="00EC6CD4">
        <w:t>viewed as an attribute and should in no way diminish the assessment of the applicant’s suitability for the position</w:t>
      </w:r>
      <w:r>
        <w:rPr>
          <w:rFonts w:eastAsia="Arial" w:cstheme="minorHAnsi"/>
          <w:color w:val="000000" w:themeColor="text1"/>
        </w:rPr>
        <w:t xml:space="preserve"> and the selection process must be undertaken in an inclusive manner. For example, i</w:t>
      </w:r>
      <w:r>
        <w:t xml:space="preserve">f an applicant prefers a phone interview and other </w:t>
      </w:r>
      <w:r w:rsidR="00AF6217">
        <w:t>applicants</w:t>
      </w:r>
      <w:r>
        <w:t xml:space="preserve"> </w:t>
      </w:r>
      <w:r w:rsidR="00AF6217">
        <w:t>prefer</w:t>
      </w:r>
      <w:r>
        <w:t xml:space="preserve"> a video interview, this is fine</w:t>
      </w:r>
      <w:r w:rsidR="00AF6217">
        <w:t>.</w:t>
      </w:r>
    </w:p>
    <w:p w14:paraId="5361307A" w14:textId="02A0BE95" w:rsidR="00AF6217" w:rsidRDefault="00A045B0" w:rsidP="00AF6217">
      <w:pPr>
        <w:spacing w:line="276" w:lineRule="auto"/>
        <w:jc w:val="both"/>
      </w:pPr>
      <w:r w:rsidRPr="00430ACC">
        <w:lastRenderedPageBreak/>
        <w:t xml:space="preserve">Panel members should be aware that the Department has a positive duty under the </w:t>
      </w:r>
      <w:r w:rsidRPr="00430ACC">
        <w:rPr>
          <w:i/>
        </w:rPr>
        <w:t xml:space="preserve">Equal Opportunity Act </w:t>
      </w:r>
      <w:r w:rsidRPr="00430ACC">
        <w:t>2010 to provide reasonable and proportionate measures to eliminate discrimination and a duty to provide reasonable adjustments for people with a disability</w:t>
      </w:r>
      <w:r w:rsidR="00AF6217">
        <w:t>. For example, explain each step of the recruitment process and make it clear you’ll offer reasonable adjustments if needed. The best way to do this is to ask the applicant what they need to perform at their best throughout the selection process. Understand that an applicant with a disability may find some assessment methods harder than others. Work with applicants to make the process equitable and inclusive.</w:t>
      </w:r>
    </w:p>
    <w:p w14:paraId="405DA770" w14:textId="6C42B57F" w:rsidR="00AF6217" w:rsidRPr="00AF6217" w:rsidRDefault="00AF6217" w:rsidP="00A045B0">
      <w:pPr>
        <w:spacing w:line="276" w:lineRule="auto"/>
        <w:jc w:val="both"/>
        <w:rPr>
          <w:rFonts w:ascii="Arial" w:eastAsiaTheme="minorEastAsia" w:hAnsi="Arial" w:cstheme="minorHAnsi"/>
          <w:b/>
          <w:color w:val="004EA8"/>
          <w:sz w:val="32"/>
          <w:szCs w:val="32"/>
          <w:lang w:val="en-US"/>
        </w:rPr>
      </w:pPr>
      <w:r w:rsidRPr="00AF6217">
        <w:rPr>
          <w:rFonts w:ascii="Arial" w:eastAsiaTheme="minorEastAsia" w:hAnsi="Arial" w:cstheme="minorHAnsi"/>
          <w:b/>
          <w:color w:val="004EA8"/>
          <w:sz w:val="32"/>
          <w:szCs w:val="32"/>
          <w:lang w:val="en-US"/>
        </w:rPr>
        <w:t>The selection process</w:t>
      </w:r>
    </w:p>
    <w:p w14:paraId="31874BEB" w14:textId="0773202A" w:rsidR="00CA7608" w:rsidRPr="00AF6217" w:rsidRDefault="00825D0D" w:rsidP="0025149A">
      <w:r w:rsidRPr="00AF6217">
        <w:t xml:space="preserve">The </w:t>
      </w:r>
      <w:r w:rsidR="00226048" w:rsidRPr="00AF6217">
        <w:t xml:space="preserve">selection </w:t>
      </w:r>
      <w:r w:rsidRPr="00AF6217">
        <w:t>panel will need to consider</w:t>
      </w:r>
      <w:r w:rsidR="001257A6" w:rsidRPr="00AF6217">
        <w:t xml:space="preserve"> alternative</w:t>
      </w:r>
      <w:r w:rsidR="003F692A" w:rsidRPr="00AF6217">
        <w:t>s</w:t>
      </w:r>
      <w:r w:rsidRPr="00AF6217">
        <w:t xml:space="preserve"> </w:t>
      </w:r>
      <w:r w:rsidR="000F3645" w:rsidRPr="00AF6217">
        <w:t xml:space="preserve">to </w:t>
      </w:r>
      <w:r w:rsidR="005B1FA9" w:rsidRPr="00AF6217">
        <w:t xml:space="preserve">meeting </w:t>
      </w:r>
      <w:r w:rsidR="00A83DC1" w:rsidRPr="00AF6217">
        <w:t>face-to-face</w:t>
      </w:r>
      <w:r w:rsidR="006A398F" w:rsidRPr="00AF6217">
        <w:t xml:space="preserve"> </w:t>
      </w:r>
      <w:r w:rsidR="00226048" w:rsidRPr="00AF6217">
        <w:t xml:space="preserve">to manage the </w:t>
      </w:r>
      <w:r w:rsidR="00AF6217" w:rsidRPr="00AF6217">
        <w:t xml:space="preserve">various elements of the </w:t>
      </w:r>
      <w:r w:rsidR="00226048" w:rsidRPr="00AF6217">
        <w:t>selection process</w:t>
      </w:r>
      <w:r w:rsidR="00AF6217">
        <w:t xml:space="preserve"> (i.e. shortlisting, interview, referee checks, ranking and assessment, completing selection documentation</w:t>
      </w:r>
      <w:r w:rsidR="000326AB">
        <w:t>)</w:t>
      </w:r>
      <w:r w:rsidR="005B1FA9" w:rsidRPr="00AF6217">
        <w:t xml:space="preserve">. </w:t>
      </w:r>
      <w:r w:rsidR="005E5F6F" w:rsidRPr="00AF6217">
        <w:t xml:space="preserve">To allow </w:t>
      </w:r>
      <w:r w:rsidR="00A4418D" w:rsidRPr="00AF6217">
        <w:t xml:space="preserve">these </w:t>
      </w:r>
      <w:r w:rsidR="00C875E2" w:rsidRPr="00AF6217">
        <w:t>processes to be undertaken effectively</w:t>
      </w:r>
      <w:r w:rsidR="00D07EC8" w:rsidRPr="00AF6217">
        <w:t>, the following</w:t>
      </w:r>
      <w:r w:rsidR="000405E5" w:rsidRPr="00AF6217">
        <w:t xml:space="preserve"> should be considered:</w:t>
      </w:r>
    </w:p>
    <w:p w14:paraId="01BDBD94" w14:textId="13CD6BE0" w:rsidR="000326AB" w:rsidRDefault="000326AB" w:rsidP="000405E5">
      <w:pPr>
        <w:pStyle w:val="ListParagraph"/>
        <w:numPr>
          <w:ilvl w:val="0"/>
          <w:numId w:val="1"/>
        </w:numPr>
      </w:pPr>
      <w:bookmarkStart w:id="7" w:name="_Hlk37318479"/>
      <w:r>
        <w:t>Ensure panel members have a shared understanding of how the selection process will be conducted</w:t>
      </w:r>
    </w:p>
    <w:bookmarkEnd w:id="7"/>
    <w:p w14:paraId="5174DB36" w14:textId="01B46CC7" w:rsidR="00AC09B6" w:rsidRPr="00AF6217" w:rsidRDefault="00AC09B6" w:rsidP="000405E5">
      <w:pPr>
        <w:pStyle w:val="ListParagraph"/>
        <w:numPr>
          <w:ilvl w:val="0"/>
          <w:numId w:val="1"/>
        </w:numPr>
      </w:pPr>
      <w:r w:rsidRPr="00AF6217">
        <w:t xml:space="preserve">Ensure panel members have </w:t>
      </w:r>
      <w:r w:rsidR="00B16A00" w:rsidRPr="00AF6217">
        <w:t>the necessary technology</w:t>
      </w:r>
      <w:r w:rsidR="00F63170" w:rsidRPr="00AF6217">
        <w:t xml:space="preserve"> available</w:t>
      </w:r>
      <w:r w:rsidR="00226048" w:rsidRPr="00AF6217">
        <w:t xml:space="preserve"> to conduct the </w:t>
      </w:r>
      <w:r w:rsidR="00A045B0" w:rsidRPr="00AF6217">
        <w:t xml:space="preserve">selection </w:t>
      </w:r>
      <w:r w:rsidR="00226048" w:rsidRPr="00AF6217">
        <w:t>process</w:t>
      </w:r>
      <w:r w:rsidR="004365F2" w:rsidRPr="00AF6217">
        <w:t xml:space="preserve">, and </w:t>
      </w:r>
      <w:r w:rsidR="00E008F2" w:rsidRPr="00AF6217">
        <w:t xml:space="preserve">a contingency where tools </w:t>
      </w:r>
      <w:r w:rsidR="008A7729" w:rsidRPr="00AF6217">
        <w:t xml:space="preserve">(i.e. video conference) </w:t>
      </w:r>
      <w:r w:rsidR="00E008F2" w:rsidRPr="00AF6217">
        <w:t>are not able to be accessed, such as the use of phone calls</w:t>
      </w:r>
    </w:p>
    <w:p w14:paraId="0FDCE97F" w14:textId="01D87F0F" w:rsidR="000405E5" w:rsidRPr="00AF6217" w:rsidRDefault="00BE4632" w:rsidP="000405E5">
      <w:pPr>
        <w:pStyle w:val="ListParagraph"/>
        <w:numPr>
          <w:ilvl w:val="0"/>
          <w:numId w:val="1"/>
        </w:numPr>
      </w:pPr>
      <w:r w:rsidRPr="00AF6217">
        <w:t xml:space="preserve">Communicate </w:t>
      </w:r>
      <w:r w:rsidR="0002467A" w:rsidRPr="00AF6217">
        <w:t>with panel members using online tools</w:t>
      </w:r>
    </w:p>
    <w:p w14:paraId="7197E072" w14:textId="0601A4C9" w:rsidR="0002467A" w:rsidRPr="00AF6217" w:rsidRDefault="0002467A" w:rsidP="000405E5">
      <w:pPr>
        <w:pStyle w:val="ListParagraph"/>
        <w:numPr>
          <w:ilvl w:val="0"/>
          <w:numId w:val="1"/>
        </w:numPr>
      </w:pPr>
      <w:r w:rsidRPr="00AF6217">
        <w:t xml:space="preserve">Use </w:t>
      </w:r>
      <w:r w:rsidR="00F6498C" w:rsidRPr="00AF6217">
        <w:t>secure means of communication for sharing notes</w:t>
      </w:r>
      <w:r w:rsidR="00F34A4D" w:rsidRPr="00AF6217">
        <w:t xml:space="preserve"> to maintain confidentiality</w:t>
      </w:r>
    </w:p>
    <w:p w14:paraId="79520F99" w14:textId="7372213D" w:rsidR="001F7288" w:rsidRDefault="00170D44" w:rsidP="005413D7">
      <w:pPr>
        <w:pStyle w:val="ListParagraph"/>
        <w:numPr>
          <w:ilvl w:val="0"/>
          <w:numId w:val="1"/>
        </w:numPr>
      </w:pPr>
      <w:r w:rsidRPr="00AF6217">
        <w:t>The use of electronic signatures may need to be considered</w:t>
      </w:r>
    </w:p>
    <w:p w14:paraId="75EB609B" w14:textId="638728FC" w:rsidR="00747A9A" w:rsidRDefault="000C079F" w:rsidP="005413D7">
      <w:pPr>
        <w:pStyle w:val="ESHeading1"/>
        <w:rPr>
          <w:sz w:val="32"/>
          <w:szCs w:val="32"/>
        </w:rPr>
      </w:pPr>
      <w:r>
        <w:rPr>
          <w:sz w:val="32"/>
          <w:szCs w:val="32"/>
        </w:rPr>
        <w:t>Tips for i</w:t>
      </w:r>
      <w:r w:rsidR="00747A9A">
        <w:rPr>
          <w:sz w:val="32"/>
          <w:szCs w:val="32"/>
        </w:rPr>
        <w:t>nterview</w:t>
      </w:r>
      <w:r w:rsidR="000706CE">
        <w:rPr>
          <w:sz w:val="32"/>
          <w:szCs w:val="32"/>
        </w:rPr>
        <w:t>s</w:t>
      </w:r>
    </w:p>
    <w:p w14:paraId="0AB12C48" w14:textId="38EB444E" w:rsidR="004E2D21" w:rsidRDefault="00FB35DC" w:rsidP="004E2D21">
      <w:r>
        <w:t>When planning and organising each interview</w:t>
      </w:r>
      <w:r w:rsidR="006C526E">
        <w:t xml:space="preserve">, the following should be considered to improve </w:t>
      </w:r>
      <w:r w:rsidR="00DF09A1">
        <w:t>the experience and functionality</w:t>
      </w:r>
      <w:r w:rsidR="009906C2">
        <w:t xml:space="preserve"> of the process:</w:t>
      </w:r>
    </w:p>
    <w:p w14:paraId="5028BB2D" w14:textId="05BEAAD7" w:rsidR="004426D8" w:rsidRDefault="000F4773" w:rsidP="002C7F69">
      <w:pPr>
        <w:pStyle w:val="ListParagraph"/>
        <w:numPr>
          <w:ilvl w:val="0"/>
          <w:numId w:val="1"/>
        </w:numPr>
      </w:pPr>
      <w:r>
        <w:t>P</w:t>
      </w:r>
      <w:r w:rsidR="000F034D">
        <w:t>rovide each</w:t>
      </w:r>
      <w:r w:rsidR="00437788">
        <w:t xml:space="preserve"> shortlisted</w:t>
      </w:r>
      <w:r w:rsidR="000F034D">
        <w:t xml:space="preserve"> </w:t>
      </w:r>
      <w:r w:rsidR="00437788">
        <w:t>applicant</w:t>
      </w:r>
      <w:r w:rsidR="000F034D">
        <w:t xml:space="preserve"> with the options they may select</w:t>
      </w:r>
      <w:r w:rsidR="001D0CB9">
        <w:t xml:space="preserve"> for the interview, such as the use of an online tool or a phone interview</w:t>
      </w:r>
      <w:r w:rsidR="00834CAB">
        <w:t xml:space="preserve">. </w:t>
      </w:r>
      <w:r w:rsidR="004A5BFE">
        <w:t>Th</w:t>
      </w:r>
      <w:r w:rsidR="00F72C16">
        <w:t>e same option</w:t>
      </w:r>
      <w:r w:rsidR="00320AA5">
        <w:t xml:space="preserve"> does not need to be used for each interview</w:t>
      </w:r>
    </w:p>
    <w:p w14:paraId="50869CF1" w14:textId="649C02EA" w:rsidR="002C7F69" w:rsidRDefault="002C7F69" w:rsidP="002C7F69">
      <w:pPr>
        <w:pStyle w:val="ListParagraph"/>
        <w:numPr>
          <w:ilvl w:val="0"/>
          <w:numId w:val="1"/>
        </w:numPr>
      </w:pPr>
      <w:r>
        <w:t xml:space="preserve">Consider preparing a guide or links to assist </w:t>
      </w:r>
      <w:r w:rsidR="0062567E">
        <w:t>with how to access, set up, and connect to</w:t>
      </w:r>
      <w:r w:rsidR="00A9776C">
        <w:t xml:space="preserve"> the online tool</w:t>
      </w:r>
    </w:p>
    <w:p w14:paraId="05C56E36" w14:textId="73A28162" w:rsidR="004B74D2" w:rsidRDefault="004B74D2" w:rsidP="009906C2">
      <w:pPr>
        <w:pStyle w:val="ListParagraph"/>
        <w:numPr>
          <w:ilvl w:val="0"/>
          <w:numId w:val="1"/>
        </w:numPr>
      </w:pPr>
      <w:r>
        <w:t>Be patient with applicants, as everyone has different abilities with their use of technology</w:t>
      </w:r>
    </w:p>
    <w:p w14:paraId="3C4A7AF9" w14:textId="28BCBCF1" w:rsidR="00C866C5" w:rsidRDefault="00C866C5" w:rsidP="009906C2">
      <w:pPr>
        <w:pStyle w:val="ListParagraph"/>
        <w:numPr>
          <w:ilvl w:val="0"/>
          <w:numId w:val="1"/>
        </w:numPr>
      </w:pPr>
      <w:r>
        <w:t>Check what reasonable adjustments may be needed for the applicant for the interview</w:t>
      </w:r>
    </w:p>
    <w:p w14:paraId="12BEE6E7" w14:textId="7FC906FE" w:rsidR="007841B3" w:rsidRDefault="008E19BC" w:rsidP="009906C2">
      <w:pPr>
        <w:pStyle w:val="ListParagraph"/>
        <w:numPr>
          <w:ilvl w:val="0"/>
          <w:numId w:val="1"/>
        </w:numPr>
      </w:pPr>
      <w:r>
        <w:t>Recommend the applicant find a suitable location</w:t>
      </w:r>
      <w:r w:rsidR="00586267">
        <w:t xml:space="preserve"> for the interview that is quiet and isolated</w:t>
      </w:r>
    </w:p>
    <w:p w14:paraId="5E1E2FA3" w14:textId="14E45F61" w:rsidR="008F49A5" w:rsidRDefault="002D7BA9" w:rsidP="009906C2">
      <w:pPr>
        <w:pStyle w:val="ListParagraph"/>
        <w:numPr>
          <w:ilvl w:val="0"/>
          <w:numId w:val="1"/>
        </w:numPr>
      </w:pPr>
      <w:r>
        <w:t>Suggest the applicant give themselves time prior to the interview to set up their conne</w:t>
      </w:r>
      <w:r w:rsidR="00DC317F">
        <w:t>ction if using an online tool</w:t>
      </w:r>
    </w:p>
    <w:p w14:paraId="38D8B3A5" w14:textId="3607D200" w:rsidR="00C90518" w:rsidRDefault="00C90518" w:rsidP="009906C2">
      <w:pPr>
        <w:pStyle w:val="ListParagraph"/>
        <w:numPr>
          <w:ilvl w:val="0"/>
          <w:numId w:val="1"/>
        </w:numPr>
      </w:pPr>
      <w:r>
        <w:t>Advise the applicant that they should</w:t>
      </w:r>
      <w:r w:rsidR="00753ACF">
        <w:t xml:space="preserve"> prepare and</w:t>
      </w:r>
      <w:r>
        <w:t xml:space="preserve"> approach the interview as they normally would if it were to be conducted face-to-face</w:t>
      </w:r>
    </w:p>
    <w:p w14:paraId="08FE23CB" w14:textId="08434C05" w:rsidR="002F0427" w:rsidRDefault="002F0427" w:rsidP="009906C2">
      <w:pPr>
        <w:pStyle w:val="ListParagraph"/>
        <w:numPr>
          <w:ilvl w:val="0"/>
          <w:numId w:val="1"/>
        </w:numPr>
      </w:pPr>
      <w:r>
        <w:t>If the applicant wishes to provide additional documents to support and assist them with their interview responses, they</w:t>
      </w:r>
      <w:r w:rsidR="00F50ED2">
        <w:t xml:space="preserve"> may</w:t>
      </w:r>
      <w:r>
        <w:t xml:space="preserve"> provide those to the panel prior to the interview</w:t>
      </w:r>
    </w:p>
    <w:p w14:paraId="2D415F2C" w14:textId="77777777" w:rsidR="000326AB" w:rsidRDefault="000326AB" w:rsidP="00DD34A9"/>
    <w:p w14:paraId="7E768B78" w14:textId="77777777" w:rsidR="000326AB" w:rsidRDefault="000326AB" w:rsidP="00DD34A9"/>
    <w:p w14:paraId="17937487" w14:textId="3FECE769" w:rsidR="003A0D9E" w:rsidRDefault="00F702FB" w:rsidP="00DD34A9">
      <w:r>
        <w:lastRenderedPageBreak/>
        <w:t xml:space="preserve">During </w:t>
      </w:r>
      <w:r w:rsidR="001A5880">
        <w:t>the interview process, the following</w:t>
      </w:r>
      <w:r w:rsidR="009116CD">
        <w:t xml:space="preserve"> may be useful </w:t>
      </w:r>
      <w:r w:rsidR="002A18FA">
        <w:t xml:space="preserve">to assist with the </w:t>
      </w:r>
      <w:r w:rsidR="003F78F7">
        <w:t>effectiveness of the interview:</w:t>
      </w:r>
    </w:p>
    <w:p w14:paraId="5335759A" w14:textId="68FB8AFC" w:rsidR="00F27A3A" w:rsidRDefault="00B322C4" w:rsidP="003F78F7">
      <w:pPr>
        <w:pStyle w:val="ListParagraph"/>
        <w:numPr>
          <w:ilvl w:val="0"/>
          <w:numId w:val="1"/>
        </w:numPr>
      </w:pPr>
      <w:r>
        <w:t>Explain how the interview will be conducted</w:t>
      </w:r>
      <w:r w:rsidR="00EB21FA">
        <w:t>, and e</w:t>
      </w:r>
      <w:r w:rsidR="003063AB">
        <w:t>stablish</w:t>
      </w:r>
      <w:r w:rsidR="00EB21FA">
        <w:t xml:space="preserve"> etiquette with asking questions and providing responses</w:t>
      </w:r>
    </w:p>
    <w:p w14:paraId="6C3A1DDA" w14:textId="46AACFD2" w:rsidR="005413D7" w:rsidRPr="005413D7" w:rsidRDefault="00F27A3A" w:rsidP="005413D7">
      <w:pPr>
        <w:pStyle w:val="ListParagraph"/>
        <w:numPr>
          <w:ilvl w:val="0"/>
          <w:numId w:val="1"/>
        </w:numPr>
      </w:pPr>
      <w:r>
        <w:t>Have each member of</w:t>
      </w:r>
      <w:r w:rsidR="00872EB9">
        <w:t xml:space="preserve"> the panel</w:t>
      </w:r>
      <w:r w:rsidR="00EB21FA">
        <w:t xml:space="preserve"> introduce </w:t>
      </w:r>
      <w:r w:rsidR="00C828DD">
        <w:t xml:space="preserve">themselves by name each time </w:t>
      </w:r>
      <w:r w:rsidR="003063AB">
        <w:t>they speak if the interview is being conducted via phone</w:t>
      </w:r>
    </w:p>
    <w:p w14:paraId="2E30D7EC" w14:textId="77777777" w:rsidR="005413D7" w:rsidRPr="00833496" w:rsidRDefault="005413D7" w:rsidP="005413D7">
      <w:pPr>
        <w:pStyle w:val="ESHeading1"/>
        <w:rPr>
          <w:sz w:val="32"/>
          <w:szCs w:val="32"/>
        </w:rPr>
      </w:pPr>
      <w:bookmarkStart w:id="8" w:name="_Toc280864916"/>
      <w:bookmarkStart w:id="9" w:name="_Toc280865148"/>
      <w:bookmarkStart w:id="10" w:name="_Toc362504805"/>
      <w:bookmarkStart w:id="11" w:name="_Toc491948737"/>
      <w:bookmarkStart w:id="12" w:name="_Toc15290715"/>
      <w:r w:rsidRPr="00833496">
        <w:rPr>
          <w:sz w:val="32"/>
          <w:szCs w:val="32"/>
        </w:rPr>
        <w:t>Further assistance</w:t>
      </w:r>
      <w:bookmarkEnd w:id="8"/>
      <w:bookmarkEnd w:id="9"/>
      <w:bookmarkEnd w:id="10"/>
      <w:bookmarkEnd w:id="11"/>
      <w:bookmarkEnd w:id="12"/>
    </w:p>
    <w:p w14:paraId="22D850DA" w14:textId="77777777" w:rsidR="005413D7" w:rsidRPr="00833496" w:rsidRDefault="005413D7" w:rsidP="005413D7">
      <w:pPr>
        <w:pStyle w:val="ESBodyText"/>
        <w:rPr>
          <w:rFonts w:asciiTheme="minorHAnsi" w:hAnsiTheme="minorHAnsi" w:cstheme="minorHAnsi"/>
          <w:sz w:val="22"/>
          <w:szCs w:val="22"/>
        </w:rPr>
      </w:pPr>
      <w:r w:rsidRPr="00833496">
        <w:rPr>
          <w:rFonts w:asciiTheme="minorHAnsi" w:hAnsiTheme="minorHAnsi" w:cstheme="minorHAnsi"/>
          <w:sz w:val="22"/>
          <w:szCs w:val="22"/>
        </w:rPr>
        <w:t>Further information, advice or assistance on any matters related to recruitment in schools is available by:</w:t>
      </w:r>
    </w:p>
    <w:p w14:paraId="5FA2860C" w14:textId="77777777" w:rsidR="005413D7" w:rsidRPr="00833496" w:rsidRDefault="005413D7" w:rsidP="005413D7">
      <w:pPr>
        <w:pStyle w:val="ESBulletsinTable"/>
        <w:numPr>
          <w:ilvl w:val="0"/>
          <w:numId w:val="1"/>
        </w:numPr>
        <w:rPr>
          <w:rFonts w:asciiTheme="minorHAnsi" w:hAnsiTheme="minorHAnsi" w:cstheme="minorHAnsi"/>
          <w:sz w:val="22"/>
        </w:rPr>
      </w:pPr>
      <w:r w:rsidRPr="00833496">
        <w:rPr>
          <w:rFonts w:asciiTheme="minorHAnsi" w:hAnsiTheme="minorHAnsi" w:cstheme="minorHAnsi"/>
          <w:sz w:val="22"/>
        </w:rPr>
        <w:t xml:space="preserve">accessing the A-Z topic list on </w:t>
      </w:r>
      <w:hyperlink r:id="rId11" w:history="1">
        <w:r w:rsidRPr="00833496">
          <w:rPr>
            <w:rStyle w:val="Hyperlink"/>
            <w:rFonts w:asciiTheme="minorHAnsi" w:hAnsiTheme="minorHAnsi" w:cstheme="minorHAnsi"/>
            <w:sz w:val="22"/>
          </w:rPr>
          <w:t>HRWeb</w:t>
        </w:r>
      </w:hyperlink>
      <w:r w:rsidRPr="00833496">
        <w:rPr>
          <w:rFonts w:asciiTheme="minorHAnsi" w:hAnsiTheme="minorHAnsi" w:cstheme="minorHAnsi"/>
          <w:sz w:val="22"/>
        </w:rPr>
        <w:t>;</w:t>
      </w:r>
    </w:p>
    <w:p w14:paraId="78FD65CE" w14:textId="77777777" w:rsidR="005413D7" w:rsidRPr="00833496" w:rsidRDefault="005413D7" w:rsidP="005413D7">
      <w:pPr>
        <w:pStyle w:val="ESBulletsinTable"/>
        <w:numPr>
          <w:ilvl w:val="0"/>
          <w:numId w:val="1"/>
        </w:numPr>
        <w:rPr>
          <w:rFonts w:asciiTheme="minorHAnsi" w:hAnsiTheme="minorHAnsi" w:cstheme="minorHAnsi"/>
          <w:sz w:val="22"/>
        </w:rPr>
      </w:pPr>
      <w:r w:rsidRPr="00833496">
        <w:rPr>
          <w:rFonts w:asciiTheme="minorHAnsi" w:hAnsiTheme="minorHAnsi" w:cstheme="minorHAnsi"/>
          <w:sz w:val="22"/>
        </w:rPr>
        <w:t xml:space="preserve">using the </w:t>
      </w:r>
      <w:hyperlink r:id="rId12" w:history="1">
        <w:r w:rsidRPr="00833496">
          <w:rPr>
            <w:rStyle w:val="Hyperlink"/>
            <w:rFonts w:asciiTheme="minorHAnsi" w:hAnsiTheme="minorHAnsi" w:cstheme="minorHAnsi"/>
            <w:sz w:val="22"/>
          </w:rPr>
          <w:t>related topics</w:t>
        </w:r>
      </w:hyperlink>
      <w:r w:rsidRPr="00833496">
        <w:rPr>
          <w:rFonts w:asciiTheme="minorHAnsi" w:hAnsiTheme="minorHAnsi" w:cstheme="minorHAnsi"/>
          <w:sz w:val="22"/>
        </w:rPr>
        <w:t xml:space="preserve"> list; or  </w:t>
      </w:r>
    </w:p>
    <w:p w14:paraId="2C377BCF" w14:textId="3FD2AEF1" w:rsidR="005413D7" w:rsidRPr="00833496" w:rsidRDefault="005413D7" w:rsidP="005413D7">
      <w:pPr>
        <w:pStyle w:val="ESBulletsinTable"/>
        <w:numPr>
          <w:ilvl w:val="0"/>
          <w:numId w:val="1"/>
        </w:numPr>
        <w:rPr>
          <w:rFonts w:asciiTheme="minorHAnsi" w:hAnsiTheme="minorHAnsi" w:cstheme="minorHAnsi"/>
          <w:sz w:val="22"/>
        </w:rPr>
      </w:pPr>
      <w:r w:rsidRPr="00833496">
        <w:rPr>
          <w:rFonts w:asciiTheme="minorHAnsi" w:hAnsiTheme="minorHAnsi" w:cstheme="minorHAnsi"/>
          <w:sz w:val="22"/>
        </w:rPr>
        <w:t>contacting the Schools Recruitment Unit on 1800 641 943</w:t>
      </w:r>
    </w:p>
    <w:p w14:paraId="791DA32C" w14:textId="2ED5F349" w:rsidR="005413D7" w:rsidRPr="00833496" w:rsidRDefault="005413D7" w:rsidP="005413D7">
      <w:pPr>
        <w:pStyle w:val="ESBodyText"/>
        <w:numPr>
          <w:ilvl w:val="0"/>
          <w:numId w:val="1"/>
        </w:numPr>
        <w:rPr>
          <w:rStyle w:val="Hyperlink"/>
          <w:rFonts w:asciiTheme="minorHAnsi" w:hAnsiTheme="minorHAnsi" w:cstheme="minorHAnsi"/>
          <w:sz w:val="22"/>
          <w:szCs w:val="22"/>
        </w:rPr>
      </w:pPr>
      <w:r w:rsidRPr="00833496">
        <w:rPr>
          <w:rFonts w:asciiTheme="minorHAnsi" w:hAnsiTheme="minorHAnsi" w:cstheme="minorHAnsi"/>
          <w:sz w:val="22"/>
          <w:szCs w:val="22"/>
        </w:rPr>
        <w:t xml:space="preserve">contacting Policy and Employee Relations Branch on 03 7022 0013 or email any query to </w:t>
      </w:r>
      <w:hyperlink r:id="rId13" w:history="1">
        <w:r w:rsidRPr="00833496">
          <w:rPr>
            <w:rStyle w:val="Hyperlink"/>
            <w:rFonts w:asciiTheme="minorHAnsi" w:hAnsiTheme="minorHAnsi" w:cstheme="minorHAnsi"/>
            <w:sz w:val="22"/>
            <w:szCs w:val="22"/>
          </w:rPr>
          <w:t>employee.relations@education.vic.gov.au</w:t>
        </w:r>
      </w:hyperlink>
      <w:r w:rsidRPr="00833496">
        <w:rPr>
          <w:rStyle w:val="Hyperlink"/>
          <w:rFonts w:asciiTheme="minorHAnsi" w:hAnsiTheme="minorHAnsi" w:cstheme="minorHAnsi"/>
          <w:sz w:val="22"/>
          <w:szCs w:val="22"/>
        </w:rPr>
        <w:t xml:space="preserve"> </w:t>
      </w:r>
    </w:p>
    <w:p w14:paraId="5592D655" w14:textId="77777777" w:rsidR="00A328FC" w:rsidRDefault="00A328FC" w:rsidP="00226048"/>
    <w:sectPr w:rsidR="00A328FC" w:rsidSect="00CA7608">
      <w:headerReference w:type="default" r:id="rId14"/>
      <w:footerReference w:type="default" r:id="rId15"/>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ED9C8" w14:textId="77777777" w:rsidR="004E4E45" w:rsidRDefault="004E4E45" w:rsidP="00090799">
      <w:pPr>
        <w:spacing w:after="0" w:line="240" w:lineRule="auto"/>
      </w:pPr>
      <w:r>
        <w:separator/>
      </w:r>
    </w:p>
  </w:endnote>
  <w:endnote w:type="continuationSeparator" w:id="0">
    <w:p w14:paraId="398AEB89" w14:textId="77777777" w:rsidR="004E4E45" w:rsidRDefault="004E4E45" w:rsidP="0009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SemiBold">
    <w:altName w:val="Calibri"/>
    <w:charset w:val="00"/>
    <w:family w:val="auto"/>
    <w:pitch w:val="variable"/>
    <w:sig w:usb0="00000007" w:usb1="00000000" w:usb2="00000000" w:usb3="00000000" w:csb0="00000093" w:csb1="00000000"/>
  </w:font>
  <w:font w:name="VIC">
    <w:altName w:val="Calibri"/>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Medium">
    <w:altName w:val="Calibri"/>
    <w:charset w:val="00"/>
    <w:family w:val="auto"/>
    <w:pitch w:val="variable"/>
    <w:sig w:usb0="00000007" w:usb1="00000000" w:usb2="00000000" w:usb3="00000000" w:csb0="00000093" w:csb1="00000000"/>
  </w:font>
  <w:font w:name="Arial-BoldMT">
    <w:altName w:val="Arial"/>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34D50" w14:textId="32C8DE11" w:rsidR="00A41CB1" w:rsidRPr="00784293" w:rsidRDefault="00784293" w:rsidP="00784293">
    <w:pPr>
      <w:pStyle w:val="Footer"/>
      <w:ind w:left="1440"/>
      <w:jc w:val="right"/>
    </w:pPr>
    <w:r w:rsidRPr="002F41EA">
      <w:rPr>
        <w:i/>
      </w:rPr>
      <w:t xml:space="preserve">Last updated </w:t>
    </w:r>
    <w:r>
      <w:rPr>
        <w:i/>
      </w:rPr>
      <w:t>14 April</w:t>
    </w:r>
    <w:r w:rsidRPr="002F41EA">
      <w:rPr>
        <w:i/>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63BF1" w14:textId="77777777" w:rsidR="004E4E45" w:rsidRDefault="004E4E45" w:rsidP="00090799">
      <w:pPr>
        <w:spacing w:after="0" w:line="240" w:lineRule="auto"/>
      </w:pPr>
      <w:r>
        <w:separator/>
      </w:r>
    </w:p>
  </w:footnote>
  <w:footnote w:type="continuationSeparator" w:id="0">
    <w:p w14:paraId="34232EC5" w14:textId="77777777" w:rsidR="004E4E45" w:rsidRDefault="004E4E45" w:rsidP="00090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E5D8F" w14:textId="1AA88CE7" w:rsidR="00090799" w:rsidRDefault="00090799">
    <w:pPr>
      <w:pStyle w:val="Header"/>
    </w:pPr>
    <w:r w:rsidRPr="001118E0">
      <w:rPr>
        <w:rFonts w:eastAsia="Calibri" w:cs="Arial-BoldMT"/>
        <w:b/>
        <w:bCs/>
        <w:caps/>
        <w:noProof/>
        <w:color w:val="004EA8"/>
        <w:sz w:val="44"/>
        <w:szCs w:val="44"/>
        <w:lang w:eastAsia="en-AU"/>
      </w:rPr>
      <w:drawing>
        <wp:anchor distT="0" distB="0" distL="114300" distR="114300" simplePos="0" relativeHeight="251657216" behindDoc="0" locked="0" layoutInCell="1" allowOverlap="1" wp14:anchorId="1B317C1F" wp14:editId="1782D700">
          <wp:simplePos x="0" y="0"/>
          <wp:positionH relativeFrom="page">
            <wp:posOffset>295275</wp:posOffset>
          </wp:positionH>
          <wp:positionV relativeFrom="paragraph">
            <wp:posOffset>-229235</wp:posOffset>
          </wp:positionV>
          <wp:extent cx="6970233" cy="896259"/>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70233" cy="8962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6C2CF3"/>
    <w:multiLevelType w:val="hybridMultilevel"/>
    <w:tmpl w:val="19C02256"/>
    <w:lvl w:ilvl="0" w:tplc="4CE0BCA8">
      <w:numFmt w:val="bullet"/>
      <w:lvlText w:val="-"/>
      <w:lvlJc w:val="left"/>
      <w:pPr>
        <w:ind w:left="720" w:hanging="360"/>
      </w:pPr>
      <w:rPr>
        <w:rFonts w:ascii="Calibri" w:eastAsiaTheme="minorHAnsi" w:hAnsi="Calibri" w:cs="Calibri" w:hint="default"/>
        <w:b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D75188"/>
    <w:multiLevelType w:val="hybridMultilevel"/>
    <w:tmpl w:val="235AB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3346CC"/>
    <w:multiLevelType w:val="hybridMultilevel"/>
    <w:tmpl w:val="9AA40EF0"/>
    <w:lvl w:ilvl="0" w:tplc="4CE0BCA8">
      <w:numFmt w:val="bullet"/>
      <w:lvlText w:val="-"/>
      <w:lvlJc w:val="left"/>
      <w:pPr>
        <w:ind w:left="720" w:hanging="360"/>
      </w:pPr>
      <w:rPr>
        <w:rFonts w:ascii="Calibri" w:eastAsiaTheme="minorHAnsi" w:hAnsi="Calibri" w:cs="Calibri" w:hint="default"/>
        <w:b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B324D0"/>
    <w:multiLevelType w:val="hybridMultilevel"/>
    <w:tmpl w:val="DED071FE"/>
    <w:lvl w:ilvl="0" w:tplc="086A3D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1A"/>
    <w:rsid w:val="0002467A"/>
    <w:rsid w:val="000326AB"/>
    <w:rsid w:val="000405E5"/>
    <w:rsid w:val="00056A95"/>
    <w:rsid w:val="000706CE"/>
    <w:rsid w:val="000831C6"/>
    <w:rsid w:val="00090799"/>
    <w:rsid w:val="00096666"/>
    <w:rsid w:val="000A121A"/>
    <w:rsid w:val="000A7979"/>
    <w:rsid w:val="000C079F"/>
    <w:rsid w:val="000E3CD5"/>
    <w:rsid w:val="000F034D"/>
    <w:rsid w:val="000F3645"/>
    <w:rsid w:val="000F4773"/>
    <w:rsid w:val="00122A80"/>
    <w:rsid w:val="001257A6"/>
    <w:rsid w:val="00165CF4"/>
    <w:rsid w:val="00170D44"/>
    <w:rsid w:val="00175BEC"/>
    <w:rsid w:val="001A5880"/>
    <w:rsid w:val="001B057C"/>
    <w:rsid w:val="001D0CB9"/>
    <w:rsid w:val="001E3161"/>
    <w:rsid w:val="001F0D7B"/>
    <w:rsid w:val="001F7288"/>
    <w:rsid w:val="0022186B"/>
    <w:rsid w:val="00222839"/>
    <w:rsid w:val="00226048"/>
    <w:rsid w:val="00231BEF"/>
    <w:rsid w:val="00237F14"/>
    <w:rsid w:val="0025149A"/>
    <w:rsid w:val="00262803"/>
    <w:rsid w:val="002A18FA"/>
    <w:rsid w:val="002C7F69"/>
    <w:rsid w:val="002D7BA9"/>
    <w:rsid w:val="002F0427"/>
    <w:rsid w:val="003063AB"/>
    <w:rsid w:val="003148EA"/>
    <w:rsid w:val="00320AA5"/>
    <w:rsid w:val="003244E6"/>
    <w:rsid w:val="00334411"/>
    <w:rsid w:val="00361B4B"/>
    <w:rsid w:val="003A0D9E"/>
    <w:rsid w:val="003A4C4A"/>
    <w:rsid w:val="003E4BCE"/>
    <w:rsid w:val="003F692A"/>
    <w:rsid w:val="003F78F7"/>
    <w:rsid w:val="004365F2"/>
    <w:rsid w:val="00437788"/>
    <w:rsid w:val="004426D8"/>
    <w:rsid w:val="004637B1"/>
    <w:rsid w:val="00470D6F"/>
    <w:rsid w:val="004725BA"/>
    <w:rsid w:val="0048420B"/>
    <w:rsid w:val="004A5BFE"/>
    <w:rsid w:val="004B6489"/>
    <w:rsid w:val="004B74D2"/>
    <w:rsid w:val="004C08E2"/>
    <w:rsid w:val="004E1B87"/>
    <w:rsid w:val="004E2D21"/>
    <w:rsid w:val="004E4E45"/>
    <w:rsid w:val="004F64EB"/>
    <w:rsid w:val="00535AE6"/>
    <w:rsid w:val="005413D7"/>
    <w:rsid w:val="00555B1A"/>
    <w:rsid w:val="00563914"/>
    <w:rsid w:val="005832B8"/>
    <w:rsid w:val="00586267"/>
    <w:rsid w:val="005B1FA9"/>
    <w:rsid w:val="005B3BBD"/>
    <w:rsid w:val="005D7113"/>
    <w:rsid w:val="005E5F6F"/>
    <w:rsid w:val="005E7808"/>
    <w:rsid w:val="00615B2F"/>
    <w:rsid w:val="0062567E"/>
    <w:rsid w:val="006828A5"/>
    <w:rsid w:val="006A398F"/>
    <w:rsid w:val="006A5AFF"/>
    <w:rsid w:val="006C526E"/>
    <w:rsid w:val="006D1964"/>
    <w:rsid w:val="007010B5"/>
    <w:rsid w:val="00702392"/>
    <w:rsid w:val="00705B43"/>
    <w:rsid w:val="00713C5D"/>
    <w:rsid w:val="00724FCB"/>
    <w:rsid w:val="0073510D"/>
    <w:rsid w:val="0073726A"/>
    <w:rsid w:val="00747A9A"/>
    <w:rsid w:val="00753ACF"/>
    <w:rsid w:val="00761D11"/>
    <w:rsid w:val="007841B3"/>
    <w:rsid w:val="00784293"/>
    <w:rsid w:val="007C60BE"/>
    <w:rsid w:val="00802B9B"/>
    <w:rsid w:val="00820797"/>
    <w:rsid w:val="00825D0D"/>
    <w:rsid w:val="00833496"/>
    <w:rsid w:val="00834CAB"/>
    <w:rsid w:val="008363AD"/>
    <w:rsid w:val="00872EB9"/>
    <w:rsid w:val="008A7729"/>
    <w:rsid w:val="008B4614"/>
    <w:rsid w:val="008C05A2"/>
    <w:rsid w:val="008C1B7F"/>
    <w:rsid w:val="008D24CE"/>
    <w:rsid w:val="008E0228"/>
    <w:rsid w:val="008E19BC"/>
    <w:rsid w:val="008F49A5"/>
    <w:rsid w:val="008F6BF0"/>
    <w:rsid w:val="008F7972"/>
    <w:rsid w:val="009116CD"/>
    <w:rsid w:val="00930542"/>
    <w:rsid w:val="00941399"/>
    <w:rsid w:val="00967E33"/>
    <w:rsid w:val="00977DB8"/>
    <w:rsid w:val="00977FC0"/>
    <w:rsid w:val="009906C2"/>
    <w:rsid w:val="009907CF"/>
    <w:rsid w:val="009A5A32"/>
    <w:rsid w:val="009F10FF"/>
    <w:rsid w:val="00A045B0"/>
    <w:rsid w:val="00A11809"/>
    <w:rsid w:val="00A24031"/>
    <w:rsid w:val="00A328FC"/>
    <w:rsid w:val="00A41CB1"/>
    <w:rsid w:val="00A4418D"/>
    <w:rsid w:val="00A83DC1"/>
    <w:rsid w:val="00A9266D"/>
    <w:rsid w:val="00A9776C"/>
    <w:rsid w:val="00AB23A3"/>
    <w:rsid w:val="00AC09B6"/>
    <w:rsid w:val="00AE7588"/>
    <w:rsid w:val="00AF6217"/>
    <w:rsid w:val="00B06919"/>
    <w:rsid w:val="00B16A00"/>
    <w:rsid w:val="00B322C4"/>
    <w:rsid w:val="00B3499E"/>
    <w:rsid w:val="00B34E68"/>
    <w:rsid w:val="00B414E8"/>
    <w:rsid w:val="00B55391"/>
    <w:rsid w:val="00B62A36"/>
    <w:rsid w:val="00B66A22"/>
    <w:rsid w:val="00B8410D"/>
    <w:rsid w:val="00B85340"/>
    <w:rsid w:val="00BE18E9"/>
    <w:rsid w:val="00BE4632"/>
    <w:rsid w:val="00C00862"/>
    <w:rsid w:val="00C163C4"/>
    <w:rsid w:val="00C16DAD"/>
    <w:rsid w:val="00C70464"/>
    <w:rsid w:val="00C828DD"/>
    <w:rsid w:val="00C866C5"/>
    <w:rsid w:val="00C875E2"/>
    <w:rsid w:val="00C90518"/>
    <w:rsid w:val="00CA4A11"/>
    <w:rsid w:val="00CA7608"/>
    <w:rsid w:val="00CB4CB9"/>
    <w:rsid w:val="00CC3E34"/>
    <w:rsid w:val="00CF594D"/>
    <w:rsid w:val="00D023CC"/>
    <w:rsid w:val="00D07EC8"/>
    <w:rsid w:val="00D17B7D"/>
    <w:rsid w:val="00D73126"/>
    <w:rsid w:val="00DA7B1D"/>
    <w:rsid w:val="00DC317F"/>
    <w:rsid w:val="00DD34A9"/>
    <w:rsid w:val="00DF09A1"/>
    <w:rsid w:val="00DF1591"/>
    <w:rsid w:val="00E008F2"/>
    <w:rsid w:val="00E70F04"/>
    <w:rsid w:val="00E93F46"/>
    <w:rsid w:val="00E9529C"/>
    <w:rsid w:val="00EB1D0B"/>
    <w:rsid w:val="00EB21FA"/>
    <w:rsid w:val="00ED4BEA"/>
    <w:rsid w:val="00F27A3A"/>
    <w:rsid w:val="00F34A4D"/>
    <w:rsid w:val="00F50ED2"/>
    <w:rsid w:val="00F60682"/>
    <w:rsid w:val="00F63170"/>
    <w:rsid w:val="00F6498C"/>
    <w:rsid w:val="00F702FB"/>
    <w:rsid w:val="00F72C16"/>
    <w:rsid w:val="00F7525F"/>
    <w:rsid w:val="00FB35DC"/>
    <w:rsid w:val="00FC75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3406BF"/>
  <w15:chartTrackingRefBased/>
  <w15:docId w15:val="{ABB0D1C5-7026-4830-8BF4-EB3A0425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link w:val="Heading1Char"/>
    <w:uiPriority w:val="9"/>
    <w:qFormat/>
    <w:rsid w:val="00226048"/>
    <w:pPr>
      <w:keepNext/>
      <w:keepLines/>
      <w:spacing w:before="240" w:after="240" w:line="240" w:lineRule="auto"/>
      <w:outlineLvl w:val="0"/>
    </w:pPr>
    <w:rPr>
      <w:rFonts w:ascii="VIC SemiBold" w:eastAsia="VIC" w:hAnsi="VIC SemiBold" w:cs="Times New Roman"/>
      <w:color w:val="00573F"/>
      <w:sz w:val="36"/>
      <w:szCs w:val="36"/>
    </w:rPr>
  </w:style>
  <w:style w:type="paragraph" w:styleId="Heading2">
    <w:name w:val="heading 2"/>
    <w:link w:val="Heading2Char"/>
    <w:uiPriority w:val="9"/>
    <w:unhideWhenUsed/>
    <w:qFormat/>
    <w:rsid w:val="00226048"/>
    <w:pPr>
      <w:keepNext/>
      <w:keepLines/>
      <w:spacing w:before="240" w:after="240" w:line="240" w:lineRule="auto"/>
      <w:outlineLvl w:val="1"/>
    </w:pPr>
    <w:rPr>
      <w:rFonts w:ascii="VIC SemiBold" w:eastAsia="VIC" w:hAnsi="VIC SemiBold" w:cs="Times New Roman"/>
      <w:color w:val="00573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799"/>
  </w:style>
  <w:style w:type="paragraph" w:styleId="Footer">
    <w:name w:val="footer"/>
    <w:basedOn w:val="Normal"/>
    <w:link w:val="FooterChar"/>
    <w:uiPriority w:val="99"/>
    <w:unhideWhenUsed/>
    <w:rsid w:val="00090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799"/>
  </w:style>
  <w:style w:type="paragraph" w:customStyle="1" w:styleId="ESHeading1">
    <w:name w:val="ES_Heading 1"/>
    <w:basedOn w:val="Normal"/>
    <w:link w:val="ESHeading1Char"/>
    <w:qFormat/>
    <w:rsid w:val="00056A95"/>
    <w:pPr>
      <w:spacing w:before="240" w:after="120" w:line="240" w:lineRule="auto"/>
      <w:outlineLvl w:val="0"/>
    </w:pPr>
    <w:rPr>
      <w:rFonts w:ascii="Arial" w:eastAsiaTheme="minorEastAsia" w:hAnsi="Arial" w:cstheme="minorHAnsi"/>
      <w:b/>
      <w:color w:val="004EA8"/>
      <w:sz w:val="36"/>
      <w:szCs w:val="36"/>
      <w:lang w:val="en-US"/>
    </w:rPr>
  </w:style>
  <w:style w:type="character" w:customStyle="1" w:styleId="ESHeading1Char">
    <w:name w:val="ES_Heading 1 Char"/>
    <w:basedOn w:val="DefaultParagraphFont"/>
    <w:link w:val="ESHeading1"/>
    <w:rsid w:val="00056A95"/>
    <w:rPr>
      <w:rFonts w:ascii="Arial" w:eastAsiaTheme="minorEastAsia" w:hAnsi="Arial" w:cstheme="minorHAnsi"/>
      <w:b/>
      <w:color w:val="004EA8"/>
      <w:sz w:val="36"/>
      <w:szCs w:val="36"/>
      <w:lang w:val="en-US"/>
    </w:rPr>
  </w:style>
  <w:style w:type="character" w:styleId="Hyperlink">
    <w:name w:val="Hyperlink"/>
    <w:basedOn w:val="DefaultParagraphFont"/>
    <w:uiPriority w:val="99"/>
    <w:unhideWhenUsed/>
    <w:rsid w:val="00CA7608"/>
    <w:rPr>
      <w:color w:val="0563C1" w:themeColor="hyperlink"/>
      <w:u w:val="single"/>
    </w:rPr>
  </w:style>
  <w:style w:type="character" w:styleId="UnresolvedMention">
    <w:name w:val="Unresolved Mention"/>
    <w:basedOn w:val="DefaultParagraphFont"/>
    <w:uiPriority w:val="99"/>
    <w:semiHidden/>
    <w:unhideWhenUsed/>
    <w:rsid w:val="00CA7608"/>
    <w:rPr>
      <w:color w:val="605E5C"/>
      <w:shd w:val="clear" w:color="auto" w:fill="E1DFDD"/>
    </w:rPr>
  </w:style>
  <w:style w:type="paragraph" w:styleId="ListParagraph">
    <w:name w:val="List Paragraph"/>
    <w:basedOn w:val="Normal"/>
    <w:uiPriority w:val="34"/>
    <w:qFormat/>
    <w:rsid w:val="000405E5"/>
    <w:pPr>
      <w:ind w:left="720"/>
      <w:contextualSpacing/>
    </w:pPr>
  </w:style>
  <w:style w:type="paragraph" w:customStyle="1" w:styleId="Bullet1">
    <w:name w:val="Bullet 1"/>
    <w:basedOn w:val="Normal"/>
    <w:qFormat/>
    <w:rsid w:val="007841B3"/>
    <w:pPr>
      <w:numPr>
        <w:numId w:val="2"/>
      </w:numPr>
      <w:spacing w:before="240" w:after="240" w:line="288" w:lineRule="auto"/>
    </w:pPr>
  </w:style>
  <w:style w:type="character" w:styleId="CommentReference">
    <w:name w:val="annotation reference"/>
    <w:basedOn w:val="DefaultParagraphFont"/>
    <w:uiPriority w:val="99"/>
    <w:semiHidden/>
    <w:unhideWhenUsed/>
    <w:rsid w:val="002F0427"/>
    <w:rPr>
      <w:sz w:val="16"/>
      <w:szCs w:val="16"/>
    </w:rPr>
  </w:style>
  <w:style w:type="paragraph" w:styleId="CommentText">
    <w:name w:val="annotation text"/>
    <w:basedOn w:val="Normal"/>
    <w:link w:val="CommentTextChar"/>
    <w:uiPriority w:val="99"/>
    <w:semiHidden/>
    <w:unhideWhenUsed/>
    <w:rsid w:val="002F0427"/>
    <w:pPr>
      <w:spacing w:line="240" w:lineRule="auto"/>
    </w:pPr>
    <w:rPr>
      <w:sz w:val="20"/>
      <w:szCs w:val="20"/>
    </w:rPr>
  </w:style>
  <w:style w:type="character" w:customStyle="1" w:styleId="CommentTextChar">
    <w:name w:val="Comment Text Char"/>
    <w:basedOn w:val="DefaultParagraphFont"/>
    <w:link w:val="CommentText"/>
    <w:uiPriority w:val="99"/>
    <w:semiHidden/>
    <w:rsid w:val="002F0427"/>
    <w:rPr>
      <w:sz w:val="20"/>
      <w:szCs w:val="20"/>
    </w:rPr>
  </w:style>
  <w:style w:type="paragraph" w:styleId="CommentSubject">
    <w:name w:val="annotation subject"/>
    <w:basedOn w:val="CommentText"/>
    <w:next w:val="CommentText"/>
    <w:link w:val="CommentSubjectChar"/>
    <w:uiPriority w:val="99"/>
    <w:semiHidden/>
    <w:unhideWhenUsed/>
    <w:rsid w:val="002F0427"/>
    <w:rPr>
      <w:b/>
      <w:bCs/>
    </w:rPr>
  </w:style>
  <w:style w:type="character" w:customStyle="1" w:styleId="CommentSubjectChar">
    <w:name w:val="Comment Subject Char"/>
    <w:basedOn w:val="CommentTextChar"/>
    <w:link w:val="CommentSubject"/>
    <w:uiPriority w:val="99"/>
    <w:semiHidden/>
    <w:rsid w:val="002F0427"/>
    <w:rPr>
      <w:b/>
      <w:bCs/>
      <w:sz w:val="20"/>
      <w:szCs w:val="20"/>
    </w:rPr>
  </w:style>
  <w:style w:type="paragraph" w:styleId="BalloonText">
    <w:name w:val="Balloon Text"/>
    <w:basedOn w:val="Normal"/>
    <w:link w:val="BalloonTextChar"/>
    <w:uiPriority w:val="99"/>
    <w:semiHidden/>
    <w:unhideWhenUsed/>
    <w:rsid w:val="002F0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427"/>
    <w:rPr>
      <w:rFonts w:ascii="Segoe UI" w:hAnsi="Segoe UI" w:cs="Segoe UI"/>
      <w:sz w:val="18"/>
      <w:szCs w:val="18"/>
    </w:rPr>
  </w:style>
  <w:style w:type="paragraph" w:customStyle="1" w:styleId="DraftHeading3">
    <w:name w:val="Draft Heading 3"/>
    <w:basedOn w:val="Normal"/>
    <w:next w:val="Normal"/>
    <w:rsid w:val="00C00862"/>
    <w:pPr>
      <w:overflowPunct w:val="0"/>
      <w:autoSpaceDE w:val="0"/>
      <w:autoSpaceDN w:val="0"/>
      <w:adjustRightInd w:val="0"/>
      <w:spacing w:before="120"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226048"/>
    <w:rPr>
      <w:rFonts w:ascii="VIC SemiBold" w:eastAsia="VIC" w:hAnsi="VIC SemiBold" w:cs="Times New Roman"/>
      <w:color w:val="00573F"/>
      <w:sz w:val="36"/>
      <w:szCs w:val="36"/>
    </w:rPr>
  </w:style>
  <w:style w:type="character" w:customStyle="1" w:styleId="Heading2Char">
    <w:name w:val="Heading 2 Char"/>
    <w:basedOn w:val="DefaultParagraphFont"/>
    <w:link w:val="Heading2"/>
    <w:uiPriority w:val="9"/>
    <w:rsid w:val="00226048"/>
    <w:rPr>
      <w:rFonts w:ascii="VIC SemiBold" w:eastAsia="VIC" w:hAnsi="VIC SemiBold" w:cs="Times New Roman"/>
      <w:color w:val="00573F"/>
      <w:sz w:val="28"/>
      <w:szCs w:val="32"/>
    </w:rPr>
  </w:style>
  <w:style w:type="character" w:styleId="Strong">
    <w:name w:val="Strong"/>
    <w:uiPriority w:val="22"/>
    <w:qFormat/>
    <w:rsid w:val="00226048"/>
    <w:rPr>
      <w:rFonts w:ascii="VIC Medium" w:hAnsi="VIC Medium"/>
      <w:color w:val="53565A"/>
      <w:sz w:val="24"/>
    </w:rPr>
  </w:style>
  <w:style w:type="paragraph" w:customStyle="1" w:styleId="Body">
    <w:name w:val="Body"/>
    <w:basedOn w:val="Normal"/>
    <w:qFormat/>
    <w:rsid w:val="00226048"/>
    <w:pPr>
      <w:spacing w:before="240" w:after="240" w:line="288" w:lineRule="auto"/>
    </w:pPr>
  </w:style>
  <w:style w:type="paragraph" w:customStyle="1" w:styleId="ESBodyText">
    <w:name w:val="ES_Body Text"/>
    <w:basedOn w:val="Normal"/>
    <w:qFormat/>
    <w:rsid w:val="00A045B0"/>
    <w:pPr>
      <w:spacing w:after="120" w:line="240" w:lineRule="atLeast"/>
    </w:pPr>
    <w:rPr>
      <w:rFonts w:ascii="Arial" w:eastAsiaTheme="minorEastAsia" w:hAnsi="Arial" w:cs="Arial"/>
      <w:sz w:val="18"/>
      <w:szCs w:val="18"/>
      <w:lang w:val="en-US"/>
    </w:rPr>
  </w:style>
  <w:style w:type="paragraph" w:customStyle="1" w:styleId="ESBulletsinTable">
    <w:name w:val="ES_Bullets in Table"/>
    <w:basedOn w:val="ListParagraph"/>
    <w:qFormat/>
    <w:rsid w:val="005413D7"/>
    <w:pPr>
      <w:numPr>
        <w:numId w:val="5"/>
      </w:numPr>
      <w:spacing w:after="80" w:line="240" w:lineRule="auto"/>
      <w:contextualSpacing w:val="0"/>
    </w:pPr>
    <w:rPr>
      <w:rFonts w:ascii="Arial" w:eastAsia="Arial" w:hAnsi="Arial" w:cs="Times New Roman"/>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13133">
      <w:bodyDiv w:val="1"/>
      <w:marLeft w:val="0"/>
      <w:marRight w:val="0"/>
      <w:marTop w:val="0"/>
      <w:marBottom w:val="0"/>
      <w:divBdr>
        <w:top w:val="none" w:sz="0" w:space="0" w:color="auto"/>
        <w:left w:val="none" w:sz="0" w:space="0" w:color="auto"/>
        <w:bottom w:val="none" w:sz="0" w:space="0" w:color="auto"/>
        <w:right w:val="none" w:sz="0" w:space="0" w:color="auto"/>
      </w:divBdr>
    </w:div>
    <w:div w:id="145983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mployee.relations@education.vic.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tion.vic.gov.au/hrweb/careers/Pages/recruitinsch.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vic.gov.au/hrweb/aztopic/Pages/default.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ducation.vic.gov.au/hrweb/careers/Pages/selectprin.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TS Remote recruitment</DEECD_Description>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01CF1-90A3-4E4B-B346-C0C765288DD5}">
  <ds:schemaRefs>
    <ds:schemaRef ds:uri="http://schemas.microsoft.com/sharepoint/v3/contenttype/forms"/>
  </ds:schemaRefs>
</ds:datastoreItem>
</file>

<file path=customXml/itemProps2.xml><?xml version="1.0" encoding="utf-8"?>
<ds:datastoreItem xmlns:ds="http://schemas.openxmlformats.org/officeDocument/2006/customXml" ds:itemID="{66828AA7-D1DC-4BCA-9B30-496B03BEF680}">
  <ds:schemaRefs>
    <ds:schemaRef ds:uri="http://schemas.microsoft.com/office/2006/documentManagement/types"/>
    <ds:schemaRef ds:uri="1d5161c9-8b49-4e1b-a30a-1a2257eabad0"/>
    <ds:schemaRef ds:uri="http://schemas.openxmlformats.org/package/2006/metadata/core-propertie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70902931-25F6-403B-B37C-5639870E3C51}"/>
</file>

<file path=docProps/app.xml><?xml version="1.0" encoding="utf-8"?>
<Properties xmlns="http://schemas.openxmlformats.org/officeDocument/2006/extended-properties" xmlns:vt="http://schemas.openxmlformats.org/officeDocument/2006/docPropsVTypes">
  <Template>Normal.dotm</Template>
  <TotalTime>4</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Teaching Service Recruitment - Remote</vt:lpstr>
    </vt:vector>
  </TitlesOfParts>
  <Company>DET</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Service Recruitment - Remote</dc:title>
  <dc:subject>Remote Teaching Service Recruitment</dc:subject>
  <dc:creator>Employee Relations</dc:creator>
  <cp:keywords/>
  <dc:description/>
  <cp:lastModifiedBy>Parfrey, Rob C</cp:lastModifiedBy>
  <cp:revision>3</cp:revision>
  <dcterms:created xsi:type="dcterms:W3CDTF">2020-04-14T06:24:00Z</dcterms:created>
  <dcterms:modified xsi:type="dcterms:W3CDTF">2020-04-14T06:27:00Z</dcterms:modified>
  <cp:category>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{35db5f8a-eea7-4ce2-85a1-eaf7f60d22eb}</vt:lpwstr>
  </property>
  <property fmtid="{D5CDD505-2E9C-101B-9397-08002B2CF9AE}" pid="8" name="RecordPoint_ActiveItemWebId">
    <vt:lpwstr>{b65b4103-6700-4f2b-a170-785d72aaf6f0}</vt:lpwstr>
  </property>
  <property fmtid="{D5CDD505-2E9C-101B-9397-08002B2CF9AE}" pid="9" name="RecordPoint_ActiveItemSiteId">
    <vt:lpwstr>{16ac1492-9519-41a9-8569-b0448fc92837}</vt:lpwstr>
  </property>
  <property fmtid="{D5CDD505-2E9C-101B-9397-08002B2CF9AE}" pid="10" name="RecordPoint_ActiveItemListId">
    <vt:lpwstr>{7a80a526-46b5-400b-b795-2eeda5e4eaa8}</vt:lpwstr>
  </property>
  <property fmtid="{D5CDD505-2E9C-101B-9397-08002B2CF9AE}" pid="11" name="DEECD_Author">
    <vt:lpwstr>120;#HRWeb|4e014723-a4da-42a2-b679-c90ea77e3371</vt:lpwstr>
  </property>
  <property fmtid="{D5CDD505-2E9C-101B-9397-08002B2CF9AE}" pid="12" name="DEECD_ItemType">
    <vt:lpwstr>115;#Document|82a2edb4-a4c4-40b1-b05a-5fe52d42e4c4</vt:lpwstr>
  </property>
  <property fmtid="{D5CDD505-2E9C-101B-9397-08002B2CF9AE}" pid="13" name="DEECD_SubjectCategory">
    <vt:lpwstr/>
  </property>
  <property fmtid="{D5CDD505-2E9C-101B-9397-08002B2CF9AE}" pid="14" name="DEECD_Audience">
    <vt:lpwstr/>
  </property>
</Properties>
</file>