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E730" w14:textId="77777777" w:rsidR="009F3444" w:rsidRPr="009E7496" w:rsidRDefault="009F3444" w:rsidP="009F3444">
      <w:pPr>
        <w:pStyle w:val="Heading1"/>
        <w:rPr>
          <w:rFonts w:ascii="Calibri" w:hAnsi="Calibri" w:cs="Calibri"/>
        </w:rPr>
      </w:pPr>
      <w:r w:rsidRPr="009E7496">
        <w:rPr>
          <w:rFonts w:ascii="Calibri" w:hAnsi="Calibri" w:cs="Calibri"/>
        </w:rPr>
        <w:t>Teacher Recruitment Initiative (TRI) - Applicant Frequently Asked Questions</w:t>
      </w:r>
    </w:p>
    <w:p w14:paraId="6AF80543" w14:textId="77777777" w:rsidR="009F3444" w:rsidRPr="009E7496" w:rsidRDefault="009F3444" w:rsidP="009F3444">
      <w:pPr>
        <w:spacing w:after="0"/>
        <w:rPr>
          <w:rFonts w:ascii="Calibri" w:hAnsi="Calibri" w:cs="Calibri"/>
          <w:b/>
          <w:color w:val="000000"/>
          <w:sz w:val="24"/>
        </w:rPr>
      </w:pPr>
      <w:r w:rsidRPr="009E7496">
        <w:rPr>
          <w:rFonts w:ascii="Calibri" w:hAnsi="Calibri" w:cs="Calibri"/>
          <w:b/>
          <w:color w:val="000000"/>
          <w:sz w:val="24"/>
        </w:rPr>
        <w:t xml:space="preserve">How do candidates indicate which schools, </w:t>
      </w:r>
      <w:r>
        <w:rPr>
          <w:rFonts w:ascii="Calibri" w:hAnsi="Calibri" w:cs="Calibri"/>
          <w:b/>
          <w:color w:val="000000"/>
          <w:sz w:val="24"/>
        </w:rPr>
        <w:t>LGAs</w:t>
      </w:r>
      <w:r w:rsidRPr="009E7496">
        <w:rPr>
          <w:rFonts w:ascii="Calibri" w:hAnsi="Calibri" w:cs="Calibri"/>
          <w:b/>
          <w:color w:val="000000"/>
          <w:sz w:val="24"/>
        </w:rPr>
        <w:t>, or Regions they prefer to work in?</w:t>
      </w:r>
    </w:p>
    <w:p w14:paraId="47EEB999" w14:textId="77777777" w:rsidR="009F3444" w:rsidRPr="009E7496" w:rsidRDefault="009F3444" w:rsidP="009F3444">
      <w:pPr>
        <w:spacing w:after="0"/>
        <w:rPr>
          <w:rFonts w:ascii="Calibri" w:hAnsi="Calibri" w:cs="Calibri"/>
          <w:color w:val="000000"/>
          <w:szCs w:val="22"/>
        </w:rPr>
      </w:pPr>
      <w:r w:rsidRPr="009E7496">
        <w:rPr>
          <w:rFonts w:ascii="Calibri" w:hAnsi="Calibri" w:cs="Calibri"/>
          <w:color w:val="000000"/>
          <w:szCs w:val="22"/>
        </w:rPr>
        <w:t>Applicants will need to create a Job Opportunities Pool profile to be auto matched with TRI positions. When creating a Job Opportunities Pool profile, applicants will have the opportunity to select their preferences. The system will use these preferences to auto match applicants to TRI positions.</w:t>
      </w:r>
    </w:p>
    <w:p w14:paraId="2C530FE7" w14:textId="77777777" w:rsidR="009F3444" w:rsidRPr="00A34522" w:rsidRDefault="009F3444" w:rsidP="009F3444">
      <w:pPr>
        <w:spacing w:after="0"/>
        <w:rPr>
          <w:rFonts w:ascii="Calibri" w:hAnsi="Calibri" w:cs="Calibri"/>
          <w:b/>
          <w:bCs/>
          <w:color w:val="000000"/>
          <w:szCs w:val="22"/>
        </w:rPr>
      </w:pPr>
    </w:p>
    <w:p w14:paraId="0995EB49" w14:textId="77777777" w:rsidR="009F3444" w:rsidRPr="009E7496" w:rsidRDefault="009F3444" w:rsidP="009F3444">
      <w:pPr>
        <w:spacing w:after="0"/>
        <w:rPr>
          <w:rFonts w:ascii="Calibri" w:hAnsi="Calibri" w:cs="Calibri"/>
          <w:b/>
          <w:color w:val="000000"/>
          <w:szCs w:val="22"/>
        </w:rPr>
      </w:pPr>
      <w:r w:rsidRPr="009E7496">
        <w:rPr>
          <w:rFonts w:ascii="Calibri" w:hAnsi="Calibri" w:cs="Calibri"/>
          <w:b/>
          <w:color w:val="000000"/>
          <w:szCs w:val="22"/>
        </w:rPr>
        <w:t xml:space="preserve">How do I create a Job Opportunities Pool profile? </w:t>
      </w:r>
    </w:p>
    <w:p w14:paraId="5770053E" w14:textId="77777777" w:rsidR="009F3444" w:rsidRPr="009E7496" w:rsidRDefault="009F3444" w:rsidP="009F3444">
      <w:pPr>
        <w:spacing w:after="0"/>
        <w:rPr>
          <w:rFonts w:ascii="Calibri" w:hAnsi="Calibri" w:cs="Calibri"/>
          <w:bCs/>
          <w:color w:val="000000"/>
          <w:szCs w:val="22"/>
        </w:rPr>
      </w:pPr>
      <w:r w:rsidRPr="009E7496">
        <w:rPr>
          <w:rFonts w:ascii="Calibri" w:hAnsi="Calibri" w:cs="Calibri"/>
          <w:bCs/>
          <w:color w:val="000000"/>
          <w:szCs w:val="22"/>
        </w:rPr>
        <w:t>To create a profile in the Job Opportunities Pool an applicant</w:t>
      </w:r>
      <w:r>
        <w:rPr>
          <w:rFonts w:ascii="Calibri" w:hAnsi="Calibri" w:cs="Calibri"/>
          <w:bCs/>
          <w:color w:val="000000"/>
          <w:szCs w:val="22"/>
        </w:rPr>
        <w:t xml:space="preserve"> can access the following</w:t>
      </w:r>
      <w:r w:rsidRPr="009E7496">
        <w:rPr>
          <w:rFonts w:ascii="Calibri" w:hAnsi="Calibri" w:cs="Calibri"/>
          <w:bCs/>
          <w:color w:val="000000"/>
          <w:szCs w:val="22"/>
        </w:rPr>
        <w:t>:</w:t>
      </w:r>
    </w:p>
    <w:p w14:paraId="7F85FE6D" w14:textId="77777777" w:rsidR="009F3444" w:rsidRDefault="00000000" w:rsidP="009F3444">
      <w:pPr>
        <w:spacing w:before="100"/>
        <w:rPr>
          <w:rFonts w:ascii="Calibri" w:hAnsi="Calibri" w:cs="Calibri"/>
          <w:b/>
          <w:color w:val="FFFFFF" w:themeColor="background1"/>
        </w:rPr>
      </w:pPr>
      <w:hyperlink r:id="rId11" w:history="1">
        <w:r w:rsidR="009F3444" w:rsidRPr="00DA0974">
          <w:rPr>
            <w:rStyle w:val="Hyperlink"/>
            <w:rFonts w:ascii="Calibri" w:hAnsi="Calibri" w:cs="Calibri"/>
          </w:rPr>
          <w:t>http://www.education.vic.gov.au/hrweb/careers/Pages/advacsSCH.aspx</w:t>
        </w:r>
      </w:hyperlink>
      <w:r w:rsidR="009F3444" w:rsidRPr="00DA0974">
        <w:rPr>
          <w:rFonts w:ascii="Calibri" w:hAnsi="Calibri" w:cs="Calibri"/>
        </w:rPr>
        <w:t>.</w:t>
      </w:r>
    </w:p>
    <w:p w14:paraId="527E92CF" w14:textId="77777777" w:rsidR="009F3444" w:rsidRDefault="009F3444" w:rsidP="009F3444">
      <w:pPr>
        <w:spacing w:before="100"/>
        <w:rPr>
          <w:rFonts w:ascii="Calibri" w:hAnsi="Calibri" w:cs="Calibri"/>
          <w:b/>
          <w:bCs/>
          <w:color w:val="000000"/>
          <w:szCs w:val="22"/>
        </w:rPr>
      </w:pPr>
      <w:r w:rsidRPr="009E7496">
        <w:rPr>
          <w:rFonts w:ascii="Calibri" w:hAnsi="Calibri" w:cs="Calibri"/>
        </w:rPr>
        <w:t>Internal Applicants (Current Employees) click</w:t>
      </w:r>
      <w:r w:rsidRPr="00361873">
        <w:rPr>
          <w:rFonts w:ascii="Calibri" w:hAnsi="Calibri" w:cs="Calibri"/>
          <w:b/>
          <w:bCs/>
        </w:rPr>
        <w:t xml:space="preserve"> </w:t>
      </w:r>
      <w:hyperlink r:id="rId12" w:history="1">
        <w:r w:rsidRPr="00361873">
          <w:rPr>
            <w:rStyle w:val="Hyperlink"/>
            <w:rFonts w:ascii="Calibri" w:hAnsi="Calibri" w:cs="Calibri"/>
            <w:bCs/>
          </w:rPr>
          <w:t>Log into eduPay</w:t>
        </w:r>
      </w:hyperlink>
      <w:r>
        <w:rPr>
          <w:rFonts w:ascii="Calibri" w:hAnsi="Calibri" w:cs="Calibri"/>
          <w:b/>
          <w:bCs/>
        </w:rPr>
        <w:t xml:space="preserve"> </w:t>
      </w:r>
      <w:r w:rsidRPr="009E7496">
        <w:rPr>
          <w:rFonts w:ascii="Calibri" w:hAnsi="Calibri" w:cs="Calibri"/>
        </w:rPr>
        <w:t>or External applicants</w:t>
      </w:r>
      <w:r>
        <w:rPr>
          <w:rFonts w:ascii="Calibri" w:hAnsi="Calibri" w:cs="Calibri"/>
          <w:b/>
          <w:bCs/>
        </w:rPr>
        <w:t xml:space="preserve"> </w:t>
      </w:r>
      <w:hyperlink r:id="rId13" w:history="1">
        <w:r w:rsidRPr="00361873">
          <w:rPr>
            <w:rStyle w:val="Hyperlink"/>
            <w:rFonts w:ascii="Calibri" w:hAnsi="Calibri" w:cs="Calibri"/>
            <w:bCs/>
          </w:rPr>
          <w:t>Click here for the Careers page</w:t>
        </w:r>
      </w:hyperlink>
      <w:r w:rsidRPr="009E7496">
        <w:rPr>
          <w:rFonts w:ascii="Calibri" w:hAnsi="Calibri" w:cs="Calibri"/>
        </w:rPr>
        <w:t>. Once</w:t>
      </w:r>
      <w:r>
        <w:rPr>
          <w:rFonts w:ascii="Calibri" w:hAnsi="Calibri" w:cs="Calibri"/>
        </w:rPr>
        <w:t xml:space="preserve"> logged</w:t>
      </w:r>
      <w:r w:rsidRPr="009E7496">
        <w:rPr>
          <w:rFonts w:ascii="Calibri" w:hAnsi="Calibri" w:cs="Calibri"/>
        </w:rPr>
        <w:t xml:space="preserve"> in the Job Opportunities Pool applicants will be able to create a profile. On completion of the profile, applicants will then be auto matched by the system to jobs according to the preferences selected. Further instructions on how to create a Job opportunities Pool Profile for the TRI are available</w:t>
      </w:r>
      <w:r>
        <w:rPr>
          <w:rFonts w:ascii="Calibri" w:hAnsi="Calibri" w:cs="Calibri"/>
          <w:b/>
          <w:bCs/>
        </w:rPr>
        <w:t xml:space="preserve"> </w:t>
      </w:r>
      <w:hyperlink r:id="rId14" w:history="1">
        <w:r w:rsidRPr="00361873">
          <w:rPr>
            <w:rStyle w:val="Hyperlink"/>
            <w:rFonts w:ascii="Calibri" w:hAnsi="Calibri" w:cs="Calibri"/>
            <w:bCs/>
          </w:rPr>
          <w:t>here</w:t>
        </w:r>
      </w:hyperlink>
      <w:r w:rsidRPr="009E7496">
        <w:rPr>
          <w:rFonts w:ascii="Calibri" w:hAnsi="Calibri" w:cs="Calibri"/>
        </w:rPr>
        <w:t>.</w:t>
      </w:r>
    </w:p>
    <w:p w14:paraId="5CD2E8BD" w14:textId="77777777" w:rsidR="009F3444" w:rsidRPr="009E7496" w:rsidRDefault="009F3444" w:rsidP="009F3444">
      <w:pPr>
        <w:spacing w:after="0"/>
        <w:rPr>
          <w:rFonts w:ascii="Calibri" w:hAnsi="Calibri" w:cs="Calibri"/>
          <w:b/>
          <w:color w:val="000000"/>
          <w:szCs w:val="22"/>
        </w:rPr>
      </w:pPr>
      <w:r w:rsidRPr="009E7496">
        <w:rPr>
          <w:rFonts w:ascii="Calibri" w:hAnsi="Calibri" w:cs="Calibri"/>
          <w:b/>
          <w:color w:val="000000"/>
          <w:szCs w:val="22"/>
        </w:rPr>
        <w:t xml:space="preserve">How can </w:t>
      </w:r>
      <w:r>
        <w:rPr>
          <w:rFonts w:ascii="Calibri" w:hAnsi="Calibri" w:cs="Calibri"/>
          <w:b/>
          <w:color w:val="000000"/>
          <w:szCs w:val="22"/>
        </w:rPr>
        <w:t>an applicant</w:t>
      </w:r>
      <w:r w:rsidRPr="009E7496">
        <w:rPr>
          <w:rFonts w:ascii="Calibri" w:hAnsi="Calibri" w:cs="Calibri"/>
          <w:b/>
          <w:color w:val="000000"/>
          <w:szCs w:val="22"/>
        </w:rPr>
        <w:t xml:space="preserve"> express an interest in specific schools </w:t>
      </w:r>
      <w:r>
        <w:rPr>
          <w:rFonts w:ascii="Calibri" w:hAnsi="Calibri" w:cs="Calibri"/>
          <w:b/>
          <w:color w:val="000000"/>
          <w:szCs w:val="22"/>
        </w:rPr>
        <w:t xml:space="preserve">in the </w:t>
      </w:r>
      <w:r w:rsidRPr="009E7496">
        <w:rPr>
          <w:rFonts w:ascii="Calibri" w:hAnsi="Calibri" w:cs="Calibri"/>
          <w:b/>
          <w:color w:val="000000"/>
          <w:szCs w:val="22"/>
        </w:rPr>
        <w:t>TRI?</w:t>
      </w:r>
    </w:p>
    <w:p w14:paraId="223776D3" w14:textId="77777777" w:rsidR="009F3444" w:rsidRPr="009E7496" w:rsidRDefault="009F3444" w:rsidP="009F3444">
      <w:pPr>
        <w:rPr>
          <w:rFonts w:ascii="Calibri" w:hAnsi="Calibri" w:cs="Calibri"/>
          <w:bCs/>
          <w:color w:val="000000"/>
          <w:szCs w:val="22"/>
        </w:rPr>
      </w:pPr>
      <w:r w:rsidRPr="009E7496">
        <w:rPr>
          <w:rFonts w:ascii="Calibri" w:hAnsi="Calibri" w:cs="Calibri"/>
          <w:bCs/>
          <w:color w:val="000000"/>
          <w:szCs w:val="22"/>
        </w:rPr>
        <w:t>While creating a Job Opportunities Pool profile an applicant has the opportunity to select specific schools as their preference.</w:t>
      </w:r>
    </w:p>
    <w:p w14:paraId="44D6402A" w14:textId="77777777" w:rsidR="009F3444" w:rsidRPr="00F671F0" w:rsidRDefault="009F3444" w:rsidP="009F3444">
      <w:pPr>
        <w:spacing w:after="0"/>
        <w:rPr>
          <w:rFonts w:ascii="Calibri" w:hAnsi="Calibri" w:cs="Calibri"/>
          <w:color w:val="000000" w:themeColor="text2"/>
          <w:szCs w:val="22"/>
        </w:rPr>
      </w:pPr>
      <w:r w:rsidRPr="00F671F0">
        <w:rPr>
          <w:rFonts w:ascii="Calibri" w:hAnsi="Calibri" w:cs="Calibri"/>
          <w:b/>
          <w:bCs/>
          <w:color w:val="000000"/>
          <w:szCs w:val="22"/>
        </w:rPr>
        <w:t>When does the TRI become effective?</w:t>
      </w:r>
    </w:p>
    <w:p w14:paraId="6A6857FB" w14:textId="77777777" w:rsidR="009F3444" w:rsidRPr="009E7496" w:rsidRDefault="009F3444" w:rsidP="009F3444">
      <w:pPr>
        <w:spacing w:after="0"/>
        <w:rPr>
          <w:rFonts w:ascii="Calibri" w:hAnsi="Calibri" w:cs="Calibri"/>
          <w:bCs/>
          <w:color w:val="000000"/>
          <w:szCs w:val="22"/>
        </w:rPr>
      </w:pPr>
      <w:r w:rsidRPr="009E7496">
        <w:rPr>
          <w:rFonts w:ascii="Calibri" w:hAnsi="Calibri" w:cs="Calibri"/>
          <w:bCs/>
          <w:color w:val="000000"/>
          <w:szCs w:val="22"/>
        </w:rPr>
        <w:t xml:space="preserve">The TRI came into effect </w:t>
      </w:r>
      <w:r>
        <w:rPr>
          <w:rFonts w:ascii="Calibri" w:hAnsi="Calibri" w:cs="Calibri"/>
          <w:bCs/>
          <w:color w:val="000000"/>
          <w:szCs w:val="22"/>
        </w:rPr>
        <w:t xml:space="preserve">on 4 </w:t>
      </w:r>
      <w:r w:rsidRPr="009E7496">
        <w:rPr>
          <w:rFonts w:ascii="Calibri" w:hAnsi="Calibri" w:cs="Calibri"/>
          <w:bCs/>
          <w:color w:val="000000"/>
          <w:szCs w:val="22"/>
        </w:rPr>
        <w:t>September 2023.</w:t>
      </w:r>
    </w:p>
    <w:p w14:paraId="40043863" w14:textId="77777777" w:rsidR="009F3444" w:rsidRDefault="009F3444" w:rsidP="009F3444">
      <w:pPr>
        <w:spacing w:after="0"/>
        <w:rPr>
          <w:rFonts w:ascii="Calibri" w:hAnsi="Calibri" w:cs="Calibri"/>
          <w:color w:val="000000"/>
          <w:szCs w:val="22"/>
        </w:rPr>
      </w:pPr>
    </w:p>
    <w:p w14:paraId="7CF3FFA2" w14:textId="77777777" w:rsidR="009F3444" w:rsidRPr="009E7496" w:rsidRDefault="009F3444" w:rsidP="009F3444">
      <w:pPr>
        <w:spacing w:after="0"/>
        <w:rPr>
          <w:rFonts w:ascii="Calibri" w:hAnsi="Calibri" w:cs="Calibri"/>
          <w:b/>
          <w:bCs/>
          <w:color w:val="000000" w:themeColor="text2"/>
          <w:szCs w:val="22"/>
        </w:rPr>
      </w:pPr>
      <w:r w:rsidRPr="009E7496">
        <w:rPr>
          <w:rFonts w:ascii="Calibri" w:hAnsi="Calibri" w:cs="Calibri"/>
          <w:b/>
          <w:bCs/>
          <w:szCs w:val="22"/>
        </w:rPr>
        <w:t xml:space="preserve">Are the jobs advertised </w:t>
      </w:r>
      <w:r>
        <w:rPr>
          <w:rFonts w:ascii="Calibri" w:hAnsi="Calibri" w:cs="Calibri"/>
          <w:b/>
          <w:bCs/>
          <w:szCs w:val="22"/>
        </w:rPr>
        <w:t xml:space="preserve">on the applicant portal through Recruitment Online </w:t>
      </w:r>
      <w:r w:rsidRPr="009E7496">
        <w:rPr>
          <w:rFonts w:ascii="Calibri" w:hAnsi="Calibri" w:cs="Calibri"/>
          <w:b/>
          <w:bCs/>
          <w:szCs w:val="22"/>
        </w:rPr>
        <w:t>as well as via the TRI?</w:t>
      </w:r>
    </w:p>
    <w:p w14:paraId="37A2E99B" w14:textId="77777777" w:rsidR="009F3444" w:rsidRDefault="009F3444" w:rsidP="009F3444">
      <w:pPr>
        <w:spacing w:after="0"/>
        <w:rPr>
          <w:rFonts w:ascii="Calibri" w:hAnsi="Calibri" w:cs="Calibri"/>
        </w:rPr>
      </w:pPr>
      <w:r w:rsidRPr="203A4FA8">
        <w:rPr>
          <w:rFonts w:ascii="Calibri" w:hAnsi="Calibri" w:cs="Calibri"/>
        </w:rPr>
        <w:t>School Recruiters can recruit to their school by using the regular recruitment method or the TRI</w:t>
      </w:r>
      <w:r>
        <w:rPr>
          <w:rFonts w:ascii="Calibri" w:hAnsi="Calibri" w:cs="Calibri"/>
        </w:rPr>
        <w:t>. Applicants are able to apply for jobs or create an applicant profile to be auto matched to jobs.</w:t>
      </w:r>
    </w:p>
    <w:p w14:paraId="7FE8AD9B" w14:textId="77777777" w:rsidR="009F3444" w:rsidRDefault="009F3444" w:rsidP="009F3444">
      <w:pPr>
        <w:spacing w:after="0"/>
        <w:rPr>
          <w:rFonts w:ascii="Calibri" w:hAnsi="Calibri" w:cs="Calibri"/>
          <w:b/>
          <w:bCs/>
          <w:color w:val="000000" w:themeColor="text2"/>
          <w:sz w:val="24"/>
        </w:rPr>
      </w:pPr>
    </w:p>
    <w:p w14:paraId="1C590C65" w14:textId="77777777" w:rsidR="009F3444" w:rsidRPr="009E7496" w:rsidRDefault="009F3444" w:rsidP="009F3444">
      <w:pPr>
        <w:spacing w:after="0"/>
        <w:rPr>
          <w:rFonts w:ascii="Calibri" w:hAnsi="Calibri" w:cs="Calibri"/>
          <w:b/>
          <w:bCs/>
          <w:szCs w:val="22"/>
        </w:rPr>
      </w:pPr>
      <w:r w:rsidRPr="009E7496">
        <w:rPr>
          <w:rFonts w:ascii="Calibri" w:hAnsi="Calibri" w:cs="Calibri"/>
          <w:b/>
          <w:bCs/>
          <w:szCs w:val="22"/>
        </w:rPr>
        <w:t>Are TRI vacancies fixed-term or ongoing?</w:t>
      </w:r>
    </w:p>
    <w:p w14:paraId="1F3D468D" w14:textId="77777777" w:rsidR="009F3444" w:rsidRPr="00F87351" w:rsidRDefault="009F3444" w:rsidP="009F3444">
      <w:pPr>
        <w:spacing w:after="0"/>
        <w:rPr>
          <w:rFonts w:ascii="Calibri" w:hAnsi="Calibri" w:cs="Calibri"/>
          <w:bCs/>
          <w:color w:val="000000"/>
          <w:szCs w:val="22"/>
        </w:rPr>
      </w:pPr>
      <w:r w:rsidRPr="00F87351">
        <w:rPr>
          <w:rFonts w:ascii="Calibri" w:hAnsi="Calibri" w:cs="Calibri"/>
          <w:bCs/>
          <w:color w:val="000000"/>
          <w:szCs w:val="22"/>
        </w:rPr>
        <w:t xml:space="preserve">TRI vacancies for Classroom Teacher vacancies can be either fixed term or ongoing. </w:t>
      </w:r>
      <w:r>
        <w:rPr>
          <w:rFonts w:ascii="Calibri" w:hAnsi="Calibri" w:cs="Calibri"/>
          <w:bCs/>
          <w:color w:val="000000"/>
          <w:szCs w:val="22"/>
        </w:rPr>
        <w:t xml:space="preserve">All </w:t>
      </w:r>
      <w:r w:rsidRPr="00F87351">
        <w:rPr>
          <w:rFonts w:ascii="Calibri" w:hAnsi="Calibri" w:cs="Calibri"/>
          <w:bCs/>
          <w:color w:val="000000"/>
          <w:szCs w:val="22"/>
        </w:rPr>
        <w:t>Graduate Teacher vacancies are ongoing.</w:t>
      </w:r>
    </w:p>
    <w:p w14:paraId="0CC84A1F" w14:textId="77777777" w:rsidR="009F3444" w:rsidRPr="00F87351" w:rsidRDefault="009F3444" w:rsidP="009F3444">
      <w:pPr>
        <w:spacing w:after="0"/>
        <w:rPr>
          <w:rFonts w:ascii="Calibri" w:hAnsi="Calibri" w:cs="Calibri"/>
          <w:szCs w:val="22"/>
        </w:rPr>
      </w:pPr>
    </w:p>
    <w:p w14:paraId="7AD031E5" w14:textId="77777777" w:rsidR="009F3444" w:rsidRDefault="009F3444" w:rsidP="009F3444">
      <w:pPr>
        <w:spacing w:after="0"/>
        <w:rPr>
          <w:rFonts w:ascii="Calibri" w:hAnsi="Calibri" w:cs="Calibri"/>
          <w:b/>
          <w:bCs/>
          <w:color w:val="000000" w:themeColor="text2"/>
          <w:sz w:val="24"/>
        </w:rPr>
      </w:pPr>
      <w:r w:rsidRPr="00F87351">
        <w:rPr>
          <w:rFonts w:ascii="Calibri" w:hAnsi="Calibri" w:cs="Calibri"/>
          <w:b/>
          <w:bCs/>
          <w:szCs w:val="22"/>
        </w:rPr>
        <w:t>What criteria does the auto-match use to match applicants to jobs?</w:t>
      </w:r>
    </w:p>
    <w:p w14:paraId="20170598" w14:textId="77777777" w:rsidR="009F3444" w:rsidRDefault="009F3444" w:rsidP="009F3444">
      <w:pPr>
        <w:spacing w:after="0"/>
        <w:rPr>
          <w:rFonts w:ascii="Calibri" w:hAnsi="Calibri" w:cs="Calibri"/>
          <w:bCs/>
          <w:color w:val="000000"/>
          <w:szCs w:val="22"/>
        </w:rPr>
      </w:pPr>
      <w:r w:rsidRPr="00F87351">
        <w:rPr>
          <w:rFonts w:ascii="Calibri" w:hAnsi="Calibri" w:cs="Calibri"/>
          <w:bCs/>
          <w:color w:val="000000"/>
          <w:szCs w:val="22"/>
        </w:rPr>
        <w:t>The Auto-match criteria are:</w:t>
      </w:r>
    </w:p>
    <w:p w14:paraId="2E3E652C" w14:textId="77777777" w:rsidR="009F3444" w:rsidRDefault="009F3444" w:rsidP="009F3444">
      <w:pPr>
        <w:pStyle w:val="ListParagraph"/>
        <w:numPr>
          <w:ilvl w:val="0"/>
          <w:numId w:val="30"/>
        </w:numPr>
        <w:shd w:val="clear" w:color="auto" w:fill="FFFFFF" w:themeFill="background1"/>
        <w:spacing w:before="150" w:after="0" w:line="240" w:lineRule="auto"/>
        <w:rPr>
          <w:rFonts w:ascii="Calibri" w:hAnsi="Calibri" w:cs="Calibri"/>
          <w:bCs/>
          <w:color w:val="000000"/>
        </w:rPr>
      </w:pPr>
      <w:r w:rsidRPr="00F87351">
        <w:rPr>
          <w:rFonts w:ascii="Calibri" w:hAnsi="Calibri" w:cs="Calibri"/>
          <w:bCs/>
          <w:color w:val="000000"/>
        </w:rPr>
        <w:t>Department</w:t>
      </w:r>
    </w:p>
    <w:p w14:paraId="2ABC115E" w14:textId="77777777" w:rsidR="009F3444" w:rsidRPr="00F87351" w:rsidRDefault="009F3444" w:rsidP="009F3444">
      <w:pPr>
        <w:pStyle w:val="ListParagraph"/>
        <w:numPr>
          <w:ilvl w:val="0"/>
          <w:numId w:val="30"/>
        </w:numPr>
        <w:shd w:val="clear" w:color="auto" w:fill="FFFFFF" w:themeFill="background1"/>
        <w:spacing w:before="150" w:after="0" w:line="240" w:lineRule="auto"/>
        <w:rPr>
          <w:rFonts w:ascii="Calibri" w:hAnsi="Calibri" w:cs="Calibri"/>
          <w:bCs/>
          <w:color w:val="000000"/>
        </w:rPr>
      </w:pPr>
      <w:r w:rsidRPr="00F87351">
        <w:rPr>
          <w:rFonts w:ascii="Calibri" w:hAnsi="Calibri" w:cs="Calibri"/>
          <w:bCs/>
          <w:color w:val="000000"/>
        </w:rPr>
        <w:t>Area</w:t>
      </w:r>
    </w:p>
    <w:p w14:paraId="0BF30876" w14:textId="77777777" w:rsidR="009F3444" w:rsidRPr="00F87351" w:rsidRDefault="009F3444" w:rsidP="009F3444">
      <w:pPr>
        <w:pStyle w:val="NormalWeb"/>
        <w:numPr>
          <w:ilvl w:val="0"/>
          <w:numId w:val="30"/>
        </w:numPr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  <w:r w:rsidRPr="00F87351"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  <w:t>Regular/Temporary</w:t>
      </w:r>
    </w:p>
    <w:p w14:paraId="05984B05" w14:textId="77777777" w:rsidR="009F3444" w:rsidRPr="00F87351" w:rsidRDefault="009F3444" w:rsidP="009F3444">
      <w:pPr>
        <w:pStyle w:val="NormalWeb"/>
        <w:numPr>
          <w:ilvl w:val="0"/>
          <w:numId w:val="30"/>
        </w:numPr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  <w:r w:rsidRPr="00F87351"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  <w:t>Full/Part-Time</w:t>
      </w:r>
    </w:p>
    <w:p w14:paraId="3E82C27A" w14:textId="77777777" w:rsidR="009F3444" w:rsidRPr="00F87351" w:rsidRDefault="009F3444" w:rsidP="009F3444">
      <w:pPr>
        <w:pStyle w:val="NormalWeb"/>
        <w:numPr>
          <w:ilvl w:val="0"/>
          <w:numId w:val="30"/>
        </w:numPr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  <w:r w:rsidRPr="00F87351"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  <w:t>Role Types</w:t>
      </w:r>
    </w:p>
    <w:p w14:paraId="396B9CFC" w14:textId="77777777" w:rsidR="009F3444" w:rsidRPr="00F87351" w:rsidRDefault="009F3444" w:rsidP="009F3444">
      <w:pPr>
        <w:pStyle w:val="NormalWeb"/>
        <w:numPr>
          <w:ilvl w:val="0"/>
          <w:numId w:val="30"/>
        </w:numPr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  <w:r w:rsidRPr="00F87351"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  <w:t>Subject Duty</w:t>
      </w:r>
    </w:p>
    <w:p w14:paraId="70724124" w14:textId="77777777" w:rsidR="009F3444" w:rsidRDefault="009F3444" w:rsidP="009F3444">
      <w:pPr>
        <w:pStyle w:val="NormalWeb"/>
        <w:numPr>
          <w:ilvl w:val="0"/>
          <w:numId w:val="30"/>
        </w:numPr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  <w:r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  <w:t>Location preferences</w:t>
      </w:r>
      <w:r w:rsidRPr="00F87351"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  <w:t>.</w:t>
      </w:r>
    </w:p>
    <w:p w14:paraId="7052471E" w14:textId="77777777" w:rsidR="009F3444" w:rsidRDefault="009F3444" w:rsidP="009F3444">
      <w:pPr>
        <w:pStyle w:val="NormalWeb"/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</w:p>
    <w:p w14:paraId="662C192B" w14:textId="77777777" w:rsidR="009F3444" w:rsidRDefault="009F3444" w:rsidP="009F3444">
      <w:pPr>
        <w:pStyle w:val="NormalWeb"/>
        <w:shd w:val="clear" w:color="auto" w:fill="FFFFFF" w:themeFill="background1"/>
        <w:spacing w:before="150" w:after="0"/>
        <w:rPr>
          <w:rFonts w:ascii="Calibri" w:eastAsiaTheme="minorHAnsi" w:hAnsi="Calibri" w:cs="Calibri"/>
          <w:bCs/>
          <w:color w:val="000000"/>
          <w:sz w:val="22"/>
          <w:szCs w:val="22"/>
          <w:lang w:val="en-GB" w:eastAsia="en-US"/>
        </w:rPr>
      </w:pPr>
    </w:p>
    <w:p w14:paraId="6A39FADC" w14:textId="77777777" w:rsidR="009F3444" w:rsidRPr="00F87351" w:rsidRDefault="009F3444" w:rsidP="009F3444">
      <w:pPr>
        <w:spacing w:after="0"/>
        <w:rPr>
          <w:rFonts w:ascii="Calibri" w:hAnsi="Calibri" w:cs="Calibri"/>
          <w:b/>
          <w:bCs/>
        </w:rPr>
      </w:pPr>
      <w:r w:rsidRPr="00F87351">
        <w:rPr>
          <w:rFonts w:ascii="Calibri" w:hAnsi="Calibri" w:cs="Calibri"/>
          <w:b/>
          <w:bCs/>
        </w:rPr>
        <w:lastRenderedPageBreak/>
        <w:t xml:space="preserve">Do applicants submit Selection Criteria </w:t>
      </w:r>
      <w:r>
        <w:rPr>
          <w:rFonts w:ascii="Calibri" w:hAnsi="Calibri" w:cs="Calibri"/>
          <w:b/>
          <w:bCs/>
        </w:rPr>
        <w:t xml:space="preserve">responses </w:t>
      </w:r>
      <w:r w:rsidRPr="00F87351">
        <w:rPr>
          <w:rFonts w:ascii="Calibri" w:hAnsi="Calibri" w:cs="Calibri"/>
          <w:b/>
          <w:bCs/>
        </w:rPr>
        <w:t>in their TRI application?</w:t>
      </w:r>
    </w:p>
    <w:p w14:paraId="4D59C2A2" w14:textId="77777777" w:rsidR="009F3444" w:rsidRDefault="009F3444" w:rsidP="009F3444">
      <w:pPr>
        <w:spacing w:after="0"/>
        <w:rPr>
          <w:rFonts w:ascii="Calibri" w:hAnsi="Calibri" w:cs="Calibri"/>
          <w:color w:val="000000" w:themeColor="text1"/>
        </w:rPr>
      </w:pPr>
      <w:r w:rsidRPr="00F87351">
        <w:rPr>
          <w:rFonts w:ascii="Calibri" w:hAnsi="Calibri" w:cs="Calibri"/>
          <w:color w:val="000000" w:themeColor="text1"/>
        </w:rPr>
        <w:t>Applicant</w:t>
      </w:r>
      <w:r>
        <w:rPr>
          <w:rFonts w:ascii="Calibri" w:hAnsi="Calibri" w:cs="Calibri"/>
          <w:color w:val="000000" w:themeColor="text1"/>
        </w:rPr>
        <w:t>s</w:t>
      </w:r>
      <w:r w:rsidRPr="00F87351">
        <w:rPr>
          <w:rFonts w:ascii="Calibri" w:hAnsi="Calibri" w:cs="Calibri"/>
          <w:color w:val="000000" w:themeColor="text1"/>
        </w:rPr>
        <w:t xml:space="preserve"> will not be required to </w:t>
      </w:r>
      <w:r>
        <w:rPr>
          <w:rFonts w:ascii="Calibri" w:hAnsi="Calibri" w:cs="Calibri"/>
          <w:color w:val="000000" w:themeColor="text1"/>
        </w:rPr>
        <w:t>respond to the selection criteria in their TRI written application as the system will auto match them to suitable jobs. If an applicant is shortlisted by a school the selection criteria will be available for them to address at the interview stage.</w:t>
      </w:r>
    </w:p>
    <w:p w14:paraId="078C8C3C" w14:textId="77777777" w:rsidR="009F3444" w:rsidRDefault="009F3444" w:rsidP="009F3444">
      <w:pPr>
        <w:spacing w:after="0"/>
        <w:rPr>
          <w:rFonts w:ascii="Calibri" w:hAnsi="Calibri" w:cs="Calibri"/>
          <w:color w:val="000000" w:themeColor="text1"/>
        </w:rPr>
      </w:pPr>
    </w:p>
    <w:p w14:paraId="5266A1D8" w14:textId="77777777" w:rsidR="009F3444" w:rsidRDefault="009F3444" w:rsidP="009F3444">
      <w:pPr>
        <w:spacing w:after="0"/>
        <w:rPr>
          <w:rFonts w:ascii="Calibri" w:hAnsi="Calibri" w:cs="Calibri"/>
          <w:b/>
          <w:bCs/>
          <w:color w:val="000000" w:themeColor="text1"/>
        </w:rPr>
      </w:pPr>
      <w:r w:rsidRPr="005D39F9">
        <w:rPr>
          <w:rFonts w:ascii="Calibri" w:hAnsi="Calibri" w:cs="Calibri"/>
          <w:b/>
          <w:bCs/>
          <w:color w:val="000000" w:themeColor="text1"/>
        </w:rPr>
        <w:t>Do current employees have access to TRI vacancies, or do they need to add themselves to the Job Opportunities Pool?</w:t>
      </w:r>
    </w:p>
    <w:p w14:paraId="465BB921" w14:textId="77777777" w:rsidR="009F3444" w:rsidRPr="004E507B" w:rsidRDefault="009F3444" w:rsidP="009F3444">
      <w:pPr>
        <w:spacing w:after="0"/>
        <w:rPr>
          <w:rFonts w:ascii="Calibri" w:hAnsi="Calibri" w:cs="Calibri"/>
          <w:color w:val="000000" w:themeColor="text1"/>
        </w:rPr>
      </w:pPr>
      <w:r w:rsidRPr="004E507B">
        <w:rPr>
          <w:rFonts w:ascii="Calibri" w:hAnsi="Calibri" w:cs="Calibri"/>
          <w:color w:val="000000" w:themeColor="text1"/>
        </w:rPr>
        <w:t xml:space="preserve">TRI vacancies are not visible </w:t>
      </w:r>
      <w:r>
        <w:rPr>
          <w:rFonts w:ascii="Calibri" w:hAnsi="Calibri" w:cs="Calibri"/>
          <w:color w:val="000000" w:themeColor="text1"/>
        </w:rPr>
        <w:t xml:space="preserve">to applicants, </w:t>
      </w:r>
      <w:r w:rsidRPr="004E507B">
        <w:rPr>
          <w:rFonts w:ascii="Calibri" w:hAnsi="Calibri" w:cs="Calibri"/>
          <w:color w:val="000000" w:themeColor="text1"/>
        </w:rPr>
        <w:t>therefore</w:t>
      </w:r>
      <w:r>
        <w:rPr>
          <w:rFonts w:ascii="Calibri" w:hAnsi="Calibri" w:cs="Calibri"/>
          <w:color w:val="000000" w:themeColor="text1"/>
        </w:rPr>
        <w:t>, if current employees wish to apply for TRI jobs they will need to create an Applicant profile in the Job Opportunities Pool.</w:t>
      </w:r>
      <w:r w:rsidRPr="004E507B">
        <w:rPr>
          <w:rFonts w:ascii="Calibri" w:hAnsi="Calibri" w:cs="Calibri"/>
          <w:color w:val="000000" w:themeColor="text1"/>
        </w:rPr>
        <w:t xml:space="preserve"> </w:t>
      </w:r>
    </w:p>
    <w:p w14:paraId="47DA02C6" w14:textId="77777777" w:rsidR="009F3444" w:rsidRDefault="009F3444" w:rsidP="009F3444">
      <w:pPr>
        <w:spacing w:after="0"/>
        <w:rPr>
          <w:rFonts w:ascii="Calibri" w:hAnsi="Calibri" w:cs="Calibri"/>
          <w:color w:val="000000" w:themeColor="text1"/>
        </w:rPr>
      </w:pPr>
    </w:p>
    <w:p w14:paraId="11A95354" w14:textId="77777777" w:rsidR="009F3444" w:rsidRPr="004E507B" w:rsidRDefault="009F3444" w:rsidP="009F3444">
      <w:pPr>
        <w:spacing w:after="0"/>
        <w:rPr>
          <w:rFonts w:ascii="Calibri" w:hAnsi="Calibri" w:cs="Calibri"/>
          <w:color w:val="000000" w:themeColor="text2"/>
          <w:szCs w:val="22"/>
        </w:rPr>
      </w:pPr>
      <w:r w:rsidRPr="004E507B">
        <w:rPr>
          <w:rFonts w:ascii="Calibri" w:hAnsi="Calibri" w:cs="Calibri"/>
          <w:b/>
          <w:bCs/>
          <w:szCs w:val="22"/>
        </w:rPr>
        <w:t>Can pre-service teachers or unregistered applicants apply through the Job Opportunities Pool?</w:t>
      </w:r>
    </w:p>
    <w:p w14:paraId="27EE787C" w14:textId="77777777" w:rsidR="009F3444" w:rsidRPr="004E507B" w:rsidRDefault="009F3444" w:rsidP="009F3444">
      <w:pPr>
        <w:spacing w:after="0"/>
        <w:rPr>
          <w:rFonts w:ascii="Calibri" w:hAnsi="Calibri" w:cs="Calibri"/>
          <w:szCs w:val="22"/>
        </w:rPr>
      </w:pPr>
      <w:r w:rsidRPr="004E507B">
        <w:rPr>
          <w:rFonts w:ascii="Calibri" w:hAnsi="Calibri" w:cs="Calibri"/>
          <w:bCs/>
          <w:color w:val="000000" w:themeColor="text1"/>
          <w:szCs w:val="22"/>
        </w:rPr>
        <w:t>They can create a Job Opportunities Pool profile and will be auto-matched to TRI vacancies,</w:t>
      </w:r>
      <w:r w:rsidRPr="004E507B">
        <w:rPr>
          <w:rFonts w:ascii="Calibri" w:hAnsi="Calibri" w:cs="Calibri"/>
          <w:color w:val="000000" w:themeColor="text2"/>
          <w:szCs w:val="22"/>
        </w:rPr>
        <w:t xml:space="preserve"> </w:t>
      </w:r>
      <w:r w:rsidRPr="004E507B">
        <w:rPr>
          <w:rFonts w:ascii="Calibri" w:hAnsi="Calibri" w:cs="Calibri"/>
          <w:color w:val="000000" w:themeColor="text1"/>
          <w:szCs w:val="22"/>
        </w:rPr>
        <w:t xml:space="preserve">however, if an </w:t>
      </w:r>
      <w:r w:rsidRPr="004E507B">
        <w:rPr>
          <w:rFonts w:ascii="Calibri" w:hAnsi="Calibri" w:cs="Calibri"/>
          <w:szCs w:val="22"/>
        </w:rPr>
        <w:t xml:space="preserve">applicant who can only attain Permission to Teach (PTT) is the successful applicant to a Classroom Teacher position they would be employed as a fixed-term Paraprofessional as per </w:t>
      </w:r>
      <w:hyperlink r:id="rId15" w:history="1">
        <w:r w:rsidRPr="004E507B">
          <w:rPr>
            <w:rStyle w:val="Hyperlink"/>
            <w:rFonts w:ascii="Calibri" w:hAnsi="Calibri" w:cs="Calibri"/>
            <w:szCs w:val="22"/>
          </w:rPr>
          <w:t>department policy</w:t>
        </w:r>
      </w:hyperlink>
      <w:r w:rsidRPr="004E507B">
        <w:rPr>
          <w:rFonts w:ascii="Calibri" w:hAnsi="Calibri" w:cs="Calibri"/>
          <w:szCs w:val="22"/>
        </w:rPr>
        <w:t>. An applicant with PTT cannot be the successful applicant to a Graduate Teacher vacancy as they do not meet the eligibility criteria.</w:t>
      </w:r>
    </w:p>
    <w:p w14:paraId="02910504" w14:textId="77777777" w:rsidR="009F3444" w:rsidRPr="00891812" w:rsidRDefault="009F3444" w:rsidP="009F3444">
      <w:pPr>
        <w:spacing w:after="0"/>
        <w:rPr>
          <w:rFonts w:ascii="Calibri" w:hAnsi="Calibri" w:cs="Calibri"/>
        </w:rPr>
      </w:pPr>
    </w:p>
    <w:p w14:paraId="107A2760" w14:textId="77777777" w:rsidR="009F3444" w:rsidRPr="004E507B" w:rsidRDefault="009F3444" w:rsidP="009F3444">
      <w:pPr>
        <w:spacing w:after="0"/>
        <w:rPr>
          <w:rFonts w:ascii="Calibri" w:hAnsi="Calibri" w:cs="Calibri"/>
          <w:b/>
          <w:bCs/>
        </w:rPr>
      </w:pPr>
      <w:r w:rsidRPr="004E507B">
        <w:rPr>
          <w:rFonts w:ascii="Calibri" w:hAnsi="Calibri" w:cs="Calibri"/>
          <w:b/>
          <w:bCs/>
        </w:rPr>
        <w:t>Will an applicant be seen by other schools even when they have selected a particular school?</w:t>
      </w:r>
    </w:p>
    <w:p w14:paraId="394534D7" w14:textId="77777777" w:rsidR="009F3444" w:rsidRDefault="009F3444" w:rsidP="009F3444">
      <w:pPr>
        <w:spacing w:after="0"/>
        <w:rPr>
          <w:rFonts w:ascii="Calibri" w:hAnsi="Calibri" w:cs="Calibri"/>
        </w:rPr>
      </w:pPr>
      <w:r w:rsidRPr="00B6610B">
        <w:rPr>
          <w:rFonts w:ascii="Calibri" w:hAnsi="Calibri" w:cs="Calibri"/>
          <w:bCs/>
          <w:color w:val="000000" w:themeColor="text1"/>
        </w:rPr>
        <w:t>Applicants may be auto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Pr="00B6610B">
        <w:rPr>
          <w:rFonts w:ascii="Calibri" w:hAnsi="Calibri" w:cs="Calibri"/>
          <w:bCs/>
          <w:color w:val="000000" w:themeColor="text1"/>
        </w:rPr>
        <w:t xml:space="preserve">matched to multiple schools depending on what </w:t>
      </w:r>
      <w:r>
        <w:rPr>
          <w:rFonts w:ascii="Calibri" w:hAnsi="Calibri" w:cs="Calibri"/>
          <w:bCs/>
          <w:color w:val="000000" w:themeColor="text1"/>
        </w:rPr>
        <w:t>preferences they</w:t>
      </w:r>
      <w:r w:rsidRPr="00B6610B">
        <w:rPr>
          <w:rFonts w:ascii="Calibri" w:hAnsi="Calibri" w:cs="Calibri"/>
          <w:bCs/>
          <w:color w:val="000000" w:themeColor="text1"/>
        </w:rPr>
        <w:t xml:space="preserve"> have selected in their Job</w:t>
      </w:r>
      <w:r>
        <w:rPr>
          <w:rFonts w:ascii="Calibri" w:hAnsi="Calibri" w:cs="Calibri"/>
        </w:rPr>
        <w:t xml:space="preserve"> </w:t>
      </w:r>
      <w:r w:rsidRPr="71EF1410">
        <w:rPr>
          <w:rFonts w:ascii="Calibri" w:hAnsi="Calibri" w:cs="Calibri"/>
        </w:rPr>
        <w:t>Opportunities</w:t>
      </w:r>
      <w:r>
        <w:rPr>
          <w:rFonts w:ascii="Calibri" w:hAnsi="Calibri" w:cs="Calibri"/>
        </w:rPr>
        <w:t xml:space="preserve"> profile. Applicants are able to withdraw from a vacancy they are not interested in.</w:t>
      </w:r>
    </w:p>
    <w:p w14:paraId="2F08F7F8" w14:textId="77777777" w:rsidR="009F3444" w:rsidRDefault="009F3444" w:rsidP="009F3444">
      <w:pPr>
        <w:spacing w:after="0"/>
        <w:rPr>
          <w:rFonts w:ascii="Calibri" w:hAnsi="Calibri" w:cs="Calibri"/>
          <w:color w:val="000000"/>
          <w:szCs w:val="22"/>
        </w:rPr>
      </w:pPr>
    </w:p>
    <w:p w14:paraId="061DB319" w14:textId="77777777" w:rsidR="009F3444" w:rsidRPr="00B337CE" w:rsidRDefault="009F3444" w:rsidP="009F3444">
      <w:pPr>
        <w:spacing w:after="0"/>
        <w:rPr>
          <w:rFonts w:ascii="Calibri" w:hAnsi="Calibri" w:cs="Calibri"/>
          <w:b/>
          <w:bCs/>
          <w:color w:val="000000"/>
          <w:szCs w:val="22"/>
        </w:rPr>
      </w:pPr>
      <w:r w:rsidRPr="00B337CE">
        <w:rPr>
          <w:rFonts w:ascii="Calibri" w:hAnsi="Calibri" w:cs="Calibri"/>
          <w:b/>
          <w:bCs/>
          <w:color w:val="000000"/>
          <w:szCs w:val="22"/>
        </w:rPr>
        <w:t>Do applicants get a notification if they are linked to a TRI position?</w:t>
      </w:r>
    </w:p>
    <w:p w14:paraId="3C6C7CEE" w14:textId="77777777" w:rsidR="009F3444" w:rsidRDefault="009F3444" w:rsidP="009F3444">
      <w:pPr>
        <w:rPr>
          <w:rFonts w:ascii="Calibri" w:hAnsi="Calibri" w:cs="Calibri"/>
          <w:bCs/>
          <w:color w:val="000000"/>
          <w:szCs w:val="22"/>
        </w:rPr>
      </w:pPr>
      <w:r w:rsidRPr="002F7B64">
        <w:rPr>
          <w:rFonts w:ascii="Calibri" w:hAnsi="Calibri" w:cs="Calibri"/>
          <w:color w:val="000000"/>
          <w:szCs w:val="22"/>
        </w:rPr>
        <w:t>Yes, applicants get an email notification if they are auto-matched to a TRI vacancy.</w:t>
      </w:r>
    </w:p>
    <w:p w14:paraId="29018ECE" w14:textId="77777777" w:rsidR="009F3444" w:rsidRPr="002E7358" w:rsidRDefault="009F3444" w:rsidP="009F3444">
      <w:pPr>
        <w:rPr>
          <w:rFonts w:ascii="Calibri" w:hAnsi="Calibri" w:cs="Calibri"/>
          <w:b/>
          <w:color w:val="000000"/>
          <w:sz w:val="24"/>
        </w:rPr>
      </w:pPr>
      <w:r w:rsidRPr="002E7358">
        <w:rPr>
          <w:rFonts w:ascii="Calibri" w:hAnsi="Calibri" w:cs="Calibri"/>
          <w:b/>
          <w:color w:val="000000"/>
          <w:sz w:val="24"/>
        </w:rPr>
        <w:t>Is there a guide to give to applicants as to how to register for TRI</w:t>
      </w:r>
      <w:r>
        <w:rPr>
          <w:rFonts w:ascii="Calibri" w:hAnsi="Calibri" w:cs="Calibri"/>
          <w:b/>
          <w:color w:val="000000"/>
          <w:sz w:val="24"/>
        </w:rPr>
        <w:t>?</w:t>
      </w:r>
    </w:p>
    <w:p w14:paraId="3BD02E3B" w14:textId="77777777" w:rsidR="009F3444" w:rsidRDefault="009F3444" w:rsidP="009F3444">
      <w:r>
        <w:rPr>
          <w:rFonts w:ascii="Calibri" w:hAnsi="Calibri" w:cs="Calibri"/>
        </w:rPr>
        <w:t xml:space="preserve">There are several guides to assist school recruiters with the Teacher Recruitment Initiative. Guides are available </w:t>
      </w:r>
      <w:hyperlink r:id="rId16" w:history="1">
        <w:r w:rsidRPr="00B33A6B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563B7B23" w14:textId="77777777" w:rsidR="00263FF7" w:rsidRPr="003C0FF0" w:rsidRDefault="00263FF7" w:rsidP="00263FF7">
      <w:pPr>
        <w:pStyle w:val="Heading2"/>
        <w:rPr>
          <w:rFonts w:ascii="Calibri" w:hAnsi="Calibri" w:cs="Calibri"/>
          <w:color w:val="004C96" w:themeColor="accent1"/>
        </w:rPr>
      </w:pPr>
      <w:bookmarkStart w:id="0" w:name="_Toc149827772"/>
      <w:r w:rsidRPr="003C0FF0">
        <w:rPr>
          <w:rFonts w:ascii="Calibri" w:hAnsi="Calibri" w:cs="Calibri"/>
          <w:color w:val="004C96" w:themeColor="accent1"/>
        </w:rPr>
        <w:t>Assistance</w:t>
      </w:r>
      <w:bookmarkEnd w:id="0"/>
    </w:p>
    <w:p w14:paraId="42EFCC33" w14:textId="77777777" w:rsidR="00263FF7" w:rsidRPr="00CD2C02" w:rsidRDefault="00263FF7" w:rsidP="00263F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</w:rPr>
      </w:pPr>
      <w:r w:rsidRPr="00CD2C02">
        <w:rPr>
          <w:rStyle w:val="normaltextrun"/>
          <w:rFonts w:ascii="Calibri" w:eastAsiaTheme="majorEastAsia" w:hAnsi="Calibri" w:cs="Calibri"/>
          <w:sz w:val="22"/>
          <w:szCs w:val="20"/>
          <w:lang w:val="en-GB"/>
        </w:rPr>
        <w:t xml:space="preserve">For further assistance </w:t>
      </w:r>
      <w:r w:rsidRPr="00CD2C02">
        <w:rPr>
          <w:rStyle w:val="normaltextrun"/>
          <w:rFonts w:ascii="Calibri" w:eastAsiaTheme="majorEastAsia" w:hAnsi="Calibri" w:cs="Calibri"/>
          <w:sz w:val="22"/>
          <w:szCs w:val="22"/>
        </w:rPr>
        <w:t>regarding the Teacher Recruitment Initiative contact the Schools Workforce Initiatives:</w:t>
      </w:r>
    </w:p>
    <w:p w14:paraId="04799C3E" w14:textId="77777777" w:rsidR="00263FF7" w:rsidRDefault="00263FF7" w:rsidP="00263F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0"/>
          <w:lang w:val="en-GB"/>
        </w:rPr>
      </w:pPr>
      <w:r w:rsidRPr="00CD2C02">
        <w:rPr>
          <w:rStyle w:val="normaltextrun"/>
          <w:rFonts w:ascii="Calibri" w:eastAsiaTheme="majorEastAsia" w:hAnsi="Calibri" w:cs="Calibri"/>
          <w:b/>
          <w:bCs/>
          <w:sz w:val="22"/>
          <w:szCs w:val="20"/>
          <w:lang w:val="en-GB"/>
        </w:rPr>
        <w:t xml:space="preserve">Phone: </w:t>
      </w:r>
      <w:r w:rsidRPr="00CD2C02">
        <w:rPr>
          <w:rStyle w:val="normaltextrun"/>
          <w:rFonts w:ascii="Calibri" w:eastAsiaTheme="majorEastAsia" w:hAnsi="Calibri" w:cs="Calibri"/>
          <w:sz w:val="22"/>
          <w:szCs w:val="20"/>
          <w:lang w:val="en-GB"/>
        </w:rPr>
        <w:t>03 7022 5555</w:t>
      </w:r>
    </w:p>
    <w:p w14:paraId="486BB696" w14:textId="77777777" w:rsidR="00263FF7" w:rsidRPr="00CD2C02" w:rsidRDefault="00263FF7" w:rsidP="00263F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D2C02">
        <w:rPr>
          <w:rStyle w:val="normaltextrun"/>
          <w:rFonts w:ascii="Calibri" w:eastAsiaTheme="majorEastAsia" w:hAnsi="Calibri" w:cs="Calibri"/>
          <w:b/>
          <w:bCs/>
          <w:sz w:val="22"/>
          <w:szCs w:val="20"/>
          <w:lang w:val="en-GB"/>
        </w:rPr>
        <w:t>Email:</w:t>
      </w:r>
      <w:r w:rsidRPr="00CD2C02">
        <w:rPr>
          <w:rStyle w:val="normaltextrun"/>
          <w:rFonts w:ascii="Calibri" w:eastAsiaTheme="majorEastAsia" w:hAnsi="Calibri" w:cs="Calibri"/>
          <w:color w:val="0000FF"/>
          <w:sz w:val="22"/>
          <w:szCs w:val="20"/>
          <w:u w:val="single"/>
          <w:lang w:val="en-GB"/>
        </w:rPr>
        <w:t xml:space="preserve"> </w:t>
      </w:r>
      <w:hyperlink r:id="rId17" w:tgtFrame="_blank" w:history="1">
        <w:r w:rsidRPr="00CD2C02">
          <w:rPr>
            <w:rStyle w:val="normaltextrun"/>
            <w:rFonts w:ascii="Calibri" w:eastAsiaTheme="majorEastAsia" w:hAnsi="Calibri" w:cs="Calibri"/>
            <w:color w:val="0000FF"/>
            <w:sz w:val="22"/>
            <w:szCs w:val="20"/>
            <w:lang w:val="en-GB"/>
          </w:rPr>
          <w:t>swg_policy.initiatives@education.vic.gov.au</w:t>
        </w:r>
      </w:hyperlink>
    </w:p>
    <w:p w14:paraId="59B77925" w14:textId="77777777" w:rsidR="003D6D5D" w:rsidRPr="00263D7D" w:rsidRDefault="003D6D5D" w:rsidP="0030321B">
      <w:pPr>
        <w:spacing w:after="0"/>
      </w:pPr>
    </w:p>
    <w:sectPr w:rsidR="003D6D5D" w:rsidRPr="00263D7D" w:rsidSect="006E2B9A">
      <w:headerReference w:type="default" r:id="rId18"/>
      <w:footerReference w:type="even" r:id="rId19"/>
      <w:footerReference w:type="default" r:id="rId20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71DF" w14:textId="77777777" w:rsidR="000864FB" w:rsidRDefault="000864FB" w:rsidP="003967DD">
      <w:pPr>
        <w:spacing w:after="0"/>
      </w:pPr>
      <w:r>
        <w:separator/>
      </w:r>
    </w:p>
  </w:endnote>
  <w:endnote w:type="continuationSeparator" w:id="0">
    <w:p w14:paraId="73782A11" w14:textId="77777777" w:rsidR="000864FB" w:rsidRDefault="000864F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5DC95845" w:rsidR="00A31926" w:rsidRPr="009F1669" w:rsidRDefault="009F1669" w:rsidP="00A31926">
    <w:pPr>
      <w:pStyle w:val="Footer"/>
      <w:ind w:firstLine="360"/>
      <w:rPr>
        <w:rFonts w:ascii="Calibri" w:hAnsi="Calibri" w:cs="Calibri"/>
      </w:rPr>
    </w:pPr>
    <w:r w:rsidRPr="009F1669">
      <w:rPr>
        <w:rFonts w:ascii="Calibri" w:hAnsi="Calibri" w:cs="Calibri"/>
      </w:rPr>
      <w:t>TRI Applicant Frequently Asked Questions</w:t>
    </w:r>
    <w:r w:rsidRPr="009F1669">
      <w:rPr>
        <w:rFonts w:ascii="Calibri" w:hAnsi="Calibri" w:cs="Calibri"/>
      </w:rPr>
      <w:tab/>
    </w:r>
    <w:r w:rsidRPr="009F1669">
      <w:rPr>
        <w:rFonts w:ascii="Calibri" w:hAnsi="Calibri" w:cs="Calibri"/>
      </w:rPr>
      <w:tab/>
      <w:t>2 November 2023</w:t>
    </w:r>
    <w:r w:rsidR="002F2458" w:rsidRPr="009F1669">
      <w:rPr>
        <w:rFonts w:ascii="Calibri" w:hAnsi="Calibri" w:cs="Calibri"/>
      </w:rPr>
      <w:tab/>
    </w:r>
    <w:r w:rsidR="002F2458" w:rsidRPr="009F1669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3D46" w14:textId="77777777" w:rsidR="000864FB" w:rsidRDefault="000864FB" w:rsidP="003967DD">
      <w:pPr>
        <w:spacing w:after="0"/>
      </w:pPr>
      <w:r>
        <w:separator/>
      </w:r>
    </w:p>
  </w:footnote>
  <w:footnote w:type="continuationSeparator" w:id="0">
    <w:p w14:paraId="647C5F1C" w14:textId="77777777" w:rsidR="000864FB" w:rsidRDefault="000864F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37A27"/>
    <w:multiLevelType w:val="hybridMultilevel"/>
    <w:tmpl w:val="3F74C4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3154D"/>
    <w:multiLevelType w:val="hybridMultilevel"/>
    <w:tmpl w:val="A3D22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C3E1E"/>
    <w:multiLevelType w:val="hybridMultilevel"/>
    <w:tmpl w:val="98E03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650B0"/>
    <w:multiLevelType w:val="hybridMultilevel"/>
    <w:tmpl w:val="7FE85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A13D0"/>
    <w:multiLevelType w:val="hybridMultilevel"/>
    <w:tmpl w:val="8CD2E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30FD1"/>
    <w:multiLevelType w:val="hybridMultilevel"/>
    <w:tmpl w:val="AC189DDA"/>
    <w:lvl w:ilvl="0" w:tplc="A2AAF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8C46C7"/>
    <w:multiLevelType w:val="hybridMultilevel"/>
    <w:tmpl w:val="94365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3A6F"/>
    <w:multiLevelType w:val="multilevel"/>
    <w:tmpl w:val="C27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C371B"/>
    <w:multiLevelType w:val="hybridMultilevel"/>
    <w:tmpl w:val="EA52D5F6"/>
    <w:lvl w:ilvl="0" w:tplc="EF88F7A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B4460"/>
    <w:multiLevelType w:val="hybridMultilevel"/>
    <w:tmpl w:val="1902C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6664"/>
    <w:multiLevelType w:val="hybridMultilevel"/>
    <w:tmpl w:val="67E8B7F4"/>
    <w:lvl w:ilvl="0" w:tplc="24C63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3B3939"/>
    <w:multiLevelType w:val="hybridMultilevel"/>
    <w:tmpl w:val="EE200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140A8"/>
    <w:multiLevelType w:val="hybridMultilevel"/>
    <w:tmpl w:val="29F0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5"/>
  </w:num>
  <w:num w:numId="13" w16cid:durableId="188613596">
    <w:abstractNumId w:val="24"/>
  </w:num>
  <w:num w:numId="14" w16cid:durableId="1028719018">
    <w:abstractNumId w:val="26"/>
  </w:num>
  <w:num w:numId="15" w16cid:durableId="830563023">
    <w:abstractNumId w:val="13"/>
  </w:num>
  <w:num w:numId="16" w16cid:durableId="4330992">
    <w:abstractNumId w:val="19"/>
  </w:num>
  <w:num w:numId="17" w16cid:durableId="1700937582">
    <w:abstractNumId w:val="14"/>
  </w:num>
  <w:num w:numId="18" w16cid:durableId="746194647">
    <w:abstractNumId w:val="22"/>
  </w:num>
  <w:num w:numId="19" w16cid:durableId="95253466">
    <w:abstractNumId w:val="12"/>
  </w:num>
  <w:num w:numId="20" w16cid:durableId="1379629937">
    <w:abstractNumId w:val="17"/>
  </w:num>
  <w:num w:numId="21" w16cid:durableId="1077360537">
    <w:abstractNumId w:val="11"/>
  </w:num>
  <w:num w:numId="22" w16cid:durableId="755060157">
    <w:abstractNumId w:val="28"/>
  </w:num>
  <w:num w:numId="23" w16cid:durableId="484588322">
    <w:abstractNumId w:val="23"/>
  </w:num>
  <w:num w:numId="24" w16cid:durableId="1688672734">
    <w:abstractNumId w:val="25"/>
  </w:num>
  <w:num w:numId="25" w16cid:durableId="775518705">
    <w:abstractNumId w:val="29"/>
  </w:num>
  <w:num w:numId="26" w16cid:durableId="1526019626">
    <w:abstractNumId w:val="27"/>
  </w:num>
  <w:num w:numId="27" w16cid:durableId="685135711">
    <w:abstractNumId w:val="20"/>
  </w:num>
  <w:num w:numId="28" w16cid:durableId="353725735">
    <w:abstractNumId w:val="18"/>
  </w:num>
  <w:num w:numId="29" w16cid:durableId="1396195354">
    <w:abstractNumId w:val="16"/>
  </w:num>
  <w:num w:numId="30" w16cid:durableId="19801088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5645F"/>
    <w:rsid w:val="00080DA9"/>
    <w:rsid w:val="000861DD"/>
    <w:rsid w:val="000864FB"/>
    <w:rsid w:val="00095D41"/>
    <w:rsid w:val="000A47D4"/>
    <w:rsid w:val="000B677A"/>
    <w:rsid w:val="000C1C08"/>
    <w:rsid w:val="000C371F"/>
    <w:rsid w:val="000C600E"/>
    <w:rsid w:val="000C6E47"/>
    <w:rsid w:val="00122369"/>
    <w:rsid w:val="00150E0F"/>
    <w:rsid w:val="00157212"/>
    <w:rsid w:val="0016287D"/>
    <w:rsid w:val="00163408"/>
    <w:rsid w:val="0017285E"/>
    <w:rsid w:val="00173634"/>
    <w:rsid w:val="001D0D94"/>
    <w:rsid w:val="001D13F9"/>
    <w:rsid w:val="001E3075"/>
    <w:rsid w:val="001F39DD"/>
    <w:rsid w:val="00214E6D"/>
    <w:rsid w:val="00244410"/>
    <w:rsid w:val="002512BE"/>
    <w:rsid w:val="00253311"/>
    <w:rsid w:val="00263D7D"/>
    <w:rsid w:val="00263FF7"/>
    <w:rsid w:val="00275FB8"/>
    <w:rsid w:val="00280B11"/>
    <w:rsid w:val="002833EF"/>
    <w:rsid w:val="002A4A96"/>
    <w:rsid w:val="002C0C0C"/>
    <w:rsid w:val="002D38AD"/>
    <w:rsid w:val="002E3BED"/>
    <w:rsid w:val="002F2458"/>
    <w:rsid w:val="002F6115"/>
    <w:rsid w:val="002F7833"/>
    <w:rsid w:val="00302E3F"/>
    <w:rsid w:val="0030321B"/>
    <w:rsid w:val="00312720"/>
    <w:rsid w:val="00343AFC"/>
    <w:rsid w:val="0034745C"/>
    <w:rsid w:val="00361C20"/>
    <w:rsid w:val="00362D40"/>
    <w:rsid w:val="00394C86"/>
    <w:rsid w:val="003967DD"/>
    <w:rsid w:val="003A4C39"/>
    <w:rsid w:val="003D6D5D"/>
    <w:rsid w:val="004157F5"/>
    <w:rsid w:val="0042333B"/>
    <w:rsid w:val="004308F9"/>
    <w:rsid w:val="0043482F"/>
    <w:rsid w:val="00437B70"/>
    <w:rsid w:val="00476159"/>
    <w:rsid w:val="004A6F6D"/>
    <w:rsid w:val="004B2ED6"/>
    <w:rsid w:val="004B71E2"/>
    <w:rsid w:val="004F231E"/>
    <w:rsid w:val="00512BBA"/>
    <w:rsid w:val="00515D78"/>
    <w:rsid w:val="00540132"/>
    <w:rsid w:val="005478A0"/>
    <w:rsid w:val="00555277"/>
    <w:rsid w:val="00567CF0"/>
    <w:rsid w:val="00584366"/>
    <w:rsid w:val="005A4F12"/>
    <w:rsid w:val="005E12F9"/>
    <w:rsid w:val="00624A55"/>
    <w:rsid w:val="006671CE"/>
    <w:rsid w:val="00670E1F"/>
    <w:rsid w:val="006813D2"/>
    <w:rsid w:val="00697E1E"/>
    <w:rsid w:val="006A1F8A"/>
    <w:rsid w:val="006A25AC"/>
    <w:rsid w:val="006C45C0"/>
    <w:rsid w:val="006E2B9A"/>
    <w:rsid w:val="00702831"/>
    <w:rsid w:val="00710CED"/>
    <w:rsid w:val="00735566"/>
    <w:rsid w:val="00760076"/>
    <w:rsid w:val="00767573"/>
    <w:rsid w:val="007A1EAA"/>
    <w:rsid w:val="007A4FB1"/>
    <w:rsid w:val="007B556E"/>
    <w:rsid w:val="007D3E38"/>
    <w:rsid w:val="00805881"/>
    <w:rsid w:val="008065DA"/>
    <w:rsid w:val="00807BD2"/>
    <w:rsid w:val="00847C7B"/>
    <w:rsid w:val="00865BBA"/>
    <w:rsid w:val="00875E2D"/>
    <w:rsid w:val="00890680"/>
    <w:rsid w:val="00892E24"/>
    <w:rsid w:val="008A4ADB"/>
    <w:rsid w:val="008A74C9"/>
    <w:rsid w:val="008B1737"/>
    <w:rsid w:val="008B7087"/>
    <w:rsid w:val="008C08D0"/>
    <w:rsid w:val="008C2861"/>
    <w:rsid w:val="008F3D35"/>
    <w:rsid w:val="009245FA"/>
    <w:rsid w:val="00952690"/>
    <w:rsid w:val="00960310"/>
    <w:rsid w:val="0098597E"/>
    <w:rsid w:val="009926F4"/>
    <w:rsid w:val="009B0A07"/>
    <w:rsid w:val="009E0763"/>
    <w:rsid w:val="009F1669"/>
    <w:rsid w:val="009F3444"/>
    <w:rsid w:val="009F6A77"/>
    <w:rsid w:val="00A31926"/>
    <w:rsid w:val="00A710DF"/>
    <w:rsid w:val="00A9651C"/>
    <w:rsid w:val="00B16249"/>
    <w:rsid w:val="00B2012A"/>
    <w:rsid w:val="00B21562"/>
    <w:rsid w:val="00B2169D"/>
    <w:rsid w:val="00B336F0"/>
    <w:rsid w:val="00B37504"/>
    <w:rsid w:val="00B8297F"/>
    <w:rsid w:val="00BB303C"/>
    <w:rsid w:val="00BC0A30"/>
    <w:rsid w:val="00BF40B3"/>
    <w:rsid w:val="00BF64EB"/>
    <w:rsid w:val="00C22E2A"/>
    <w:rsid w:val="00C3108F"/>
    <w:rsid w:val="00C509A3"/>
    <w:rsid w:val="00C539BB"/>
    <w:rsid w:val="00C66ABB"/>
    <w:rsid w:val="00CA4465"/>
    <w:rsid w:val="00CC5AA8"/>
    <w:rsid w:val="00CD5993"/>
    <w:rsid w:val="00CE2EE2"/>
    <w:rsid w:val="00D552EC"/>
    <w:rsid w:val="00D74C4F"/>
    <w:rsid w:val="00D9777A"/>
    <w:rsid w:val="00DC4D0D"/>
    <w:rsid w:val="00DD1106"/>
    <w:rsid w:val="00E34263"/>
    <w:rsid w:val="00E34721"/>
    <w:rsid w:val="00E4317E"/>
    <w:rsid w:val="00E47C86"/>
    <w:rsid w:val="00E5030B"/>
    <w:rsid w:val="00E64758"/>
    <w:rsid w:val="00E77EB9"/>
    <w:rsid w:val="00EA13AB"/>
    <w:rsid w:val="00EA3D54"/>
    <w:rsid w:val="00EB68E6"/>
    <w:rsid w:val="00ED34C7"/>
    <w:rsid w:val="00EF57AB"/>
    <w:rsid w:val="00F15002"/>
    <w:rsid w:val="00F25269"/>
    <w:rsid w:val="00F5271F"/>
    <w:rsid w:val="00F94715"/>
    <w:rsid w:val="00F97A3B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7C7B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2F2458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HRM-Para-1Char">
    <w:name w:val="HRM-Para-1 Char"/>
    <w:basedOn w:val="DefaultParagraphFont"/>
    <w:link w:val="HRM-Para-1"/>
    <w:locked/>
    <w:rsid w:val="002F2458"/>
    <w:rPr>
      <w:rFonts w:ascii="Calibri" w:hAnsi="Calibri"/>
      <w:sz w:val="20"/>
    </w:rPr>
  </w:style>
  <w:style w:type="paragraph" w:customStyle="1" w:styleId="HRM-Para-1">
    <w:name w:val="HRM-Para-1"/>
    <w:basedOn w:val="Normal"/>
    <w:link w:val="HRM-Para-1Char"/>
    <w:qFormat/>
    <w:rsid w:val="002F2458"/>
    <w:rPr>
      <w:rFonts w:ascii="Calibri" w:hAnsi="Calibri"/>
      <w:sz w:val="20"/>
    </w:rPr>
  </w:style>
  <w:style w:type="paragraph" w:styleId="NormalWeb">
    <w:name w:val="Normal (Web)"/>
    <w:basedOn w:val="Normal"/>
    <w:uiPriority w:val="99"/>
    <w:unhideWhenUsed/>
    <w:rsid w:val="002F24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6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076"/>
    <w:rPr>
      <w:sz w:val="22"/>
    </w:rPr>
  </w:style>
  <w:style w:type="paragraph" w:customStyle="1" w:styleId="paragraph">
    <w:name w:val="paragraph"/>
    <w:basedOn w:val="Normal"/>
    <w:rsid w:val="00263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26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hrweb/careers/Pages/advacsSCH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hrweb/careers/Pages/advacsSCH.aspx" TargetMode="External"/><Relationship Id="rId17" Type="http://schemas.openxmlformats.org/officeDocument/2006/relationships/hyperlink" Target="mailto:swg_policy.initiatives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hrweb/careers/Pages/rol_help_applicant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hrweb/careers/Pages/advacsSCH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recruitment-schools/policy-and-guidelines/advertising-vacanci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hrweb/careers/Pages/rol_help_applicant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b1688cb4a3a940449dc8286705012a42 xmlns="84571637-c7f9-44a1-95b1-d459eb7afb4e">
      <Terms xmlns="http://schemas.microsoft.com/office/infopath/2007/PartnerControls"/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7D495-5A07-431C-B075-FEE0F2907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3446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Cathie Nind</cp:lastModifiedBy>
  <cp:revision>8</cp:revision>
  <dcterms:created xsi:type="dcterms:W3CDTF">2023-11-02T03:34:00Z</dcterms:created>
  <dcterms:modified xsi:type="dcterms:W3CDTF">2023-11-02T03:44:00Z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GrammarlyDocumentId">
    <vt:lpwstr>d7f547d88d3ee9a81906e0a44859f87f21b1771aa28ef9049e2199a461682078</vt:lpwstr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