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E09C" w14:textId="7A220D0F" w:rsidR="00E041B4" w:rsidRPr="00B75131" w:rsidRDefault="007754D1" w:rsidP="0039567B">
      <w:pPr>
        <w:pStyle w:val="FormName"/>
        <w:spacing w:before="240" w:after="120" w:line="276" w:lineRule="auto"/>
        <w:jc w:val="both"/>
        <w:rPr>
          <w:sz w:val="22"/>
          <w:szCs w:val="22"/>
          <w:lang w:val="en-US"/>
        </w:rPr>
      </w:pPr>
      <w:r w:rsidRPr="002C262B">
        <w:rPr>
          <w:sz w:val="48"/>
        </w:rPr>
        <w:t>Swimming Pool Inspection Checklist</w:t>
      </w:r>
    </w:p>
    <w:tbl>
      <w:tblPr>
        <w:tblW w:w="1024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  <w:tblCaption w:val="Details"/>
        <w:tblDescription w:val="Date of inspection, name of workplace and person performing the inspection"/>
      </w:tblPr>
      <w:tblGrid>
        <w:gridCol w:w="2306"/>
        <w:gridCol w:w="7934"/>
      </w:tblGrid>
      <w:tr w:rsidR="00922204" w:rsidRPr="00B75131" w14:paraId="1429A9DB" w14:textId="77777777" w:rsidTr="000A2403">
        <w:trPr>
          <w:trHeight w:val="416"/>
          <w:jc w:val="center"/>
        </w:trPr>
        <w:tc>
          <w:tcPr>
            <w:tcW w:w="2306" w:type="dxa"/>
            <w:shd w:val="clear" w:color="auto" w:fill="004C97"/>
            <w:vAlign w:val="center"/>
          </w:tcPr>
          <w:p w14:paraId="07375A9F" w14:textId="77777777" w:rsidR="00922204" w:rsidRPr="00922204" w:rsidRDefault="00922204" w:rsidP="00F34F07">
            <w:pPr>
              <w:spacing w:before="120" w:after="120" w:line="276" w:lineRule="auto"/>
              <w:rPr>
                <w:b/>
                <w:color w:val="FFFFFF" w:themeColor="background1"/>
              </w:rPr>
            </w:pPr>
            <w:r w:rsidRPr="00922204"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7934" w:type="dxa"/>
            <w:vAlign w:val="center"/>
          </w:tcPr>
          <w:p w14:paraId="719C4C57" w14:textId="77777777" w:rsidR="00922204" w:rsidRPr="00B75131" w:rsidRDefault="00922204" w:rsidP="00F34F07">
            <w:pPr>
              <w:spacing w:before="120" w:after="120" w:line="276" w:lineRule="auto"/>
              <w:rPr>
                <w:b/>
              </w:rPr>
            </w:pPr>
          </w:p>
        </w:tc>
      </w:tr>
      <w:tr w:rsidR="00922204" w:rsidRPr="00B75131" w14:paraId="4283857C" w14:textId="77777777" w:rsidTr="000A2403">
        <w:trPr>
          <w:trHeight w:val="416"/>
          <w:jc w:val="center"/>
        </w:trPr>
        <w:tc>
          <w:tcPr>
            <w:tcW w:w="2306" w:type="dxa"/>
            <w:shd w:val="clear" w:color="auto" w:fill="004C97"/>
            <w:vAlign w:val="center"/>
          </w:tcPr>
          <w:p w14:paraId="1D6600F7" w14:textId="616D0698" w:rsidR="00922204" w:rsidRPr="00922204" w:rsidRDefault="001D41D9" w:rsidP="00F34F07">
            <w:pPr>
              <w:spacing w:before="120" w:after="12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School/</w:t>
            </w:r>
            <w:r w:rsidR="00AA318A">
              <w:rPr>
                <w:b/>
                <w:color w:val="FFFFFF" w:themeColor="background1"/>
              </w:rPr>
              <w:t xml:space="preserve">area </w:t>
            </w:r>
          </w:p>
        </w:tc>
        <w:tc>
          <w:tcPr>
            <w:tcW w:w="7934" w:type="dxa"/>
            <w:vAlign w:val="center"/>
          </w:tcPr>
          <w:p w14:paraId="6D3FC55D" w14:textId="77777777" w:rsidR="00922204" w:rsidRPr="00B75131" w:rsidRDefault="00922204" w:rsidP="00F34F07">
            <w:pPr>
              <w:spacing w:before="120" w:after="120" w:line="276" w:lineRule="auto"/>
              <w:rPr>
                <w:b/>
              </w:rPr>
            </w:pPr>
          </w:p>
        </w:tc>
      </w:tr>
      <w:tr w:rsidR="00922204" w:rsidRPr="00B75131" w14:paraId="40349E99" w14:textId="77777777" w:rsidTr="000A2403">
        <w:trPr>
          <w:trHeight w:val="416"/>
          <w:jc w:val="center"/>
        </w:trPr>
        <w:tc>
          <w:tcPr>
            <w:tcW w:w="2306" w:type="dxa"/>
            <w:shd w:val="clear" w:color="auto" w:fill="004C97"/>
            <w:vAlign w:val="center"/>
          </w:tcPr>
          <w:p w14:paraId="4AA4B3E6" w14:textId="41CA004F" w:rsidR="00922204" w:rsidRPr="00922204" w:rsidRDefault="001D41D9" w:rsidP="00F34F07">
            <w:pPr>
              <w:spacing w:before="120" w:after="12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Conducted by</w:t>
            </w:r>
          </w:p>
        </w:tc>
        <w:tc>
          <w:tcPr>
            <w:tcW w:w="7934" w:type="dxa"/>
            <w:vAlign w:val="center"/>
          </w:tcPr>
          <w:p w14:paraId="2B964DD5" w14:textId="77777777" w:rsidR="00922204" w:rsidRPr="00B75131" w:rsidRDefault="00922204" w:rsidP="00F34F07">
            <w:pPr>
              <w:spacing w:before="120" w:after="120" w:line="276" w:lineRule="auto"/>
              <w:rPr>
                <w:b/>
              </w:rPr>
            </w:pPr>
          </w:p>
        </w:tc>
      </w:tr>
      <w:tr w:rsidR="00922204" w:rsidRPr="00B75131" w14:paraId="442C7D20" w14:textId="77777777" w:rsidTr="000A2403">
        <w:trPr>
          <w:trHeight w:val="416"/>
          <w:jc w:val="center"/>
        </w:trPr>
        <w:tc>
          <w:tcPr>
            <w:tcW w:w="2306" w:type="dxa"/>
            <w:tcBorders>
              <w:bottom w:val="single" w:sz="8" w:space="0" w:color="000000" w:themeColor="text1"/>
            </w:tcBorders>
            <w:shd w:val="clear" w:color="auto" w:fill="004C97"/>
            <w:vAlign w:val="center"/>
          </w:tcPr>
          <w:p w14:paraId="3DB53297" w14:textId="4AC77788" w:rsidR="00922204" w:rsidRPr="00922204" w:rsidRDefault="001D41D9" w:rsidP="00F34F07">
            <w:pPr>
              <w:spacing w:before="120" w:after="12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Assisted by </w:t>
            </w:r>
          </w:p>
        </w:tc>
        <w:tc>
          <w:tcPr>
            <w:tcW w:w="7934" w:type="dxa"/>
            <w:tcBorders>
              <w:bottom w:val="single" w:sz="8" w:space="0" w:color="000000" w:themeColor="text1"/>
            </w:tcBorders>
            <w:vAlign w:val="center"/>
          </w:tcPr>
          <w:p w14:paraId="6B62B0FB" w14:textId="77777777" w:rsidR="00922204" w:rsidRPr="00B75131" w:rsidRDefault="00922204" w:rsidP="00F34F07">
            <w:pPr>
              <w:spacing w:before="120" w:after="120" w:line="276" w:lineRule="auto"/>
              <w:rPr>
                <w:b/>
              </w:rPr>
            </w:pPr>
          </w:p>
        </w:tc>
      </w:tr>
    </w:tbl>
    <w:p w14:paraId="4EA34364" w14:textId="5E9DBE63" w:rsidR="00106568" w:rsidRPr="00AE18CC" w:rsidRDefault="00106568" w:rsidP="008433A5">
      <w:pPr>
        <w:pBdr>
          <w:top w:val="single" w:sz="4" w:space="18" w:color="004C97"/>
        </w:pBdr>
        <w:spacing w:before="120" w:after="120" w:line="276" w:lineRule="auto"/>
        <w:ind w:right="118"/>
        <w:rPr>
          <w:rFonts w:eastAsia="Arial"/>
          <w:bCs/>
          <w:color w:val="004C97"/>
        </w:rPr>
      </w:pPr>
      <w:bookmarkStart w:id="0" w:name="_Hlk111482252"/>
      <w:r w:rsidRPr="00AE18CC">
        <w:rPr>
          <w:color w:val="004C97"/>
        </w:rPr>
        <w:t xml:space="preserve">Tailor </w:t>
      </w:r>
      <w:r w:rsidRPr="00AE18CC">
        <w:rPr>
          <w:b/>
          <w:color w:val="004C97"/>
        </w:rPr>
        <w:t xml:space="preserve">Section </w:t>
      </w:r>
      <w:r w:rsidRPr="00AE18CC">
        <w:rPr>
          <w:rFonts w:eastAsia="Arial"/>
          <w:b/>
          <w:color w:val="004C97"/>
        </w:rPr>
        <w:t>1</w:t>
      </w:r>
      <w:r w:rsidRPr="00AE18CC">
        <w:rPr>
          <w:color w:val="004C97"/>
        </w:rPr>
        <w:t xml:space="preserve"> to </w:t>
      </w:r>
      <w:r w:rsidR="0060279D" w:rsidRPr="00AE18CC">
        <w:rPr>
          <w:color w:val="004C97"/>
        </w:rPr>
        <w:t xml:space="preserve">the inspection requirements of </w:t>
      </w:r>
      <w:r w:rsidRPr="00AE18CC">
        <w:rPr>
          <w:color w:val="004C97"/>
        </w:rPr>
        <w:t>your school</w:t>
      </w:r>
      <w:r w:rsidRPr="00AE18CC">
        <w:rPr>
          <w:rFonts w:eastAsia="Arial"/>
          <w:bCs/>
          <w:color w:val="004C97"/>
        </w:rPr>
        <w:t xml:space="preserve"> environment (i.e.</w:t>
      </w:r>
      <w:r w:rsidR="00A34BCC" w:rsidRPr="00AE18CC">
        <w:rPr>
          <w:rFonts w:eastAsia="Arial"/>
          <w:bCs/>
          <w:color w:val="004C97"/>
        </w:rPr>
        <w:t xml:space="preserve"> </w:t>
      </w:r>
      <w:r w:rsidRPr="00AE18CC">
        <w:rPr>
          <w:rFonts w:eastAsia="Arial"/>
          <w:bCs/>
          <w:color w:val="004C97"/>
        </w:rPr>
        <w:t>remove irrelevant items)</w:t>
      </w:r>
      <w:r w:rsidRPr="00AE18CC">
        <w:rPr>
          <w:color w:val="004C97"/>
        </w:rPr>
        <w:t xml:space="preserve"> and use it to conduct quarterly inspections with assistance from the </w:t>
      </w:r>
      <w:r w:rsidR="0043675D" w:rsidRPr="00AE18CC">
        <w:rPr>
          <w:color w:val="004C97"/>
        </w:rPr>
        <w:t>school health</w:t>
      </w:r>
      <w:r w:rsidRPr="00AE18CC">
        <w:rPr>
          <w:rFonts w:eastAsia="Arial"/>
          <w:bCs/>
          <w:color w:val="004C97"/>
        </w:rPr>
        <w:t xml:space="preserve"> and safety representative (where</w:t>
      </w:r>
      <w:r w:rsidRPr="00AE18CC">
        <w:rPr>
          <w:color w:val="004C97"/>
        </w:rPr>
        <w:t xml:space="preserve"> elected</w:t>
      </w:r>
      <w:r w:rsidRPr="00AE18CC">
        <w:rPr>
          <w:rFonts w:eastAsia="Arial"/>
          <w:bCs/>
          <w:color w:val="004C97"/>
        </w:rPr>
        <w:t xml:space="preserve">) and appropriate staff. </w:t>
      </w:r>
      <w:r w:rsidRPr="00AE18CC">
        <w:rPr>
          <w:b/>
          <w:color w:val="004C97"/>
        </w:rPr>
        <w:t>Section 2</w:t>
      </w:r>
      <w:r w:rsidRPr="00AE18CC">
        <w:rPr>
          <w:color w:val="004C97"/>
        </w:rPr>
        <w:t xml:space="preserve"> </w:t>
      </w:r>
      <w:r w:rsidR="00A34BCC" w:rsidRPr="00AE18CC">
        <w:rPr>
          <w:color w:val="004C97"/>
        </w:rPr>
        <w:t xml:space="preserve">must </w:t>
      </w:r>
      <w:r w:rsidRPr="00AE18CC">
        <w:rPr>
          <w:color w:val="004C97"/>
        </w:rPr>
        <w:t>be used to detail any hazards identified in Section 1.</w:t>
      </w:r>
    </w:p>
    <w:p w14:paraId="685D3974" w14:textId="77777777" w:rsidR="00106568" w:rsidRPr="00AE18CC" w:rsidRDefault="00106568" w:rsidP="008433A5">
      <w:pPr>
        <w:numPr>
          <w:ilvl w:val="0"/>
          <w:numId w:val="7"/>
        </w:numPr>
        <w:pBdr>
          <w:top w:val="single" w:sz="4" w:space="1" w:color="4472C4" w:themeColor="accent5"/>
        </w:pBdr>
        <w:spacing w:before="120" w:after="120" w:line="276" w:lineRule="auto"/>
        <w:rPr>
          <w:color w:val="004C97"/>
        </w:rPr>
      </w:pPr>
      <w:r w:rsidRPr="00AE18CC">
        <w:rPr>
          <w:color w:val="004C97"/>
        </w:rPr>
        <w:t xml:space="preserve">Complete quarterly workplace safety inspections for all relevant areas using the workplace inspection checklists. </w:t>
      </w:r>
    </w:p>
    <w:p w14:paraId="5B720715" w14:textId="2DDFE003" w:rsidR="00106568" w:rsidRPr="00AE18CC" w:rsidRDefault="00106568" w:rsidP="008433A5">
      <w:pPr>
        <w:numPr>
          <w:ilvl w:val="0"/>
          <w:numId w:val="7"/>
        </w:numPr>
        <w:pBdr>
          <w:top w:val="single" w:sz="4" w:space="1" w:color="4472C4" w:themeColor="accent5"/>
        </w:pBdr>
        <w:spacing w:before="120" w:after="120" w:line="276" w:lineRule="auto"/>
        <w:rPr>
          <w:color w:val="004C97"/>
        </w:rPr>
      </w:pPr>
      <w:r w:rsidRPr="00AE18CC">
        <w:rPr>
          <w:color w:val="004C97"/>
        </w:rPr>
        <w:t xml:space="preserve">Photos </w:t>
      </w:r>
      <w:r w:rsidR="00A34BCC" w:rsidRPr="00AE18CC">
        <w:rPr>
          <w:color w:val="004C97"/>
        </w:rPr>
        <w:t>may</w:t>
      </w:r>
      <w:r w:rsidRPr="00AE18CC">
        <w:rPr>
          <w:color w:val="004C97"/>
        </w:rPr>
        <w:t xml:space="preserve"> be taken to document and monitor hazards.</w:t>
      </w:r>
    </w:p>
    <w:p w14:paraId="408698B4" w14:textId="698FD0EE" w:rsidR="00106568" w:rsidRPr="00AE18CC" w:rsidRDefault="00106568" w:rsidP="008433A5">
      <w:pPr>
        <w:numPr>
          <w:ilvl w:val="0"/>
          <w:numId w:val="7"/>
        </w:numPr>
        <w:pBdr>
          <w:top w:val="single" w:sz="4" w:space="1" w:color="4472C4" w:themeColor="accent5"/>
        </w:pBdr>
        <w:spacing w:before="120" w:after="120" w:line="276" w:lineRule="auto"/>
        <w:rPr>
          <w:color w:val="004C97"/>
        </w:rPr>
      </w:pPr>
      <w:r w:rsidRPr="00AE18CC">
        <w:rPr>
          <w:color w:val="004C97"/>
        </w:rPr>
        <w:t>If ‘No’ is recorded, document all identified hazards in Section 2, the Reporting Plan section of this form.</w:t>
      </w:r>
    </w:p>
    <w:p w14:paraId="04574AFE" w14:textId="12CEC2E9" w:rsidR="001A3553" w:rsidRPr="00AE18CC" w:rsidRDefault="0012404F" w:rsidP="008433A5">
      <w:pPr>
        <w:pStyle w:val="Intro"/>
        <w:numPr>
          <w:ilvl w:val="0"/>
          <w:numId w:val="7"/>
        </w:numPr>
        <w:spacing w:before="120" w:line="276" w:lineRule="auto"/>
        <w:rPr>
          <w:rFonts w:ascii="Arial" w:hAnsi="Arial" w:cs="Arial"/>
          <w:b w:val="0"/>
          <w:sz w:val="22"/>
          <w:szCs w:val="22"/>
        </w:rPr>
      </w:pPr>
      <w:r w:rsidRPr="00AE18CC">
        <w:rPr>
          <w:rFonts w:ascii="Arial" w:hAnsi="Arial" w:cs="Arial"/>
          <w:b w:val="0"/>
          <w:color w:val="004C97"/>
          <w:sz w:val="22"/>
          <w:szCs w:val="22"/>
        </w:rPr>
        <w:t xml:space="preserve">Reporting Plan items can then be discussed, entered as a </w:t>
      </w:r>
      <w:proofErr w:type="gramStart"/>
      <w:r w:rsidRPr="00AE18CC">
        <w:rPr>
          <w:rFonts w:ascii="Arial" w:hAnsi="Arial" w:cs="Arial"/>
          <w:b w:val="0"/>
          <w:color w:val="004C97"/>
          <w:sz w:val="22"/>
          <w:szCs w:val="22"/>
        </w:rPr>
        <w:t>hazard</w:t>
      </w:r>
      <w:proofErr w:type="gramEnd"/>
      <w:r w:rsidRPr="00AE18CC">
        <w:rPr>
          <w:rFonts w:ascii="Arial" w:hAnsi="Arial" w:cs="Arial"/>
          <w:b w:val="0"/>
          <w:color w:val="004C97"/>
          <w:sz w:val="22"/>
          <w:szCs w:val="22"/>
        </w:rPr>
        <w:t xml:space="preserve"> and managed in eduSafe Plus. Refer to eduSafe Plus</w:t>
      </w:r>
      <w:r w:rsidRPr="00AE18CC">
        <w:rPr>
          <w:rFonts w:ascii="Arial" w:hAnsi="Arial" w:cs="Arial"/>
          <w:b w:val="0"/>
          <w:sz w:val="22"/>
          <w:szCs w:val="22"/>
        </w:rPr>
        <w:t xml:space="preserve"> </w:t>
      </w:r>
      <w:hyperlink r:id="rId11" w:history="1">
        <w:r w:rsidRPr="00AE18CC">
          <w:rPr>
            <w:rFonts w:ascii="Arial" w:hAnsi="Arial" w:cs="Arial"/>
            <w:b w:val="0"/>
            <w:color w:val="00B0F0"/>
            <w:sz w:val="22"/>
            <w:szCs w:val="22"/>
            <w:u w:val="single"/>
          </w:rPr>
          <w:t>how to guide</w:t>
        </w:r>
      </w:hyperlink>
      <w:r w:rsidRPr="00AE18CC">
        <w:rPr>
          <w:rFonts w:ascii="Arial" w:hAnsi="Arial" w:cs="Arial"/>
          <w:b w:val="0"/>
          <w:color w:val="00B0F0"/>
          <w:sz w:val="22"/>
          <w:szCs w:val="22"/>
        </w:rPr>
        <w:t xml:space="preserve"> </w:t>
      </w:r>
      <w:r w:rsidRPr="00AE18CC">
        <w:rPr>
          <w:rFonts w:ascii="Arial" w:hAnsi="Arial" w:cs="Arial"/>
          <w:b w:val="0"/>
          <w:color w:val="004C97"/>
          <w:sz w:val="22"/>
          <w:szCs w:val="22"/>
        </w:rPr>
        <w:t>for entering workplace hazards.</w:t>
      </w:r>
      <w:r w:rsidRPr="00AE18CC">
        <w:rPr>
          <w:rFonts w:ascii="Arial" w:hAnsi="Arial" w:cs="Arial"/>
          <w:b w:val="0"/>
          <w:sz w:val="22"/>
          <w:szCs w:val="22"/>
        </w:rPr>
        <w:t xml:space="preserve"> </w:t>
      </w:r>
    </w:p>
    <w:bookmarkEnd w:id="0"/>
    <w:p w14:paraId="0E3D7DB3" w14:textId="3308DC0B" w:rsidR="005C57B2" w:rsidRDefault="0060279D" w:rsidP="008A16D6">
      <w:pPr>
        <w:pStyle w:val="SectionHeading"/>
        <w:spacing w:before="240" w:after="120" w:line="276" w:lineRule="auto"/>
      </w:pPr>
      <w:r w:rsidRPr="002C262B">
        <w:rPr>
          <w:rFonts w:ascii="Arial" w:hAnsi="Arial"/>
          <w:color w:val="004EA8"/>
        </w:rPr>
        <w:t xml:space="preserve">Section 1 – Inspection Checklist 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ction 1-Swimming Pool Inspection Checklist"/>
        <w:tblDescription w:val="List of areas to inspect in regards to swimming pools"/>
      </w:tblPr>
      <w:tblGrid>
        <w:gridCol w:w="704"/>
        <w:gridCol w:w="7020"/>
        <w:gridCol w:w="731"/>
        <w:gridCol w:w="731"/>
        <w:gridCol w:w="731"/>
      </w:tblGrid>
      <w:tr w:rsidR="002C262B" w:rsidRPr="00DD768F" w14:paraId="40C60E5F" w14:textId="77777777" w:rsidTr="00587AB2">
        <w:trPr>
          <w:cantSplit/>
          <w:trHeight w:hRule="exact" w:val="680"/>
          <w:tblHeader/>
        </w:trPr>
        <w:tc>
          <w:tcPr>
            <w:tcW w:w="704" w:type="dxa"/>
            <w:shd w:val="clear" w:color="auto" w:fill="004C97"/>
            <w:vAlign w:val="center"/>
          </w:tcPr>
          <w:p w14:paraId="2F8D20C2" w14:textId="7CAB2F91" w:rsidR="00832F2C" w:rsidRPr="00DD768F" w:rsidRDefault="008213B2" w:rsidP="003D18A2">
            <w:pPr>
              <w:numPr>
                <w:ilvl w:val="1"/>
                <w:numId w:val="0"/>
              </w:numPr>
              <w:spacing w:before="80" w:after="80"/>
              <w:jc w:val="center"/>
              <w:outlineLvl w:val="1"/>
              <w:rPr>
                <w:b/>
                <w:color w:val="FFFFFF" w:themeColor="background1"/>
              </w:rPr>
            </w:pPr>
            <w:r w:rsidRPr="00DD768F">
              <w:rPr>
                <w:b/>
                <w:color w:val="FFFFFF" w:themeColor="background1"/>
              </w:rPr>
              <w:t>Ref No.</w:t>
            </w:r>
          </w:p>
        </w:tc>
        <w:tc>
          <w:tcPr>
            <w:tcW w:w="7020" w:type="dxa"/>
            <w:shd w:val="clear" w:color="auto" w:fill="004C97"/>
            <w:vAlign w:val="center"/>
          </w:tcPr>
          <w:p w14:paraId="542E8EDD" w14:textId="4E4CC39D" w:rsidR="00832F2C" w:rsidRPr="00DD768F" w:rsidRDefault="008213B2" w:rsidP="003D18A2">
            <w:pPr>
              <w:spacing w:before="80" w:after="80"/>
              <w:jc w:val="center"/>
              <w:rPr>
                <w:b/>
                <w:color w:val="FFFFFF" w:themeColor="background1"/>
              </w:rPr>
            </w:pPr>
            <w:r w:rsidRPr="00DD768F">
              <w:rPr>
                <w:b/>
                <w:color w:val="FFFFFF" w:themeColor="background1"/>
              </w:rPr>
              <w:t>Inspection Item</w:t>
            </w:r>
            <w:r w:rsidRPr="00DD768F" w:rsidDel="008213B2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731" w:type="dxa"/>
            <w:shd w:val="clear" w:color="auto" w:fill="004C97"/>
            <w:vAlign w:val="center"/>
          </w:tcPr>
          <w:p w14:paraId="192B8CB4" w14:textId="33ADF126" w:rsidR="00832F2C" w:rsidRPr="00DD768F" w:rsidRDefault="008213B2" w:rsidP="003D18A2">
            <w:pPr>
              <w:spacing w:before="80" w:after="80" w:line="276" w:lineRule="auto"/>
              <w:jc w:val="center"/>
              <w:rPr>
                <w:b/>
                <w:color w:val="FFFFFF" w:themeColor="background1"/>
              </w:rPr>
            </w:pPr>
            <w:r w:rsidRPr="00DD768F">
              <w:rPr>
                <w:rFonts w:eastAsia="Calibri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731" w:type="dxa"/>
            <w:shd w:val="clear" w:color="auto" w:fill="004C97"/>
            <w:vAlign w:val="center"/>
          </w:tcPr>
          <w:p w14:paraId="36C195C1" w14:textId="7CAA8D06" w:rsidR="00832F2C" w:rsidRPr="00DD768F" w:rsidRDefault="008213B2" w:rsidP="003D18A2">
            <w:pPr>
              <w:spacing w:before="80" w:after="80" w:line="276" w:lineRule="auto"/>
              <w:jc w:val="center"/>
              <w:rPr>
                <w:b/>
                <w:color w:val="FFFFFF" w:themeColor="background1"/>
              </w:rPr>
            </w:pPr>
            <w:r w:rsidRPr="00DD768F">
              <w:rPr>
                <w:b/>
                <w:color w:val="FFFFFF" w:themeColor="background1"/>
              </w:rPr>
              <w:t>No</w:t>
            </w:r>
          </w:p>
        </w:tc>
        <w:tc>
          <w:tcPr>
            <w:tcW w:w="731" w:type="dxa"/>
            <w:shd w:val="clear" w:color="auto" w:fill="004C97"/>
            <w:vAlign w:val="center"/>
          </w:tcPr>
          <w:p w14:paraId="3B9AE814" w14:textId="62B82337" w:rsidR="00832F2C" w:rsidRPr="00DD768F" w:rsidRDefault="008213B2" w:rsidP="003D18A2">
            <w:pPr>
              <w:spacing w:before="80" w:after="80" w:line="276" w:lineRule="auto"/>
              <w:jc w:val="center"/>
              <w:rPr>
                <w:b/>
                <w:color w:val="FFFFFF" w:themeColor="background1"/>
              </w:rPr>
            </w:pPr>
            <w:r w:rsidRPr="00DD768F">
              <w:rPr>
                <w:rFonts w:eastAsia="Calibri"/>
                <w:b/>
                <w:bCs/>
                <w:color w:val="FFFFFF" w:themeColor="background1"/>
              </w:rPr>
              <w:t>N/A</w:t>
            </w:r>
          </w:p>
        </w:tc>
      </w:tr>
      <w:tr w:rsidR="00544635" w:rsidRPr="00DD768F" w14:paraId="08F3B1A5" w14:textId="77777777" w:rsidTr="00763B30">
        <w:trPr>
          <w:cantSplit/>
          <w:trHeight w:hRule="exact" w:val="680"/>
        </w:trPr>
        <w:tc>
          <w:tcPr>
            <w:tcW w:w="9917" w:type="dxa"/>
            <w:gridSpan w:val="5"/>
            <w:shd w:val="clear" w:color="auto" w:fill="auto"/>
            <w:vAlign w:val="center"/>
          </w:tcPr>
          <w:p w14:paraId="1B1B7F69" w14:textId="21EEB3D9" w:rsidR="00544635" w:rsidRPr="00DD768F" w:rsidRDefault="00604711" w:rsidP="003D18A2">
            <w:pPr>
              <w:pStyle w:val="ListParagraph"/>
              <w:numPr>
                <w:ilvl w:val="0"/>
                <w:numId w:val="14"/>
              </w:numPr>
              <w:spacing w:before="80" w:after="80" w:line="276" w:lineRule="auto"/>
              <w:ind w:left="596" w:hanging="56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DD768F">
              <w:rPr>
                <w:rFonts w:ascii="Arial" w:hAnsi="Arial" w:cs="Arial"/>
                <w:b/>
                <w:sz w:val="22"/>
                <w:szCs w:val="22"/>
              </w:rPr>
              <w:t xml:space="preserve">Preventing </w:t>
            </w:r>
            <w:r w:rsidR="002E0CC2" w:rsidRPr="00DD76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</w:t>
            </w:r>
            <w:r w:rsidRPr="00DD76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lips </w:t>
            </w:r>
            <w:r w:rsidR="00A47359" w:rsidRPr="00DD76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</w:t>
            </w:r>
            <w:r w:rsidRPr="00DD76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rips</w:t>
            </w:r>
            <w:r w:rsidRPr="00DD768F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A47359" w:rsidRPr="00DD76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</w:t>
            </w:r>
            <w:r w:rsidRPr="00DD76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alls</w:t>
            </w:r>
          </w:p>
        </w:tc>
      </w:tr>
      <w:tr w:rsidR="00F8512F" w:rsidRPr="00DD768F" w14:paraId="28E21FB6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176D1E10" w14:textId="181D30B4" w:rsidR="00F8512F" w:rsidRPr="00DD768F" w:rsidRDefault="0015088E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1.1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027134B" w14:textId="54C7D889" w:rsidR="00F8512F" w:rsidRPr="00DD768F" w:rsidRDefault="00F8512F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t>Floors are in good condition with no cracks, dips</w:t>
            </w:r>
            <w:r w:rsidR="00AE18CC" w:rsidRPr="00DD768F">
              <w:t>,</w:t>
            </w:r>
            <w:r w:rsidRPr="00DD768F">
              <w:t xml:space="preserve"> or holes</w:t>
            </w:r>
            <w:r w:rsidR="00AE18CC" w:rsidRPr="00DD768F"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61C0907" w14:textId="4A8B72B0" w:rsidR="00F8512F" w:rsidRPr="00DD768F" w:rsidRDefault="00F8512F" w:rsidP="003D18A2">
            <w:pPr>
              <w:spacing w:before="80" w:after="80" w:line="276" w:lineRule="auto"/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7C9310C7" w14:textId="7D2922A2" w:rsidR="00F8512F" w:rsidRPr="00DD768F" w:rsidRDefault="00F8512F" w:rsidP="003D18A2">
            <w:pPr>
              <w:spacing w:before="80" w:after="80" w:line="276" w:lineRule="auto"/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0F7AE2F" w14:textId="06E0CC77" w:rsidR="00F8512F" w:rsidRPr="00DD768F" w:rsidRDefault="00F8512F" w:rsidP="003D18A2">
            <w:pPr>
              <w:spacing w:before="80" w:after="80" w:line="276" w:lineRule="auto"/>
            </w:pPr>
          </w:p>
        </w:tc>
      </w:tr>
      <w:tr w:rsidR="00F8512F" w:rsidRPr="00DD768F" w14:paraId="695A8B85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0F5505E6" w14:textId="38CAD569" w:rsidR="00F8512F" w:rsidRPr="00DD768F" w:rsidRDefault="0015088E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1.2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BD01475" w14:textId="68385954" w:rsidR="00F8512F" w:rsidRPr="00DD768F" w:rsidRDefault="00F8512F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t>Floors are clean and free from debris and not slippery</w:t>
            </w:r>
            <w:r w:rsidR="00AE18CC" w:rsidRPr="00DD768F"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8ADA66C" w14:textId="77777777" w:rsidR="00F8512F" w:rsidRPr="00DD768F" w:rsidRDefault="00F8512F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8D62F84" w14:textId="77777777" w:rsidR="00F8512F" w:rsidRPr="00DD768F" w:rsidRDefault="00F8512F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1BE989DC" w14:textId="77777777" w:rsidR="00F8512F" w:rsidRPr="00DD768F" w:rsidRDefault="00F8512F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F8512F" w:rsidRPr="00DD768F" w14:paraId="21DC7ABF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23F701E9" w14:textId="1A8EDD15" w:rsidR="00F8512F" w:rsidRPr="00DD768F" w:rsidRDefault="0015088E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1.3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610FB45" w14:textId="11CAE4A0" w:rsidR="00F8512F" w:rsidRPr="00DD768F" w:rsidRDefault="00F8512F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t>High traffic wet areas have a non-slip flooring surface or appropriate matting</w:t>
            </w:r>
            <w:r w:rsidR="00AE18CC" w:rsidRPr="00DD768F"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48465AC" w14:textId="77777777" w:rsidR="00F8512F" w:rsidRPr="00DD768F" w:rsidRDefault="00F8512F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463D6EFF" w14:textId="77777777" w:rsidR="00F8512F" w:rsidRPr="00DD768F" w:rsidRDefault="00F8512F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DD7FB9D" w14:textId="77777777" w:rsidR="00F8512F" w:rsidRPr="00DD768F" w:rsidRDefault="00F8512F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CB2AEB" w:rsidRPr="00DD768F" w14:paraId="773954EA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40FD3128" w14:textId="6FF42FB2" w:rsidR="00CB2AEB" w:rsidRPr="00DD768F" w:rsidRDefault="00CB2AEB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1.4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C539B8E" w14:textId="74ED8D17" w:rsidR="00CB2AEB" w:rsidRPr="00DD768F" w:rsidRDefault="00CB2AEB" w:rsidP="003D18A2">
            <w:pPr>
              <w:spacing w:before="80" w:after="80"/>
            </w:pPr>
            <w:r w:rsidRPr="00DD768F">
              <w:t>Ladders are free from damage, rust</w:t>
            </w:r>
            <w:r w:rsidR="00640759">
              <w:t>,</w:t>
            </w:r>
            <w:r w:rsidRPr="00DD768F">
              <w:t xml:space="preserve"> or corrosion</w:t>
            </w:r>
            <w:r w:rsidR="00AE18CC" w:rsidRPr="00DD768F"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E837020" w14:textId="77777777" w:rsidR="00CB2AEB" w:rsidRPr="00DD768F" w:rsidRDefault="00CB2AEB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37157C9" w14:textId="77777777" w:rsidR="00CB2AEB" w:rsidRPr="00DD768F" w:rsidRDefault="00CB2AEB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E41A3E5" w14:textId="77777777" w:rsidR="00CB2AEB" w:rsidRPr="00DD768F" w:rsidRDefault="00CB2AEB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CB2AEB" w:rsidRPr="00DD768F" w14:paraId="44D79503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116220B3" w14:textId="13DD2E59" w:rsidR="00CB2AEB" w:rsidRPr="00DD768F" w:rsidRDefault="00CB2AEB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1.5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C8D26B9" w14:textId="584AB380" w:rsidR="00CB2AEB" w:rsidRPr="00DD768F" w:rsidRDefault="00CB2AEB" w:rsidP="003D18A2">
            <w:pPr>
              <w:spacing w:before="80" w:after="80"/>
            </w:pPr>
            <w:r w:rsidRPr="00DD768F">
              <w:t>Diving boards are free from damage, rust</w:t>
            </w:r>
            <w:r w:rsidR="00640759">
              <w:t>,</w:t>
            </w:r>
            <w:r w:rsidRPr="00DD768F">
              <w:t xml:space="preserve"> or corrosion</w:t>
            </w:r>
            <w:r w:rsidR="00AE18CC" w:rsidRPr="00DD768F"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E139426" w14:textId="77777777" w:rsidR="00CB2AEB" w:rsidRPr="00DD768F" w:rsidRDefault="00CB2AEB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602742E7" w14:textId="77777777" w:rsidR="00CB2AEB" w:rsidRPr="00DD768F" w:rsidRDefault="00CB2AEB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D3E9499" w14:textId="77777777" w:rsidR="00CB2AEB" w:rsidRPr="00DD768F" w:rsidRDefault="00CB2AEB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8F241F" w:rsidRPr="00DD768F" w14:paraId="37BFC2EF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7583C055" w14:textId="7AA6194C" w:rsidR="008F241F" w:rsidRPr="00912BF4" w:rsidRDefault="008F241F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912BF4">
              <w:rPr>
                <w:rFonts w:eastAsia="Times New Roman"/>
                <w:lang w:eastAsia="en-AU"/>
              </w:rPr>
              <w:t>1.6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A76742A" w14:textId="057D7354" w:rsidR="008F241F" w:rsidRPr="00912BF4" w:rsidRDefault="008F241F" w:rsidP="003D18A2">
            <w:pPr>
              <w:spacing w:before="80" w:after="80"/>
            </w:pPr>
            <w:r w:rsidRPr="00640759">
              <w:t>Equipment (e.g. flotation aids) is stored in suitable receptacles</w:t>
            </w:r>
            <w:r w:rsidR="00AE18CC" w:rsidRPr="00640759"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D534FB2" w14:textId="77777777" w:rsidR="008F241F" w:rsidRPr="00DD768F" w:rsidRDefault="008F241F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0250A5F" w14:textId="77777777" w:rsidR="008F241F" w:rsidRPr="00DD768F" w:rsidRDefault="008F241F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80BCCE2" w14:textId="77777777" w:rsidR="008F241F" w:rsidRPr="00DD768F" w:rsidRDefault="008F241F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222A47" w:rsidRPr="00DD768F" w14:paraId="7F014D5B" w14:textId="77777777" w:rsidTr="00763B30">
        <w:trPr>
          <w:cantSplit/>
          <w:trHeight w:hRule="exact" w:val="680"/>
        </w:trPr>
        <w:tc>
          <w:tcPr>
            <w:tcW w:w="9917" w:type="dxa"/>
            <w:gridSpan w:val="5"/>
            <w:shd w:val="clear" w:color="auto" w:fill="auto"/>
            <w:vAlign w:val="center"/>
          </w:tcPr>
          <w:p w14:paraId="5CE602AB" w14:textId="78B0D129" w:rsidR="008A16D6" w:rsidRPr="008A16D6" w:rsidRDefault="00222A47" w:rsidP="008A16D6">
            <w:pPr>
              <w:pStyle w:val="ListParagraph"/>
              <w:numPr>
                <w:ilvl w:val="0"/>
                <w:numId w:val="14"/>
              </w:numPr>
              <w:spacing w:before="80" w:after="80" w:line="276" w:lineRule="auto"/>
              <w:ind w:left="596" w:hanging="567"/>
              <w:contextualSpacing w:val="0"/>
              <w:rPr>
                <w:b/>
              </w:rPr>
            </w:pPr>
            <w:r w:rsidRPr="008A16D6">
              <w:rPr>
                <w:rFonts w:ascii="Arial" w:hAnsi="Arial" w:cs="Arial"/>
                <w:b/>
                <w:sz w:val="22"/>
                <w:szCs w:val="22"/>
              </w:rPr>
              <w:t>Pool and spa barriers and fencing</w:t>
            </w:r>
          </w:p>
        </w:tc>
      </w:tr>
      <w:tr w:rsidR="00222A47" w:rsidRPr="00DD768F" w14:paraId="2A4645DA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74022243" w14:textId="6E4474B7" w:rsidR="00222A47" w:rsidRPr="00DD768F" w:rsidRDefault="0015088E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2</w:t>
            </w:r>
            <w:r w:rsidR="00222A47" w:rsidRPr="00DD768F">
              <w:rPr>
                <w:rFonts w:eastAsia="Times New Roman"/>
                <w:lang w:eastAsia="en-AU"/>
              </w:rPr>
              <w:t>.1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0E95017" w14:textId="5D7E1A4E" w:rsidR="00222A47" w:rsidRPr="00DD768F" w:rsidRDefault="00222A47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Gate is free from damage, rust</w:t>
            </w:r>
            <w:r w:rsidR="000469CB">
              <w:rPr>
                <w:rFonts w:eastAsia="Times New Roman"/>
                <w:lang w:eastAsia="en-AU"/>
              </w:rPr>
              <w:t>,</w:t>
            </w:r>
            <w:r w:rsidRPr="00DD768F">
              <w:rPr>
                <w:rFonts w:eastAsia="Times New Roman"/>
                <w:lang w:eastAsia="en-AU"/>
              </w:rPr>
              <w:t xml:space="preserve"> or corrosion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1B23D9F" w14:textId="77777777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DF2F09B" w14:textId="77777777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C0516BE" w14:textId="77777777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222A47" w:rsidRPr="00DD768F" w14:paraId="008D598F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09223AD1" w14:textId="1D116A55" w:rsidR="00222A47" w:rsidRPr="00DD768F" w:rsidRDefault="00B075A8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lastRenderedPageBreak/>
              <w:t>2</w:t>
            </w:r>
            <w:r w:rsidR="00222A47" w:rsidRPr="00DD768F">
              <w:rPr>
                <w:rFonts w:eastAsia="Times New Roman"/>
                <w:lang w:eastAsia="en-AU"/>
              </w:rPr>
              <w:t>.2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1371169" w14:textId="55590804" w:rsidR="00222A47" w:rsidRPr="00DD768F" w:rsidRDefault="00222A47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Gates self-closing/opening mechanism is in good working order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8A3A670" w14:textId="5CA4FCB0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7934E07D" w14:textId="5F4A3D5A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7C9523DA" w14:textId="4DF09A47" w:rsidR="00AE18CC" w:rsidRPr="00DD768F" w:rsidRDefault="00AE18CC" w:rsidP="003D18A2">
            <w:pPr>
              <w:spacing w:before="80" w:after="80"/>
              <w:rPr>
                <w:rFonts w:eastAsia="Calibri"/>
              </w:rPr>
            </w:pPr>
          </w:p>
        </w:tc>
      </w:tr>
      <w:tr w:rsidR="00222A47" w:rsidRPr="00DD768F" w14:paraId="060423EA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49B18410" w14:textId="40290BE8" w:rsidR="00222A47" w:rsidRPr="00DD768F" w:rsidRDefault="00B075A8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2</w:t>
            </w:r>
            <w:r w:rsidR="00222A47" w:rsidRPr="00DD768F">
              <w:rPr>
                <w:rFonts w:eastAsia="Times New Roman"/>
                <w:lang w:eastAsia="en-AU"/>
              </w:rPr>
              <w:t>.3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A242DBC" w14:textId="5506125E" w:rsidR="00222A47" w:rsidRPr="00DD768F" w:rsidRDefault="00222A47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Fence is free from damage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8FB5506" w14:textId="1A3344AB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7CF984D8" w14:textId="50718345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B6A3F1E" w14:textId="18A6D48A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222A47" w:rsidRPr="00DD768F" w14:paraId="7430BC95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67E27C75" w14:textId="01BA92A2" w:rsidR="00222A47" w:rsidRPr="00DD768F" w:rsidRDefault="00B075A8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2</w:t>
            </w:r>
            <w:r w:rsidR="00222A47" w:rsidRPr="00DD768F">
              <w:rPr>
                <w:rFonts w:eastAsia="Times New Roman"/>
                <w:lang w:eastAsia="en-AU"/>
              </w:rPr>
              <w:t>.4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6CD7409" w14:textId="64FB8E84" w:rsidR="00222A47" w:rsidRPr="00DD768F" w:rsidRDefault="00222A47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Fence is free from overhanging branches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  <w:r w:rsidRPr="00DD768F"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2E96DD0" w14:textId="6A4D7DCD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102697A9" w14:textId="65BB040E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394F2BB" w14:textId="15C75E99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222A47" w:rsidRPr="00DD768F" w14:paraId="26218166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0CBF995E" w14:textId="6D981209" w:rsidR="00222A47" w:rsidRPr="00DD768F" w:rsidRDefault="00B075A8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2</w:t>
            </w:r>
            <w:r w:rsidR="00222A47" w:rsidRPr="00DD768F">
              <w:rPr>
                <w:rFonts w:eastAsia="Times New Roman"/>
                <w:lang w:eastAsia="en-AU"/>
              </w:rPr>
              <w:t>.5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D6B5A94" w14:textId="21974D26" w:rsidR="00222A47" w:rsidRPr="00DD768F" w:rsidRDefault="002E0CC2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There</w:t>
            </w:r>
            <w:r w:rsidR="003F1841" w:rsidRPr="00DD768F">
              <w:rPr>
                <w:rFonts w:eastAsia="Times New Roman"/>
                <w:lang w:eastAsia="en-AU"/>
              </w:rPr>
              <w:t xml:space="preserve"> are no o</w:t>
            </w:r>
            <w:r w:rsidR="00222A47" w:rsidRPr="00DD768F">
              <w:rPr>
                <w:rFonts w:eastAsia="Times New Roman"/>
                <w:lang w:eastAsia="en-AU"/>
              </w:rPr>
              <w:t xml:space="preserve">bjects near </w:t>
            </w:r>
            <w:r w:rsidR="003F1841" w:rsidRPr="00DD768F">
              <w:rPr>
                <w:rFonts w:eastAsia="Times New Roman"/>
                <w:lang w:eastAsia="en-AU"/>
              </w:rPr>
              <w:t>any</w:t>
            </w:r>
            <w:r w:rsidR="00222A47" w:rsidRPr="00DD768F">
              <w:rPr>
                <w:rFonts w:eastAsia="Times New Roman"/>
                <w:lang w:eastAsia="en-AU"/>
              </w:rPr>
              <w:t xml:space="preserve"> fence</w:t>
            </w:r>
            <w:r w:rsidR="003F1841" w:rsidRPr="00DD768F">
              <w:rPr>
                <w:rFonts w:eastAsia="Times New Roman"/>
                <w:lang w:eastAsia="en-AU"/>
              </w:rPr>
              <w:t>s</w:t>
            </w:r>
            <w:r w:rsidR="00222A47" w:rsidRPr="00DD768F">
              <w:rPr>
                <w:rFonts w:eastAsia="Times New Roman"/>
                <w:lang w:eastAsia="en-AU"/>
              </w:rPr>
              <w:t xml:space="preserve"> that may be used to climb over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  <w:r w:rsidR="00222A47" w:rsidRPr="00DD768F"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A7EB8C9" w14:textId="52B5AB4E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A83A267" w14:textId="3D9B06AA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66FA29C6" w14:textId="74E677FC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222A47" w:rsidRPr="00DD768F" w14:paraId="0AF0BD89" w14:textId="77777777" w:rsidTr="00763B30">
        <w:trPr>
          <w:cantSplit/>
          <w:trHeight w:hRule="exact" w:val="680"/>
        </w:trPr>
        <w:tc>
          <w:tcPr>
            <w:tcW w:w="9917" w:type="dxa"/>
            <w:gridSpan w:val="5"/>
            <w:shd w:val="clear" w:color="auto" w:fill="auto"/>
            <w:vAlign w:val="center"/>
          </w:tcPr>
          <w:p w14:paraId="6E6DF22E" w14:textId="240BC9F9" w:rsidR="00222A47" w:rsidRPr="00DD768F" w:rsidRDefault="00222A47" w:rsidP="003D18A2">
            <w:pPr>
              <w:pStyle w:val="ListParagraph"/>
              <w:numPr>
                <w:ilvl w:val="0"/>
                <w:numId w:val="14"/>
              </w:numPr>
              <w:spacing w:before="80" w:after="80"/>
              <w:ind w:left="596" w:hanging="567"/>
              <w:contextualSpacing w:val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D768F">
              <w:rPr>
                <w:rFonts w:ascii="Arial" w:hAnsi="Arial" w:cs="Arial"/>
                <w:b/>
                <w:sz w:val="22"/>
                <w:szCs w:val="22"/>
              </w:rPr>
              <w:t>Pool signage</w:t>
            </w:r>
          </w:p>
        </w:tc>
      </w:tr>
      <w:tr w:rsidR="00222A47" w:rsidRPr="00DD768F" w14:paraId="1A9F7C2C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50A3D6C2" w14:textId="3A2A823A" w:rsidR="00222A47" w:rsidRPr="00DD768F" w:rsidRDefault="00B514BA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3</w:t>
            </w:r>
            <w:r w:rsidR="00222A47" w:rsidRPr="00DD768F">
              <w:rPr>
                <w:rFonts w:eastAsia="Times New Roman"/>
                <w:lang w:eastAsia="en-AU"/>
              </w:rPr>
              <w:t>.1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872ADD7" w14:textId="54E2286B" w:rsidR="00222A47" w:rsidRPr="00DD768F" w:rsidRDefault="00222A47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Cardiopulmonary Resuscitation (CPR) signage is displayed and in good condition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283D105" w14:textId="2DFEA5A8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5F68455" w14:textId="52FC6AB2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4D3F90B6" w14:textId="6D8C3D26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222A47" w:rsidRPr="00DD768F" w14:paraId="0321CA3E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736B6698" w14:textId="4163C735" w:rsidR="00222A47" w:rsidRPr="00DD768F" w:rsidRDefault="00FF1DBD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3</w:t>
            </w:r>
            <w:r w:rsidR="00222A47" w:rsidRPr="00DD768F">
              <w:rPr>
                <w:rFonts w:eastAsia="Times New Roman"/>
                <w:lang w:eastAsia="en-AU"/>
              </w:rPr>
              <w:t>.2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A4BC169" w14:textId="03356625" w:rsidR="00222A47" w:rsidRPr="00DD768F" w:rsidRDefault="00222A47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Pool depth signage is displayed and in good condition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747E470" w14:textId="020B0802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C1369F1" w14:textId="12735AAF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7FD40070" w14:textId="0B254A3E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222A47" w:rsidRPr="00DD768F" w14:paraId="602CDA72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4258623F" w14:textId="35AC9A65" w:rsidR="00222A47" w:rsidRPr="00DD768F" w:rsidRDefault="00B514BA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3</w:t>
            </w:r>
            <w:r w:rsidR="00222A47" w:rsidRPr="00DD768F">
              <w:rPr>
                <w:rFonts w:eastAsia="Times New Roman"/>
                <w:lang w:eastAsia="en-AU"/>
              </w:rPr>
              <w:t>.3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3BDEDCB" w14:textId="77777777" w:rsidR="00222A47" w:rsidRPr="00DD768F" w:rsidRDefault="00222A47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Pool safety rules signage is displayed and in good condition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8586C99" w14:textId="11EB001A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34AF9FB" w14:textId="77EB6029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E64E833" w14:textId="698BE423" w:rsidR="00222A47" w:rsidRPr="00DD768F" w:rsidRDefault="00222A47" w:rsidP="003D18A2">
            <w:pPr>
              <w:spacing w:before="80" w:after="80"/>
              <w:rPr>
                <w:rFonts w:eastAsia="Calibri"/>
              </w:rPr>
            </w:pPr>
          </w:p>
        </w:tc>
      </w:tr>
      <w:tr w:rsidR="00222A47" w:rsidRPr="00DD768F" w14:paraId="41EDF0D2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33C53329" w14:textId="739F848B" w:rsidR="00222A47" w:rsidRPr="00DD768F" w:rsidRDefault="00B514BA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3</w:t>
            </w:r>
            <w:r w:rsidR="00222A47" w:rsidRPr="00DD768F">
              <w:rPr>
                <w:rFonts w:eastAsia="Times New Roman"/>
                <w:lang w:eastAsia="en-AU"/>
              </w:rPr>
              <w:t>.4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F488D61" w14:textId="2F534ED6" w:rsidR="00222A47" w:rsidRPr="00DD768F" w:rsidRDefault="007B154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‘</w:t>
            </w:r>
            <w:r w:rsidR="00222A47" w:rsidRPr="00DD768F">
              <w:rPr>
                <w:rFonts w:eastAsia="Times New Roman"/>
                <w:lang w:eastAsia="en-AU"/>
              </w:rPr>
              <w:t>Do Not Dive’ signage is displayed and in good condition for water</w:t>
            </w:r>
            <w:r w:rsidR="00CD58F6">
              <w:rPr>
                <w:rFonts w:eastAsia="Times New Roman"/>
                <w:lang w:eastAsia="en-AU"/>
              </w:rPr>
              <w:t xml:space="preserve"> depth of</w:t>
            </w:r>
            <w:r w:rsidR="00222A47" w:rsidRPr="00DD768F">
              <w:rPr>
                <w:rFonts w:eastAsia="Times New Roman"/>
                <w:lang w:eastAsia="en-AU"/>
              </w:rPr>
              <w:t xml:space="preserve"> 1.8m or</w:t>
            </w:r>
            <w:r w:rsidR="00381893">
              <w:rPr>
                <w:rFonts w:eastAsia="Times New Roman"/>
                <w:lang w:eastAsia="en-AU"/>
              </w:rPr>
              <w:t xml:space="preserve"> less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D6481C8" w14:textId="0323BDA5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63D38A54" w14:textId="62D4F489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456EACF4" w14:textId="497D1643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E64315" w:rsidRPr="00DD768F" w14:paraId="0D21D67C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394AF06D" w14:textId="743FFEEE" w:rsidR="00E64315" w:rsidRPr="00DD768F" w:rsidRDefault="00FF1DBD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3.5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AF64EA8" w14:textId="2F907872" w:rsidR="00E64315" w:rsidRPr="00DD768F" w:rsidRDefault="00153FCF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 xml:space="preserve">Hazardous </w:t>
            </w:r>
            <w:r w:rsidR="00767374" w:rsidRPr="00DD768F">
              <w:rPr>
                <w:rFonts w:eastAsia="Times New Roman"/>
                <w:lang w:eastAsia="en-AU"/>
              </w:rPr>
              <w:t>chemicals</w:t>
            </w:r>
            <w:r w:rsidRPr="00DD768F">
              <w:rPr>
                <w:rFonts w:eastAsia="Times New Roman"/>
                <w:lang w:eastAsia="en-AU"/>
              </w:rPr>
              <w:t xml:space="preserve"> placarding is displayed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6343A55" w14:textId="77777777" w:rsidR="00E64315" w:rsidRPr="00DD768F" w:rsidDel="009951B1" w:rsidRDefault="00E64315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CAE844E" w14:textId="77777777" w:rsidR="00E64315" w:rsidRPr="00DD768F" w:rsidDel="009951B1" w:rsidRDefault="00E64315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E166B5F" w14:textId="77777777" w:rsidR="00E64315" w:rsidRPr="00DD768F" w:rsidDel="009951B1" w:rsidRDefault="00E64315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222A47" w:rsidRPr="00DD768F" w14:paraId="07EBA85A" w14:textId="77777777" w:rsidTr="00763B30">
        <w:trPr>
          <w:cantSplit/>
          <w:trHeight w:hRule="exact" w:val="680"/>
        </w:trPr>
        <w:tc>
          <w:tcPr>
            <w:tcW w:w="9917" w:type="dxa"/>
            <w:gridSpan w:val="5"/>
            <w:shd w:val="clear" w:color="auto" w:fill="auto"/>
            <w:vAlign w:val="center"/>
          </w:tcPr>
          <w:p w14:paraId="7BB272D1" w14:textId="50C35E23" w:rsidR="00222A47" w:rsidRPr="00DD768F" w:rsidRDefault="00222A47" w:rsidP="003D18A2">
            <w:pPr>
              <w:pStyle w:val="ListParagraph"/>
              <w:numPr>
                <w:ilvl w:val="0"/>
                <w:numId w:val="14"/>
              </w:numPr>
              <w:spacing w:before="80" w:after="80"/>
              <w:ind w:left="596" w:hanging="567"/>
              <w:contextualSpacing w:val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D768F">
              <w:rPr>
                <w:rFonts w:ascii="Arial" w:hAnsi="Arial" w:cs="Arial"/>
                <w:b/>
                <w:sz w:val="22"/>
                <w:szCs w:val="22"/>
              </w:rPr>
              <w:t>Pool plant</w:t>
            </w:r>
          </w:p>
        </w:tc>
      </w:tr>
      <w:tr w:rsidR="00222A47" w:rsidRPr="00DD768F" w14:paraId="5ED85199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76A631E0" w14:textId="43974B30" w:rsidR="00222A47" w:rsidRPr="00DD768F" w:rsidRDefault="00222A47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4.1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0D44C85" w14:textId="7EEEC2CA" w:rsidR="00222A47" w:rsidRPr="00DD768F" w:rsidRDefault="005D652D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Door to the plant room is locked and secured unless accessed for maintenance and assessment purposes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  <w:r w:rsidRPr="00DD768F" w:rsidDel="005D652D"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B88649B" w14:textId="7FAF9C41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4A88636D" w14:textId="1D1D0D97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6D5B339F" w14:textId="384216DE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222A47" w:rsidRPr="00DD768F" w14:paraId="360DC70F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2BBF3792" w14:textId="5A742195" w:rsidR="00222A47" w:rsidRPr="00DD768F" w:rsidRDefault="00222A47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4.2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1C39F79" w14:textId="28B3A8BC" w:rsidR="00222A47" w:rsidRPr="00DD768F" w:rsidRDefault="00222A47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Local ventilation and extraction systems are in good working order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8C9D115" w14:textId="10FE5496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6166CA39" w14:textId="796F10D6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F68E45E" w14:textId="72C36B1A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222A47" w:rsidRPr="00DD768F" w14:paraId="472C8249" w14:textId="77777777" w:rsidTr="00587AB2">
        <w:trPr>
          <w:cantSplit/>
          <w:trHeight w:hRule="exact" w:val="809"/>
        </w:trPr>
        <w:tc>
          <w:tcPr>
            <w:tcW w:w="704" w:type="dxa"/>
            <w:shd w:val="clear" w:color="auto" w:fill="auto"/>
            <w:vAlign w:val="center"/>
          </w:tcPr>
          <w:p w14:paraId="499A6D48" w14:textId="4DF0C52C" w:rsidR="00222A47" w:rsidRPr="00DD768F" w:rsidRDefault="00222A47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4.3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45F2D09" w14:textId="03FCF83D" w:rsidR="00222A47" w:rsidRPr="00DD768F" w:rsidRDefault="00222A47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 xml:space="preserve">Pipes, </w:t>
            </w:r>
            <w:r w:rsidR="00767374" w:rsidRPr="00DD768F">
              <w:rPr>
                <w:rFonts w:eastAsia="Times New Roman"/>
                <w:lang w:eastAsia="en-AU"/>
              </w:rPr>
              <w:t>values</w:t>
            </w:r>
            <w:r w:rsidR="006A6467">
              <w:rPr>
                <w:rFonts w:eastAsia="Times New Roman"/>
                <w:lang w:eastAsia="en-AU"/>
              </w:rPr>
              <w:t>,</w:t>
            </w:r>
            <w:r w:rsidRPr="00DD768F">
              <w:rPr>
                <w:rFonts w:eastAsia="Times New Roman"/>
                <w:lang w:eastAsia="en-AU"/>
              </w:rPr>
              <w:t xml:space="preserve"> and pumps that control water temperature</w:t>
            </w:r>
            <w:r w:rsidR="00767374" w:rsidRPr="00DD768F">
              <w:rPr>
                <w:rFonts w:eastAsia="Times New Roman"/>
                <w:lang w:eastAsia="en-AU"/>
              </w:rPr>
              <w:t xml:space="preserve"> </w:t>
            </w:r>
            <w:r w:rsidRPr="00DD768F">
              <w:rPr>
                <w:rFonts w:eastAsia="Times New Roman"/>
                <w:lang w:eastAsia="en-AU"/>
              </w:rPr>
              <w:t>and water feeds are clearly labelled and have been tested and tagged if not hardwired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24F8FDC" w14:textId="2C8D6DC5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114E9961" w14:textId="77F6C3CA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F5EE965" w14:textId="42CF4CA7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222A47" w:rsidRPr="00DD768F" w14:paraId="31484E1F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118F0603" w14:textId="25BC8CEB" w:rsidR="00222A47" w:rsidRPr="00DD768F" w:rsidRDefault="00222A47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4.4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6E64C40" w14:textId="7C734EBC" w:rsidR="00222A47" w:rsidRPr="00DD768F" w:rsidRDefault="001B20D8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 xml:space="preserve">Pool pumps and equipment </w:t>
            </w:r>
            <w:r w:rsidR="003F1841" w:rsidRPr="00DD768F">
              <w:rPr>
                <w:rFonts w:eastAsia="Times New Roman"/>
                <w:lang w:eastAsia="en-AU"/>
              </w:rPr>
              <w:t xml:space="preserve">are </w:t>
            </w:r>
            <w:r w:rsidRPr="00DD768F">
              <w:rPr>
                <w:rFonts w:eastAsia="Times New Roman"/>
                <w:lang w:eastAsia="en-AU"/>
              </w:rPr>
              <w:t>serviced as per manufacturer’s specified frequency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  <w:r w:rsidRPr="00DD768F"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C07FEB4" w14:textId="5D8FD68B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19C315DC" w14:textId="4A21EDDE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6C2A63EC" w14:textId="663E5019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2F4093" w:rsidRPr="00DD768F" w14:paraId="7AB2A5F7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7D8C9C28" w14:textId="3B157D8F" w:rsidR="002F4093" w:rsidRPr="00DD768F" w:rsidRDefault="003558FC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4.5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64FA14C" w14:textId="6EA06F77" w:rsidR="002F4093" w:rsidRPr="00DD768F" w:rsidRDefault="009947E2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Electrical equipment has been tested and tagged and are within date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7EB9058" w14:textId="77777777" w:rsidR="002F4093" w:rsidRPr="00DD768F" w:rsidRDefault="002F4093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730D2821" w14:textId="77777777" w:rsidR="002F4093" w:rsidRPr="00DD768F" w:rsidRDefault="002F4093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AC9619D" w14:textId="77777777" w:rsidR="002F4093" w:rsidRPr="00DD768F" w:rsidRDefault="002F4093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2F4093" w:rsidRPr="00DD768F" w14:paraId="56855B6B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28D35B70" w14:textId="2ACBC253" w:rsidR="002F4093" w:rsidRPr="00DD768F" w:rsidRDefault="003558FC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4.6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F67979A" w14:textId="1BE11B19" w:rsidR="002F4093" w:rsidRPr="00DD768F" w:rsidRDefault="009951B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Maintenance records are retained for plant and equipment servicing and repairs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42FD1F6" w14:textId="77777777" w:rsidR="002F4093" w:rsidRPr="00DD768F" w:rsidRDefault="002F4093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4996B8D0" w14:textId="77777777" w:rsidR="002F4093" w:rsidRPr="00DD768F" w:rsidRDefault="002F4093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63CD35D" w14:textId="77777777" w:rsidR="002F4093" w:rsidRPr="00DD768F" w:rsidRDefault="002F4093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8F241F" w:rsidRPr="00DD768F" w14:paraId="4348C2B6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72F41B17" w14:textId="4DC5E45E" w:rsidR="008F241F" w:rsidRPr="00DD768F" w:rsidRDefault="00C03480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4.7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9C02CF5" w14:textId="50F4A396" w:rsidR="008F241F" w:rsidRPr="00DD768F" w:rsidRDefault="008F241F" w:rsidP="006A6467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color w:val="011A3C"/>
                <w:lang w:eastAsia="en-AU"/>
              </w:rPr>
              <w:t>All suction fittings, grates or covers are secure and in good condition</w:t>
            </w:r>
            <w:r w:rsidR="00AE18CC" w:rsidRPr="00DD768F">
              <w:rPr>
                <w:rFonts w:eastAsia="Times New Roman"/>
                <w:color w:val="011A3C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C89602F" w14:textId="77777777" w:rsidR="008F241F" w:rsidRPr="00DD768F" w:rsidRDefault="008F241F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D3BD938" w14:textId="77777777" w:rsidR="008F241F" w:rsidRPr="00DD768F" w:rsidRDefault="008F241F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C0913C8" w14:textId="77777777" w:rsidR="008F241F" w:rsidRPr="00DD768F" w:rsidRDefault="008F241F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8F241F" w:rsidRPr="00DD768F" w14:paraId="0099A99C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4C377219" w14:textId="73D36708" w:rsidR="008F241F" w:rsidRPr="00DD768F" w:rsidRDefault="00C03480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4.8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58A9F24" w14:textId="35F880B8" w:rsidR="008F241F" w:rsidRPr="007B1541" w:rsidRDefault="008F241F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7B1541">
              <w:rPr>
                <w:rFonts w:eastAsia="Times New Roman"/>
                <w:lang w:eastAsia="en-AU"/>
              </w:rPr>
              <w:t>All electrical sources and equipment are sheltered from water, as a result of weather, over splash or cleaning processes</w:t>
            </w:r>
            <w:r w:rsidR="00AE18CC" w:rsidRPr="007B1541">
              <w:rPr>
                <w:rFonts w:eastAsia="Times New Roman"/>
                <w:lang w:eastAsia="en-AU"/>
              </w:rPr>
              <w:t>.</w:t>
            </w:r>
          </w:p>
          <w:p w14:paraId="06210639" w14:textId="77777777" w:rsidR="008F241F" w:rsidRPr="00DD768F" w:rsidRDefault="008F241F" w:rsidP="003D18A2">
            <w:pPr>
              <w:spacing w:before="80" w:after="80"/>
              <w:rPr>
                <w:rFonts w:eastAsia="Times New Roman"/>
                <w:lang w:eastAsia="en-AU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BF863B7" w14:textId="77777777" w:rsidR="008F241F" w:rsidRPr="00DD768F" w:rsidRDefault="008F241F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4316475C" w14:textId="77777777" w:rsidR="008F241F" w:rsidRPr="00DD768F" w:rsidRDefault="008F241F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48BC7322" w14:textId="2188FB9A" w:rsidR="00ED4AE8" w:rsidRPr="00ED4AE8" w:rsidRDefault="00ED4AE8" w:rsidP="003D18A2">
            <w:pPr>
              <w:spacing w:before="80" w:after="80"/>
              <w:rPr>
                <w:rFonts w:eastAsia="Calibri"/>
              </w:rPr>
            </w:pPr>
          </w:p>
        </w:tc>
      </w:tr>
      <w:tr w:rsidR="00222A47" w:rsidRPr="00DD768F" w14:paraId="4A5CC943" w14:textId="77777777" w:rsidTr="00763B30">
        <w:trPr>
          <w:cantSplit/>
          <w:trHeight w:hRule="exact" w:val="680"/>
        </w:trPr>
        <w:tc>
          <w:tcPr>
            <w:tcW w:w="9917" w:type="dxa"/>
            <w:gridSpan w:val="5"/>
            <w:shd w:val="clear" w:color="auto" w:fill="auto"/>
            <w:vAlign w:val="center"/>
          </w:tcPr>
          <w:p w14:paraId="3DE9B8A1" w14:textId="13BD13AF" w:rsidR="00222A47" w:rsidRPr="00DD768F" w:rsidRDefault="00222A47" w:rsidP="003D18A2">
            <w:pPr>
              <w:pStyle w:val="ListParagraph"/>
              <w:numPr>
                <w:ilvl w:val="0"/>
                <w:numId w:val="14"/>
              </w:numPr>
              <w:spacing w:before="80" w:after="80"/>
              <w:ind w:left="596" w:hanging="567"/>
              <w:contextualSpacing w:val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D768F">
              <w:rPr>
                <w:rFonts w:ascii="Arial" w:hAnsi="Arial" w:cs="Arial"/>
                <w:b/>
                <w:sz w:val="22"/>
                <w:szCs w:val="22"/>
              </w:rPr>
              <w:t>Ventilation</w:t>
            </w:r>
          </w:p>
        </w:tc>
      </w:tr>
      <w:tr w:rsidR="00222A47" w:rsidRPr="00DD768F" w14:paraId="7082BD17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496BBCEC" w14:textId="7F93C1CB" w:rsidR="00222A47" w:rsidRPr="00DD768F" w:rsidRDefault="00222A47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 xml:space="preserve">5.1 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4A1E1D5" w14:textId="2CC2EF4A" w:rsidR="00222A47" w:rsidRPr="00DD768F" w:rsidRDefault="00222A47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Local ventilation extraction system is in good working order</w:t>
            </w:r>
            <w:r w:rsidR="00AE18CC" w:rsidRPr="00DD768F">
              <w:rPr>
                <w:rFonts w:eastAsia="Times New Roman"/>
                <w:lang w:eastAsia="en-AU"/>
              </w:rPr>
              <w:t xml:space="preserve"> and serviced as per manufacturer’s instructions.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161A80F" w14:textId="2BDFBE06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A790EB6" w14:textId="597C4DA8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613605A0" w14:textId="19452950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534453" w:rsidRPr="00DD768F" w14:paraId="5F6FA309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63B49AF8" w14:textId="50158FDB" w:rsidR="00534453" w:rsidRPr="00DD768F" w:rsidRDefault="00060096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lastRenderedPageBreak/>
              <w:t>5.2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2AA15B5" w14:textId="2CF0624D" w:rsidR="00534453" w:rsidRPr="00DD768F" w:rsidRDefault="00FA45D8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Building is free from mould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20F7820" w14:textId="77777777" w:rsidR="00534453" w:rsidRPr="00DD768F" w:rsidDel="009951B1" w:rsidRDefault="00534453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6804661" w14:textId="6F0A24EE" w:rsidR="00AE18CC" w:rsidRPr="00DD768F" w:rsidDel="009951B1" w:rsidRDefault="00AE18CC" w:rsidP="003D18A2">
            <w:pPr>
              <w:spacing w:before="80" w:after="80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1218E0AA" w14:textId="77777777" w:rsidR="00534453" w:rsidRPr="00DD768F" w:rsidDel="009951B1" w:rsidRDefault="00534453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222A47" w:rsidRPr="00DD768F" w14:paraId="3C0C9E9A" w14:textId="77777777" w:rsidTr="00763B30">
        <w:trPr>
          <w:cantSplit/>
          <w:trHeight w:hRule="exact" w:val="680"/>
        </w:trPr>
        <w:tc>
          <w:tcPr>
            <w:tcW w:w="9917" w:type="dxa"/>
            <w:gridSpan w:val="5"/>
            <w:shd w:val="clear" w:color="auto" w:fill="auto"/>
            <w:vAlign w:val="center"/>
          </w:tcPr>
          <w:p w14:paraId="629CFFC2" w14:textId="646ECC56" w:rsidR="00222A47" w:rsidRPr="00DD768F" w:rsidRDefault="000D7EAA" w:rsidP="003D18A2">
            <w:pPr>
              <w:pStyle w:val="ListParagraph"/>
              <w:numPr>
                <w:ilvl w:val="0"/>
                <w:numId w:val="14"/>
              </w:numPr>
              <w:spacing w:before="80" w:after="80"/>
              <w:ind w:left="596" w:hanging="567"/>
              <w:contextualSpacing w:val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117163006"/>
            <w:r w:rsidRPr="00DD768F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Chemical </w:t>
            </w:r>
            <w:r w:rsidR="00423473" w:rsidRPr="00DD768F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and water </w:t>
            </w:r>
            <w:r w:rsidRPr="00DD768F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management </w:t>
            </w:r>
            <w:bookmarkEnd w:id="1"/>
          </w:p>
        </w:tc>
      </w:tr>
      <w:tr w:rsidR="00222A47" w:rsidRPr="00DD768F" w14:paraId="531CF6AA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4B2D4DB7" w14:textId="1D1EA609" w:rsidR="00222A47" w:rsidRPr="00DD768F" w:rsidRDefault="00222A47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6.1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40B422B" w14:textId="6928CD38" w:rsidR="00222A47" w:rsidRPr="00DD768F" w:rsidRDefault="003860B9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t xml:space="preserve">Chemicals are stored in appropriately </w:t>
            </w:r>
            <w:r w:rsidR="00AE18CC" w:rsidRPr="00DD768F">
              <w:t xml:space="preserve">labelled </w:t>
            </w:r>
            <w:r w:rsidRPr="00DD768F">
              <w:t>containers i.e. that were not previously food or beverage containers</w:t>
            </w:r>
            <w:r w:rsidR="00AE18CC" w:rsidRPr="00DD768F"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EF6398C" w14:textId="4234DACF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70A861B" w14:textId="236FAAEF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9C76FE8" w14:textId="4CC8E3BE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222A47" w:rsidRPr="00DD768F" w14:paraId="5AAA4FB4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192FBA5E" w14:textId="51D5D6B6" w:rsidR="00222A47" w:rsidRPr="00DD768F" w:rsidRDefault="00222A47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6.2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70D5D1F" w14:textId="73BA7225" w:rsidR="00222A47" w:rsidRPr="00DD768F" w:rsidRDefault="00222A47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Chemicals are stored in a secure location away from weather extremities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6BA5836" w14:textId="39C89494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5D6E350" w14:textId="089C7703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FDB49C8" w14:textId="72222AC4" w:rsidR="00222A47" w:rsidRPr="00DD768F" w:rsidRDefault="00222A4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D05FF2" w:rsidRPr="00DD768F" w14:paraId="1619B396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52C08242" w14:textId="23CFA800" w:rsidR="00D05FF2" w:rsidRPr="00DD768F" w:rsidRDefault="00D05FF2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6.3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E51FDF6" w14:textId="52B9E1B6" w:rsidR="00D05FF2" w:rsidRPr="00DD768F" w:rsidRDefault="00D05FF2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Chemicals are correctly labelled with the label clearly legible and intact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A8893FE" w14:textId="52640505" w:rsidR="00D05FF2" w:rsidRPr="00DD768F" w:rsidRDefault="00D05FF2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14A25802" w14:textId="37673C4F" w:rsidR="00D05FF2" w:rsidRPr="00DD768F" w:rsidRDefault="00D05FF2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3170B4F" w14:textId="14C237C7" w:rsidR="00D05FF2" w:rsidRPr="00DD768F" w:rsidRDefault="00D05FF2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D05FF2" w:rsidRPr="00DD768F" w14:paraId="57542544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730B4BD1" w14:textId="79E29466" w:rsidR="00D05FF2" w:rsidRPr="00DD768F" w:rsidRDefault="00D05FF2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6.4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3689853" w14:textId="4014EF17" w:rsidR="00D05FF2" w:rsidRPr="00DD768F" w:rsidRDefault="00D05FF2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Flammables and corrosives stored in correctly labelled cabinets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EA86452" w14:textId="09C877E8" w:rsidR="00D05FF2" w:rsidRPr="00DD768F" w:rsidRDefault="00D05FF2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D1D7229" w14:textId="7FCB1D34" w:rsidR="00D05FF2" w:rsidRPr="00DD768F" w:rsidRDefault="00D05FF2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DB1569A" w14:textId="752753F3" w:rsidR="00D05FF2" w:rsidRPr="00DD768F" w:rsidRDefault="00D05FF2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730BFC" w:rsidRPr="00DD768F" w14:paraId="2DFE5170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52267AF1" w14:textId="6A225F80" w:rsidR="00730BFC" w:rsidRPr="00DD768F" w:rsidRDefault="00730BFC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6.5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9475634" w14:textId="6FB203C6" w:rsidR="00730BFC" w:rsidRPr="00DD768F" w:rsidRDefault="00730BFC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Safety Data Sheets (SDSs) are available to view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  <w:r w:rsidRPr="00DD768F" w:rsidDel="009E1017"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0C2DCE3" w14:textId="52421E45" w:rsidR="00730BFC" w:rsidRPr="00DD768F" w:rsidRDefault="00730BFC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EA0BBB1" w14:textId="2CA04A62" w:rsidR="00730BFC" w:rsidRPr="00DD768F" w:rsidRDefault="00730BFC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74D5D3A" w14:textId="212A1D23" w:rsidR="00730BFC" w:rsidRPr="00DD768F" w:rsidRDefault="00730BFC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730BFC" w:rsidRPr="00DD768F" w14:paraId="776DEA2B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61F735D4" w14:textId="40B42780" w:rsidR="00730BFC" w:rsidRPr="00DD768F" w:rsidRDefault="00ED12CA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6.6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3D9017F" w14:textId="1B47C588" w:rsidR="00730BFC" w:rsidRPr="00DD768F" w:rsidRDefault="00ED12CA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Arial"/>
                <w:lang w:val="en-GB"/>
              </w:rPr>
              <w:t xml:space="preserve">Dangerous goods are segregated in storage per </w:t>
            </w:r>
            <w:hyperlink r:id="rId12" w:history="1">
              <w:r w:rsidRPr="00DD768F">
                <w:rPr>
                  <w:rFonts w:eastAsia="Times New Roman"/>
                  <w:color w:val="0090DA"/>
                  <w:u w:val="single"/>
                  <w:lang w:val="en-GB"/>
                </w:rPr>
                <w:t>Chemical Storage Guidance</w:t>
              </w:r>
            </w:hyperlink>
            <w:r w:rsidR="00AE18CC" w:rsidRPr="00DD768F">
              <w:rPr>
                <w:rFonts w:eastAsia="Times New Roman"/>
                <w:color w:val="0090DA"/>
                <w:u w:val="single"/>
                <w:lang w:val="en-GB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71B4C2A" w14:textId="5EC6E491" w:rsidR="00730BFC" w:rsidRPr="00DD768F" w:rsidRDefault="00730BFC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D45B7BC" w14:textId="7505C30B" w:rsidR="00730BFC" w:rsidRPr="00DD768F" w:rsidRDefault="00730BFC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46A65DEB" w14:textId="3C81F419" w:rsidR="00730BFC" w:rsidRPr="00DD768F" w:rsidRDefault="00730BFC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ED12CA" w:rsidRPr="00DD768F" w14:paraId="661CAFA5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74A50CE4" w14:textId="1CAEF6B4" w:rsidR="00ED12CA" w:rsidRPr="00DD768F" w:rsidRDefault="00097792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6.7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AEC7A84" w14:textId="2B71BCF6" w:rsidR="00ED12CA" w:rsidRPr="00DD768F" w:rsidRDefault="00097792" w:rsidP="003D18A2">
            <w:pPr>
              <w:spacing w:before="80" w:after="80"/>
              <w:rPr>
                <w:rFonts w:eastAsia="Arial"/>
                <w:lang w:val="en-GB"/>
              </w:rPr>
            </w:pPr>
            <w:r w:rsidRPr="00DD768F">
              <w:rPr>
                <w:rFonts w:eastAsia="Times New Roman"/>
                <w:lang w:eastAsia="en-AU"/>
              </w:rPr>
              <w:t>A hazardous and dangerous goods register is maintained and readily available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D25052D" w14:textId="77777777" w:rsidR="00ED12CA" w:rsidRPr="00DD768F" w:rsidRDefault="00ED12CA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7044667D" w14:textId="77777777" w:rsidR="00ED12CA" w:rsidRPr="00DD768F" w:rsidRDefault="00ED12CA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B1CACC5" w14:textId="77777777" w:rsidR="00ED12CA" w:rsidRPr="00DD768F" w:rsidRDefault="00ED12CA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730BFC" w:rsidRPr="00DD768F" w14:paraId="3436C4FA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10870796" w14:textId="65FF7AE3" w:rsidR="00730BFC" w:rsidRPr="00DD768F" w:rsidRDefault="00BC2425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6.8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73ACD6D" w14:textId="456AF8F1" w:rsidR="00730BFC" w:rsidRPr="00DD768F" w:rsidRDefault="00730BFC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Bunding or spill trays are available for storage of liquids</w:t>
            </w:r>
            <w:r w:rsidR="00AE18CC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5E79076" w14:textId="2BF20D06" w:rsidR="00730BFC" w:rsidRPr="00DD768F" w:rsidRDefault="00730BFC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6F9DCBBE" w14:textId="5CF8B71D" w:rsidR="00730BFC" w:rsidRPr="00DD768F" w:rsidRDefault="00730BFC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139E1FCD" w14:textId="275C7433" w:rsidR="00730BFC" w:rsidRPr="00DD768F" w:rsidRDefault="00730BFC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730BFC" w:rsidRPr="00DD768F" w14:paraId="416FC573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35403046" w14:textId="76BEE942" w:rsidR="00730BFC" w:rsidRPr="00DD768F" w:rsidRDefault="00BC2425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6.9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A88BDAD" w14:textId="07C15A4E" w:rsidR="00730BFC" w:rsidRPr="00DD768F" w:rsidRDefault="00730BFC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Appropriate waste containers are readily available</w:t>
            </w:r>
            <w:r w:rsidR="00DD768F" w:rsidRPr="00DD768F">
              <w:t xml:space="preserve"> </w:t>
            </w:r>
            <w:r w:rsidR="00DD768F" w:rsidRPr="00DD768F">
              <w:rPr>
                <w:rFonts w:eastAsia="Times New Roman"/>
                <w:lang w:eastAsia="en-AU"/>
              </w:rPr>
              <w:t>e.g. chemical waste, general waste, recyclable waste, etc.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AE1844A" w14:textId="77777777" w:rsidR="00730BFC" w:rsidRPr="00DD768F" w:rsidDel="009951B1" w:rsidRDefault="00730BFC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689D0131" w14:textId="77777777" w:rsidR="00730BFC" w:rsidRPr="00DD768F" w:rsidDel="009951B1" w:rsidRDefault="00730BFC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6A43ADCF" w14:textId="77777777" w:rsidR="00730BFC" w:rsidRPr="00DD768F" w:rsidDel="009951B1" w:rsidRDefault="00730BFC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097792" w:rsidRPr="00DD768F" w14:paraId="337636D8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30476AD1" w14:textId="5DCF96F8" w:rsidR="00097792" w:rsidRPr="00DD768F" w:rsidRDefault="004B5DC2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6.10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ED98E85" w14:textId="2483D5E3" w:rsidR="00097792" w:rsidRPr="00DD768F" w:rsidRDefault="00DD768F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Appropriate spill containment kits are readily available.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B3D5FCE" w14:textId="77777777" w:rsidR="00097792" w:rsidRPr="00DD768F" w:rsidDel="009951B1" w:rsidRDefault="00097792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C91335C" w14:textId="77777777" w:rsidR="00097792" w:rsidRPr="00DD768F" w:rsidDel="009951B1" w:rsidRDefault="00097792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96C1BE0" w14:textId="77777777" w:rsidR="00097792" w:rsidRPr="00DD768F" w:rsidDel="009951B1" w:rsidRDefault="00097792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304577" w:rsidRPr="00DD768F" w14:paraId="69657AF1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53655521" w14:textId="556DE7FE" w:rsidR="00304577" w:rsidRPr="00DD768F" w:rsidRDefault="00304577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6.11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17FADE0" w14:textId="53C2E899" w:rsidR="00304577" w:rsidRPr="00DD768F" w:rsidRDefault="004E2574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‘</w:t>
            </w:r>
            <w:r w:rsidR="00304577" w:rsidRPr="00DD768F">
              <w:rPr>
                <w:rFonts w:eastAsia="Times New Roman"/>
                <w:lang w:eastAsia="en-AU"/>
              </w:rPr>
              <w:t>No eating or drinking’ signage is clearly displayed and legible in chemical storage areas</w:t>
            </w:r>
            <w:r w:rsidR="00DD768F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A3E50E0" w14:textId="77777777" w:rsidR="00304577" w:rsidRPr="00DD768F" w:rsidDel="009951B1" w:rsidRDefault="0030457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3B18DCC" w14:textId="77777777" w:rsidR="00304577" w:rsidRPr="00DD768F" w:rsidDel="009951B1" w:rsidRDefault="00304577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D999E94" w14:textId="77777777" w:rsidR="00304577" w:rsidRPr="00DD768F" w:rsidRDefault="00304577" w:rsidP="003D18A2">
            <w:pPr>
              <w:spacing w:before="80" w:after="80" w:line="276" w:lineRule="auto"/>
              <w:rPr>
                <w:rStyle w:val="CommentReference"/>
                <w:sz w:val="22"/>
                <w:szCs w:val="22"/>
              </w:rPr>
            </w:pPr>
          </w:p>
        </w:tc>
      </w:tr>
      <w:tr w:rsidR="00423473" w:rsidRPr="00DD768F" w14:paraId="6B343068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1FEB7228" w14:textId="1529F8DC" w:rsidR="00423473" w:rsidRPr="00DD768F" w:rsidRDefault="00B11A44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bookmarkStart w:id="2" w:name="_Hlk117162959"/>
            <w:r w:rsidRPr="00DD768F">
              <w:rPr>
                <w:rFonts w:eastAsia="Times New Roman"/>
                <w:lang w:eastAsia="en-AU"/>
              </w:rPr>
              <w:t>6.12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68733FC" w14:textId="591BCFED" w:rsidR="00423473" w:rsidRPr="00DD768F" w:rsidRDefault="00423473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t>The pool has a Water Quality Risk Management Plan</w:t>
            </w:r>
            <w:r w:rsidR="00DD768F" w:rsidRPr="00DD768F"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BE22104" w14:textId="77777777" w:rsidR="00423473" w:rsidRPr="00DD768F" w:rsidDel="009951B1" w:rsidRDefault="00423473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1D196175" w14:textId="77777777" w:rsidR="00423473" w:rsidRPr="00DD768F" w:rsidDel="009951B1" w:rsidRDefault="00423473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71BC9886" w14:textId="77777777" w:rsidR="00423473" w:rsidRPr="00DD768F" w:rsidRDefault="00423473" w:rsidP="003D18A2">
            <w:pPr>
              <w:spacing w:before="80" w:after="80" w:line="276" w:lineRule="auto"/>
              <w:rPr>
                <w:rStyle w:val="CommentReference"/>
                <w:sz w:val="22"/>
                <w:szCs w:val="22"/>
              </w:rPr>
            </w:pPr>
          </w:p>
        </w:tc>
      </w:tr>
      <w:tr w:rsidR="00313B51" w:rsidRPr="00DD768F" w14:paraId="49345099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31568049" w14:textId="7D140C4F" w:rsidR="00313B51" w:rsidRPr="00DD768F" w:rsidRDefault="00313B51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6.13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E84439D" w14:textId="1B049C54" w:rsidR="00313B51" w:rsidRPr="00DD768F" w:rsidRDefault="00313B51" w:rsidP="003D18A2">
            <w:pPr>
              <w:spacing w:before="80" w:after="80"/>
            </w:pPr>
            <w:r w:rsidRPr="00DD768F">
              <w:t>The Water Quality Risk Management Plan has been updated in the last 12 months</w:t>
            </w:r>
            <w:r w:rsidR="00DD768F" w:rsidRPr="00DD768F"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322C8BC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87BA0F3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79DA5D25" w14:textId="77777777" w:rsidR="00313B51" w:rsidRPr="00DD768F" w:rsidRDefault="00313B51" w:rsidP="003D18A2">
            <w:pPr>
              <w:spacing w:before="80" w:after="80" w:line="276" w:lineRule="auto"/>
              <w:rPr>
                <w:rStyle w:val="CommentReference"/>
                <w:sz w:val="22"/>
                <w:szCs w:val="22"/>
              </w:rPr>
            </w:pPr>
          </w:p>
        </w:tc>
      </w:tr>
      <w:tr w:rsidR="00313B51" w:rsidRPr="00DD768F" w14:paraId="5A3B6AC5" w14:textId="77777777" w:rsidTr="00587AB2">
        <w:trPr>
          <w:cantSplit/>
          <w:trHeight w:hRule="exact" w:val="909"/>
        </w:trPr>
        <w:tc>
          <w:tcPr>
            <w:tcW w:w="704" w:type="dxa"/>
            <w:shd w:val="clear" w:color="auto" w:fill="auto"/>
            <w:vAlign w:val="center"/>
          </w:tcPr>
          <w:p w14:paraId="1E22632B" w14:textId="05292EC9" w:rsidR="00313B51" w:rsidRPr="00DD768F" w:rsidRDefault="00313B51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6.14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843204B" w14:textId="1AEE0534" w:rsidR="00313B51" w:rsidRPr="00DD768F" w:rsidRDefault="00313B5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Manual daily key pool water parameter checks are undertaken before the pool opens and operational checks are performed every four hours</w:t>
            </w:r>
            <w:r w:rsidR="00DD768F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23AB583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11523B62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1ABCDB72" w14:textId="77777777" w:rsidR="00313B51" w:rsidRPr="00DD768F" w:rsidRDefault="00313B51" w:rsidP="003D18A2">
            <w:pPr>
              <w:spacing w:before="80" w:after="80" w:line="276" w:lineRule="auto"/>
              <w:rPr>
                <w:rStyle w:val="CommentReference"/>
                <w:sz w:val="22"/>
                <w:szCs w:val="22"/>
              </w:rPr>
            </w:pPr>
          </w:p>
        </w:tc>
      </w:tr>
      <w:tr w:rsidR="00313B51" w:rsidRPr="00DD768F" w14:paraId="45A890EA" w14:textId="77777777" w:rsidTr="00587AB2">
        <w:trPr>
          <w:cantSplit/>
          <w:trHeight w:hRule="exact" w:val="909"/>
        </w:trPr>
        <w:tc>
          <w:tcPr>
            <w:tcW w:w="704" w:type="dxa"/>
            <w:shd w:val="clear" w:color="auto" w:fill="auto"/>
            <w:vAlign w:val="center"/>
          </w:tcPr>
          <w:p w14:paraId="4B6565A9" w14:textId="17F480B5" w:rsidR="00313B51" w:rsidRPr="00DD768F" w:rsidRDefault="00313B51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6.15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BF9E7D4" w14:textId="384A68B1" w:rsidR="00313B51" w:rsidRPr="00DD768F" w:rsidRDefault="00313B5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t>Records of testing for the last 12 months have been kept</w:t>
            </w:r>
            <w:r w:rsidR="00DD768F" w:rsidRPr="00DD768F"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D3F64EB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40F47FD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69498CB9" w14:textId="77777777" w:rsidR="00313B51" w:rsidRPr="00DD768F" w:rsidRDefault="00313B51" w:rsidP="003D18A2">
            <w:pPr>
              <w:spacing w:before="80" w:after="80" w:line="276" w:lineRule="auto"/>
              <w:rPr>
                <w:rStyle w:val="CommentReference"/>
                <w:sz w:val="22"/>
                <w:szCs w:val="22"/>
              </w:rPr>
            </w:pPr>
          </w:p>
        </w:tc>
      </w:tr>
      <w:bookmarkEnd w:id="2"/>
      <w:tr w:rsidR="00313B51" w:rsidRPr="00DD768F" w14:paraId="65F0DA17" w14:textId="77777777" w:rsidTr="00763B30">
        <w:trPr>
          <w:cantSplit/>
          <w:trHeight w:hRule="exact" w:val="680"/>
        </w:trPr>
        <w:tc>
          <w:tcPr>
            <w:tcW w:w="9917" w:type="dxa"/>
            <w:gridSpan w:val="5"/>
            <w:shd w:val="clear" w:color="auto" w:fill="auto"/>
            <w:vAlign w:val="center"/>
          </w:tcPr>
          <w:p w14:paraId="71124BBF" w14:textId="0C61AB3E" w:rsidR="00313B51" w:rsidRPr="00DD768F" w:rsidRDefault="00313B51" w:rsidP="003D18A2">
            <w:pPr>
              <w:pStyle w:val="ListParagraph"/>
              <w:numPr>
                <w:ilvl w:val="0"/>
                <w:numId w:val="14"/>
              </w:numPr>
              <w:spacing w:before="80" w:after="80"/>
              <w:ind w:left="596" w:hanging="567"/>
              <w:contextualSpacing w:val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D768F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Manual handling and storage</w:t>
            </w:r>
          </w:p>
        </w:tc>
      </w:tr>
      <w:tr w:rsidR="00313B51" w:rsidRPr="00DD768F" w14:paraId="3D2FAEB5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63EBA05C" w14:textId="5636C6D1" w:rsidR="00313B51" w:rsidRPr="00DD768F" w:rsidRDefault="00313B51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7.1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173DADD" w14:textId="1E967C7A" w:rsidR="00313B51" w:rsidRPr="00DD768F" w:rsidRDefault="00313B5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General items are stored so that they are not at risk of falling</w:t>
            </w:r>
            <w:r w:rsidR="00DD768F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4A02A46" w14:textId="6BCA9655" w:rsidR="00313B51" w:rsidRPr="00DD768F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7F829F09" w14:textId="6295E2C1" w:rsidR="00313B51" w:rsidRPr="00DD768F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11C13C8" w14:textId="5B12FA94" w:rsidR="00313B51" w:rsidRPr="00DD768F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313B51" w:rsidRPr="00DD768F" w14:paraId="43823F68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694E216E" w14:textId="0223DC62" w:rsidR="00313B51" w:rsidRPr="00DD768F" w:rsidRDefault="00313B51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7.2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5656455" w14:textId="0E320A32" w:rsidR="00313B51" w:rsidRPr="00DD768F" w:rsidRDefault="00313B5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Frequently used, bulky or heavy items are stored within easy reach (between waist and shoulder height)</w:t>
            </w:r>
            <w:r w:rsidR="00DD768F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DC6F5E2" w14:textId="4D742488" w:rsidR="00313B51" w:rsidRPr="00DD768F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64D3B33E" w14:textId="4DB7EC31" w:rsidR="00313B51" w:rsidRPr="00DD768F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890510E" w14:textId="522F0C37" w:rsidR="00313B51" w:rsidRPr="00DD768F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313B51" w:rsidRPr="00DD768F" w14:paraId="3DBE838F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76C750E5" w14:textId="71F48A72" w:rsidR="00313B51" w:rsidRPr="00DD768F" w:rsidRDefault="00313B51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lastRenderedPageBreak/>
              <w:t>7.3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7775268" w14:textId="77621DE1" w:rsidR="00313B51" w:rsidRPr="00DD768F" w:rsidRDefault="00313B5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Storage racks are in good condition (e.g. no bowed shelves)</w:t>
            </w:r>
            <w:r w:rsidR="00DD768F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7A14B4E" w14:textId="3C8C2BF0" w:rsidR="00313B51" w:rsidRPr="00DD768F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1D2BBEA" w14:textId="3658CC42" w:rsidR="00DD768F" w:rsidRPr="00DD768F" w:rsidRDefault="00DD768F" w:rsidP="003D18A2">
            <w:pPr>
              <w:spacing w:before="80" w:after="80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C7FCBE9" w14:textId="3A397A69" w:rsidR="00313B51" w:rsidRPr="00DD768F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313B51" w:rsidRPr="00DD768F" w14:paraId="295B0EF9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4921D02A" w14:textId="75EB5892" w:rsidR="00313B51" w:rsidRPr="00DD768F" w:rsidRDefault="00313B51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7.4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13BBE9D" w14:textId="051E5FBD" w:rsidR="00313B51" w:rsidRPr="00DD768F" w:rsidRDefault="00313B5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Free standing shelves/cupboards are secured to ensure stability</w:t>
            </w:r>
            <w:r w:rsidR="00DD768F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C0C6154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61FEBA9D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44A16D8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313B51" w:rsidRPr="00DD768F" w14:paraId="7A4B6EBF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43DF7141" w14:textId="4CE0C4A1" w:rsidR="00313B51" w:rsidRPr="00DD768F" w:rsidRDefault="00313B51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7.5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E08AFB0" w14:textId="794B88C2" w:rsidR="00313B51" w:rsidRPr="00DD768F" w:rsidRDefault="00313B5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Trolleys are available and in good condition</w:t>
            </w:r>
            <w:r w:rsidR="00DD768F" w:rsidRP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E48F469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FD55B8E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7261048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313B51" w:rsidRPr="00DD768F" w14:paraId="6B46BF1F" w14:textId="77777777" w:rsidTr="00763B30">
        <w:trPr>
          <w:cantSplit/>
          <w:trHeight w:hRule="exact" w:val="680"/>
        </w:trPr>
        <w:tc>
          <w:tcPr>
            <w:tcW w:w="9917" w:type="dxa"/>
            <w:gridSpan w:val="5"/>
            <w:shd w:val="clear" w:color="auto" w:fill="auto"/>
            <w:vAlign w:val="center"/>
          </w:tcPr>
          <w:p w14:paraId="50C9DD97" w14:textId="451A21D3" w:rsidR="00313B51" w:rsidRPr="00DD768F" w:rsidRDefault="00313B51" w:rsidP="003D18A2">
            <w:pPr>
              <w:pStyle w:val="ListParagraph"/>
              <w:numPr>
                <w:ilvl w:val="0"/>
                <w:numId w:val="14"/>
              </w:numPr>
              <w:spacing w:before="80" w:after="80"/>
              <w:ind w:left="596" w:hanging="567"/>
              <w:contextualSpacing w:val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D768F">
              <w:rPr>
                <w:rFonts w:ascii="Arial" w:hAnsi="Arial" w:cs="Arial"/>
                <w:b/>
                <w:sz w:val="22"/>
                <w:szCs w:val="22"/>
              </w:rPr>
              <w:t xml:space="preserve">Preparing for emergencies and first </w:t>
            </w:r>
            <w:r w:rsidRPr="00DD768F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aid</w:t>
            </w:r>
          </w:p>
        </w:tc>
      </w:tr>
      <w:tr w:rsidR="00313B51" w:rsidRPr="00DD768F" w14:paraId="5AE5D293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141EFD3A" w14:textId="16907485" w:rsidR="00313B51" w:rsidRPr="00DD768F" w:rsidRDefault="00313B51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8.1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3E56261" w14:textId="285033C9" w:rsidR="00313B51" w:rsidRPr="00DD768F" w:rsidRDefault="00313B5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First aid kit/cabinet is available and accessible</w:t>
            </w:r>
            <w:r w:rsid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1FBE195" w14:textId="396D723A" w:rsidR="00313B51" w:rsidRPr="00DD768F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709C967" w14:textId="141EFCC5" w:rsidR="00313B51" w:rsidRPr="00DD768F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1D8037B5" w14:textId="71CD1F8A" w:rsidR="00313B51" w:rsidRPr="00DD768F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313B51" w:rsidRPr="00DD768F" w14:paraId="4F2EA4F7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3DCC379B" w14:textId="653FEABD" w:rsidR="00313B51" w:rsidRPr="00DD768F" w:rsidRDefault="00313B51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8.2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E7E05DB" w14:textId="27DF80E9" w:rsidR="00313B51" w:rsidRPr="00DD768F" w:rsidRDefault="00313B5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Automated External Defibrillator (AED) is available and accessible with in-date AED pads and battery in place</w:t>
            </w:r>
            <w:r w:rsidR="00DD768F">
              <w:rPr>
                <w:rFonts w:eastAsia="Times New Roman"/>
                <w:lang w:eastAsia="en-AU"/>
              </w:rPr>
              <w:t>.</w:t>
            </w:r>
            <w:r w:rsidRPr="00DD768F"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3B38684" w14:textId="02E4FA55" w:rsidR="00313B51" w:rsidRPr="00DD768F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93C3545" w14:textId="10B7613B" w:rsidR="00313B51" w:rsidRPr="00DD768F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5D45E33" w14:textId="05CC4AAF" w:rsidR="00313B51" w:rsidRPr="00DD768F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313B51" w:rsidRPr="00DD768F" w14:paraId="775A5328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5AA390CF" w14:textId="4681A817" w:rsidR="00313B51" w:rsidRPr="00DD768F" w:rsidRDefault="00313B51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8.3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FF7412C" w14:textId="44612AC9" w:rsidR="00313B51" w:rsidRPr="00DD768F" w:rsidRDefault="00313B5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Fire extinguisher is available, accessible and has been tested in the last 12 months (check tag)</w:t>
            </w:r>
            <w:r w:rsid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B8C0502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5A8F745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E22C7DD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313B51" w:rsidRPr="00DD768F" w14:paraId="1CA2A559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52FA1280" w14:textId="0959C6A9" w:rsidR="00313B51" w:rsidRPr="00DD768F" w:rsidRDefault="00313B51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8.4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EA4A1EC" w14:textId="20E79657" w:rsidR="00313B51" w:rsidRPr="00DD768F" w:rsidRDefault="00313B5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 xml:space="preserve">Emergency Evacuation Plans are clearly displayed and </w:t>
            </w:r>
            <w:r w:rsidR="005B2C54">
              <w:rPr>
                <w:rFonts w:eastAsia="Times New Roman"/>
                <w:lang w:eastAsia="en-AU"/>
              </w:rPr>
              <w:t>are</w:t>
            </w:r>
            <w:r w:rsidRPr="00DD768F">
              <w:rPr>
                <w:rFonts w:eastAsia="Times New Roman"/>
                <w:lang w:eastAsia="en-AU"/>
              </w:rPr>
              <w:t xml:space="preserve"> legible</w:t>
            </w:r>
            <w:r w:rsidR="00DD768F">
              <w:rPr>
                <w:rFonts w:eastAsia="Times New Roman"/>
                <w:lang w:eastAsia="en-AU"/>
              </w:rPr>
              <w:t>.</w:t>
            </w:r>
            <w:r w:rsidRPr="00DD768F"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CE4CA60" w14:textId="78196353" w:rsidR="00313B51" w:rsidRPr="00DD768F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034B771" w14:textId="1EB659FC" w:rsidR="00313B51" w:rsidRPr="00DD768F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16E398D" w14:textId="227FCAB8" w:rsidR="00313B51" w:rsidRPr="00DD768F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313B51" w:rsidRPr="00DD768F" w14:paraId="11FB626E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6F92AC29" w14:textId="59E2CEF1" w:rsidR="00313B51" w:rsidRPr="00DD768F" w:rsidRDefault="00313B51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8.5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8E3878B" w14:textId="19EEFDBD" w:rsidR="00313B51" w:rsidRPr="00DD768F" w:rsidRDefault="00313B5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Emergency exit door(s) are clearly signposted, illuminated</w:t>
            </w:r>
            <w:r w:rsidR="00DD768F">
              <w:rPr>
                <w:rFonts w:eastAsia="Times New Roman"/>
                <w:lang w:eastAsia="en-AU"/>
              </w:rPr>
              <w:t>,</w:t>
            </w:r>
            <w:r w:rsidRPr="00DD768F">
              <w:rPr>
                <w:rFonts w:eastAsia="Times New Roman"/>
                <w:lang w:eastAsia="en-AU"/>
              </w:rPr>
              <w:t xml:space="preserve"> and unobstructed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BD3DA00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95F3188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3FBE7E1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313B51" w:rsidRPr="00DD768F" w14:paraId="666F1518" w14:textId="77777777" w:rsidTr="00587AB2">
        <w:trPr>
          <w:cantSplit/>
          <w:trHeight w:hRule="exact" w:val="917"/>
        </w:trPr>
        <w:tc>
          <w:tcPr>
            <w:tcW w:w="704" w:type="dxa"/>
            <w:shd w:val="clear" w:color="auto" w:fill="auto"/>
            <w:vAlign w:val="center"/>
          </w:tcPr>
          <w:p w14:paraId="41A7B0C0" w14:textId="5E8F4D52" w:rsidR="00313B51" w:rsidRPr="00DD768F" w:rsidRDefault="00313B51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8.6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9349C67" w14:textId="6F7F46B1" w:rsidR="00313B51" w:rsidRPr="00DD768F" w:rsidRDefault="00313B5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Emergency eye wash stations and showers are in close proximity to stored chemicals, dangerous goods, hazardous materials</w:t>
            </w:r>
            <w:r w:rsidR="005B2C54">
              <w:rPr>
                <w:rFonts w:eastAsia="Times New Roman"/>
                <w:lang w:eastAsia="en-AU"/>
              </w:rPr>
              <w:t>,</w:t>
            </w:r>
            <w:r w:rsidRPr="00DD768F">
              <w:rPr>
                <w:rFonts w:eastAsia="Times New Roman"/>
                <w:lang w:eastAsia="en-AU"/>
              </w:rPr>
              <w:t xml:space="preserve"> and substances</w:t>
            </w:r>
            <w:r w:rsid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260FAE0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6D854CF2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DE5DD7F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313B51" w:rsidRPr="00DD768F" w14:paraId="33AF5A2F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31203412" w14:textId="12B64BAF" w:rsidR="00313B51" w:rsidRPr="00DD768F" w:rsidRDefault="00313B51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8.7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B7A7480" w14:textId="00C7F242" w:rsidR="00313B51" w:rsidRPr="00DD768F" w:rsidRDefault="00313B5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The safety shower is working and accessible (e.g. free from obstruction and trip hazards)</w:t>
            </w:r>
            <w:r w:rsid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3D423CC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C6E2605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8B570A7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313B51" w:rsidRPr="00DD768F" w14:paraId="0B8B36F5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2401BD0E" w14:textId="23513CB8" w:rsidR="00313B51" w:rsidRPr="00DD768F" w:rsidRDefault="00313B51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8.8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1BE928E" w14:textId="20F7C6E5" w:rsidR="00313B51" w:rsidRPr="00DD768F" w:rsidRDefault="00313B5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Eye wash stations are working and readily accessible with pathways free of obstruction and trip hazards</w:t>
            </w:r>
            <w:r w:rsid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70954F0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7C0C3EB2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7CCE25C0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313B51" w:rsidRPr="00DD768F" w14:paraId="09D060E0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2C9F2486" w14:textId="1819BFCD" w:rsidR="00313B51" w:rsidRPr="00DD768F" w:rsidRDefault="00313B51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8.9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048E25F" w14:textId="5C960EE0" w:rsidR="00313B51" w:rsidRPr="00DD768F" w:rsidRDefault="00313B5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The eye wash nozzle is free from airborne contaminates</w:t>
            </w:r>
            <w:r w:rsidR="00DD768F">
              <w:rPr>
                <w:rFonts w:eastAsia="Times New Roman"/>
                <w:lang w:eastAsia="en-AU"/>
              </w:rPr>
              <w:t>.</w:t>
            </w:r>
            <w:r w:rsidRPr="00DD768F"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7215178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143F4548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A51A915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313B51" w:rsidRPr="00DD768F" w14:paraId="2AF81028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69817020" w14:textId="399709CC" w:rsidR="00313B51" w:rsidRPr="00DD768F" w:rsidRDefault="00313B51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8.10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5B75C96" w14:textId="43CCC488" w:rsidR="00313B51" w:rsidRPr="00DD768F" w:rsidRDefault="00313B5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 xml:space="preserve">Eye wash stations and safety showers are flushed (at least weekly) regularly to eliminate </w:t>
            </w:r>
            <w:r w:rsidR="00DD768F">
              <w:rPr>
                <w:rFonts w:eastAsia="Times New Roman"/>
                <w:lang w:eastAsia="en-AU"/>
              </w:rPr>
              <w:t>contaminants and records kept.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667B2A0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33C4637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4A5E9E9F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313B51" w:rsidRPr="00DD768F" w14:paraId="79AE879B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18CC5AD3" w14:textId="6DB24A82" w:rsidR="00313B51" w:rsidRPr="00DD768F" w:rsidRDefault="00313B51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8.11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2C50806" w14:textId="709FA3ED" w:rsidR="00313B51" w:rsidRPr="00DD768F" w:rsidRDefault="00313B5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 xml:space="preserve">Eye wash stations and safety showers are </w:t>
            </w:r>
            <w:r w:rsidRPr="00DD768F">
              <w:rPr>
                <w:color w:val="26292C"/>
              </w:rPr>
              <w:t>annually inspected and tested by a qualified technician.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BD1B0F0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67DAA41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1DF92288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313B51" w:rsidRPr="00DD768F" w14:paraId="6025E15F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0E6FA553" w14:textId="023F822F" w:rsidR="00313B51" w:rsidRPr="00DD768F" w:rsidRDefault="00313B51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8.12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C261826" w14:textId="219C770A" w:rsidR="00313B51" w:rsidRPr="00DD768F" w:rsidRDefault="00313B5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The safety shower handle/pull rod is readily accessible from a standing level</w:t>
            </w:r>
            <w:r w:rsid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C795016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5020D39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AC20425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  <w:tr w:rsidR="00313B51" w:rsidRPr="00DD768F" w14:paraId="5236E781" w14:textId="77777777" w:rsidTr="00587AB2">
        <w:trPr>
          <w:cantSplit/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14:paraId="01615975" w14:textId="3A901922" w:rsidR="00313B51" w:rsidRPr="00DD768F" w:rsidRDefault="00313B51" w:rsidP="003D18A2">
            <w:pPr>
              <w:numPr>
                <w:ilvl w:val="1"/>
                <w:numId w:val="0"/>
              </w:numPr>
              <w:spacing w:before="80" w:after="80"/>
              <w:outlineLvl w:val="1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8.13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EB18E10" w14:textId="3AD34E3D" w:rsidR="00313B51" w:rsidRPr="00DD768F" w:rsidRDefault="00313B51" w:rsidP="003D18A2">
            <w:pPr>
              <w:spacing w:before="80" w:after="80"/>
              <w:rPr>
                <w:rFonts w:eastAsia="Times New Roman"/>
                <w:lang w:eastAsia="en-AU"/>
              </w:rPr>
            </w:pPr>
            <w:r w:rsidRPr="00DD768F">
              <w:rPr>
                <w:rFonts w:eastAsia="Times New Roman"/>
                <w:lang w:eastAsia="en-AU"/>
              </w:rPr>
              <w:t>Safety shower and eye wash station signage is clear, intact</w:t>
            </w:r>
            <w:r w:rsidR="00F1611C">
              <w:rPr>
                <w:rFonts w:eastAsia="Times New Roman"/>
                <w:lang w:eastAsia="en-AU"/>
              </w:rPr>
              <w:t>,</w:t>
            </w:r>
            <w:r w:rsidRPr="00DD768F">
              <w:rPr>
                <w:rFonts w:eastAsia="Times New Roman"/>
                <w:lang w:eastAsia="en-AU"/>
              </w:rPr>
              <w:t xml:space="preserve"> and legible</w:t>
            </w:r>
            <w:r w:rsidR="00DD768F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CA3A3E6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CD39AB7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1CE32CB5" w14:textId="77777777" w:rsidR="00313B51" w:rsidRPr="00DD768F" w:rsidDel="009951B1" w:rsidRDefault="00313B51" w:rsidP="003D18A2">
            <w:pPr>
              <w:spacing w:before="80" w:after="80" w:line="276" w:lineRule="auto"/>
              <w:rPr>
                <w:rFonts w:eastAsia="Calibri"/>
              </w:rPr>
            </w:pPr>
          </w:p>
        </w:tc>
      </w:tr>
    </w:tbl>
    <w:p w14:paraId="21D47647" w14:textId="77777777" w:rsidR="005D5F87" w:rsidRPr="005D5F87" w:rsidRDefault="005D5F87" w:rsidP="002C262B">
      <w:pPr>
        <w:pStyle w:val="SectionHeading"/>
        <w:rPr>
          <w:rFonts w:ascii="Arial" w:hAnsi="Arial" w:cs="Arial"/>
          <w:b w:val="0"/>
          <w:bCs/>
          <w:sz w:val="22"/>
          <w:szCs w:val="22"/>
        </w:rPr>
      </w:pPr>
    </w:p>
    <w:p w14:paraId="62475440" w14:textId="77777777" w:rsidR="005D5F87" w:rsidRPr="005D5F87" w:rsidRDefault="005D5F87">
      <w:pPr>
        <w:spacing w:after="160" w:line="259" w:lineRule="auto"/>
        <w:rPr>
          <w:rFonts w:eastAsia="Times New Roman"/>
          <w:bCs/>
          <w:lang w:eastAsia="en-AU"/>
        </w:rPr>
      </w:pPr>
      <w:r w:rsidRPr="005D5F87">
        <w:rPr>
          <w:bCs/>
        </w:rPr>
        <w:br w:type="page"/>
      </w:r>
    </w:p>
    <w:p w14:paraId="4F260B48" w14:textId="6ECA4F0B" w:rsidR="00957AFA" w:rsidRPr="00E67AEF" w:rsidRDefault="00957AFA" w:rsidP="005D5F87">
      <w:pPr>
        <w:pStyle w:val="SectionHeading"/>
        <w:spacing w:before="240" w:after="120" w:line="276" w:lineRule="auto"/>
        <w:rPr>
          <w:rFonts w:cs="Arial"/>
          <w:color w:val="004EA8"/>
          <w:szCs w:val="22"/>
        </w:rPr>
      </w:pPr>
      <w:r w:rsidRPr="00E67AEF">
        <w:rPr>
          <w:rFonts w:cs="Arial"/>
          <w:color w:val="004EA8"/>
          <w:szCs w:val="22"/>
        </w:rPr>
        <w:lastRenderedPageBreak/>
        <w:t xml:space="preserve">Section 2 – </w:t>
      </w:r>
      <w:r w:rsidR="007D34AC">
        <w:rPr>
          <w:rFonts w:cs="Arial"/>
          <w:color w:val="004EA8"/>
          <w:szCs w:val="22"/>
        </w:rPr>
        <w:t>Reporting</w:t>
      </w:r>
      <w:r w:rsidRPr="00E67AEF">
        <w:rPr>
          <w:rFonts w:cs="Arial"/>
          <w:color w:val="004EA8"/>
          <w:szCs w:val="22"/>
        </w:rPr>
        <w:t xml:space="preserve"> Plan</w:t>
      </w:r>
    </w:p>
    <w:p w14:paraId="762EDDFC" w14:textId="0CA057C8" w:rsidR="002774B9" w:rsidRPr="00DD768F" w:rsidRDefault="002774B9" w:rsidP="005D5F87">
      <w:pPr>
        <w:pStyle w:val="Intro"/>
        <w:spacing w:before="240" w:after="240" w:line="276" w:lineRule="auto"/>
        <w:rPr>
          <w:rFonts w:ascii="Arial" w:eastAsia="Arial" w:hAnsi="Arial" w:cs="Arial"/>
          <w:b w:val="0"/>
          <w:color w:val="004C97"/>
          <w:sz w:val="22"/>
          <w:szCs w:val="22"/>
          <w:lang w:val="en-GB"/>
        </w:rPr>
      </w:pPr>
      <w:bookmarkStart w:id="3" w:name="_Hlk111482961"/>
      <w:r w:rsidRPr="00DD768F">
        <w:rPr>
          <w:rFonts w:ascii="Arial" w:eastAsia="Arial" w:hAnsi="Arial" w:cs="Times New Roman"/>
          <w:b w:val="0"/>
          <w:color w:val="004C97"/>
          <w:sz w:val="22"/>
          <w:szCs w:val="22"/>
        </w:rPr>
        <w:t>Provide further</w:t>
      </w:r>
      <w:r w:rsidR="001309D7" w:rsidRPr="00DD768F">
        <w:rPr>
          <w:rFonts w:ascii="Arial" w:eastAsia="Arial" w:hAnsi="Arial" w:cs="Arial"/>
          <w:bCs/>
          <w:color w:val="004C97"/>
          <w:sz w:val="22"/>
          <w:szCs w:val="22"/>
          <w:lang w:val="en-GB"/>
        </w:rPr>
        <w:t xml:space="preserve"> </w:t>
      </w:r>
      <w:r w:rsidRPr="00DD768F">
        <w:rPr>
          <w:rFonts w:ascii="Arial" w:hAnsi="Arial"/>
          <w:b w:val="0"/>
          <w:color w:val="004C97"/>
          <w:sz w:val="22"/>
          <w:szCs w:val="22"/>
        </w:rPr>
        <w:t xml:space="preserve">information </w:t>
      </w:r>
      <w:r w:rsidR="00A34BCC" w:rsidRPr="00DD768F">
        <w:rPr>
          <w:rFonts w:ascii="Arial" w:eastAsia="Arial" w:hAnsi="Arial" w:cs="Arial"/>
          <w:b w:val="0"/>
          <w:color w:val="004C97"/>
          <w:sz w:val="22"/>
          <w:szCs w:val="22"/>
          <w:lang w:val="en-GB"/>
        </w:rPr>
        <w:t>on</w:t>
      </w:r>
      <w:r w:rsidRPr="00DD768F">
        <w:rPr>
          <w:rFonts w:ascii="Arial" w:eastAsia="Arial" w:hAnsi="Arial" w:cs="Times New Roman"/>
          <w:b w:val="0"/>
          <w:color w:val="004C97"/>
          <w:sz w:val="22"/>
          <w:szCs w:val="22"/>
        </w:rPr>
        <w:t xml:space="preserve"> the identified hazards above, including</w:t>
      </w:r>
      <w:r w:rsidRPr="00DD768F">
        <w:rPr>
          <w:rFonts w:ascii="Arial" w:hAnsi="Arial"/>
          <w:b w:val="0"/>
          <w:color w:val="004C97"/>
          <w:sz w:val="22"/>
          <w:szCs w:val="22"/>
        </w:rPr>
        <w:t xml:space="preserve"> its location and current condition. Escalate any hazards that pose an immediate danger </w:t>
      </w:r>
      <w:r w:rsidRPr="00DD768F">
        <w:rPr>
          <w:rFonts w:ascii="Arial" w:eastAsia="Arial" w:hAnsi="Arial" w:cs="Times New Roman"/>
          <w:b w:val="0"/>
          <w:color w:val="004C97"/>
          <w:sz w:val="22"/>
          <w:szCs w:val="22"/>
        </w:rPr>
        <w:t>with</w:t>
      </w:r>
      <w:r w:rsidRPr="00DD768F">
        <w:rPr>
          <w:rFonts w:ascii="Arial" w:hAnsi="Arial"/>
          <w:b w:val="0"/>
          <w:color w:val="004C97"/>
          <w:sz w:val="22"/>
          <w:szCs w:val="22"/>
        </w:rPr>
        <w:t xml:space="preserve"> the principal</w:t>
      </w:r>
      <w:r w:rsidRPr="00DD768F">
        <w:rPr>
          <w:rFonts w:ascii="Arial" w:hAnsi="Arial"/>
          <w:bCs/>
          <w:color w:val="004C97"/>
          <w:sz w:val="22"/>
          <w:szCs w:val="22"/>
        </w:rPr>
        <w:t xml:space="preserve">. </w:t>
      </w:r>
      <w:r w:rsidRPr="00DD768F">
        <w:rPr>
          <w:rFonts w:ascii="Arial" w:eastAsia="Arial" w:hAnsi="Arial" w:cs="Times New Roman"/>
          <w:b w:val="0"/>
          <w:color w:val="004C97"/>
          <w:sz w:val="22"/>
          <w:szCs w:val="22"/>
        </w:rPr>
        <w:t xml:space="preserve">All identified </w:t>
      </w:r>
      <w:r w:rsidRPr="00DD768F">
        <w:rPr>
          <w:rFonts w:ascii="Arial" w:hAnsi="Arial"/>
          <w:b w:val="0"/>
          <w:color w:val="004C97"/>
          <w:sz w:val="22"/>
          <w:szCs w:val="22"/>
        </w:rPr>
        <w:t>hazards</w:t>
      </w:r>
      <w:r w:rsidR="00A34BCC" w:rsidRPr="00DD768F">
        <w:rPr>
          <w:rFonts w:ascii="Arial" w:hAnsi="Arial"/>
          <w:b w:val="0"/>
          <w:color w:val="004C97"/>
          <w:sz w:val="22"/>
          <w:szCs w:val="22"/>
        </w:rPr>
        <w:t xml:space="preserve"> must</w:t>
      </w:r>
      <w:r w:rsidR="00763B30" w:rsidRPr="00DD768F">
        <w:rPr>
          <w:rFonts w:ascii="Arial" w:hAnsi="Arial"/>
          <w:b w:val="0"/>
          <w:color w:val="004C97"/>
          <w:sz w:val="22"/>
          <w:szCs w:val="22"/>
        </w:rPr>
        <w:t xml:space="preserve"> </w:t>
      </w:r>
      <w:r w:rsidRPr="00DD768F">
        <w:rPr>
          <w:rFonts w:ascii="Arial" w:hAnsi="Arial"/>
          <w:b w:val="0"/>
          <w:color w:val="004C97"/>
          <w:sz w:val="22"/>
          <w:szCs w:val="22"/>
        </w:rPr>
        <w:t>be discussed with the principal</w:t>
      </w:r>
      <w:r w:rsidRPr="00DD768F">
        <w:rPr>
          <w:rFonts w:ascii="Arial" w:eastAsia="Arial" w:hAnsi="Arial" w:cs="Times New Roman"/>
          <w:b w:val="0"/>
          <w:color w:val="004C97"/>
          <w:sz w:val="22"/>
          <w:szCs w:val="22"/>
        </w:rPr>
        <w:t>, assigned a responsible person</w:t>
      </w:r>
      <w:r w:rsidR="005D5F87">
        <w:rPr>
          <w:rFonts w:ascii="Arial" w:eastAsia="Arial" w:hAnsi="Arial" w:cs="Times New Roman"/>
          <w:b w:val="0"/>
          <w:color w:val="004C97"/>
          <w:sz w:val="22"/>
          <w:szCs w:val="22"/>
        </w:rPr>
        <w:t>,</w:t>
      </w:r>
      <w:r w:rsidRPr="00DD768F">
        <w:rPr>
          <w:rFonts w:ascii="Arial" w:hAnsi="Arial"/>
          <w:b w:val="0"/>
          <w:color w:val="004C97"/>
          <w:sz w:val="22"/>
          <w:szCs w:val="22"/>
        </w:rPr>
        <w:t xml:space="preserve"> and entered into EduSafe </w:t>
      </w:r>
      <w:r w:rsidRPr="00DD768F">
        <w:rPr>
          <w:rFonts w:ascii="Arial" w:eastAsia="Arial" w:hAnsi="Arial" w:cs="Times New Roman"/>
          <w:b w:val="0"/>
          <w:color w:val="004C97"/>
          <w:sz w:val="22"/>
          <w:szCs w:val="22"/>
        </w:rPr>
        <w:t xml:space="preserve">Plus </w:t>
      </w:r>
      <w:r w:rsidRPr="00DD768F">
        <w:rPr>
          <w:rFonts w:ascii="Arial" w:hAnsi="Arial"/>
          <w:b w:val="0"/>
          <w:color w:val="004C97"/>
          <w:sz w:val="22"/>
          <w:szCs w:val="22"/>
        </w:rPr>
        <w:t>to be managed</w:t>
      </w:r>
      <w:r w:rsidR="00D46C8A" w:rsidRPr="00DD768F">
        <w:rPr>
          <w:rFonts w:ascii="Arial" w:eastAsia="Arial" w:hAnsi="Arial" w:cs="Arial"/>
          <w:b w:val="0"/>
          <w:color w:val="004C97"/>
          <w:sz w:val="22"/>
          <w:szCs w:val="22"/>
          <w:lang w:val="en-GB"/>
        </w:rPr>
        <w:t>.</w:t>
      </w:r>
    </w:p>
    <w:tbl>
      <w:tblPr>
        <w:tblW w:w="1026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  <w:tblCaption w:val="Section 2-Action Plan"/>
        <w:tblDescription w:val="Summary of actions required post inspection"/>
      </w:tblPr>
      <w:tblGrid>
        <w:gridCol w:w="763"/>
        <w:gridCol w:w="6740"/>
        <w:gridCol w:w="1559"/>
        <w:gridCol w:w="1206"/>
      </w:tblGrid>
      <w:tr w:rsidR="00957AFA" w:rsidRPr="00F31981" w14:paraId="64956895" w14:textId="77777777" w:rsidTr="005B2E7C">
        <w:trPr>
          <w:trHeight w:val="263"/>
          <w:tblHeader/>
          <w:jc w:val="center"/>
        </w:trPr>
        <w:tc>
          <w:tcPr>
            <w:tcW w:w="763" w:type="dxa"/>
            <w:shd w:val="clear" w:color="auto" w:fill="004EA8"/>
            <w:vAlign w:val="center"/>
          </w:tcPr>
          <w:bookmarkEnd w:id="3"/>
          <w:p w14:paraId="63FBEDB0" w14:textId="77777777" w:rsidR="00957AFA" w:rsidRPr="00DD768F" w:rsidRDefault="00957AFA" w:rsidP="00DD768F">
            <w:pPr>
              <w:spacing w:before="120" w:after="120" w:line="276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DD768F">
              <w:rPr>
                <w:b/>
                <w:color w:val="FFFFFF" w:themeColor="background1"/>
                <w:sz w:val="20"/>
                <w:szCs w:val="20"/>
              </w:rPr>
              <w:t>Ref No.</w:t>
            </w:r>
          </w:p>
        </w:tc>
        <w:tc>
          <w:tcPr>
            <w:tcW w:w="6740" w:type="dxa"/>
            <w:shd w:val="clear" w:color="auto" w:fill="004EA8"/>
            <w:vAlign w:val="center"/>
          </w:tcPr>
          <w:p w14:paraId="52DA63B6" w14:textId="033E3628" w:rsidR="00957AFA" w:rsidRPr="00DD768F" w:rsidRDefault="002774B9" w:rsidP="00DD768F">
            <w:pPr>
              <w:spacing w:before="120" w:after="120" w:line="276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DD768F">
              <w:rPr>
                <w:b/>
                <w:color w:val="FFFFFF" w:themeColor="background1"/>
                <w:sz w:val="20"/>
                <w:szCs w:val="20"/>
              </w:rPr>
              <w:t>Further detail and suggested solutions for discussion</w:t>
            </w:r>
          </w:p>
        </w:tc>
        <w:tc>
          <w:tcPr>
            <w:tcW w:w="1559" w:type="dxa"/>
            <w:shd w:val="clear" w:color="auto" w:fill="004EA8"/>
          </w:tcPr>
          <w:p w14:paraId="1F301C34" w14:textId="5920CDB6" w:rsidR="00957AFA" w:rsidRPr="00DD768F" w:rsidRDefault="002774B9" w:rsidP="00DD768F">
            <w:pPr>
              <w:pStyle w:val="NoSpacing"/>
              <w:spacing w:before="120"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D76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  <w:r w:rsidRPr="00DD768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DD76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discussed</w:t>
            </w:r>
            <w:r w:rsidRPr="00DD768F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with principal or delegate and </w:t>
            </w:r>
            <w:r w:rsidRPr="00DD768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HSR</w:t>
            </w:r>
          </w:p>
        </w:tc>
        <w:tc>
          <w:tcPr>
            <w:tcW w:w="1206" w:type="dxa"/>
            <w:shd w:val="clear" w:color="auto" w:fill="004EA8"/>
          </w:tcPr>
          <w:p w14:paraId="13B6BDA0" w14:textId="3FFC5125" w:rsidR="00957AFA" w:rsidRPr="00DD768F" w:rsidRDefault="00D54FF8" w:rsidP="00DD768F">
            <w:pPr>
              <w:pStyle w:val="NoSpacing"/>
              <w:spacing w:before="120" w:after="120"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D768F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 xml:space="preserve">Entered into </w:t>
            </w:r>
            <w:r w:rsidR="006066D2" w:rsidRPr="00DD768F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e</w:t>
            </w:r>
            <w:r w:rsidRPr="00DD768F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 xml:space="preserve">duSafe </w:t>
            </w:r>
            <w:r w:rsidRPr="00DD768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Plus</w:t>
            </w:r>
          </w:p>
        </w:tc>
      </w:tr>
      <w:tr w:rsidR="00957AFA" w:rsidRPr="00F31981" w14:paraId="7DC0F31E" w14:textId="77777777" w:rsidTr="00DD768F">
        <w:trPr>
          <w:trHeight w:hRule="exact" w:val="1418"/>
          <w:tblHeader/>
          <w:jc w:val="center"/>
        </w:trPr>
        <w:tc>
          <w:tcPr>
            <w:tcW w:w="763" w:type="dxa"/>
            <w:shd w:val="clear" w:color="auto" w:fill="FFFFFF" w:themeFill="background1"/>
          </w:tcPr>
          <w:p w14:paraId="52DA0494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  <w:tc>
          <w:tcPr>
            <w:tcW w:w="6740" w:type="dxa"/>
            <w:shd w:val="clear" w:color="auto" w:fill="FFFFFF" w:themeFill="background1"/>
          </w:tcPr>
          <w:p w14:paraId="10EE838D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9396D46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1B21E0FC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</w:tr>
      <w:tr w:rsidR="00957AFA" w:rsidRPr="00F31981" w14:paraId="123E2992" w14:textId="77777777" w:rsidTr="00DD768F">
        <w:trPr>
          <w:trHeight w:hRule="exact" w:val="1418"/>
          <w:tblHeader/>
          <w:jc w:val="center"/>
        </w:trPr>
        <w:tc>
          <w:tcPr>
            <w:tcW w:w="763" w:type="dxa"/>
            <w:shd w:val="clear" w:color="auto" w:fill="FFFFFF" w:themeFill="background1"/>
          </w:tcPr>
          <w:p w14:paraId="6E3BC25A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  <w:tc>
          <w:tcPr>
            <w:tcW w:w="6740" w:type="dxa"/>
            <w:shd w:val="clear" w:color="auto" w:fill="FFFFFF" w:themeFill="background1"/>
          </w:tcPr>
          <w:p w14:paraId="059BEBAA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9AC7AB3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78EC09BA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</w:tr>
      <w:tr w:rsidR="00957AFA" w:rsidRPr="00F31981" w14:paraId="48AAF9B1" w14:textId="77777777" w:rsidTr="00DD768F">
        <w:trPr>
          <w:trHeight w:hRule="exact" w:val="1418"/>
          <w:tblHeader/>
          <w:jc w:val="center"/>
        </w:trPr>
        <w:tc>
          <w:tcPr>
            <w:tcW w:w="763" w:type="dxa"/>
            <w:shd w:val="clear" w:color="auto" w:fill="FFFFFF" w:themeFill="background1"/>
          </w:tcPr>
          <w:p w14:paraId="75CD8966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  <w:tc>
          <w:tcPr>
            <w:tcW w:w="6740" w:type="dxa"/>
            <w:shd w:val="clear" w:color="auto" w:fill="FFFFFF" w:themeFill="background1"/>
          </w:tcPr>
          <w:p w14:paraId="691CF335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6AB1A56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3D1E262A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</w:tr>
      <w:tr w:rsidR="00957AFA" w:rsidRPr="00F31981" w14:paraId="254A5EFE" w14:textId="77777777" w:rsidTr="00DD768F">
        <w:trPr>
          <w:trHeight w:hRule="exact" w:val="1418"/>
          <w:tblHeader/>
          <w:jc w:val="center"/>
        </w:trPr>
        <w:tc>
          <w:tcPr>
            <w:tcW w:w="763" w:type="dxa"/>
            <w:shd w:val="clear" w:color="auto" w:fill="FFFFFF" w:themeFill="background1"/>
          </w:tcPr>
          <w:p w14:paraId="6239CC5F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  <w:tc>
          <w:tcPr>
            <w:tcW w:w="6740" w:type="dxa"/>
            <w:shd w:val="clear" w:color="auto" w:fill="FFFFFF" w:themeFill="background1"/>
          </w:tcPr>
          <w:p w14:paraId="5E6246E1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4614EE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4A9DDD94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</w:tr>
      <w:tr w:rsidR="00957AFA" w:rsidRPr="00F31981" w14:paraId="67669689" w14:textId="77777777" w:rsidTr="00DD768F">
        <w:trPr>
          <w:trHeight w:hRule="exact" w:val="1418"/>
          <w:tblHeader/>
          <w:jc w:val="center"/>
        </w:trPr>
        <w:tc>
          <w:tcPr>
            <w:tcW w:w="763" w:type="dxa"/>
            <w:shd w:val="clear" w:color="auto" w:fill="FFFFFF" w:themeFill="background1"/>
          </w:tcPr>
          <w:p w14:paraId="312B0327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  <w:tc>
          <w:tcPr>
            <w:tcW w:w="6740" w:type="dxa"/>
            <w:shd w:val="clear" w:color="auto" w:fill="FFFFFF" w:themeFill="background1"/>
          </w:tcPr>
          <w:p w14:paraId="5A24B094" w14:textId="6EFE32A3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C970D8F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59F00116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</w:tr>
      <w:tr w:rsidR="00957AFA" w:rsidRPr="00F31981" w14:paraId="422C3C97" w14:textId="77777777" w:rsidTr="00DD768F">
        <w:trPr>
          <w:trHeight w:hRule="exact" w:val="1418"/>
          <w:tblHeader/>
          <w:jc w:val="center"/>
        </w:trPr>
        <w:tc>
          <w:tcPr>
            <w:tcW w:w="763" w:type="dxa"/>
            <w:shd w:val="clear" w:color="auto" w:fill="FFFFFF" w:themeFill="background1"/>
          </w:tcPr>
          <w:p w14:paraId="65A9F509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  <w:tc>
          <w:tcPr>
            <w:tcW w:w="6740" w:type="dxa"/>
            <w:shd w:val="clear" w:color="auto" w:fill="FFFFFF" w:themeFill="background1"/>
          </w:tcPr>
          <w:p w14:paraId="442A505B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599717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560613A3" w14:textId="77777777" w:rsidR="00957AFA" w:rsidRPr="00DD768F" w:rsidRDefault="00957AFA" w:rsidP="00DD768F">
            <w:pPr>
              <w:spacing w:line="720" w:lineRule="auto"/>
              <w:rPr>
                <w:bCs/>
              </w:rPr>
            </w:pPr>
          </w:p>
        </w:tc>
      </w:tr>
      <w:tr w:rsidR="00BF15CD" w:rsidRPr="00F31981" w14:paraId="31ABE240" w14:textId="77777777" w:rsidTr="00DD768F">
        <w:trPr>
          <w:trHeight w:hRule="exact" w:val="1418"/>
          <w:tblHeader/>
          <w:jc w:val="center"/>
        </w:trPr>
        <w:tc>
          <w:tcPr>
            <w:tcW w:w="763" w:type="dxa"/>
            <w:shd w:val="clear" w:color="auto" w:fill="FFFFFF" w:themeFill="background1"/>
          </w:tcPr>
          <w:p w14:paraId="47B99FDC" w14:textId="77777777" w:rsidR="00BF15CD" w:rsidRPr="00DD768F" w:rsidRDefault="00BF15CD" w:rsidP="00DD768F">
            <w:pPr>
              <w:spacing w:line="720" w:lineRule="auto"/>
              <w:rPr>
                <w:bCs/>
              </w:rPr>
            </w:pPr>
          </w:p>
        </w:tc>
        <w:tc>
          <w:tcPr>
            <w:tcW w:w="6740" w:type="dxa"/>
            <w:shd w:val="clear" w:color="auto" w:fill="FFFFFF" w:themeFill="background1"/>
          </w:tcPr>
          <w:p w14:paraId="3736858D" w14:textId="77777777" w:rsidR="00BF15CD" w:rsidRPr="00DD768F" w:rsidRDefault="00BF15CD" w:rsidP="00DD768F">
            <w:pPr>
              <w:spacing w:line="720" w:lineRule="auto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1AE48C4" w14:textId="77777777" w:rsidR="00BF15CD" w:rsidRPr="00DD768F" w:rsidRDefault="00BF15CD" w:rsidP="00DD768F">
            <w:pPr>
              <w:spacing w:line="720" w:lineRule="auto"/>
              <w:rPr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14:paraId="562A592C" w14:textId="77777777" w:rsidR="00BF15CD" w:rsidRPr="00DD768F" w:rsidRDefault="00BF15CD" w:rsidP="00DD768F">
            <w:pPr>
              <w:spacing w:line="720" w:lineRule="auto"/>
              <w:rPr>
                <w:bCs/>
              </w:rPr>
            </w:pPr>
          </w:p>
        </w:tc>
      </w:tr>
    </w:tbl>
    <w:p w14:paraId="21095AF3" w14:textId="2B4CE079" w:rsidR="00E15B40" w:rsidRDefault="00E15B40" w:rsidP="000F6A81"/>
    <w:sectPr w:rsidR="00E15B40" w:rsidSect="0039567B">
      <w:footerReference w:type="default" r:id="rId13"/>
      <w:headerReference w:type="first" r:id="rId14"/>
      <w:footerReference w:type="first" r:id="rId15"/>
      <w:pgSz w:w="11906" w:h="16838"/>
      <w:pgMar w:top="993" w:right="720" w:bottom="720" w:left="720" w:header="562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5694" w14:textId="77777777" w:rsidR="007E26D6" w:rsidRDefault="007E26D6" w:rsidP="000F6A81">
      <w:r>
        <w:separator/>
      </w:r>
    </w:p>
  </w:endnote>
  <w:endnote w:type="continuationSeparator" w:id="0">
    <w:p w14:paraId="4D66A8E1" w14:textId="77777777" w:rsidR="007E26D6" w:rsidRDefault="007E26D6" w:rsidP="000F6A81">
      <w:r>
        <w:continuationSeparator/>
      </w:r>
    </w:p>
  </w:endnote>
  <w:endnote w:type="continuationNotice" w:id="1">
    <w:p w14:paraId="4B77DCF9" w14:textId="77777777" w:rsidR="007E26D6" w:rsidRDefault="007E2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227739363"/>
      <w:docPartObj>
        <w:docPartGallery w:val="Page Numbers (Bottom of Page)"/>
        <w:docPartUnique/>
      </w:docPartObj>
    </w:sdtPr>
    <w:sdtContent>
      <w:p w14:paraId="37D50BDC" w14:textId="16ADD64F" w:rsidR="00EC494C" w:rsidRPr="00AE18CC" w:rsidRDefault="00B13D82" w:rsidP="002C262B">
        <w:pPr>
          <w:pStyle w:val="Footer"/>
          <w:jc w:val="right"/>
          <w:rPr>
            <w:i/>
            <w:iCs/>
            <w:sz w:val="18"/>
            <w:szCs w:val="18"/>
          </w:rPr>
        </w:pPr>
        <w:r w:rsidRPr="00AE18CC">
          <w:rPr>
            <w:i/>
            <w:iCs/>
            <w:sz w:val="18"/>
            <w:szCs w:val="18"/>
          </w:rPr>
          <w:t xml:space="preserve">Updated </w:t>
        </w:r>
        <w:r w:rsidR="00F34F07">
          <w:rPr>
            <w:i/>
            <w:iCs/>
            <w:sz w:val="18"/>
            <w:szCs w:val="18"/>
          </w:rPr>
          <w:t>18 April</w:t>
        </w:r>
        <w:r w:rsidR="00ED4AE8">
          <w:rPr>
            <w:i/>
            <w:iCs/>
            <w:sz w:val="18"/>
            <w:szCs w:val="18"/>
          </w:rPr>
          <w:t xml:space="preserve"> 2023</w:t>
        </w:r>
      </w:p>
    </w:sdtContent>
  </w:sdt>
  <w:p w14:paraId="6536CC00" w14:textId="69397CAD" w:rsidR="000F6A81" w:rsidRPr="00E81047" w:rsidRDefault="000F6A81" w:rsidP="000F6A81">
    <w:pPr>
      <w:pStyle w:val="Footer"/>
      <w:tabs>
        <w:tab w:val="clear" w:pos="4513"/>
        <w:tab w:val="clear" w:pos="9026"/>
        <w:tab w:val="right" w:pos="10772"/>
      </w:tabs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25EF" w14:textId="39B4C2D0" w:rsidR="00C16F48" w:rsidRPr="00AE18CC" w:rsidRDefault="00EC494C" w:rsidP="00C16F48">
    <w:pPr>
      <w:pStyle w:val="Footer"/>
      <w:jc w:val="right"/>
      <w:rPr>
        <w:i/>
        <w:iCs/>
        <w:sz w:val="18"/>
        <w:szCs w:val="18"/>
      </w:rPr>
    </w:pPr>
    <w:r w:rsidRPr="00AE18CC">
      <w:rPr>
        <w:i/>
        <w:iCs/>
        <w:sz w:val="18"/>
        <w:szCs w:val="18"/>
      </w:rPr>
      <w:t>Updated</w:t>
    </w:r>
    <w:r w:rsidR="00D716E9" w:rsidRPr="00AE18CC">
      <w:rPr>
        <w:i/>
        <w:iCs/>
        <w:sz w:val="18"/>
        <w:szCs w:val="18"/>
      </w:rPr>
      <w:t xml:space="preserve"> </w:t>
    </w:r>
    <w:r w:rsidR="008A16D6">
      <w:rPr>
        <w:i/>
        <w:iCs/>
        <w:sz w:val="18"/>
        <w:szCs w:val="18"/>
      </w:rPr>
      <w:t>18 April</w:t>
    </w:r>
    <w:r w:rsidR="001F3B11">
      <w:rPr>
        <w:i/>
        <w:iCs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81A9" w14:textId="77777777" w:rsidR="007E26D6" w:rsidRDefault="007E26D6" w:rsidP="000F6A81">
      <w:r>
        <w:separator/>
      </w:r>
    </w:p>
  </w:footnote>
  <w:footnote w:type="continuationSeparator" w:id="0">
    <w:p w14:paraId="620F3C88" w14:textId="77777777" w:rsidR="007E26D6" w:rsidRDefault="007E26D6" w:rsidP="000F6A81">
      <w:r>
        <w:continuationSeparator/>
      </w:r>
    </w:p>
  </w:footnote>
  <w:footnote w:type="continuationNotice" w:id="1">
    <w:p w14:paraId="6A8AFB40" w14:textId="77777777" w:rsidR="007E26D6" w:rsidRDefault="007E2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BC08" w14:textId="7A299193" w:rsidR="000F6A81" w:rsidRPr="00EC494C" w:rsidRDefault="001F3B11" w:rsidP="0023206D">
    <w:pPr>
      <w:pStyle w:val="FormName"/>
      <w:rPr>
        <w:sz w:val="36"/>
        <w:szCs w:val="36"/>
      </w:rPr>
    </w:pPr>
    <w:r>
      <w:drawing>
        <wp:anchor distT="0" distB="0" distL="114300" distR="114300" simplePos="0" relativeHeight="251663360" behindDoc="1" locked="0" layoutInCell="1" allowOverlap="1" wp14:anchorId="27C2AF10" wp14:editId="55B50633">
          <wp:simplePos x="0" y="0"/>
          <wp:positionH relativeFrom="page">
            <wp:posOffset>-21590</wp:posOffset>
          </wp:positionH>
          <wp:positionV relativeFrom="page">
            <wp:posOffset>-147955</wp:posOffset>
          </wp:positionV>
          <wp:extent cx="10684800" cy="7559400"/>
          <wp:effectExtent l="0" t="0" r="2540" b="381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96A8A"/>
    <w:multiLevelType w:val="multilevel"/>
    <w:tmpl w:val="F93E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563362"/>
    <w:multiLevelType w:val="hybridMultilevel"/>
    <w:tmpl w:val="922E66C4"/>
    <w:lvl w:ilvl="0" w:tplc="FBDA8E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C5F85"/>
    <w:multiLevelType w:val="multilevel"/>
    <w:tmpl w:val="7B0856D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1FF2F70"/>
    <w:multiLevelType w:val="hybridMultilevel"/>
    <w:tmpl w:val="3D2624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35D58"/>
    <w:multiLevelType w:val="hybridMultilevel"/>
    <w:tmpl w:val="6C6E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12077"/>
    <w:multiLevelType w:val="hybridMultilevel"/>
    <w:tmpl w:val="1E249E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813847"/>
    <w:multiLevelType w:val="multilevel"/>
    <w:tmpl w:val="5F8C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592ACA"/>
    <w:multiLevelType w:val="multilevel"/>
    <w:tmpl w:val="F506A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AA2671"/>
    <w:multiLevelType w:val="multilevel"/>
    <w:tmpl w:val="E10039C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1063C79"/>
    <w:multiLevelType w:val="multilevel"/>
    <w:tmpl w:val="815891CA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B0241FD"/>
    <w:multiLevelType w:val="multilevel"/>
    <w:tmpl w:val="84A64B6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ED16E0B"/>
    <w:multiLevelType w:val="hybridMultilevel"/>
    <w:tmpl w:val="C0D07B22"/>
    <w:lvl w:ilvl="0" w:tplc="2B6899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802606">
    <w:abstractNumId w:val="7"/>
  </w:num>
  <w:num w:numId="2" w16cid:durableId="1127577518">
    <w:abstractNumId w:val="5"/>
  </w:num>
  <w:num w:numId="3" w16cid:durableId="975456735">
    <w:abstractNumId w:val="0"/>
  </w:num>
  <w:num w:numId="4" w16cid:durableId="167453467">
    <w:abstractNumId w:val="9"/>
  </w:num>
  <w:num w:numId="5" w16cid:durableId="1144085277">
    <w:abstractNumId w:val="13"/>
  </w:num>
  <w:num w:numId="6" w16cid:durableId="1879900491">
    <w:abstractNumId w:val="4"/>
  </w:num>
  <w:num w:numId="7" w16cid:durableId="474643387">
    <w:abstractNumId w:val="6"/>
  </w:num>
  <w:num w:numId="8" w16cid:durableId="780537395">
    <w:abstractNumId w:val="10"/>
  </w:num>
  <w:num w:numId="9" w16cid:durableId="1831486141">
    <w:abstractNumId w:val="3"/>
  </w:num>
  <w:num w:numId="10" w16cid:durableId="753745621">
    <w:abstractNumId w:val="12"/>
  </w:num>
  <w:num w:numId="11" w16cid:durableId="1085299699">
    <w:abstractNumId w:val="11"/>
  </w:num>
  <w:num w:numId="12" w16cid:durableId="231046623">
    <w:abstractNumId w:val="1"/>
  </w:num>
  <w:num w:numId="13" w16cid:durableId="2117601891">
    <w:abstractNumId w:val="8"/>
  </w:num>
  <w:num w:numId="14" w16cid:durableId="1988853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81"/>
    <w:rsid w:val="00015F53"/>
    <w:rsid w:val="0002665A"/>
    <w:rsid w:val="00040B40"/>
    <w:rsid w:val="000469CB"/>
    <w:rsid w:val="00060096"/>
    <w:rsid w:val="00074488"/>
    <w:rsid w:val="00097792"/>
    <w:rsid w:val="000A2403"/>
    <w:rsid w:val="000B0ED5"/>
    <w:rsid w:val="000B1296"/>
    <w:rsid w:val="000D1C6C"/>
    <w:rsid w:val="000D4882"/>
    <w:rsid w:val="000D7EAA"/>
    <w:rsid w:val="000F6A81"/>
    <w:rsid w:val="00106568"/>
    <w:rsid w:val="0012404F"/>
    <w:rsid w:val="00124F04"/>
    <w:rsid w:val="001309D7"/>
    <w:rsid w:val="001439A3"/>
    <w:rsid w:val="0015088E"/>
    <w:rsid w:val="00153FCF"/>
    <w:rsid w:val="00155397"/>
    <w:rsid w:val="00163984"/>
    <w:rsid w:val="00177460"/>
    <w:rsid w:val="0018329E"/>
    <w:rsid w:val="001A3553"/>
    <w:rsid w:val="001A6086"/>
    <w:rsid w:val="001B20D8"/>
    <w:rsid w:val="001D41D9"/>
    <w:rsid w:val="001F3B11"/>
    <w:rsid w:val="00222A47"/>
    <w:rsid w:val="0023206D"/>
    <w:rsid w:val="002441B2"/>
    <w:rsid w:val="002774B9"/>
    <w:rsid w:val="00290EE4"/>
    <w:rsid w:val="002A1EA5"/>
    <w:rsid w:val="002C262B"/>
    <w:rsid w:val="002D474C"/>
    <w:rsid w:val="002E0CC2"/>
    <w:rsid w:val="002E1E19"/>
    <w:rsid w:val="002F4093"/>
    <w:rsid w:val="00304577"/>
    <w:rsid w:val="003121A8"/>
    <w:rsid w:val="00313B51"/>
    <w:rsid w:val="00321C08"/>
    <w:rsid w:val="0032437A"/>
    <w:rsid w:val="00327AD5"/>
    <w:rsid w:val="00347F92"/>
    <w:rsid w:val="003558FC"/>
    <w:rsid w:val="003641F7"/>
    <w:rsid w:val="00381893"/>
    <w:rsid w:val="003860B9"/>
    <w:rsid w:val="003932F8"/>
    <w:rsid w:val="0039567B"/>
    <w:rsid w:val="003B010A"/>
    <w:rsid w:val="003D18A2"/>
    <w:rsid w:val="003D64FF"/>
    <w:rsid w:val="003F1841"/>
    <w:rsid w:val="003F2D72"/>
    <w:rsid w:val="00423473"/>
    <w:rsid w:val="00427058"/>
    <w:rsid w:val="0043675D"/>
    <w:rsid w:val="00487752"/>
    <w:rsid w:val="00493593"/>
    <w:rsid w:val="004B5DC2"/>
    <w:rsid w:val="004C1F3B"/>
    <w:rsid w:val="004E1B21"/>
    <w:rsid w:val="004E2574"/>
    <w:rsid w:val="00506014"/>
    <w:rsid w:val="00534453"/>
    <w:rsid w:val="00544635"/>
    <w:rsid w:val="005453DB"/>
    <w:rsid w:val="0054704F"/>
    <w:rsid w:val="005848D7"/>
    <w:rsid w:val="00587AB2"/>
    <w:rsid w:val="00587D44"/>
    <w:rsid w:val="0059489B"/>
    <w:rsid w:val="005A1AB5"/>
    <w:rsid w:val="005A77A5"/>
    <w:rsid w:val="005B2C54"/>
    <w:rsid w:val="005B2E7C"/>
    <w:rsid w:val="005C57B2"/>
    <w:rsid w:val="005D5F87"/>
    <w:rsid w:val="005D652D"/>
    <w:rsid w:val="005F1FFF"/>
    <w:rsid w:val="0060279D"/>
    <w:rsid w:val="00604711"/>
    <w:rsid w:val="006066D2"/>
    <w:rsid w:val="006266E5"/>
    <w:rsid w:val="0063114B"/>
    <w:rsid w:val="00632037"/>
    <w:rsid w:val="00640759"/>
    <w:rsid w:val="00654568"/>
    <w:rsid w:val="0067413B"/>
    <w:rsid w:val="00684EF9"/>
    <w:rsid w:val="006A6467"/>
    <w:rsid w:val="006C55B3"/>
    <w:rsid w:val="006D6711"/>
    <w:rsid w:val="006E4185"/>
    <w:rsid w:val="00700FE6"/>
    <w:rsid w:val="00730BFC"/>
    <w:rsid w:val="00763B30"/>
    <w:rsid w:val="00767374"/>
    <w:rsid w:val="007754D1"/>
    <w:rsid w:val="007864E3"/>
    <w:rsid w:val="007B1541"/>
    <w:rsid w:val="007D34AC"/>
    <w:rsid w:val="007E26D6"/>
    <w:rsid w:val="008057C9"/>
    <w:rsid w:val="008213B2"/>
    <w:rsid w:val="00832F2C"/>
    <w:rsid w:val="008433A5"/>
    <w:rsid w:val="00854145"/>
    <w:rsid w:val="00875A62"/>
    <w:rsid w:val="0088559D"/>
    <w:rsid w:val="008A16D6"/>
    <w:rsid w:val="008B6AAD"/>
    <w:rsid w:val="008B72B3"/>
    <w:rsid w:val="008E1437"/>
    <w:rsid w:val="008E6CB1"/>
    <w:rsid w:val="008F241F"/>
    <w:rsid w:val="00910160"/>
    <w:rsid w:val="009108AA"/>
    <w:rsid w:val="00912BF4"/>
    <w:rsid w:val="00922204"/>
    <w:rsid w:val="00957AFA"/>
    <w:rsid w:val="00974B49"/>
    <w:rsid w:val="009947E2"/>
    <w:rsid w:val="009951B1"/>
    <w:rsid w:val="009B4876"/>
    <w:rsid w:val="009D1684"/>
    <w:rsid w:val="009E311A"/>
    <w:rsid w:val="009E6042"/>
    <w:rsid w:val="00A322AB"/>
    <w:rsid w:val="00A34BCC"/>
    <w:rsid w:val="00A47359"/>
    <w:rsid w:val="00A55DC4"/>
    <w:rsid w:val="00A87579"/>
    <w:rsid w:val="00AA318A"/>
    <w:rsid w:val="00AA4FD2"/>
    <w:rsid w:val="00AE18CC"/>
    <w:rsid w:val="00AE3D08"/>
    <w:rsid w:val="00AF124C"/>
    <w:rsid w:val="00B075A8"/>
    <w:rsid w:val="00B11A44"/>
    <w:rsid w:val="00B13D82"/>
    <w:rsid w:val="00B514BA"/>
    <w:rsid w:val="00B872EE"/>
    <w:rsid w:val="00B93F26"/>
    <w:rsid w:val="00BC2425"/>
    <w:rsid w:val="00BC7B5A"/>
    <w:rsid w:val="00BE353D"/>
    <w:rsid w:val="00BF15CD"/>
    <w:rsid w:val="00C03480"/>
    <w:rsid w:val="00C05BE7"/>
    <w:rsid w:val="00C16F48"/>
    <w:rsid w:val="00C23C39"/>
    <w:rsid w:val="00C933FC"/>
    <w:rsid w:val="00CA4070"/>
    <w:rsid w:val="00CB2AEB"/>
    <w:rsid w:val="00CC0674"/>
    <w:rsid w:val="00CD58F6"/>
    <w:rsid w:val="00CE391A"/>
    <w:rsid w:val="00D05FF2"/>
    <w:rsid w:val="00D21E15"/>
    <w:rsid w:val="00D46C8A"/>
    <w:rsid w:val="00D54FF8"/>
    <w:rsid w:val="00D716E9"/>
    <w:rsid w:val="00D829D4"/>
    <w:rsid w:val="00D84229"/>
    <w:rsid w:val="00D92F14"/>
    <w:rsid w:val="00DA3AD6"/>
    <w:rsid w:val="00DA5796"/>
    <w:rsid w:val="00DA5819"/>
    <w:rsid w:val="00DD1AE2"/>
    <w:rsid w:val="00DD396D"/>
    <w:rsid w:val="00DD768F"/>
    <w:rsid w:val="00E00CE6"/>
    <w:rsid w:val="00E041B4"/>
    <w:rsid w:val="00E15A8C"/>
    <w:rsid w:val="00E15B40"/>
    <w:rsid w:val="00E3282C"/>
    <w:rsid w:val="00E45349"/>
    <w:rsid w:val="00E50AA6"/>
    <w:rsid w:val="00E524D4"/>
    <w:rsid w:val="00E64315"/>
    <w:rsid w:val="00E67AEF"/>
    <w:rsid w:val="00E81047"/>
    <w:rsid w:val="00E9048A"/>
    <w:rsid w:val="00EA4B4D"/>
    <w:rsid w:val="00EB4EE6"/>
    <w:rsid w:val="00EB67E2"/>
    <w:rsid w:val="00EC494C"/>
    <w:rsid w:val="00ED12CA"/>
    <w:rsid w:val="00ED4AE8"/>
    <w:rsid w:val="00EE01EF"/>
    <w:rsid w:val="00EE54FE"/>
    <w:rsid w:val="00EF40AF"/>
    <w:rsid w:val="00F11CCE"/>
    <w:rsid w:val="00F1611C"/>
    <w:rsid w:val="00F34F07"/>
    <w:rsid w:val="00F50705"/>
    <w:rsid w:val="00F72104"/>
    <w:rsid w:val="00F8512F"/>
    <w:rsid w:val="00F919F7"/>
    <w:rsid w:val="00F92D41"/>
    <w:rsid w:val="00FA45D8"/>
    <w:rsid w:val="00FC438B"/>
    <w:rsid w:val="00FD0475"/>
    <w:rsid w:val="00FE5E36"/>
    <w:rsid w:val="00FF0156"/>
    <w:rsid w:val="00FF1DBD"/>
    <w:rsid w:val="06E538BD"/>
    <w:rsid w:val="1BC3B8F6"/>
    <w:rsid w:val="1F60C693"/>
    <w:rsid w:val="33FCDD37"/>
    <w:rsid w:val="3DCBDF5C"/>
    <w:rsid w:val="4F3477C5"/>
    <w:rsid w:val="4FBC96BC"/>
    <w:rsid w:val="50BA094B"/>
    <w:rsid w:val="512ACECC"/>
    <w:rsid w:val="53B2F05E"/>
    <w:rsid w:val="5A3FD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F1390"/>
  <w15:docId w15:val="{1C9B597A-AF54-4C36-A327-937540DA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81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5C57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Theme="majorEastAsia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basedOn w:val="DefaultParagraphFont"/>
    <w:link w:val="ESCoverPage"/>
    <w:rsid w:val="00B93F26"/>
    <w:rPr>
      <w:rFonts w:ascii="Arial" w:eastAsiaTheme="majorEastAsia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paragraph" w:customStyle="1" w:styleId="CompanyName">
    <w:name w:val="Company Name"/>
    <w:basedOn w:val="Normal"/>
    <w:next w:val="Signature"/>
    <w:rsid w:val="00922204"/>
    <w:pPr>
      <w:keepNext/>
      <w:keepLines/>
      <w:spacing w:before="60"/>
      <w:jc w:val="both"/>
    </w:pPr>
    <w:rPr>
      <w:rFonts w:ascii="Century Gothic" w:eastAsia="Times New Roman" w:hAnsi="Century Gothic" w:cs="Times New Roman"/>
      <w:b/>
      <w:caps/>
      <w:snapToGrid w:val="0"/>
      <w:kern w:val="20"/>
      <w:sz w:val="20"/>
      <w:szCs w:val="20"/>
    </w:rPr>
  </w:style>
  <w:style w:type="paragraph" w:styleId="Signature">
    <w:name w:val="Signature"/>
    <w:basedOn w:val="Normal"/>
    <w:link w:val="SignatureChar"/>
    <w:rsid w:val="00922204"/>
    <w:pPr>
      <w:spacing w:before="60" w:after="60"/>
      <w:ind w:left="4252"/>
      <w:jc w:val="both"/>
    </w:pPr>
    <w:rPr>
      <w:rFonts w:ascii="Century Gothic" w:eastAsia="Times New Roman" w:hAnsi="Century Gothic" w:cs="Times New Roman"/>
      <w:snapToGrid w:val="0"/>
      <w:kern w:val="2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922204"/>
    <w:rPr>
      <w:rFonts w:ascii="Century Gothic" w:eastAsia="Times New Roman" w:hAnsi="Century Gothic" w:cs="Times New Roman"/>
      <w:snapToGrid w:val="0"/>
      <w:kern w:val="20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204"/>
    <w:pPr>
      <w:spacing w:before="60" w:after="60"/>
      <w:ind w:left="720"/>
      <w:contextualSpacing/>
      <w:jc w:val="both"/>
    </w:pPr>
    <w:rPr>
      <w:rFonts w:ascii="Century Gothic" w:eastAsia="Times New Roman" w:hAnsi="Century Gothic" w:cs="Times New Roman"/>
      <w:snapToGrid w:val="0"/>
      <w:kern w:val="2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041B4"/>
    <w:pPr>
      <w:spacing w:after="0"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ulletsinTable">
    <w:name w:val="ES_Bullets in Table"/>
    <w:basedOn w:val="ListParagraph"/>
    <w:qFormat/>
    <w:rsid w:val="00E041B4"/>
    <w:pPr>
      <w:numPr>
        <w:numId w:val="3"/>
      </w:numPr>
      <w:spacing w:before="0" w:after="80"/>
      <w:contextualSpacing w:val="0"/>
      <w:jc w:val="left"/>
    </w:pPr>
    <w:rPr>
      <w:rFonts w:ascii="Arial" w:eastAsia="Arial" w:hAnsi="Arial"/>
      <w:snapToGrid/>
      <w:color w:val="000000" w:themeColor="text1"/>
      <w:kern w:val="0"/>
      <w:sz w:val="18"/>
      <w:szCs w:val="22"/>
    </w:rPr>
  </w:style>
  <w:style w:type="paragraph" w:customStyle="1" w:styleId="ESBulletsinTableLevel2">
    <w:name w:val="ES_Bullets in Table Level 2"/>
    <w:basedOn w:val="ListParagraph"/>
    <w:qFormat/>
    <w:rsid w:val="00E041B4"/>
    <w:pPr>
      <w:numPr>
        <w:ilvl w:val="1"/>
        <w:numId w:val="2"/>
      </w:numPr>
      <w:spacing w:before="0" w:after="80"/>
      <w:ind w:left="592"/>
      <w:jc w:val="left"/>
    </w:pPr>
    <w:rPr>
      <w:rFonts w:ascii="Arial" w:eastAsia="Arial" w:hAnsi="Arial"/>
      <w:snapToGrid/>
      <w:kern w:val="0"/>
      <w:sz w:val="18"/>
      <w:szCs w:val="22"/>
    </w:rPr>
  </w:style>
  <w:style w:type="table" w:styleId="TableGrid">
    <w:name w:val="Table Grid"/>
    <w:basedOn w:val="TableNormal"/>
    <w:rsid w:val="00E0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C55B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57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ectionHeading">
    <w:name w:val="Section Heading"/>
    <w:basedOn w:val="Normal"/>
    <w:link w:val="SectionHeadingChar"/>
    <w:qFormat/>
    <w:rsid w:val="00957AFA"/>
    <w:pPr>
      <w:spacing w:before="60" w:after="60"/>
    </w:pPr>
    <w:rPr>
      <w:rFonts w:ascii="Arial Black" w:eastAsia="Times New Roman" w:hAnsi="Arial Black" w:cs="Times New Roman"/>
      <w:b/>
      <w:sz w:val="28"/>
      <w:szCs w:val="20"/>
      <w:lang w:eastAsia="en-AU"/>
    </w:rPr>
  </w:style>
  <w:style w:type="character" w:customStyle="1" w:styleId="SectionHeadingChar">
    <w:name w:val="Section Heading Char"/>
    <w:basedOn w:val="DefaultParagraphFont"/>
    <w:link w:val="SectionHeading"/>
    <w:rsid w:val="00957AFA"/>
    <w:rPr>
      <w:rFonts w:ascii="Arial Black" w:eastAsia="Times New Roman" w:hAnsi="Arial Black" w:cs="Times New Roman"/>
      <w:b/>
      <w:sz w:val="28"/>
      <w:szCs w:val="20"/>
      <w:lang w:eastAsia="en-AU"/>
    </w:rPr>
  </w:style>
  <w:style w:type="paragraph" w:styleId="NoSpacing">
    <w:name w:val="No Spacing"/>
    <w:uiPriority w:val="1"/>
    <w:qFormat/>
    <w:rsid w:val="00957AFA"/>
    <w:pPr>
      <w:spacing w:after="0" w:line="240" w:lineRule="auto"/>
    </w:pPr>
  </w:style>
  <w:style w:type="paragraph" w:styleId="Revision">
    <w:name w:val="Revision"/>
    <w:hidden/>
    <w:uiPriority w:val="99"/>
    <w:semiHidden/>
    <w:rsid w:val="00FF0156"/>
    <w:pPr>
      <w:spacing w:after="0" w:line="240" w:lineRule="auto"/>
    </w:pPr>
    <w:rPr>
      <w:rFonts w:ascii="Arial" w:hAnsi="Arial" w:cs="Arial"/>
    </w:rPr>
  </w:style>
  <w:style w:type="paragraph" w:customStyle="1" w:styleId="Intro">
    <w:name w:val="Intro"/>
    <w:basedOn w:val="Normal"/>
    <w:qFormat/>
    <w:rsid w:val="0060279D"/>
    <w:pPr>
      <w:pBdr>
        <w:top w:val="single" w:sz="4" w:space="1" w:color="4472C4" w:themeColor="accent5"/>
      </w:pBdr>
      <w:spacing w:after="120"/>
    </w:pPr>
    <w:rPr>
      <w:rFonts w:asciiTheme="minorHAnsi" w:hAnsiTheme="minorHAnsi" w:cstheme="minorBidi"/>
      <w:b/>
      <w:color w:val="4472C4" w:themeColor="accent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5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BE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BE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hrweb/Documents/OHS/guid1chemst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gate.eduweb.vic.gov.au/edrms/EHSWD/eduSafe_Plus_Project/Docs_For_DOMAIN_USERS/eduSafe%20Plus%20Guide%20-%20How%20to%20report%20a%20workplace%20hazard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</DEECD_Publisher>
    <TaxCatchAll xmlns="cb9114c1-daad-44dd-acad-30f4246641f2">
      <Value>118</Value>
      <Value>120</Value>
      <Value>99</Value>
    </TaxCatchAll>
    <DEECD_Expired xmlns="http://schemas.microsoft.com/sharepoint/v3">false</DEECD_Expired>
    <DEECD_Keywords xmlns="http://schemas.microsoft.com/sharepoint/v3">Swimming Pool,  Inspection,  Checklist, OHS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DEECD_Description xmlns="http://schemas.microsoft.com/sharepoint/v3">Swimming Pool Inspection Checklist</DEECD_Description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8DAE4-B21F-43CF-A3A5-E4482D448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5BAED-E3A0-479D-AA53-1CF5EE8BA5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552ED5-68EE-49B8-B482-26162AAB9FCE}">
  <ds:schemaRefs>
    <ds:schemaRef ds:uri="http://schemas.microsoft.com/office/2006/metadata/properties"/>
    <ds:schemaRef ds:uri="http://schemas.microsoft.com/office/infopath/2007/PartnerControls"/>
    <ds:schemaRef ds:uri="84571637-c7f9-44a1-95b1-d459eb7afb4e"/>
    <ds:schemaRef ds:uri="http://schemas.microsoft.com/sharepoint/v3"/>
    <ds:schemaRef ds:uri="cb9114c1-daad-44dd-acad-30f4246641f2"/>
  </ds:schemaRefs>
</ds:datastoreItem>
</file>

<file path=customXml/itemProps4.xml><?xml version="1.0" encoding="utf-8"?>
<ds:datastoreItem xmlns:ds="http://schemas.openxmlformats.org/officeDocument/2006/customXml" ds:itemID="{9613137C-6216-4FDC-A625-BF4369B06E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Pool Inspection Checklist</vt:lpstr>
    </vt:vector>
  </TitlesOfParts>
  <Company>Department of Education and Training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Pool Inspection Checklist</dc:title>
  <dc:subject>Workplace Inspections</dc:subject>
  <dc:creator>hrweb@edumail.vic.gov.au</dc:creator>
  <cp:lastModifiedBy>Grace Algefski</cp:lastModifiedBy>
  <cp:revision>17</cp:revision>
  <cp:lastPrinted>2017-07-05T04:07:00Z</cp:lastPrinted>
  <dcterms:created xsi:type="dcterms:W3CDTF">2023-04-17T23:56:00Z</dcterms:created>
  <dcterms:modified xsi:type="dcterms:W3CDTF">2023-04-18T00:07:00Z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4;#1.2.2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{9bd553d7-75bb-42c2-b3eb-09f776436aea}</vt:lpwstr>
  </property>
  <property fmtid="{D5CDD505-2E9C-101B-9397-08002B2CF9AE}" pid="8" name="RecordPoint_ActiveItemListId">
    <vt:lpwstr>{136f4a27-e171-4881-afb0-7b02314a9a4d}</vt:lpwstr>
  </property>
  <property fmtid="{D5CDD505-2E9C-101B-9397-08002B2CF9AE}" pid="9" name="RecordPoint_ActiveItemUniqueId">
    <vt:lpwstr>{3a30c9b5-c213-46fe-845c-222e623f93ee}</vt:lpwstr>
  </property>
  <property fmtid="{D5CDD505-2E9C-101B-9397-08002B2CF9AE}" pid="10" name="RecordPoint_ActiveItemWebId">
    <vt:lpwstr>{05a21c0b-1fd2-4c7d-8a50-71f82a44dd99}</vt:lpwstr>
  </property>
  <property fmtid="{D5CDD505-2E9C-101B-9397-08002B2CF9AE}" pid="11" name="RecordPoint_RecordNumberSubmitted">
    <vt:lpwstr>R20220511968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DEECD_SubjectCategory">
    <vt:lpwstr/>
  </property>
  <property fmtid="{D5CDD505-2E9C-101B-9397-08002B2CF9AE}" pid="16" name="Order">
    <vt:r8>843600</vt:r8>
  </property>
  <property fmtid="{D5CDD505-2E9C-101B-9397-08002B2CF9AE}" pid="17" name="Category 3">
    <vt:lpwstr>Occupational Health and safety policy</vt:lpwstr>
  </property>
  <property fmtid="{D5CDD505-2E9C-101B-9397-08002B2CF9AE}" pid="18" name="DEECD_PageLanguage">
    <vt:lpwstr>1;#en-AU|09a79c66-a57f-4b52-ac52-4c16941cab37</vt:lpwstr>
  </property>
  <property fmtid="{D5CDD505-2E9C-101B-9397-08002B2CF9AE}" pid="19" name="xd_Signature">
    <vt:lpwstr/>
  </property>
  <property fmtid="{D5CDD505-2E9C-101B-9397-08002B2CF9AE}" pid="20" name="xd_ProgID">
    <vt:lpwstr/>
  </property>
  <property fmtid="{D5CDD505-2E9C-101B-9397-08002B2CF9AE}" pid="21" name="Category 6">
    <vt:lpwstr>workplace safety</vt:lpwstr>
  </property>
  <property fmtid="{D5CDD505-2E9C-101B-9397-08002B2CF9AE}" pid="22" name="DEECD_ItemType">
    <vt:lpwstr>99;#Form / Template|128fc848-3335-484e-aa10-c13e61aabf0c</vt:lpwstr>
  </property>
  <property fmtid="{D5CDD505-2E9C-101B-9397-08002B2CF9AE}" pid="23" name="Category 1">
    <vt:lpwstr>OHS</vt:lpwstr>
  </property>
  <property fmtid="{D5CDD505-2E9C-101B-9397-08002B2CF9AE}" pid="24" name="Category 4">
    <vt:lpwstr>health and safety</vt:lpwstr>
  </property>
  <property fmtid="{D5CDD505-2E9C-101B-9397-08002B2CF9AE}" pid="25" name="TemplateUrl">
    <vt:lpwstr/>
  </property>
  <property fmtid="{D5CDD505-2E9C-101B-9397-08002B2CF9AE}" pid="26" name="DEECD_Audience">
    <vt:lpwstr>118;#Principals|a4f56333-bce8-49bd-95df-bc27ddd10ec3</vt:lpwstr>
  </property>
  <property fmtid="{D5CDD505-2E9C-101B-9397-08002B2CF9AE}" pid="27" name="RoutingRuleDescription">
    <vt:lpwstr>A checklist for the purchase of goods that will have OHS implications.</vt:lpwstr>
  </property>
  <property fmtid="{D5CDD505-2E9C-101B-9397-08002B2CF9AE}" pid="28" name="Category 2">
    <vt:lpwstr>OHS procedure</vt:lpwstr>
  </property>
  <property fmtid="{D5CDD505-2E9C-101B-9397-08002B2CF9AE}" pid="29" name="DEECD_Author">
    <vt:lpwstr>120;#HRWeb|4e014723-a4da-42a2-b679-c90ea77e3371</vt:lpwstr>
  </property>
  <property fmtid="{D5CDD505-2E9C-101B-9397-08002B2CF9AE}" pid="30" name="Category 5">
    <vt:lpwstr>safety</vt:lpwstr>
  </property>
  <property fmtid="{D5CDD505-2E9C-101B-9397-08002B2CF9AE}" pid="31" name="TaxCatchAll">
    <vt:lpwstr>4;#1.2.2 Project Documentation|a3ce4c3c-7960-4756-834e-8cbbf9028802</vt:lpwstr>
  </property>
  <property fmtid="{D5CDD505-2E9C-101B-9397-08002B2CF9AE}" pid="32" name="DET_EDRMS_RCSTaxHTField0">
    <vt:lpwstr>1.2.2 Project Documentation|a3ce4c3c-7960-4756-834e-8cbbf9028802</vt:lpwstr>
  </property>
  <property fmtid="{D5CDD505-2E9C-101B-9397-08002B2CF9AE}" pid="33" name="DET_EDRMS_SecClassTaxHTField0">
    <vt:lpwstr/>
  </property>
  <property fmtid="{D5CDD505-2E9C-101B-9397-08002B2CF9AE}" pid="34" name="DET_EDRMS_BusUnitTaxHTField0">
    <vt:lpwstr/>
  </property>
  <property fmtid="{D5CDD505-2E9C-101B-9397-08002B2CF9AE}" pid="35" name="MSIP_Label_38f1469a-2c2a-4aee-b92b-090d4c5468ff_Enabled">
    <vt:lpwstr>true</vt:lpwstr>
  </property>
  <property fmtid="{D5CDD505-2E9C-101B-9397-08002B2CF9AE}" pid="36" name="MSIP_Label_38f1469a-2c2a-4aee-b92b-090d4c5468ff_SetDate">
    <vt:lpwstr>2022-08-16T08:54:32Z</vt:lpwstr>
  </property>
  <property fmtid="{D5CDD505-2E9C-101B-9397-08002B2CF9AE}" pid="37" name="MSIP_Label_38f1469a-2c2a-4aee-b92b-090d4c5468ff_Method">
    <vt:lpwstr>Standard</vt:lpwstr>
  </property>
  <property fmtid="{D5CDD505-2E9C-101B-9397-08002B2CF9AE}" pid="38" name="MSIP_Label_38f1469a-2c2a-4aee-b92b-090d4c5468ff_Name">
    <vt:lpwstr>Confidential - Unmarked</vt:lpwstr>
  </property>
  <property fmtid="{D5CDD505-2E9C-101B-9397-08002B2CF9AE}" pid="39" name="MSIP_Label_38f1469a-2c2a-4aee-b92b-090d4c5468ff_SiteId">
    <vt:lpwstr>2a6e6092-73e4-4752-b1a5-477a17f5056d</vt:lpwstr>
  </property>
  <property fmtid="{D5CDD505-2E9C-101B-9397-08002B2CF9AE}" pid="40" name="MSIP_Label_38f1469a-2c2a-4aee-b92b-090d4c5468ff_ActionId">
    <vt:lpwstr>6892ff80-cdac-4b29-8911-fe6f9b9911b4</vt:lpwstr>
  </property>
  <property fmtid="{D5CDD505-2E9C-101B-9397-08002B2CF9AE}" pid="41" name="MSIP_Label_38f1469a-2c2a-4aee-b92b-090d4c5468ff_ContentBits">
    <vt:lpwstr>0</vt:lpwstr>
  </property>
  <property fmtid="{D5CDD505-2E9C-101B-9397-08002B2CF9AE}" pid="42" name="GrammarlyDocumentId">
    <vt:lpwstr>93744d16bc369c07709efa1fdf7032afe62ce140a5d73d7e2c927f23e337f9a4</vt:lpwstr>
  </property>
  <property fmtid="{D5CDD505-2E9C-101B-9397-08002B2CF9AE}" pid="43" name="RecordPoint_SubmissionCompleted">
    <vt:lpwstr>2022-10-20T13:57:42.2063311+11:00</vt:lpwstr>
  </property>
</Properties>
</file>