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7609" w14:textId="6EF904E5" w:rsidR="000F6A81" w:rsidRPr="00132DD8" w:rsidRDefault="000F6A81" w:rsidP="002C37A6">
      <w:pPr>
        <w:spacing w:before="100" w:beforeAutospacing="1" w:after="100" w:afterAutospacing="1"/>
        <w:rPr>
          <w:sz w:val="20"/>
          <w:szCs w:val="20"/>
        </w:rPr>
      </w:pPr>
    </w:p>
    <w:tbl>
      <w:tblPr>
        <w:tblStyle w:val="TableGrid"/>
        <w:tblW w:w="14742" w:type="dxa"/>
        <w:tblInd w:w="284"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Caption w:val="Table-What can I expect from an OHS Audit"/>
        <w:tblDescription w:val="Table-What can I expect from an OHS Audit. Answers to general questions on the half day and full day OHS audits."/>
      </w:tblPr>
      <w:tblGrid>
        <w:gridCol w:w="339"/>
        <w:gridCol w:w="3126"/>
        <w:gridCol w:w="11277"/>
      </w:tblGrid>
      <w:tr w:rsidR="002C37A6" w:rsidRPr="002C37A6" w14:paraId="0EBC2160" w14:textId="77777777" w:rsidTr="005E5A40">
        <w:trPr>
          <w:trHeight w:val="809"/>
          <w:tblHeader/>
        </w:trPr>
        <w:tc>
          <w:tcPr>
            <w:tcW w:w="14742" w:type="dxa"/>
            <w:gridSpan w:val="3"/>
            <w:tcBorders>
              <w:bottom w:val="nil"/>
            </w:tcBorders>
            <w:shd w:val="clear" w:color="auto" w:fill="0044AF"/>
            <w:vAlign w:val="center"/>
          </w:tcPr>
          <w:p w14:paraId="49DF1882" w14:textId="77777777" w:rsidR="002C37A6" w:rsidRPr="002C37A6" w:rsidRDefault="002C37A6" w:rsidP="002C37A6">
            <w:pPr>
              <w:spacing w:before="100" w:beforeAutospacing="1" w:after="100" w:afterAutospacing="1"/>
              <w:rPr>
                <w:b/>
                <w:color w:val="FFFFFF"/>
              </w:rPr>
            </w:pPr>
            <w:r w:rsidRPr="00C27C38">
              <w:rPr>
                <w:b/>
                <w:color w:val="FFFFFF"/>
                <w:sz w:val="24"/>
              </w:rPr>
              <w:t>What can I expect from an OHS audit?</w:t>
            </w:r>
          </w:p>
        </w:tc>
      </w:tr>
      <w:tr w:rsidR="002C37A6" w:rsidRPr="002C37A6" w14:paraId="41959754" w14:textId="77777777" w:rsidTr="005E5A40">
        <w:trPr>
          <w:trHeight w:val="809"/>
        </w:trPr>
        <w:tc>
          <w:tcPr>
            <w:tcW w:w="339" w:type="dxa"/>
            <w:tcBorders>
              <w:bottom w:val="single" w:sz="4" w:space="0" w:color="D9D9D9" w:themeColor="background1" w:themeShade="D9"/>
            </w:tcBorders>
            <w:shd w:val="clear" w:color="auto" w:fill="F2F2F2" w:themeFill="background1" w:themeFillShade="F2"/>
            <w:vAlign w:val="center"/>
          </w:tcPr>
          <w:p w14:paraId="625913CC" w14:textId="77777777" w:rsidR="002C37A6" w:rsidRPr="002C37A6" w:rsidRDefault="002C37A6" w:rsidP="002C37A6">
            <w:pPr>
              <w:spacing w:before="100" w:beforeAutospacing="1" w:after="100" w:afterAutospacing="1"/>
              <w:rPr>
                <w:b/>
                <w:color w:val="AF272F"/>
              </w:rPr>
            </w:pPr>
            <w:r w:rsidRPr="002C37A6">
              <w:rPr>
                <w:b/>
                <w:color w:val="0044AF"/>
              </w:rPr>
              <w:t>1</w:t>
            </w:r>
          </w:p>
        </w:tc>
        <w:tc>
          <w:tcPr>
            <w:tcW w:w="3126" w:type="dxa"/>
            <w:tcBorders>
              <w:bottom w:val="single" w:sz="4" w:space="0" w:color="D9D9D9" w:themeColor="background1" w:themeShade="D9"/>
            </w:tcBorders>
            <w:shd w:val="clear" w:color="auto" w:fill="auto"/>
            <w:vAlign w:val="center"/>
          </w:tcPr>
          <w:p w14:paraId="0E597498" w14:textId="77777777" w:rsidR="002C37A6" w:rsidRPr="002C37A6" w:rsidRDefault="002C37A6" w:rsidP="002C37A6">
            <w:pPr>
              <w:spacing w:before="100" w:beforeAutospacing="1" w:after="100" w:afterAutospacing="1"/>
            </w:pPr>
            <w:r w:rsidRPr="002C37A6">
              <w:t xml:space="preserve">Why has my school been selected? </w:t>
            </w:r>
          </w:p>
        </w:tc>
        <w:tc>
          <w:tcPr>
            <w:tcW w:w="11277" w:type="dxa"/>
            <w:tcBorders>
              <w:bottom w:val="single" w:sz="4" w:space="0" w:color="D9D9D9" w:themeColor="background1" w:themeShade="D9"/>
            </w:tcBorders>
            <w:shd w:val="clear" w:color="auto" w:fill="auto"/>
            <w:vAlign w:val="center"/>
          </w:tcPr>
          <w:p w14:paraId="18DAABE2" w14:textId="77777777" w:rsidR="002C37A6" w:rsidRPr="002C37A6" w:rsidRDefault="002C37A6" w:rsidP="00132DD8">
            <w:pPr>
              <w:pStyle w:val="ListParagraph"/>
              <w:numPr>
                <w:ilvl w:val="0"/>
                <w:numId w:val="1"/>
              </w:numPr>
              <w:spacing w:before="60" w:after="60" w:line="276" w:lineRule="auto"/>
              <w:ind w:hanging="357"/>
              <w:contextualSpacing w:val="0"/>
              <w:rPr>
                <w:sz w:val="22"/>
                <w:szCs w:val="22"/>
              </w:rPr>
            </w:pPr>
            <w:r w:rsidRPr="002C37A6">
              <w:rPr>
                <w:sz w:val="22"/>
                <w:szCs w:val="22"/>
              </w:rPr>
              <w:t>Every school in Victoria is audited within a four-year cycle</w:t>
            </w:r>
          </w:p>
          <w:p w14:paraId="1800CD94" w14:textId="77777777" w:rsidR="002C37A6" w:rsidRPr="002C37A6" w:rsidRDefault="002C37A6" w:rsidP="00132DD8">
            <w:pPr>
              <w:pStyle w:val="ListParagraph"/>
              <w:numPr>
                <w:ilvl w:val="0"/>
                <w:numId w:val="1"/>
              </w:numPr>
              <w:spacing w:before="60" w:after="60" w:line="276" w:lineRule="auto"/>
              <w:ind w:hanging="357"/>
              <w:contextualSpacing w:val="0"/>
              <w:rPr>
                <w:sz w:val="22"/>
                <w:szCs w:val="22"/>
              </w:rPr>
            </w:pPr>
            <w:r w:rsidRPr="002C37A6">
              <w:rPr>
                <w:sz w:val="22"/>
                <w:szCs w:val="22"/>
              </w:rPr>
              <w:t xml:space="preserve">Schools are selected based on: </w:t>
            </w:r>
          </w:p>
          <w:p w14:paraId="71DB5D63" w14:textId="77777777" w:rsidR="002C37A6" w:rsidRPr="002C37A6" w:rsidRDefault="002C37A6" w:rsidP="00132DD8">
            <w:pPr>
              <w:pStyle w:val="ListParagraph"/>
              <w:numPr>
                <w:ilvl w:val="1"/>
                <w:numId w:val="2"/>
              </w:numPr>
              <w:spacing w:before="60" w:after="60" w:line="276" w:lineRule="auto"/>
              <w:ind w:hanging="357"/>
              <w:contextualSpacing w:val="0"/>
              <w:rPr>
                <w:sz w:val="22"/>
                <w:szCs w:val="22"/>
              </w:rPr>
            </w:pPr>
            <w:r w:rsidRPr="002C37A6">
              <w:rPr>
                <w:sz w:val="22"/>
                <w:szCs w:val="22"/>
              </w:rPr>
              <w:t>risk profile</w:t>
            </w:r>
          </w:p>
          <w:p w14:paraId="079A88C4" w14:textId="77777777" w:rsidR="002C37A6" w:rsidRPr="002C37A6" w:rsidRDefault="002C37A6" w:rsidP="00132DD8">
            <w:pPr>
              <w:pStyle w:val="ListParagraph"/>
              <w:numPr>
                <w:ilvl w:val="1"/>
                <w:numId w:val="2"/>
              </w:numPr>
              <w:spacing w:before="60" w:after="60" w:line="276" w:lineRule="auto"/>
              <w:ind w:hanging="357"/>
              <w:contextualSpacing w:val="0"/>
              <w:rPr>
                <w:sz w:val="22"/>
                <w:szCs w:val="22"/>
              </w:rPr>
            </w:pPr>
            <w:r w:rsidRPr="002C37A6">
              <w:rPr>
                <w:sz w:val="22"/>
                <w:szCs w:val="22"/>
              </w:rPr>
              <w:t>previous audit results</w:t>
            </w:r>
          </w:p>
          <w:p w14:paraId="4E7D8CF6" w14:textId="77777777" w:rsidR="002C37A6" w:rsidRPr="002C37A6" w:rsidRDefault="002C37A6" w:rsidP="00132DD8">
            <w:pPr>
              <w:pStyle w:val="ListParagraph"/>
              <w:numPr>
                <w:ilvl w:val="1"/>
                <w:numId w:val="2"/>
              </w:numPr>
              <w:spacing w:before="60" w:after="60" w:line="276" w:lineRule="auto"/>
              <w:ind w:hanging="357"/>
              <w:contextualSpacing w:val="0"/>
              <w:rPr>
                <w:sz w:val="22"/>
                <w:szCs w:val="22"/>
              </w:rPr>
            </w:pPr>
            <w:r w:rsidRPr="002C37A6">
              <w:rPr>
                <w:sz w:val="22"/>
                <w:szCs w:val="22"/>
              </w:rPr>
              <w:t>date of previous audit</w:t>
            </w:r>
          </w:p>
        </w:tc>
      </w:tr>
      <w:tr w:rsidR="002C37A6" w:rsidRPr="002C37A6" w14:paraId="3C51CFC9" w14:textId="77777777" w:rsidTr="005E5A40">
        <w:trPr>
          <w:trHeight w:val="809"/>
        </w:trPr>
        <w:tc>
          <w:tcPr>
            <w:tcW w:w="339"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2DB42D1" w14:textId="77777777" w:rsidR="002C37A6" w:rsidRPr="002C37A6" w:rsidRDefault="002C37A6" w:rsidP="002C37A6">
            <w:pPr>
              <w:spacing w:before="100" w:beforeAutospacing="1" w:after="100" w:afterAutospacing="1"/>
              <w:rPr>
                <w:b/>
                <w:color w:val="0044AF"/>
              </w:rPr>
            </w:pPr>
            <w:r w:rsidRPr="002C37A6">
              <w:rPr>
                <w:b/>
                <w:color w:val="0044AF"/>
              </w:rPr>
              <w:t>2</w:t>
            </w:r>
          </w:p>
        </w:tc>
        <w:tc>
          <w:tcPr>
            <w:tcW w:w="3126" w:type="dxa"/>
            <w:tcBorders>
              <w:top w:val="single" w:sz="4" w:space="0" w:color="D9D9D9" w:themeColor="background1" w:themeShade="D9"/>
              <w:bottom w:val="single" w:sz="4" w:space="0" w:color="D9D9D9" w:themeColor="background1" w:themeShade="D9"/>
            </w:tcBorders>
            <w:shd w:val="clear" w:color="auto" w:fill="auto"/>
            <w:vAlign w:val="center"/>
          </w:tcPr>
          <w:p w14:paraId="509F0279" w14:textId="77777777" w:rsidR="002C37A6" w:rsidRPr="002C37A6" w:rsidRDefault="002C37A6" w:rsidP="002C37A6">
            <w:pPr>
              <w:spacing w:before="100" w:beforeAutospacing="1" w:after="100" w:afterAutospacing="1"/>
            </w:pPr>
            <w:r w:rsidRPr="002C37A6">
              <w:t>What is the purpose of the audit?</w:t>
            </w:r>
          </w:p>
        </w:tc>
        <w:tc>
          <w:tcPr>
            <w:tcW w:w="11277" w:type="dxa"/>
            <w:tcBorders>
              <w:top w:val="single" w:sz="4" w:space="0" w:color="D9D9D9" w:themeColor="background1" w:themeShade="D9"/>
              <w:bottom w:val="single" w:sz="4" w:space="0" w:color="D9D9D9" w:themeColor="background1" w:themeShade="D9"/>
            </w:tcBorders>
            <w:shd w:val="clear" w:color="auto" w:fill="auto"/>
            <w:vAlign w:val="center"/>
          </w:tcPr>
          <w:p w14:paraId="7F2EBEC9" w14:textId="77777777" w:rsidR="002C37A6" w:rsidRPr="002C37A6" w:rsidRDefault="002C37A6" w:rsidP="00132DD8">
            <w:pPr>
              <w:pStyle w:val="ListParagraph"/>
              <w:numPr>
                <w:ilvl w:val="0"/>
                <w:numId w:val="3"/>
              </w:numPr>
              <w:spacing w:before="60" w:after="60" w:line="276" w:lineRule="auto"/>
              <w:ind w:left="714" w:hanging="357"/>
              <w:contextualSpacing w:val="0"/>
              <w:rPr>
                <w:sz w:val="22"/>
                <w:szCs w:val="22"/>
              </w:rPr>
            </w:pPr>
            <w:r w:rsidRPr="002C37A6">
              <w:rPr>
                <w:sz w:val="22"/>
                <w:szCs w:val="22"/>
              </w:rPr>
              <w:t>The audit provides an opportunity for schools to obtain an independent assessment of their current health and safety performance</w:t>
            </w:r>
          </w:p>
          <w:p w14:paraId="3F5A1543" w14:textId="77777777" w:rsidR="002C37A6" w:rsidRPr="002C37A6" w:rsidRDefault="002C37A6" w:rsidP="00132DD8">
            <w:pPr>
              <w:pStyle w:val="ListParagraph"/>
              <w:numPr>
                <w:ilvl w:val="0"/>
                <w:numId w:val="3"/>
              </w:numPr>
              <w:spacing w:before="60" w:after="60" w:line="276" w:lineRule="auto"/>
              <w:ind w:left="714" w:hanging="357"/>
              <w:contextualSpacing w:val="0"/>
              <w:rPr>
                <w:sz w:val="22"/>
                <w:szCs w:val="22"/>
              </w:rPr>
            </w:pPr>
            <w:r w:rsidRPr="002C37A6">
              <w:rPr>
                <w:sz w:val="22"/>
                <w:szCs w:val="22"/>
              </w:rPr>
              <w:t>The audit will identify any gaps and provide recommendations for improvement</w:t>
            </w:r>
          </w:p>
          <w:p w14:paraId="7DEE8912" w14:textId="77777777" w:rsidR="002C37A6" w:rsidRPr="002C37A6" w:rsidRDefault="002C37A6" w:rsidP="00132DD8">
            <w:pPr>
              <w:pStyle w:val="ListParagraph"/>
              <w:numPr>
                <w:ilvl w:val="0"/>
                <w:numId w:val="3"/>
              </w:numPr>
              <w:spacing w:before="60" w:after="60" w:line="276" w:lineRule="auto"/>
              <w:ind w:left="714" w:hanging="357"/>
              <w:contextualSpacing w:val="0"/>
              <w:rPr>
                <w:sz w:val="22"/>
                <w:szCs w:val="22"/>
              </w:rPr>
            </w:pPr>
            <w:r w:rsidRPr="002C37A6">
              <w:rPr>
                <w:sz w:val="22"/>
                <w:szCs w:val="22"/>
              </w:rPr>
              <w:t>The focus of the audit is on improving health and safety outcomes and building the capability of schools to maintain a safe workplace and learning environment in a sustainable manner</w:t>
            </w:r>
          </w:p>
          <w:p w14:paraId="430D80A8" w14:textId="77777777" w:rsidR="002C37A6" w:rsidRPr="002C37A6" w:rsidRDefault="002C37A6" w:rsidP="00132DD8">
            <w:pPr>
              <w:pStyle w:val="ListParagraph"/>
              <w:numPr>
                <w:ilvl w:val="0"/>
                <w:numId w:val="3"/>
              </w:numPr>
              <w:spacing w:before="60" w:after="60" w:line="276" w:lineRule="auto"/>
              <w:ind w:left="714" w:hanging="357"/>
              <w:contextualSpacing w:val="0"/>
              <w:rPr>
                <w:sz w:val="22"/>
                <w:szCs w:val="22"/>
              </w:rPr>
            </w:pPr>
            <w:r w:rsidRPr="002C37A6">
              <w:rPr>
                <w:sz w:val="22"/>
                <w:szCs w:val="22"/>
              </w:rPr>
              <w:t>Schools will be provided with guidance on timeframes to implement improvement opportunities</w:t>
            </w:r>
          </w:p>
          <w:p w14:paraId="780D9674" w14:textId="77777777" w:rsidR="002C37A6" w:rsidRPr="002C37A6" w:rsidRDefault="002C37A6" w:rsidP="00132DD8">
            <w:pPr>
              <w:pStyle w:val="ListParagraph"/>
              <w:numPr>
                <w:ilvl w:val="0"/>
                <w:numId w:val="3"/>
              </w:numPr>
              <w:spacing w:before="60" w:after="60" w:line="276" w:lineRule="auto"/>
              <w:ind w:left="714" w:hanging="357"/>
              <w:contextualSpacing w:val="0"/>
              <w:rPr>
                <w:sz w:val="22"/>
                <w:szCs w:val="22"/>
              </w:rPr>
            </w:pPr>
            <w:r w:rsidRPr="002C37A6">
              <w:rPr>
                <w:sz w:val="22"/>
                <w:szCs w:val="22"/>
              </w:rPr>
              <w:t>Schools are encouraged to engage with their whole community when capitalising on the improvement opportunities</w:t>
            </w:r>
          </w:p>
        </w:tc>
      </w:tr>
      <w:tr w:rsidR="002C37A6" w:rsidRPr="002C37A6" w14:paraId="790F662C" w14:textId="77777777" w:rsidTr="005E5A40">
        <w:trPr>
          <w:trHeight w:val="809"/>
        </w:trPr>
        <w:tc>
          <w:tcPr>
            <w:tcW w:w="339"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99D1E60" w14:textId="77777777" w:rsidR="002C37A6" w:rsidRPr="002C37A6" w:rsidRDefault="002C37A6" w:rsidP="002C37A6">
            <w:pPr>
              <w:spacing w:before="100" w:beforeAutospacing="1" w:after="100" w:afterAutospacing="1"/>
              <w:rPr>
                <w:b/>
                <w:color w:val="0044AF"/>
              </w:rPr>
            </w:pPr>
            <w:r w:rsidRPr="002C37A6">
              <w:rPr>
                <w:b/>
                <w:color w:val="0044AF"/>
              </w:rPr>
              <w:t>3</w:t>
            </w:r>
          </w:p>
        </w:tc>
        <w:tc>
          <w:tcPr>
            <w:tcW w:w="3126" w:type="dxa"/>
            <w:tcBorders>
              <w:top w:val="single" w:sz="4" w:space="0" w:color="D9D9D9" w:themeColor="background1" w:themeShade="D9"/>
              <w:bottom w:val="single" w:sz="4" w:space="0" w:color="D9D9D9" w:themeColor="background1" w:themeShade="D9"/>
            </w:tcBorders>
            <w:shd w:val="clear" w:color="auto" w:fill="auto"/>
            <w:vAlign w:val="center"/>
          </w:tcPr>
          <w:p w14:paraId="0BA2FFE0" w14:textId="77777777" w:rsidR="002C37A6" w:rsidRPr="002C37A6" w:rsidRDefault="002C37A6" w:rsidP="002C37A6">
            <w:pPr>
              <w:spacing w:before="100" w:beforeAutospacing="1" w:after="100" w:afterAutospacing="1"/>
            </w:pPr>
            <w:r w:rsidRPr="002C37A6">
              <w:t>What happens next?</w:t>
            </w:r>
          </w:p>
        </w:tc>
        <w:tc>
          <w:tcPr>
            <w:tcW w:w="11277" w:type="dxa"/>
            <w:tcBorders>
              <w:top w:val="single" w:sz="4" w:space="0" w:color="D9D9D9" w:themeColor="background1" w:themeShade="D9"/>
              <w:bottom w:val="single" w:sz="4" w:space="0" w:color="D9D9D9" w:themeColor="background1" w:themeShade="D9"/>
            </w:tcBorders>
            <w:shd w:val="clear" w:color="auto" w:fill="auto"/>
            <w:vAlign w:val="center"/>
          </w:tcPr>
          <w:p w14:paraId="073EF44B" w14:textId="2F675640" w:rsidR="002C37A6" w:rsidRPr="002C37A6" w:rsidRDefault="002C37A6" w:rsidP="00132DD8">
            <w:pPr>
              <w:pStyle w:val="ListParagraph"/>
              <w:numPr>
                <w:ilvl w:val="0"/>
                <w:numId w:val="4"/>
              </w:numPr>
              <w:spacing w:before="60" w:after="60" w:line="276" w:lineRule="auto"/>
              <w:contextualSpacing w:val="0"/>
              <w:rPr>
                <w:sz w:val="22"/>
                <w:szCs w:val="22"/>
              </w:rPr>
            </w:pPr>
            <w:r w:rsidRPr="002C37A6">
              <w:rPr>
                <w:sz w:val="22"/>
                <w:szCs w:val="22"/>
              </w:rPr>
              <w:t xml:space="preserve">You will be contacted by </w:t>
            </w:r>
            <w:r w:rsidR="00132DD8">
              <w:rPr>
                <w:sz w:val="22"/>
                <w:szCs w:val="22"/>
              </w:rPr>
              <w:t xml:space="preserve">a </w:t>
            </w:r>
            <w:r w:rsidRPr="002C37A6">
              <w:rPr>
                <w:sz w:val="22"/>
                <w:szCs w:val="22"/>
              </w:rPr>
              <w:t>E</w:t>
            </w:r>
            <w:r w:rsidR="00132DD8">
              <w:rPr>
                <w:sz w:val="22"/>
                <w:szCs w:val="22"/>
              </w:rPr>
              <w:t>rnst and Young (EY) consultant</w:t>
            </w:r>
            <w:r w:rsidRPr="002C37A6">
              <w:rPr>
                <w:sz w:val="22"/>
                <w:szCs w:val="22"/>
              </w:rPr>
              <w:t xml:space="preserve"> at least </w:t>
            </w:r>
            <w:r w:rsidR="00132DD8">
              <w:rPr>
                <w:sz w:val="22"/>
                <w:szCs w:val="22"/>
              </w:rPr>
              <w:t>twenty</w:t>
            </w:r>
            <w:r w:rsidRPr="002C37A6">
              <w:rPr>
                <w:sz w:val="22"/>
                <w:szCs w:val="22"/>
              </w:rPr>
              <w:t xml:space="preserve"> business days prior to the proposed audit date</w:t>
            </w:r>
          </w:p>
          <w:p w14:paraId="152E9267" w14:textId="77777777" w:rsidR="002C37A6" w:rsidRPr="002C37A6" w:rsidRDefault="002C37A6" w:rsidP="00132DD8">
            <w:pPr>
              <w:pStyle w:val="ListParagraph"/>
              <w:numPr>
                <w:ilvl w:val="0"/>
                <w:numId w:val="4"/>
              </w:numPr>
              <w:spacing w:before="60" w:after="60" w:line="276" w:lineRule="auto"/>
              <w:contextualSpacing w:val="0"/>
              <w:rPr>
                <w:sz w:val="22"/>
                <w:szCs w:val="22"/>
              </w:rPr>
            </w:pPr>
            <w:r w:rsidRPr="002C37A6">
              <w:rPr>
                <w:sz w:val="22"/>
                <w:szCs w:val="22"/>
              </w:rPr>
              <w:t>EY will:</w:t>
            </w:r>
          </w:p>
          <w:p w14:paraId="36B332E4" w14:textId="77777777" w:rsidR="002C37A6" w:rsidRPr="002C37A6" w:rsidRDefault="002C37A6" w:rsidP="00132DD8">
            <w:pPr>
              <w:pStyle w:val="ListParagraph"/>
              <w:numPr>
                <w:ilvl w:val="1"/>
                <w:numId w:val="2"/>
              </w:numPr>
              <w:spacing w:before="60" w:after="60" w:line="276" w:lineRule="auto"/>
              <w:ind w:hanging="357"/>
              <w:contextualSpacing w:val="0"/>
              <w:rPr>
                <w:sz w:val="22"/>
                <w:szCs w:val="22"/>
              </w:rPr>
            </w:pPr>
            <w:r w:rsidRPr="002C37A6">
              <w:rPr>
                <w:sz w:val="22"/>
                <w:szCs w:val="22"/>
              </w:rPr>
              <w:t>reach agreement with you on a suitable audit date</w:t>
            </w:r>
          </w:p>
          <w:p w14:paraId="13B41485" w14:textId="77777777" w:rsidR="002C37A6" w:rsidRPr="002C37A6" w:rsidRDefault="002C37A6" w:rsidP="00132DD8">
            <w:pPr>
              <w:pStyle w:val="ListParagraph"/>
              <w:numPr>
                <w:ilvl w:val="1"/>
                <w:numId w:val="2"/>
              </w:numPr>
              <w:spacing w:before="60" w:after="60" w:line="276" w:lineRule="auto"/>
              <w:ind w:hanging="357"/>
              <w:contextualSpacing w:val="0"/>
              <w:rPr>
                <w:sz w:val="22"/>
                <w:szCs w:val="22"/>
              </w:rPr>
            </w:pPr>
            <w:r w:rsidRPr="002C37A6">
              <w:rPr>
                <w:sz w:val="22"/>
                <w:szCs w:val="22"/>
              </w:rPr>
              <w:t>send a confirmation email with specific details of the scheduled audit</w:t>
            </w:r>
          </w:p>
          <w:p w14:paraId="7E83F4ED" w14:textId="77777777" w:rsidR="002C37A6" w:rsidRPr="002C37A6" w:rsidRDefault="002C37A6" w:rsidP="00132DD8">
            <w:pPr>
              <w:pStyle w:val="ListParagraph"/>
              <w:numPr>
                <w:ilvl w:val="1"/>
                <w:numId w:val="2"/>
              </w:numPr>
              <w:spacing w:before="60" w:after="60" w:line="276" w:lineRule="auto"/>
              <w:ind w:hanging="357"/>
              <w:contextualSpacing w:val="0"/>
              <w:rPr>
                <w:sz w:val="22"/>
                <w:szCs w:val="22"/>
              </w:rPr>
            </w:pPr>
            <w:r w:rsidRPr="002C37A6">
              <w:rPr>
                <w:sz w:val="22"/>
                <w:szCs w:val="22"/>
              </w:rPr>
              <w:lastRenderedPageBreak/>
              <w:t>send a further confirmation email, ten days prior to the audit date</w:t>
            </w:r>
          </w:p>
          <w:p w14:paraId="2758144C" w14:textId="77777777" w:rsidR="002C37A6" w:rsidRPr="002C37A6" w:rsidRDefault="002C37A6" w:rsidP="00132DD8">
            <w:pPr>
              <w:pStyle w:val="ListParagraph"/>
              <w:numPr>
                <w:ilvl w:val="1"/>
                <w:numId w:val="2"/>
              </w:numPr>
              <w:spacing w:before="60" w:after="60" w:line="276" w:lineRule="auto"/>
              <w:ind w:hanging="357"/>
              <w:contextualSpacing w:val="0"/>
              <w:rPr>
                <w:sz w:val="22"/>
                <w:szCs w:val="22"/>
              </w:rPr>
            </w:pPr>
            <w:r w:rsidRPr="002C37A6">
              <w:rPr>
                <w:sz w:val="22"/>
                <w:szCs w:val="22"/>
              </w:rPr>
              <w:t>contact you by telephone two days prior to the audit for a final confirmation</w:t>
            </w:r>
          </w:p>
        </w:tc>
      </w:tr>
      <w:tr w:rsidR="002C37A6" w:rsidRPr="002C37A6" w14:paraId="080392FF" w14:textId="77777777" w:rsidTr="005E5A40">
        <w:trPr>
          <w:trHeight w:val="809"/>
        </w:trPr>
        <w:tc>
          <w:tcPr>
            <w:tcW w:w="339" w:type="dxa"/>
            <w:tcBorders>
              <w:top w:val="single" w:sz="4" w:space="0" w:color="D9D9D9" w:themeColor="background1" w:themeShade="D9"/>
              <w:bottom w:val="single" w:sz="4" w:space="0" w:color="auto"/>
            </w:tcBorders>
            <w:shd w:val="clear" w:color="auto" w:fill="F2F2F2" w:themeFill="background1" w:themeFillShade="F2"/>
            <w:vAlign w:val="center"/>
          </w:tcPr>
          <w:p w14:paraId="5ECF9986" w14:textId="77777777" w:rsidR="002C37A6" w:rsidRPr="002C37A6" w:rsidRDefault="002C37A6" w:rsidP="002C37A6">
            <w:pPr>
              <w:spacing w:before="100" w:beforeAutospacing="1" w:after="100" w:afterAutospacing="1"/>
              <w:rPr>
                <w:b/>
                <w:color w:val="0044AF"/>
              </w:rPr>
            </w:pPr>
            <w:r w:rsidRPr="002C37A6">
              <w:rPr>
                <w:b/>
                <w:color w:val="0044AF"/>
              </w:rPr>
              <w:lastRenderedPageBreak/>
              <w:t>4</w:t>
            </w:r>
          </w:p>
        </w:tc>
        <w:tc>
          <w:tcPr>
            <w:tcW w:w="3126" w:type="dxa"/>
            <w:tcBorders>
              <w:top w:val="single" w:sz="4" w:space="0" w:color="D9D9D9" w:themeColor="background1" w:themeShade="D9"/>
              <w:bottom w:val="single" w:sz="4" w:space="0" w:color="auto"/>
            </w:tcBorders>
            <w:shd w:val="clear" w:color="auto" w:fill="auto"/>
            <w:vAlign w:val="center"/>
          </w:tcPr>
          <w:p w14:paraId="5D41871D" w14:textId="77777777" w:rsidR="002C37A6" w:rsidRPr="002C37A6" w:rsidRDefault="002C37A6" w:rsidP="002C37A6">
            <w:pPr>
              <w:spacing w:before="100" w:beforeAutospacing="1" w:after="100" w:afterAutospacing="1"/>
            </w:pPr>
            <w:r w:rsidRPr="002C37A6">
              <w:t>Is there any flexibility in scheduling the audit date?</w:t>
            </w:r>
          </w:p>
        </w:tc>
        <w:tc>
          <w:tcPr>
            <w:tcW w:w="11277" w:type="dxa"/>
            <w:tcBorders>
              <w:top w:val="single" w:sz="4" w:space="0" w:color="D9D9D9" w:themeColor="background1" w:themeShade="D9"/>
              <w:bottom w:val="single" w:sz="4" w:space="0" w:color="auto"/>
            </w:tcBorders>
            <w:shd w:val="clear" w:color="auto" w:fill="auto"/>
            <w:vAlign w:val="center"/>
          </w:tcPr>
          <w:p w14:paraId="35E950C8" w14:textId="77777777" w:rsidR="002C37A6" w:rsidRPr="002C37A6" w:rsidRDefault="002C37A6" w:rsidP="00132DD8">
            <w:pPr>
              <w:pStyle w:val="ListParagraph"/>
              <w:numPr>
                <w:ilvl w:val="0"/>
                <w:numId w:val="5"/>
              </w:numPr>
              <w:spacing w:before="60" w:after="60" w:line="276" w:lineRule="auto"/>
              <w:ind w:left="714" w:hanging="357"/>
              <w:contextualSpacing w:val="0"/>
              <w:rPr>
                <w:sz w:val="22"/>
                <w:szCs w:val="22"/>
              </w:rPr>
            </w:pPr>
            <w:r w:rsidRPr="002C37A6">
              <w:rPr>
                <w:sz w:val="22"/>
                <w:szCs w:val="22"/>
              </w:rPr>
              <w:t>Audits are scheduled to maximise efficient use of resources so that clusters of schools in the same geographical area are audited in the same week</w:t>
            </w:r>
          </w:p>
          <w:p w14:paraId="52CCDC0D" w14:textId="77777777" w:rsidR="002C37A6" w:rsidRPr="002C37A6" w:rsidRDefault="002C37A6" w:rsidP="00132DD8">
            <w:pPr>
              <w:pStyle w:val="ListParagraph"/>
              <w:numPr>
                <w:ilvl w:val="0"/>
                <w:numId w:val="5"/>
              </w:numPr>
              <w:spacing w:before="60" w:after="60" w:line="276" w:lineRule="auto"/>
              <w:ind w:left="714" w:hanging="357"/>
              <w:contextualSpacing w:val="0"/>
              <w:rPr>
                <w:sz w:val="22"/>
                <w:szCs w:val="22"/>
              </w:rPr>
            </w:pPr>
            <w:r w:rsidRPr="002C37A6">
              <w:rPr>
                <w:sz w:val="22"/>
                <w:szCs w:val="22"/>
              </w:rPr>
              <w:t>Once an audit date is agreed, the flexibility to re-schedule is difficult because resource allocation occurs at the time of audit confirmation</w:t>
            </w:r>
          </w:p>
          <w:p w14:paraId="4F99B7DE" w14:textId="0CD9CD94" w:rsidR="002C37A6" w:rsidRPr="00132DD8" w:rsidRDefault="002C37A6" w:rsidP="00F237B6">
            <w:pPr>
              <w:pStyle w:val="ListParagraph"/>
              <w:numPr>
                <w:ilvl w:val="0"/>
                <w:numId w:val="5"/>
              </w:numPr>
              <w:spacing w:before="60" w:after="60" w:line="276" w:lineRule="auto"/>
              <w:ind w:left="714" w:hanging="357"/>
              <w:contextualSpacing w:val="0"/>
              <w:rPr>
                <w:sz w:val="22"/>
                <w:szCs w:val="22"/>
              </w:rPr>
            </w:pPr>
            <w:r w:rsidRPr="002C37A6">
              <w:rPr>
                <w:sz w:val="22"/>
                <w:szCs w:val="22"/>
              </w:rPr>
              <w:t>If a school is experiencing significant and genuine difficulties, and the proposed audit date is unsuitable, this should be brought to the attention of your Senior Education Improvement Leader as soon as possible</w:t>
            </w:r>
          </w:p>
        </w:tc>
      </w:tr>
      <w:tr w:rsidR="002C37A6" w:rsidRPr="002C37A6" w14:paraId="3DDFDB70" w14:textId="77777777" w:rsidTr="005E5A40">
        <w:trPr>
          <w:trHeight w:val="809"/>
        </w:trPr>
        <w:tc>
          <w:tcPr>
            <w:tcW w:w="339" w:type="dxa"/>
            <w:tcBorders>
              <w:top w:val="single" w:sz="4" w:space="0" w:color="auto"/>
              <w:bottom w:val="single" w:sz="4" w:space="0" w:color="D9D9D9" w:themeColor="background1" w:themeShade="D9"/>
            </w:tcBorders>
            <w:shd w:val="clear" w:color="auto" w:fill="F2F2F2" w:themeFill="background1" w:themeFillShade="F2"/>
            <w:vAlign w:val="center"/>
          </w:tcPr>
          <w:p w14:paraId="0C2AEEA5" w14:textId="77777777" w:rsidR="002C37A6" w:rsidRPr="002C37A6" w:rsidRDefault="002C37A6" w:rsidP="002C37A6">
            <w:pPr>
              <w:spacing w:before="100" w:beforeAutospacing="1" w:after="100" w:afterAutospacing="1"/>
              <w:rPr>
                <w:b/>
                <w:color w:val="0044AF"/>
              </w:rPr>
            </w:pPr>
            <w:r w:rsidRPr="002C37A6">
              <w:rPr>
                <w:b/>
                <w:color w:val="0044AF"/>
              </w:rPr>
              <w:t>5</w:t>
            </w:r>
          </w:p>
        </w:tc>
        <w:tc>
          <w:tcPr>
            <w:tcW w:w="3126" w:type="dxa"/>
            <w:tcBorders>
              <w:top w:val="single" w:sz="4" w:space="0" w:color="auto"/>
              <w:bottom w:val="single" w:sz="4" w:space="0" w:color="D9D9D9" w:themeColor="background1" w:themeShade="D9"/>
            </w:tcBorders>
            <w:shd w:val="clear" w:color="auto" w:fill="auto"/>
            <w:vAlign w:val="center"/>
          </w:tcPr>
          <w:p w14:paraId="6611F7A5" w14:textId="77777777" w:rsidR="002C37A6" w:rsidRPr="002C37A6" w:rsidRDefault="002C37A6" w:rsidP="002C37A6">
            <w:pPr>
              <w:spacing w:before="100" w:beforeAutospacing="1" w:after="100" w:afterAutospacing="1"/>
            </w:pPr>
            <w:r w:rsidRPr="002C37A6">
              <w:t>How long will the audit take?</w:t>
            </w:r>
          </w:p>
        </w:tc>
        <w:tc>
          <w:tcPr>
            <w:tcW w:w="11277" w:type="dxa"/>
            <w:tcBorders>
              <w:top w:val="single" w:sz="4" w:space="0" w:color="auto"/>
              <w:bottom w:val="single" w:sz="4" w:space="0" w:color="D9D9D9" w:themeColor="background1" w:themeShade="D9"/>
            </w:tcBorders>
            <w:shd w:val="clear" w:color="auto" w:fill="auto"/>
            <w:vAlign w:val="center"/>
          </w:tcPr>
          <w:p w14:paraId="5A566EA0" w14:textId="4639E240" w:rsidR="002C37A6" w:rsidRPr="002C37A6" w:rsidRDefault="002C37A6" w:rsidP="00132DD8">
            <w:pPr>
              <w:pStyle w:val="ListParagraph"/>
              <w:numPr>
                <w:ilvl w:val="0"/>
                <w:numId w:val="5"/>
              </w:numPr>
              <w:spacing w:before="60" w:after="60" w:line="276" w:lineRule="auto"/>
              <w:ind w:left="714" w:hanging="357"/>
              <w:contextualSpacing w:val="0"/>
              <w:rPr>
                <w:sz w:val="22"/>
                <w:szCs w:val="22"/>
              </w:rPr>
            </w:pPr>
            <w:r w:rsidRPr="002C37A6">
              <w:rPr>
                <w:sz w:val="22"/>
                <w:szCs w:val="22"/>
              </w:rPr>
              <w:t xml:space="preserve">Large/High Risk Schools – </w:t>
            </w:r>
            <w:r w:rsidR="00132DD8">
              <w:rPr>
                <w:sz w:val="22"/>
                <w:szCs w:val="22"/>
              </w:rPr>
              <w:t>one</w:t>
            </w:r>
            <w:r w:rsidRPr="002C37A6">
              <w:rPr>
                <w:sz w:val="22"/>
                <w:szCs w:val="22"/>
              </w:rPr>
              <w:t xml:space="preserve"> day</w:t>
            </w:r>
          </w:p>
          <w:p w14:paraId="40DEC95D" w14:textId="0B3CAA85" w:rsidR="002C37A6" w:rsidRPr="002C37A6" w:rsidRDefault="002C37A6" w:rsidP="00132DD8">
            <w:pPr>
              <w:pStyle w:val="ListParagraph"/>
              <w:numPr>
                <w:ilvl w:val="0"/>
                <w:numId w:val="5"/>
              </w:numPr>
              <w:spacing w:before="60" w:after="60" w:line="276" w:lineRule="auto"/>
              <w:ind w:left="714" w:hanging="357"/>
              <w:contextualSpacing w:val="0"/>
              <w:rPr>
                <w:sz w:val="22"/>
                <w:szCs w:val="22"/>
              </w:rPr>
            </w:pPr>
            <w:r w:rsidRPr="002C37A6">
              <w:rPr>
                <w:sz w:val="22"/>
                <w:szCs w:val="22"/>
              </w:rPr>
              <w:t xml:space="preserve">Small/Low Risk Schools – </w:t>
            </w:r>
            <w:r w:rsidR="00132DD8">
              <w:rPr>
                <w:sz w:val="22"/>
                <w:szCs w:val="22"/>
              </w:rPr>
              <w:t xml:space="preserve">half </w:t>
            </w:r>
            <w:r w:rsidRPr="002C37A6">
              <w:rPr>
                <w:sz w:val="22"/>
                <w:szCs w:val="22"/>
              </w:rPr>
              <w:t>day</w:t>
            </w:r>
          </w:p>
        </w:tc>
      </w:tr>
      <w:tr w:rsidR="002C37A6" w:rsidRPr="002C37A6" w14:paraId="11880262" w14:textId="77777777" w:rsidTr="005E5A40">
        <w:trPr>
          <w:trHeight w:val="809"/>
        </w:trPr>
        <w:tc>
          <w:tcPr>
            <w:tcW w:w="339"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FF22BAE" w14:textId="77777777" w:rsidR="002C37A6" w:rsidRPr="002C37A6" w:rsidRDefault="002C37A6" w:rsidP="002C37A6">
            <w:pPr>
              <w:spacing w:before="100" w:beforeAutospacing="1" w:after="100" w:afterAutospacing="1"/>
              <w:rPr>
                <w:b/>
                <w:color w:val="0044AF"/>
              </w:rPr>
            </w:pPr>
            <w:r w:rsidRPr="002C37A6">
              <w:rPr>
                <w:b/>
                <w:color w:val="0044AF"/>
              </w:rPr>
              <w:t>6</w:t>
            </w:r>
          </w:p>
        </w:tc>
        <w:tc>
          <w:tcPr>
            <w:tcW w:w="3126" w:type="dxa"/>
            <w:tcBorders>
              <w:top w:val="single" w:sz="4" w:space="0" w:color="D9D9D9" w:themeColor="background1" w:themeShade="D9"/>
              <w:bottom w:val="single" w:sz="4" w:space="0" w:color="D9D9D9" w:themeColor="background1" w:themeShade="D9"/>
            </w:tcBorders>
            <w:shd w:val="clear" w:color="auto" w:fill="auto"/>
            <w:vAlign w:val="center"/>
          </w:tcPr>
          <w:p w14:paraId="1882A3CE" w14:textId="77777777" w:rsidR="002C37A6" w:rsidRPr="002C37A6" w:rsidRDefault="002C37A6" w:rsidP="002C37A6">
            <w:pPr>
              <w:spacing w:before="100" w:beforeAutospacing="1" w:after="100" w:afterAutospacing="1"/>
            </w:pPr>
            <w:r w:rsidRPr="002C37A6">
              <w:t>How should I prepare for the audit?</w:t>
            </w:r>
          </w:p>
        </w:tc>
        <w:tc>
          <w:tcPr>
            <w:tcW w:w="11277" w:type="dxa"/>
            <w:tcBorders>
              <w:top w:val="single" w:sz="4" w:space="0" w:color="D9D9D9" w:themeColor="background1" w:themeShade="D9"/>
              <w:bottom w:val="single" w:sz="4" w:space="0" w:color="D9D9D9" w:themeColor="background1" w:themeShade="D9"/>
            </w:tcBorders>
            <w:shd w:val="clear" w:color="auto" w:fill="auto"/>
            <w:vAlign w:val="center"/>
          </w:tcPr>
          <w:p w14:paraId="66D2D765" w14:textId="7528E919" w:rsidR="002C37A6" w:rsidRPr="002C37A6" w:rsidRDefault="002C37A6" w:rsidP="00132DD8">
            <w:pPr>
              <w:pStyle w:val="ListParagraph"/>
              <w:numPr>
                <w:ilvl w:val="0"/>
                <w:numId w:val="6"/>
              </w:numPr>
              <w:spacing w:before="60" w:after="60" w:line="276" w:lineRule="auto"/>
              <w:contextualSpacing w:val="0"/>
              <w:rPr>
                <w:sz w:val="22"/>
                <w:szCs w:val="22"/>
              </w:rPr>
            </w:pPr>
            <w:r w:rsidRPr="002C37A6">
              <w:rPr>
                <w:sz w:val="22"/>
                <w:szCs w:val="22"/>
              </w:rPr>
              <w:t xml:space="preserve">Audit guidelines are available for </w:t>
            </w:r>
            <w:hyperlink r:id="rId10" w:history="1">
              <w:r w:rsidRPr="002C37A6">
                <w:rPr>
                  <w:rStyle w:val="Hyperlink"/>
                  <w:sz w:val="22"/>
                  <w:szCs w:val="22"/>
                </w:rPr>
                <w:t>Large/High Risk Schools</w:t>
              </w:r>
            </w:hyperlink>
            <w:r w:rsidRPr="002C37A6">
              <w:rPr>
                <w:sz w:val="22"/>
                <w:szCs w:val="22"/>
              </w:rPr>
              <w:t xml:space="preserve"> and </w:t>
            </w:r>
            <w:hyperlink r:id="rId11" w:history="1">
              <w:r w:rsidRPr="002C37A6">
                <w:rPr>
                  <w:rStyle w:val="Hyperlink"/>
                  <w:sz w:val="22"/>
                  <w:szCs w:val="22"/>
                </w:rPr>
                <w:t>Small/Low Risk Schools</w:t>
              </w:r>
            </w:hyperlink>
          </w:p>
          <w:p w14:paraId="419E3B6C" w14:textId="77777777" w:rsidR="002C37A6" w:rsidRPr="002C37A6" w:rsidRDefault="002C37A6" w:rsidP="00132DD8">
            <w:pPr>
              <w:pStyle w:val="ListParagraph"/>
              <w:numPr>
                <w:ilvl w:val="0"/>
                <w:numId w:val="6"/>
              </w:numPr>
              <w:spacing w:before="60" w:after="60" w:line="276" w:lineRule="auto"/>
              <w:contextualSpacing w:val="0"/>
              <w:rPr>
                <w:sz w:val="22"/>
                <w:szCs w:val="22"/>
              </w:rPr>
            </w:pPr>
            <w:r w:rsidRPr="002C37A6">
              <w:rPr>
                <w:sz w:val="22"/>
                <w:szCs w:val="22"/>
              </w:rPr>
              <w:t>The audit guidelines can assist in collating existing relevant OHS-related documentation at your school (the section in the back includes all audit criteria to be assessed on the day)</w:t>
            </w:r>
          </w:p>
          <w:p w14:paraId="6E5A7021" w14:textId="77777777" w:rsidR="002C37A6" w:rsidRPr="002C37A6" w:rsidRDefault="002C37A6" w:rsidP="00132DD8">
            <w:pPr>
              <w:pStyle w:val="ListParagraph"/>
              <w:numPr>
                <w:ilvl w:val="0"/>
                <w:numId w:val="6"/>
              </w:numPr>
              <w:spacing w:before="60" w:after="60" w:line="276" w:lineRule="auto"/>
              <w:contextualSpacing w:val="0"/>
              <w:rPr>
                <w:sz w:val="22"/>
                <w:szCs w:val="22"/>
              </w:rPr>
            </w:pPr>
            <w:r w:rsidRPr="002C37A6">
              <w:rPr>
                <w:sz w:val="22"/>
                <w:szCs w:val="22"/>
              </w:rPr>
              <w:t>You should have the collated documentation readily available on the day of the audit</w:t>
            </w:r>
          </w:p>
          <w:p w14:paraId="1E8C9049" w14:textId="77777777" w:rsidR="002C37A6" w:rsidRPr="002C37A6" w:rsidRDefault="002C37A6" w:rsidP="00132DD8">
            <w:pPr>
              <w:spacing w:before="120" w:after="120" w:line="276" w:lineRule="auto"/>
              <w:ind w:left="397"/>
            </w:pPr>
            <w:r w:rsidRPr="002C37A6">
              <w:rPr>
                <w:b/>
                <w:u w:val="single"/>
              </w:rPr>
              <w:t>Note:</w:t>
            </w:r>
            <w:r w:rsidRPr="002C37A6">
              <w:t xml:space="preserve"> You can use the guidelines to identify and prepare documentation that the school has not already implemented if time permits, however </w:t>
            </w:r>
            <w:r w:rsidRPr="002C37A6">
              <w:rPr>
                <w:b/>
              </w:rPr>
              <w:t>the focus of the audit is on how well a school is currently using the documentation</w:t>
            </w:r>
            <w:r w:rsidRPr="002C37A6">
              <w:t xml:space="preserve"> to improve safety outcomes, and </w:t>
            </w:r>
            <w:r w:rsidRPr="002C37A6">
              <w:rPr>
                <w:b/>
              </w:rPr>
              <w:t>not whether the school has the documentation</w:t>
            </w:r>
            <w:r w:rsidRPr="002C37A6">
              <w:t>.</w:t>
            </w:r>
          </w:p>
        </w:tc>
      </w:tr>
      <w:tr w:rsidR="002C37A6" w:rsidRPr="002C37A6" w14:paraId="1F6709AD" w14:textId="77777777" w:rsidTr="005E5A40">
        <w:trPr>
          <w:trHeight w:val="809"/>
        </w:trPr>
        <w:tc>
          <w:tcPr>
            <w:tcW w:w="339"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9D0367B" w14:textId="77777777" w:rsidR="002C37A6" w:rsidRPr="002C37A6" w:rsidRDefault="002C37A6" w:rsidP="002C37A6">
            <w:pPr>
              <w:spacing w:before="100" w:beforeAutospacing="1" w:after="100" w:afterAutospacing="1"/>
              <w:rPr>
                <w:b/>
                <w:color w:val="0044AF"/>
              </w:rPr>
            </w:pPr>
            <w:r w:rsidRPr="002C37A6">
              <w:rPr>
                <w:b/>
                <w:color w:val="0044AF"/>
              </w:rPr>
              <w:t>7</w:t>
            </w:r>
          </w:p>
        </w:tc>
        <w:tc>
          <w:tcPr>
            <w:tcW w:w="3126" w:type="dxa"/>
            <w:tcBorders>
              <w:top w:val="single" w:sz="4" w:space="0" w:color="D9D9D9" w:themeColor="background1" w:themeShade="D9"/>
              <w:bottom w:val="single" w:sz="4" w:space="0" w:color="D9D9D9" w:themeColor="background1" w:themeShade="D9"/>
            </w:tcBorders>
            <w:shd w:val="clear" w:color="auto" w:fill="auto"/>
            <w:vAlign w:val="center"/>
          </w:tcPr>
          <w:p w14:paraId="33C6CE19" w14:textId="77777777" w:rsidR="002C37A6" w:rsidRPr="002C37A6" w:rsidRDefault="002C37A6" w:rsidP="002C37A6">
            <w:pPr>
              <w:spacing w:before="100" w:beforeAutospacing="1" w:after="100" w:afterAutospacing="1"/>
            </w:pPr>
            <w:r w:rsidRPr="002C37A6">
              <w:t>What support is available to prepare for the audit?</w:t>
            </w:r>
          </w:p>
        </w:tc>
        <w:tc>
          <w:tcPr>
            <w:tcW w:w="11277" w:type="dxa"/>
            <w:tcBorders>
              <w:top w:val="single" w:sz="4" w:space="0" w:color="D9D9D9" w:themeColor="background1" w:themeShade="D9"/>
              <w:bottom w:val="single" w:sz="4" w:space="0" w:color="D9D9D9" w:themeColor="background1" w:themeShade="D9"/>
            </w:tcBorders>
            <w:shd w:val="clear" w:color="auto" w:fill="auto"/>
            <w:vAlign w:val="center"/>
          </w:tcPr>
          <w:p w14:paraId="6CDD5E82" w14:textId="77777777" w:rsidR="002C37A6" w:rsidRPr="002C37A6" w:rsidRDefault="002C37A6" w:rsidP="00132DD8">
            <w:pPr>
              <w:spacing w:before="120" w:after="120" w:line="276" w:lineRule="auto"/>
              <w:ind w:firstLine="397"/>
            </w:pPr>
            <w:r w:rsidRPr="002C37A6">
              <w:t>Either of the following two resources are able to provide site visits at no cost to your school:</w:t>
            </w:r>
          </w:p>
          <w:p w14:paraId="7CA0A13C" w14:textId="4933345C" w:rsidR="002C37A6" w:rsidRPr="00550685" w:rsidRDefault="00132DD8" w:rsidP="00132DD8">
            <w:pPr>
              <w:pStyle w:val="ListParagraph"/>
              <w:numPr>
                <w:ilvl w:val="0"/>
                <w:numId w:val="7"/>
              </w:numPr>
              <w:spacing w:before="60" w:after="60" w:line="276" w:lineRule="auto"/>
              <w:ind w:left="714" w:hanging="357"/>
              <w:contextualSpacing w:val="0"/>
              <w:rPr>
                <w:rStyle w:val="Hyperlink"/>
                <w:color w:val="auto"/>
                <w:sz w:val="22"/>
                <w:szCs w:val="22"/>
                <w:u w:val="none"/>
              </w:rPr>
            </w:pPr>
            <w:r>
              <w:rPr>
                <w:sz w:val="22"/>
                <w:szCs w:val="22"/>
              </w:rPr>
              <w:t xml:space="preserve">The Department’s </w:t>
            </w:r>
            <w:r w:rsidR="002C37A6" w:rsidRPr="002C37A6">
              <w:rPr>
                <w:sz w:val="22"/>
                <w:szCs w:val="22"/>
              </w:rPr>
              <w:t xml:space="preserve">OHS Advisory Service on 1300 074 715 or email: </w:t>
            </w:r>
            <w:hyperlink r:id="rId12" w:history="1">
              <w:r w:rsidR="00550685" w:rsidRPr="00550685">
                <w:rPr>
                  <w:rStyle w:val="Hyperlink"/>
                  <w:sz w:val="22"/>
                  <w:szCs w:val="22"/>
                </w:rPr>
                <w:t>safety@education.vic.gov.au</w:t>
              </w:r>
            </w:hyperlink>
          </w:p>
          <w:p w14:paraId="526C4A31" w14:textId="193C23F0" w:rsidR="002C37A6" w:rsidRPr="002C37A6" w:rsidRDefault="0038372C" w:rsidP="00132DD8">
            <w:pPr>
              <w:pStyle w:val="ListParagraph"/>
              <w:numPr>
                <w:ilvl w:val="0"/>
                <w:numId w:val="7"/>
              </w:numPr>
              <w:spacing w:before="60" w:after="60" w:line="276" w:lineRule="auto"/>
              <w:ind w:left="714" w:hanging="357"/>
              <w:contextualSpacing w:val="0"/>
              <w:rPr>
                <w:sz w:val="22"/>
                <w:szCs w:val="22"/>
              </w:rPr>
            </w:pPr>
            <w:hyperlink r:id="rId13" w:history="1">
              <w:r w:rsidR="003F4699">
                <w:rPr>
                  <w:rStyle w:val="Hyperlink"/>
                  <w:rFonts w:eastAsia="Arial"/>
                  <w:sz w:val="22"/>
                  <w:szCs w:val="22"/>
                </w:rPr>
                <w:t>Regional OHS Support Officers</w:t>
              </w:r>
            </w:hyperlink>
            <w:r w:rsidR="002C37A6" w:rsidRPr="002C37A6">
              <w:rPr>
                <w:rFonts w:eastAsia="Arial"/>
                <w:sz w:val="22"/>
                <w:szCs w:val="22"/>
              </w:rPr>
              <w:t xml:space="preserve"> (contact your Regional Office for further details)</w:t>
            </w:r>
          </w:p>
        </w:tc>
      </w:tr>
      <w:tr w:rsidR="002C37A6" w:rsidRPr="002C37A6" w14:paraId="53526EF5" w14:textId="77777777" w:rsidTr="005E5A40">
        <w:trPr>
          <w:trHeight w:val="809"/>
        </w:trPr>
        <w:tc>
          <w:tcPr>
            <w:tcW w:w="339"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EEAFD73" w14:textId="77777777" w:rsidR="002C37A6" w:rsidRPr="002C37A6" w:rsidRDefault="002C37A6" w:rsidP="002C37A6">
            <w:pPr>
              <w:spacing w:before="100" w:beforeAutospacing="1" w:after="100" w:afterAutospacing="1"/>
              <w:rPr>
                <w:b/>
                <w:color w:val="0044AF"/>
              </w:rPr>
            </w:pPr>
            <w:r w:rsidRPr="002C37A6">
              <w:rPr>
                <w:b/>
                <w:color w:val="0044AF"/>
              </w:rPr>
              <w:t>8</w:t>
            </w:r>
          </w:p>
        </w:tc>
        <w:tc>
          <w:tcPr>
            <w:tcW w:w="3126" w:type="dxa"/>
            <w:tcBorders>
              <w:top w:val="single" w:sz="4" w:space="0" w:color="D9D9D9" w:themeColor="background1" w:themeShade="D9"/>
              <w:bottom w:val="single" w:sz="4" w:space="0" w:color="D9D9D9" w:themeColor="background1" w:themeShade="D9"/>
            </w:tcBorders>
            <w:shd w:val="clear" w:color="auto" w:fill="auto"/>
            <w:vAlign w:val="center"/>
          </w:tcPr>
          <w:p w14:paraId="280A092F" w14:textId="77777777" w:rsidR="002C37A6" w:rsidRPr="002C37A6" w:rsidRDefault="002C37A6" w:rsidP="002C37A6">
            <w:pPr>
              <w:spacing w:before="100" w:beforeAutospacing="1" w:after="100" w:afterAutospacing="1"/>
            </w:pPr>
            <w:r w:rsidRPr="002C37A6">
              <w:t>What will be the outcomes from the audit?</w:t>
            </w:r>
          </w:p>
        </w:tc>
        <w:tc>
          <w:tcPr>
            <w:tcW w:w="11277" w:type="dxa"/>
            <w:tcBorders>
              <w:top w:val="single" w:sz="4" w:space="0" w:color="D9D9D9" w:themeColor="background1" w:themeShade="D9"/>
              <w:bottom w:val="single" w:sz="4" w:space="0" w:color="D9D9D9" w:themeColor="background1" w:themeShade="D9"/>
            </w:tcBorders>
            <w:shd w:val="clear" w:color="auto" w:fill="auto"/>
            <w:vAlign w:val="center"/>
          </w:tcPr>
          <w:p w14:paraId="240F12D6" w14:textId="77777777" w:rsidR="002C37A6" w:rsidRPr="002C37A6" w:rsidRDefault="002C37A6" w:rsidP="00132DD8">
            <w:pPr>
              <w:pStyle w:val="ListParagraph"/>
              <w:numPr>
                <w:ilvl w:val="0"/>
                <w:numId w:val="8"/>
              </w:numPr>
              <w:spacing w:before="60" w:after="60" w:line="276" w:lineRule="auto"/>
              <w:ind w:left="714" w:hanging="357"/>
              <w:contextualSpacing w:val="0"/>
              <w:rPr>
                <w:sz w:val="22"/>
                <w:szCs w:val="22"/>
              </w:rPr>
            </w:pPr>
            <w:r w:rsidRPr="002C37A6">
              <w:rPr>
                <w:sz w:val="22"/>
                <w:szCs w:val="22"/>
              </w:rPr>
              <w:t>You will receive your school’s audit report within ten business days of the audit date</w:t>
            </w:r>
          </w:p>
          <w:p w14:paraId="71526F82" w14:textId="77777777" w:rsidR="002C37A6" w:rsidRPr="002C37A6" w:rsidRDefault="002C37A6" w:rsidP="00132DD8">
            <w:pPr>
              <w:pStyle w:val="ListParagraph"/>
              <w:numPr>
                <w:ilvl w:val="0"/>
                <w:numId w:val="8"/>
              </w:numPr>
              <w:spacing w:before="60" w:after="60" w:line="276" w:lineRule="auto"/>
              <w:ind w:left="714" w:hanging="357"/>
              <w:contextualSpacing w:val="0"/>
              <w:rPr>
                <w:sz w:val="22"/>
                <w:szCs w:val="22"/>
              </w:rPr>
            </w:pPr>
            <w:r w:rsidRPr="002C37A6">
              <w:rPr>
                <w:sz w:val="22"/>
                <w:szCs w:val="22"/>
              </w:rPr>
              <w:t>The report will outline observations and recommendations from the audit</w:t>
            </w:r>
          </w:p>
          <w:p w14:paraId="028CD148" w14:textId="77777777" w:rsidR="002C37A6" w:rsidRPr="002C37A6" w:rsidRDefault="002C37A6" w:rsidP="00132DD8">
            <w:pPr>
              <w:pStyle w:val="ListParagraph"/>
              <w:numPr>
                <w:ilvl w:val="0"/>
                <w:numId w:val="8"/>
              </w:numPr>
              <w:spacing w:before="60" w:after="60" w:line="276" w:lineRule="auto"/>
              <w:ind w:left="714" w:hanging="357"/>
              <w:contextualSpacing w:val="0"/>
              <w:rPr>
                <w:sz w:val="22"/>
                <w:szCs w:val="22"/>
              </w:rPr>
            </w:pPr>
            <w:r w:rsidRPr="002C37A6">
              <w:rPr>
                <w:sz w:val="22"/>
                <w:szCs w:val="22"/>
              </w:rPr>
              <w:t>Recommendations are specific actions that can be taken to improve OHS performance</w:t>
            </w:r>
          </w:p>
          <w:p w14:paraId="6F455ECA" w14:textId="77777777" w:rsidR="002C37A6" w:rsidRPr="002C37A6" w:rsidRDefault="002C37A6" w:rsidP="00132DD8">
            <w:pPr>
              <w:pStyle w:val="ListParagraph"/>
              <w:numPr>
                <w:ilvl w:val="0"/>
                <w:numId w:val="8"/>
              </w:numPr>
              <w:spacing w:before="60" w:after="60" w:line="276" w:lineRule="auto"/>
              <w:ind w:left="714" w:hanging="357"/>
              <w:contextualSpacing w:val="0"/>
              <w:rPr>
                <w:sz w:val="22"/>
                <w:szCs w:val="22"/>
              </w:rPr>
            </w:pPr>
            <w:r w:rsidRPr="002C37A6">
              <w:rPr>
                <w:sz w:val="22"/>
                <w:szCs w:val="22"/>
              </w:rPr>
              <w:lastRenderedPageBreak/>
              <w:t>Schools will be provided with guidance on timeframes to implement improvement opportunities</w:t>
            </w:r>
          </w:p>
        </w:tc>
      </w:tr>
      <w:tr w:rsidR="002C37A6" w:rsidRPr="002C37A6" w14:paraId="70E5B007" w14:textId="77777777" w:rsidTr="005E5A40">
        <w:trPr>
          <w:trHeight w:val="809"/>
        </w:trPr>
        <w:tc>
          <w:tcPr>
            <w:tcW w:w="339" w:type="dxa"/>
            <w:tcBorders>
              <w:top w:val="single" w:sz="4" w:space="0" w:color="D9D9D9" w:themeColor="background1" w:themeShade="D9"/>
              <w:bottom w:val="single" w:sz="4" w:space="0" w:color="auto"/>
            </w:tcBorders>
            <w:shd w:val="clear" w:color="auto" w:fill="F2F2F2" w:themeFill="background1" w:themeFillShade="F2"/>
            <w:vAlign w:val="center"/>
          </w:tcPr>
          <w:p w14:paraId="1C779C6D" w14:textId="77777777" w:rsidR="002C37A6" w:rsidRPr="002C37A6" w:rsidRDefault="002C37A6" w:rsidP="002C37A6">
            <w:pPr>
              <w:spacing w:before="100" w:beforeAutospacing="1" w:after="100" w:afterAutospacing="1"/>
              <w:rPr>
                <w:b/>
                <w:color w:val="0044AF"/>
              </w:rPr>
            </w:pPr>
            <w:r w:rsidRPr="002C37A6">
              <w:rPr>
                <w:b/>
                <w:color w:val="0044AF"/>
              </w:rPr>
              <w:lastRenderedPageBreak/>
              <w:t>9</w:t>
            </w:r>
          </w:p>
        </w:tc>
        <w:tc>
          <w:tcPr>
            <w:tcW w:w="3126" w:type="dxa"/>
            <w:tcBorders>
              <w:top w:val="single" w:sz="4" w:space="0" w:color="D9D9D9" w:themeColor="background1" w:themeShade="D9"/>
              <w:bottom w:val="single" w:sz="4" w:space="0" w:color="auto"/>
            </w:tcBorders>
            <w:shd w:val="clear" w:color="auto" w:fill="auto"/>
            <w:vAlign w:val="center"/>
          </w:tcPr>
          <w:p w14:paraId="33B8B8E5" w14:textId="77777777" w:rsidR="002C37A6" w:rsidRPr="002C37A6" w:rsidRDefault="002C37A6" w:rsidP="002C37A6">
            <w:pPr>
              <w:spacing w:before="100" w:beforeAutospacing="1" w:after="100" w:afterAutospacing="1"/>
            </w:pPr>
            <w:r w:rsidRPr="002C37A6">
              <w:t>Is there post-audit support available?</w:t>
            </w:r>
          </w:p>
        </w:tc>
        <w:tc>
          <w:tcPr>
            <w:tcW w:w="11277" w:type="dxa"/>
            <w:tcBorders>
              <w:top w:val="single" w:sz="4" w:space="0" w:color="D9D9D9" w:themeColor="background1" w:themeShade="D9"/>
              <w:bottom w:val="single" w:sz="4" w:space="0" w:color="auto"/>
            </w:tcBorders>
            <w:shd w:val="clear" w:color="auto" w:fill="auto"/>
            <w:vAlign w:val="center"/>
          </w:tcPr>
          <w:p w14:paraId="509A04FA" w14:textId="77777777" w:rsidR="002C37A6" w:rsidRPr="002C37A6" w:rsidRDefault="002C37A6" w:rsidP="00132DD8">
            <w:pPr>
              <w:spacing w:before="120" w:after="120" w:line="276" w:lineRule="auto"/>
              <w:ind w:firstLine="255"/>
            </w:pPr>
            <w:r w:rsidRPr="002C37A6">
              <w:t>Either of the following two resources are able to provide site visits at no cost to your school:</w:t>
            </w:r>
          </w:p>
          <w:p w14:paraId="65F00B17" w14:textId="347BDB78" w:rsidR="00132DD8" w:rsidRPr="00127257" w:rsidRDefault="00132DD8" w:rsidP="00132DD8">
            <w:pPr>
              <w:pStyle w:val="ListParagraph"/>
              <w:numPr>
                <w:ilvl w:val="0"/>
                <w:numId w:val="7"/>
              </w:numPr>
              <w:spacing w:before="60" w:after="60" w:line="276" w:lineRule="auto"/>
              <w:ind w:left="714" w:hanging="357"/>
              <w:contextualSpacing w:val="0"/>
              <w:rPr>
                <w:rStyle w:val="Hyperlink"/>
                <w:color w:val="auto"/>
                <w:sz w:val="22"/>
                <w:szCs w:val="22"/>
                <w:u w:val="none"/>
              </w:rPr>
            </w:pPr>
            <w:r>
              <w:rPr>
                <w:sz w:val="22"/>
                <w:szCs w:val="22"/>
              </w:rPr>
              <w:t xml:space="preserve">The Department’s </w:t>
            </w:r>
            <w:r w:rsidRPr="002C37A6">
              <w:rPr>
                <w:sz w:val="22"/>
                <w:szCs w:val="22"/>
              </w:rPr>
              <w:t xml:space="preserve">OHS Advisory Service on 1300 074 715 or email: </w:t>
            </w:r>
            <w:hyperlink r:id="rId14" w:history="1">
              <w:r w:rsidR="00550685" w:rsidRPr="00127257">
                <w:rPr>
                  <w:rStyle w:val="Hyperlink"/>
                  <w:sz w:val="22"/>
                  <w:szCs w:val="22"/>
                </w:rPr>
                <w:t>safety@education.vic.gov.au</w:t>
              </w:r>
            </w:hyperlink>
          </w:p>
          <w:p w14:paraId="711C974F" w14:textId="6E49FD41" w:rsidR="002C37A6" w:rsidRPr="002C37A6" w:rsidRDefault="00132DD8" w:rsidP="00132DD8">
            <w:pPr>
              <w:pStyle w:val="ListParagraph"/>
              <w:numPr>
                <w:ilvl w:val="0"/>
                <w:numId w:val="7"/>
              </w:numPr>
              <w:spacing w:before="100" w:beforeAutospacing="1" w:after="100" w:afterAutospacing="1" w:line="240" w:lineRule="auto"/>
              <w:rPr>
                <w:sz w:val="22"/>
                <w:szCs w:val="22"/>
              </w:rPr>
            </w:pPr>
            <w:r w:rsidRPr="002C37A6">
              <w:rPr>
                <w:rFonts w:eastAsia="Arial"/>
                <w:sz w:val="22"/>
                <w:szCs w:val="22"/>
              </w:rPr>
              <w:t>Regional OHS</w:t>
            </w:r>
            <w:r>
              <w:rPr>
                <w:rFonts w:eastAsia="Arial"/>
                <w:sz w:val="22"/>
                <w:szCs w:val="22"/>
              </w:rPr>
              <w:t xml:space="preserve"> </w:t>
            </w:r>
            <w:r w:rsidRPr="002C37A6">
              <w:rPr>
                <w:rFonts w:eastAsia="Arial"/>
                <w:sz w:val="22"/>
                <w:szCs w:val="22"/>
              </w:rPr>
              <w:t>Support Officers (contact your Regional Office for further details)</w:t>
            </w:r>
          </w:p>
        </w:tc>
      </w:tr>
    </w:tbl>
    <w:p w14:paraId="2F429AE6" w14:textId="12C23D4D" w:rsidR="002C37A6" w:rsidRPr="002C37A6" w:rsidRDefault="002C37A6">
      <w:pPr>
        <w:spacing w:before="100" w:beforeAutospacing="1" w:after="100" w:afterAutospacing="1"/>
      </w:pPr>
    </w:p>
    <w:sectPr w:rsidR="002C37A6" w:rsidRPr="002C37A6" w:rsidSect="00132DD8">
      <w:footerReference w:type="default" r:id="rId15"/>
      <w:headerReference w:type="first" r:id="rId16"/>
      <w:footerReference w:type="first" r:id="rId17"/>
      <w:pgSz w:w="16838" w:h="11906" w:orient="landscape"/>
      <w:pgMar w:top="567" w:right="567" w:bottom="567" w:left="567" w:header="709"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C833" w14:textId="77777777" w:rsidR="0038372C" w:rsidRDefault="0038372C" w:rsidP="000F6A81">
      <w:r>
        <w:separator/>
      </w:r>
    </w:p>
  </w:endnote>
  <w:endnote w:type="continuationSeparator" w:id="0">
    <w:p w14:paraId="1F475678" w14:textId="77777777" w:rsidR="0038372C" w:rsidRDefault="0038372C"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CC00" w14:textId="3616F797" w:rsidR="000F6A81" w:rsidRPr="00132DD8" w:rsidRDefault="00132DD8" w:rsidP="000F6A81">
    <w:pPr>
      <w:pStyle w:val="Footer"/>
      <w:tabs>
        <w:tab w:val="clear" w:pos="4513"/>
        <w:tab w:val="clear" w:pos="9026"/>
        <w:tab w:val="right" w:pos="10772"/>
      </w:tabs>
      <w:rPr>
        <w:sz w:val="16"/>
        <w:szCs w:val="16"/>
      </w:rPr>
    </w:pPr>
    <w:r w:rsidRPr="00132DD8">
      <w:rPr>
        <w:sz w:val="16"/>
        <w:szCs w:val="16"/>
      </w:rPr>
      <w:t xml:space="preserve">OHS Management System Audit Fact Sheet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81047" w:rsidRPr="00132DD8">
      <w:rPr>
        <w:sz w:val="16"/>
        <w:szCs w:val="16"/>
      </w:rPr>
      <w:t xml:space="preserve">Page | </w:t>
    </w:r>
    <w:r w:rsidR="00E81047" w:rsidRPr="00132DD8">
      <w:rPr>
        <w:sz w:val="16"/>
        <w:szCs w:val="16"/>
      </w:rPr>
      <w:fldChar w:fldCharType="begin"/>
    </w:r>
    <w:r w:rsidR="00E81047" w:rsidRPr="00132DD8">
      <w:rPr>
        <w:sz w:val="16"/>
        <w:szCs w:val="16"/>
      </w:rPr>
      <w:instrText xml:space="preserve"> PAGE   \* MERGEFORMAT </w:instrText>
    </w:r>
    <w:r w:rsidR="00E81047" w:rsidRPr="00132DD8">
      <w:rPr>
        <w:sz w:val="16"/>
        <w:szCs w:val="16"/>
      </w:rPr>
      <w:fldChar w:fldCharType="separate"/>
    </w:r>
    <w:r w:rsidR="00BD42E2">
      <w:rPr>
        <w:noProof/>
        <w:sz w:val="16"/>
        <w:szCs w:val="16"/>
      </w:rPr>
      <w:t>2</w:t>
    </w:r>
    <w:r w:rsidR="00E81047" w:rsidRPr="00132DD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CEEB" w14:textId="3FDE5826" w:rsidR="000F6A81" w:rsidRPr="00132DD8" w:rsidRDefault="00132DD8" w:rsidP="000F6A81">
    <w:pPr>
      <w:pStyle w:val="Footer"/>
      <w:jc w:val="right"/>
      <w:rPr>
        <w:i/>
        <w:color w:val="808080" w:themeColor="background1" w:themeShade="80"/>
        <w:sz w:val="16"/>
        <w:szCs w:val="16"/>
      </w:rPr>
    </w:pPr>
    <w:r w:rsidRPr="00132DD8">
      <w:rPr>
        <w:i/>
        <w:color w:val="808080" w:themeColor="background1" w:themeShade="80"/>
        <w:sz w:val="16"/>
        <w:szCs w:val="16"/>
      </w:rPr>
      <w:t xml:space="preserve">Last Updated: </w:t>
    </w:r>
    <w:r w:rsidR="00EF25B2">
      <w:rPr>
        <w:i/>
        <w:color w:val="808080" w:themeColor="background1" w:themeShade="80"/>
        <w:sz w:val="16"/>
        <w:szCs w:val="16"/>
      </w:rPr>
      <w:t>8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EC0B" w14:textId="77777777" w:rsidR="0038372C" w:rsidRDefault="0038372C" w:rsidP="000F6A81">
      <w:r>
        <w:separator/>
      </w:r>
    </w:p>
  </w:footnote>
  <w:footnote w:type="continuationSeparator" w:id="0">
    <w:p w14:paraId="792B7181" w14:textId="77777777" w:rsidR="0038372C" w:rsidRDefault="0038372C" w:rsidP="000F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7259" w14:textId="2A1834CA" w:rsidR="00132DD8" w:rsidRPr="00AB3B21" w:rsidRDefault="00132DD8" w:rsidP="00132DD8">
    <w:pPr>
      <w:pStyle w:val="FormName"/>
      <w:rPr>
        <w:sz w:val="20"/>
        <w:szCs w:val="20"/>
      </w:rPr>
    </w:pPr>
    <w:r w:rsidRPr="00AB3B21">
      <w:rPr>
        <w:sz w:val="20"/>
        <w:szCs w:val="20"/>
      </w:rPr>
      <w:drawing>
        <wp:anchor distT="0" distB="0" distL="114300" distR="114300" simplePos="0" relativeHeight="251661824" behindDoc="1" locked="0" layoutInCell="1" allowOverlap="1" wp14:anchorId="546FC585" wp14:editId="642DA4EB">
          <wp:simplePos x="0" y="0"/>
          <wp:positionH relativeFrom="margin">
            <wp:posOffset>20955</wp:posOffset>
          </wp:positionH>
          <wp:positionV relativeFrom="paragraph">
            <wp:posOffset>-2540</wp:posOffset>
          </wp:positionV>
          <wp:extent cx="10039350" cy="871855"/>
          <wp:effectExtent l="0" t="0" r="0" b="4445"/>
          <wp:wrapTight wrapText="bothSides">
            <wp:wrapPolygon edited="0">
              <wp:start x="0" y="0"/>
              <wp:lineTo x="0" y="21238"/>
              <wp:lineTo x="21559" y="21238"/>
              <wp:lineTo x="21559" y="0"/>
              <wp:lineTo x="0" y="0"/>
            </wp:wrapPolygon>
          </wp:wrapTight>
          <wp:docPr id="5" name="Picture 5"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10039350" cy="871855"/>
                  </a:xfrm>
                  <a:prstGeom prst="rect">
                    <a:avLst/>
                  </a:prstGeom>
                </pic:spPr>
              </pic:pic>
            </a:graphicData>
          </a:graphic>
          <wp14:sizeRelH relativeFrom="page">
            <wp14:pctWidth>0</wp14:pctWidth>
          </wp14:sizeRelH>
          <wp14:sizeRelV relativeFrom="page">
            <wp14:pctHeight>0</wp14:pctHeight>
          </wp14:sizeRelV>
        </wp:anchor>
      </w:drawing>
    </w:r>
  </w:p>
  <w:p w14:paraId="02B42D17" w14:textId="05ACD47E" w:rsidR="00132DD8" w:rsidRPr="002C37A6" w:rsidRDefault="00132DD8" w:rsidP="0023206D">
    <w:pPr>
      <w:pStyle w:val="FormName"/>
      <w:rPr>
        <w:sz w:val="32"/>
      </w:rPr>
    </w:pPr>
    <w:r>
      <w:rPr>
        <w:sz w:val="32"/>
      </w:rPr>
      <w:t>OHS Management System Audit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C01E5"/>
    <w:multiLevelType w:val="hybridMultilevel"/>
    <w:tmpl w:val="1E06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D41A3B"/>
    <w:multiLevelType w:val="hybridMultilevel"/>
    <w:tmpl w:val="E3086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03E66"/>
    <w:multiLevelType w:val="hybridMultilevel"/>
    <w:tmpl w:val="108E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A4E11"/>
    <w:multiLevelType w:val="hybridMultilevel"/>
    <w:tmpl w:val="4E8E00D8"/>
    <w:lvl w:ilvl="0" w:tplc="3BE2B3D2">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3B1F8F"/>
    <w:multiLevelType w:val="hybridMultilevel"/>
    <w:tmpl w:val="CA720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85ADA"/>
    <w:multiLevelType w:val="hybridMultilevel"/>
    <w:tmpl w:val="19229BF2"/>
    <w:lvl w:ilvl="0" w:tplc="21C28A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9E082C"/>
    <w:multiLevelType w:val="hybridMultilevel"/>
    <w:tmpl w:val="60C4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BF114F"/>
    <w:multiLevelType w:val="hybridMultilevel"/>
    <w:tmpl w:val="6DFE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74488"/>
    <w:rsid w:val="000F6A81"/>
    <w:rsid w:val="00127257"/>
    <w:rsid w:val="001323F1"/>
    <w:rsid w:val="00132DD8"/>
    <w:rsid w:val="00176F6C"/>
    <w:rsid w:val="0023206D"/>
    <w:rsid w:val="002C37A6"/>
    <w:rsid w:val="00316585"/>
    <w:rsid w:val="0038372C"/>
    <w:rsid w:val="003F4699"/>
    <w:rsid w:val="00427058"/>
    <w:rsid w:val="00550685"/>
    <w:rsid w:val="005E5A40"/>
    <w:rsid w:val="007417ED"/>
    <w:rsid w:val="008E0594"/>
    <w:rsid w:val="009E6042"/>
    <w:rsid w:val="00AB3B21"/>
    <w:rsid w:val="00B93F26"/>
    <w:rsid w:val="00BD42E2"/>
    <w:rsid w:val="00C27C38"/>
    <w:rsid w:val="00D829D4"/>
    <w:rsid w:val="00DB3D40"/>
    <w:rsid w:val="00DD396D"/>
    <w:rsid w:val="00E15B40"/>
    <w:rsid w:val="00E81047"/>
    <w:rsid w:val="00EF25B2"/>
    <w:rsid w:val="00F23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81"/>
    <w:pPr>
      <w:spacing w:after="0" w:line="240" w:lineRule="auto"/>
    </w:pPr>
    <w:rPr>
      <w:rFonts w:ascii="Arial" w:hAnsi="Arial" w:cs="Arial"/>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table" w:styleId="TableGrid">
    <w:name w:val="Table Grid"/>
    <w:basedOn w:val="TableNormal"/>
    <w:uiPriority w:val="39"/>
    <w:rsid w:val="002C37A6"/>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7A6"/>
    <w:pPr>
      <w:spacing w:after="120" w:line="240" w:lineRule="atLeast"/>
      <w:ind w:left="720"/>
      <w:contextualSpacing/>
    </w:pPr>
    <w:rPr>
      <w:rFonts w:eastAsiaTheme="minorEastAsia"/>
      <w:sz w:val="18"/>
      <w:szCs w:val="18"/>
      <w:lang w:val="en-US"/>
    </w:rPr>
  </w:style>
  <w:style w:type="character" w:styleId="FollowedHyperlink">
    <w:name w:val="FollowedHyperlink"/>
    <w:basedOn w:val="DefaultParagraphFont"/>
    <w:uiPriority w:val="99"/>
    <w:semiHidden/>
    <w:unhideWhenUsed/>
    <w:rsid w:val="00BD42E2"/>
    <w:rPr>
      <w:color w:val="954F72" w:themeColor="followedHyperlink"/>
      <w:u w:val="single"/>
    </w:rPr>
  </w:style>
  <w:style w:type="character" w:styleId="UnresolvedMention">
    <w:name w:val="Unresolved Mention"/>
    <w:basedOn w:val="DefaultParagraphFont"/>
    <w:uiPriority w:val="99"/>
    <w:semiHidden/>
    <w:unhideWhenUsed/>
    <w:rsid w:val="00550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hrweb/safetyhw/Pages/ohsworksafecontac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fety@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hrweb/Documents/OHS/AuditGuideHalfDay.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ucation.vic.gov.au/hrweb/Documents/OHS/AuditGuideFullDay.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ty@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118</Value>
      <Value>120</Value>
    </TaxCatchAll>
    <DEECD_Publisher xmlns="http://schemas.microsoft.com/sharepoint/v3">Department of Education and Training</DEECD_Publisher>
    <DEECD_Expired xmlns="http://schemas.microsoft.com/sharepoint/v3">false</DEECD_Expired>
    <DEECD_Keywords xmlns="http://schemas.microsoft.com/sharepoint/v3">ohs, oh&amp;s, safety, wellbeing, audit, ohsms, occupational, corrective, action, support, reporting, health, evaluation, </DEECD_Keywords>
    <PublishingExpirationDate xmlns="http://schemas.microsoft.com/sharepoint/v3" xsi:nil="true"/>
    <DEECD_Description xmlns="http://schemas.microsoft.com/sharepoint/v3">Fact Sheet answering general half day and full day questions</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cb9114c1-daad-44dd-acad-30f4246641f2"/>
    <ds:schemaRef ds:uri="http://schemas.microsoft.com/sharepoint/v3"/>
    <ds:schemaRef ds:uri="84571637-c7f9-44a1-95b1-d459eb7afb4e"/>
  </ds:schemaRefs>
</ds:datastoreItem>
</file>

<file path=customXml/itemProps3.xml><?xml version="1.0" encoding="utf-8"?>
<ds:datastoreItem xmlns:ds="http://schemas.openxmlformats.org/officeDocument/2006/customXml" ds:itemID="{76CFAD10-7583-46A9-9199-8AD21F7A6650}"/>
</file>

<file path=docProps/app.xml><?xml version="1.0" encoding="utf-8"?>
<Properties xmlns="http://schemas.openxmlformats.org/officeDocument/2006/extended-properties" xmlns:vt="http://schemas.openxmlformats.org/officeDocument/2006/docPropsVTypes">
  <Template>Normal.dotm</Template>
  <TotalTime>5</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OHS Management System Audit Fact Sheet</vt:lpstr>
    </vt:vector>
  </TitlesOfParts>
  <Company>Department of Education and Training</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Management System Audit Fact Sheet</dc:title>
  <dc:subject/>
  <dc:creator>hrweb@edumail.vic.gov.au</dc:creator>
  <cp:keywords/>
  <dc:description/>
  <cp:lastModifiedBy>Grace Algefski</cp:lastModifiedBy>
  <cp:revision>5</cp:revision>
  <cp:lastPrinted>2017-07-05T04:07:00Z</cp:lastPrinted>
  <dcterms:created xsi:type="dcterms:W3CDTF">2021-07-08T05:37:00Z</dcterms:created>
  <dcterms:modified xsi:type="dcterms:W3CDTF">2021-07-08T05:41:00Z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2017-08-07T14:06:13.8369257+10:00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104;#Factsheet|4ed27b92-5062-455b-9739-b4dd34197d20</vt:lpwstr>
  </property>
  <property fmtid="{D5CDD505-2E9C-101B-9397-08002B2CF9AE}" pid="18" name="DEECD_SubjectCategory">
    <vt:lpwstr/>
  </property>
  <property fmtid="{D5CDD505-2E9C-101B-9397-08002B2CF9AE}" pid="19" name="DEECD_Audience">
    <vt:lpwstr>118;#Principals|a4f56333-bce8-49bd-95df-bc27ddd10ec3</vt:lpwstr>
  </property>
</Properties>
</file>