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882B" w14:textId="493EC0D7" w:rsidR="00382965" w:rsidRPr="00707AFB" w:rsidRDefault="00382965" w:rsidP="00382965">
      <w:pPr>
        <w:spacing w:before="0" w:after="200"/>
        <w:jc w:val="right"/>
        <w:rPr>
          <w:rFonts w:eastAsia="Calibri"/>
          <w:b/>
          <w:color w:val="0044AF"/>
          <w:sz w:val="36"/>
          <w:szCs w:val="36"/>
          <w:lang w:val="en-US"/>
        </w:rPr>
      </w:pPr>
      <w:r w:rsidRPr="00707AFB">
        <w:rPr>
          <w:rFonts w:eastAsia="Calibri"/>
          <w:b/>
          <w:color w:val="0044AF"/>
          <w:sz w:val="36"/>
          <w:szCs w:val="36"/>
          <w:lang w:val="en-US"/>
        </w:rPr>
        <w:t>Health and Safety Representative Guide</w:t>
      </w:r>
    </w:p>
    <w:p w14:paraId="2675D8BA" w14:textId="77777777" w:rsidR="00382965" w:rsidRPr="00382965" w:rsidRDefault="00382965" w:rsidP="00707AFB">
      <w:pPr>
        <w:pStyle w:val="ListParagraph"/>
        <w:keepNext/>
        <w:keepLines/>
        <w:numPr>
          <w:ilvl w:val="0"/>
          <w:numId w:val="52"/>
        </w:numPr>
        <w:tabs>
          <w:tab w:val="num" w:pos="709"/>
        </w:tabs>
        <w:spacing w:before="240"/>
        <w:ind w:hanging="720"/>
        <w:contextualSpacing w:val="0"/>
        <w:jc w:val="left"/>
        <w:outlineLvl w:val="1"/>
        <w:rPr>
          <w:rFonts w:eastAsia="MS Gothic"/>
          <w:b/>
          <w:bCs/>
          <w:caps/>
          <w:color w:val="004EA8"/>
          <w:lang w:val="en-US"/>
        </w:rPr>
      </w:pPr>
      <w:r w:rsidRPr="00382965">
        <w:rPr>
          <w:rFonts w:eastAsia="MS Gothic"/>
          <w:b/>
          <w:bCs/>
          <w:color w:val="004EA8"/>
          <w:lang w:val="en-US"/>
        </w:rPr>
        <w:t>Purpose:</w:t>
      </w:r>
    </w:p>
    <w:p w14:paraId="472CD377" w14:textId="7904C9CA" w:rsidR="00944968" w:rsidRPr="00944968" w:rsidRDefault="00944968" w:rsidP="00707AFB">
      <w:pPr>
        <w:jc w:val="left"/>
      </w:pPr>
      <w:r>
        <w:t xml:space="preserve">To </w:t>
      </w:r>
      <w:r w:rsidR="00190063">
        <w:t xml:space="preserve">provide guidance for </w:t>
      </w:r>
      <w:r>
        <w:t>elected Health and Safety Representatives</w:t>
      </w:r>
      <w:r w:rsidR="00FB3900">
        <w:t xml:space="preserve"> (HSR)</w:t>
      </w:r>
      <w:r w:rsidR="00190063">
        <w:t xml:space="preserve"> </w:t>
      </w:r>
      <w:r>
        <w:t>in Department of Education and Training</w:t>
      </w:r>
      <w:r w:rsidR="00190063">
        <w:t xml:space="preserve"> (</w:t>
      </w:r>
      <w:r w:rsidR="00382965">
        <w:t>the Department</w:t>
      </w:r>
      <w:r w:rsidR="00190063">
        <w:t>)</w:t>
      </w:r>
      <w:r>
        <w:t xml:space="preserve"> workplaces perform their </w:t>
      </w:r>
      <w:r w:rsidR="008B6737">
        <w:t>functions and powers</w:t>
      </w:r>
      <w:r>
        <w:t>.</w:t>
      </w:r>
    </w:p>
    <w:p w14:paraId="61341BA2" w14:textId="1AB14285" w:rsidR="00382965" w:rsidRPr="00A00963" w:rsidRDefault="00382965" w:rsidP="00707AFB">
      <w:pPr>
        <w:pStyle w:val="ESHeading2"/>
        <w:numPr>
          <w:ilvl w:val="0"/>
          <w:numId w:val="53"/>
        </w:numPr>
        <w:spacing w:line="276" w:lineRule="auto"/>
        <w:ind w:left="709" w:hanging="709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646EB78C" w14:textId="734B3FE6" w:rsidR="00944968" w:rsidRPr="00944968" w:rsidRDefault="00944968" w:rsidP="00707AFB">
      <w:pPr>
        <w:jc w:val="left"/>
      </w:pPr>
      <w:r>
        <w:t>These guidelines apply to all D</w:t>
      </w:r>
      <w:r w:rsidR="00382965">
        <w:t>epartment</w:t>
      </w:r>
      <w:r>
        <w:t xml:space="preserve"> workplaces, including schools, central and regional offices.</w:t>
      </w:r>
    </w:p>
    <w:p w14:paraId="364F3F03" w14:textId="1CA10D65" w:rsidR="00382965" w:rsidRPr="00382965" w:rsidRDefault="00382965" w:rsidP="00707AFB">
      <w:pPr>
        <w:pStyle w:val="ESHeading2"/>
        <w:numPr>
          <w:ilvl w:val="0"/>
          <w:numId w:val="53"/>
        </w:numPr>
        <w:spacing w:line="276" w:lineRule="auto"/>
        <w:ind w:left="709" w:hanging="709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698B8C8B" w14:textId="31463206" w:rsidR="00382965" w:rsidRDefault="00382965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 w:rsidRPr="00382965">
        <w:rPr>
          <w:rFonts w:cs="Arial"/>
          <w:caps w:val="0"/>
          <w:sz w:val="22"/>
          <w:szCs w:val="22"/>
        </w:rPr>
        <w:t>What is a</w:t>
      </w:r>
      <w:r>
        <w:rPr>
          <w:rFonts w:cs="Arial"/>
          <w:caps w:val="0"/>
          <w:sz w:val="22"/>
          <w:szCs w:val="22"/>
        </w:rPr>
        <w:t xml:space="preserve"> Health and Safety Representative?</w:t>
      </w:r>
    </w:p>
    <w:p w14:paraId="595583F6" w14:textId="286658BE" w:rsidR="00BB5E87" w:rsidRDefault="00BB5E87" w:rsidP="00707AFB">
      <w:pPr>
        <w:pStyle w:val="ListParagraph"/>
        <w:ind w:left="0"/>
        <w:contextualSpacing w:val="0"/>
        <w:jc w:val="left"/>
      </w:pPr>
      <w:r w:rsidRPr="00AE0F72">
        <w:t xml:space="preserve">A HSR is an employee who has been elected by the members of their </w:t>
      </w:r>
      <w:hyperlink r:id="rId11" w:history="1">
        <w:r w:rsidRPr="000573C9">
          <w:rPr>
            <w:rStyle w:val="Hyperlink"/>
          </w:rPr>
          <w:t>Designated Work Group</w:t>
        </w:r>
      </w:hyperlink>
      <w:r w:rsidRPr="00AE0F72">
        <w:t xml:space="preserve"> </w:t>
      </w:r>
      <w:r>
        <w:t xml:space="preserve">(DWG) </w:t>
      </w:r>
      <w:r w:rsidRPr="00AE0F72">
        <w:t>to represent the</w:t>
      </w:r>
      <w:r>
        <w:t>ir health and safety views in any formal discussions with management</w:t>
      </w:r>
      <w:r w:rsidRPr="00AE0F72">
        <w:t xml:space="preserve">. </w:t>
      </w:r>
      <w:r>
        <w:t>Every school is considered a DWG in its own right. Multi campus schools, or large schools, may decide to have more than one DWG</w:t>
      </w:r>
    </w:p>
    <w:p w14:paraId="6CF9EB84" w14:textId="526D5AE5" w:rsidR="00BB5E87" w:rsidRPr="00BB5E87" w:rsidRDefault="00BB5E87" w:rsidP="00707AFB">
      <w:pPr>
        <w:pStyle w:val="ListParagraph"/>
        <w:ind w:left="0"/>
        <w:contextualSpacing w:val="0"/>
        <w:jc w:val="left"/>
        <w:rPr>
          <w:rFonts w:eastAsia="Times New Roman"/>
          <w:sz w:val="17"/>
          <w:szCs w:val="17"/>
          <w:lang w:val="en-US"/>
        </w:rPr>
      </w:pPr>
      <w:r>
        <w:t>The Occupational Health and Safety (OHS) Act 2004 enables a HSR to raise issues to management that require resolution and provides them with a mechanism to take unresolved issues further, if necessary.</w:t>
      </w:r>
      <w:r w:rsidRPr="00BB5E87">
        <w:rPr>
          <w:rFonts w:eastAsia="Times New Roman"/>
          <w:sz w:val="17"/>
          <w:szCs w:val="17"/>
          <w:lang w:val="en-US"/>
        </w:rPr>
        <w:t xml:space="preserve"> </w:t>
      </w:r>
    </w:p>
    <w:p w14:paraId="69C7ED46" w14:textId="2B3832BF" w:rsidR="00BB5E87" w:rsidRDefault="00BB5E87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What is a Deputy Health and Safety Representative</w:t>
      </w:r>
    </w:p>
    <w:p w14:paraId="25FF9EF5" w14:textId="5C33D993" w:rsidR="002E49F2" w:rsidRPr="002E49F2" w:rsidRDefault="002E49F2" w:rsidP="00707AFB">
      <w:pPr>
        <w:jc w:val="left"/>
      </w:pPr>
      <w:r w:rsidRPr="00AE0F72">
        <w:t xml:space="preserve">A Deputy Health and Safety Representative (DHSR) can be elected to support the HSR </w:t>
      </w:r>
      <w:r>
        <w:t>carry out their functions</w:t>
      </w:r>
      <w:r w:rsidRPr="00AE0F72">
        <w:t>. The DHSR can also perform the role of HSR if the primary HSR leaves the workplace</w:t>
      </w:r>
      <w:r>
        <w:t>,</w:t>
      </w:r>
      <w:r w:rsidRPr="00AE0F72">
        <w:t xml:space="preserve"> or is unable to perform their </w:t>
      </w:r>
      <w:r>
        <w:t>functions and powers</w:t>
      </w:r>
      <w:r w:rsidRPr="00AE0F72">
        <w:t>.</w:t>
      </w:r>
      <w:r>
        <w:t xml:space="preserve"> </w:t>
      </w:r>
    </w:p>
    <w:p w14:paraId="4FE06A40" w14:textId="58EF1882" w:rsidR="002E49F2" w:rsidRDefault="002E49F2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Why should workplaces have a HSR?</w:t>
      </w:r>
    </w:p>
    <w:p w14:paraId="678C1AA0" w14:textId="72FB4918" w:rsidR="002E49F2" w:rsidRPr="005310BA" w:rsidRDefault="002E49F2" w:rsidP="00707AFB">
      <w:pPr>
        <w:pStyle w:val="ListParagraph"/>
        <w:ind w:left="0"/>
        <w:contextualSpacing w:val="0"/>
        <w:jc w:val="left"/>
        <w:rPr>
          <w:b/>
        </w:rPr>
      </w:pPr>
      <w:r w:rsidRPr="00AE0F72">
        <w:t xml:space="preserve">Employee representation </w:t>
      </w:r>
      <w:r>
        <w:t xml:space="preserve">through an elected HSR assists in </w:t>
      </w:r>
      <w:r w:rsidRPr="00AE0F72">
        <w:t xml:space="preserve">facilitating consultation </w:t>
      </w:r>
      <w:r>
        <w:t>between management and employees</w:t>
      </w:r>
      <w:r w:rsidRPr="00AE0F72">
        <w:t xml:space="preserve">. The OHS Act 2004 recognises that workplaces have better OHS performance outcomes when employees have input before decisions are made about OHS matters that </w:t>
      </w:r>
      <w:r>
        <w:t xml:space="preserve">could </w:t>
      </w:r>
      <w:r w:rsidRPr="00AE0F72">
        <w:t>affect them</w:t>
      </w:r>
      <w:r w:rsidRPr="002E49F2">
        <w:rPr>
          <w:b/>
        </w:rPr>
        <w:t xml:space="preserve">. </w:t>
      </w:r>
    </w:p>
    <w:p w14:paraId="5486088D" w14:textId="08D7023D" w:rsidR="002E49F2" w:rsidRPr="00382965" w:rsidRDefault="002E49F2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Election of HSR and DHSR</w:t>
      </w:r>
    </w:p>
    <w:p w14:paraId="17ADDC0A" w14:textId="4D023CC5" w:rsidR="009513D2" w:rsidRDefault="009513D2" w:rsidP="00707AFB">
      <w:pPr>
        <w:jc w:val="left"/>
      </w:pPr>
      <w:r>
        <w:t xml:space="preserve">HSR and </w:t>
      </w:r>
      <w:r w:rsidR="00800A28">
        <w:t>D</w:t>
      </w:r>
      <w:r>
        <w:t>eputy HSR elections should occur:</w:t>
      </w:r>
    </w:p>
    <w:p w14:paraId="03DF26AE" w14:textId="77777777" w:rsidR="009513D2" w:rsidRDefault="009513D2" w:rsidP="00707AFB">
      <w:pPr>
        <w:pStyle w:val="ListParagraph"/>
        <w:numPr>
          <w:ilvl w:val="0"/>
          <w:numId w:val="33"/>
        </w:numPr>
        <w:spacing w:before="60" w:after="60"/>
        <w:ind w:left="0" w:firstLine="0"/>
        <w:contextualSpacing w:val="0"/>
        <w:jc w:val="left"/>
      </w:pPr>
      <w:r>
        <w:t>after the establishment or change to a DWG</w:t>
      </w:r>
    </w:p>
    <w:p w14:paraId="22DB99C9" w14:textId="69E22BED" w:rsidR="009513D2" w:rsidRDefault="009513D2" w:rsidP="00707AFB">
      <w:pPr>
        <w:pStyle w:val="ListParagraph"/>
        <w:numPr>
          <w:ilvl w:val="0"/>
          <w:numId w:val="33"/>
        </w:numPr>
        <w:spacing w:before="60" w:after="60"/>
        <w:ind w:left="0" w:firstLine="0"/>
        <w:contextualSpacing w:val="0"/>
        <w:jc w:val="left"/>
      </w:pPr>
      <w:r>
        <w:t xml:space="preserve">when a HSR or </w:t>
      </w:r>
      <w:r w:rsidR="00A8414B">
        <w:t>D</w:t>
      </w:r>
      <w:r>
        <w:t>HSR ceases to hold office</w:t>
      </w:r>
    </w:p>
    <w:p w14:paraId="5DA76CD0" w14:textId="77777777" w:rsidR="009513D2" w:rsidRDefault="009513D2" w:rsidP="00707AFB">
      <w:pPr>
        <w:pStyle w:val="ListParagraph"/>
        <w:numPr>
          <w:ilvl w:val="0"/>
          <w:numId w:val="33"/>
        </w:numPr>
        <w:spacing w:before="60" w:after="60"/>
        <w:ind w:left="0" w:firstLine="0"/>
        <w:contextualSpacing w:val="0"/>
        <w:jc w:val="left"/>
      </w:pPr>
      <w:r>
        <w:t xml:space="preserve">when the term of office expires </w:t>
      </w:r>
    </w:p>
    <w:p w14:paraId="237DC756" w14:textId="18FDE8BD" w:rsidR="005310BA" w:rsidRDefault="009513D2" w:rsidP="00707AFB">
      <w:pPr>
        <w:pStyle w:val="ListParagraph"/>
        <w:numPr>
          <w:ilvl w:val="0"/>
          <w:numId w:val="33"/>
        </w:numPr>
        <w:spacing w:before="60" w:after="60"/>
        <w:ind w:left="0" w:firstLine="0"/>
        <w:contextualSpacing w:val="0"/>
        <w:jc w:val="left"/>
      </w:pPr>
      <w:r>
        <w:t xml:space="preserve">when there is more than one candidate for each HSR or </w:t>
      </w:r>
      <w:r w:rsidR="00A8414B">
        <w:t>D</w:t>
      </w:r>
      <w:r>
        <w:t>HSR</w:t>
      </w:r>
      <w:r w:rsidR="005310BA">
        <w:t>.</w:t>
      </w:r>
    </w:p>
    <w:p w14:paraId="3DF5F0D4" w14:textId="0C8D7335" w:rsidR="00D82EDC" w:rsidRDefault="009513D2" w:rsidP="00707AFB">
      <w:pPr>
        <w:jc w:val="left"/>
      </w:pPr>
      <w:r w:rsidRPr="00AE0F72">
        <w:t xml:space="preserve">To be eligible </w:t>
      </w:r>
      <w:r w:rsidR="005310BA">
        <w:t>for election</w:t>
      </w:r>
      <w:r w:rsidRPr="00AE0F72">
        <w:t xml:space="preserve"> as a HSR</w:t>
      </w:r>
      <w:r w:rsidR="00301E2E">
        <w:t xml:space="preserve"> </w:t>
      </w:r>
      <w:r w:rsidR="00667D95">
        <w:t>for a</w:t>
      </w:r>
      <w:r w:rsidRPr="00AE0F72">
        <w:t xml:space="preserve"> DWG</w:t>
      </w:r>
      <w:r>
        <w:t>,</w:t>
      </w:r>
      <w:r w:rsidRPr="00AE0F72">
        <w:t xml:space="preserve"> the employee must be a member of </w:t>
      </w:r>
      <w:r>
        <w:t>the DWG</w:t>
      </w:r>
      <w:r w:rsidRPr="00AE0F72">
        <w:t xml:space="preserve"> and not </w:t>
      </w:r>
      <w:r w:rsidR="005310BA">
        <w:t xml:space="preserve">have </w:t>
      </w:r>
      <w:r w:rsidRPr="00AE0F72">
        <w:t xml:space="preserve">been </w:t>
      </w:r>
      <w:r>
        <w:t>previously disqualified</w:t>
      </w:r>
      <w:r w:rsidRPr="00AE0F72">
        <w:t xml:space="preserve">. All members of the DWG are entitled </w:t>
      </w:r>
      <w:r w:rsidR="005310BA">
        <w:t xml:space="preserve">to </w:t>
      </w:r>
      <w:r w:rsidR="008E6013">
        <w:t xml:space="preserve">nominate themselves and to </w:t>
      </w:r>
      <w:r w:rsidRPr="00AE0F72">
        <w:t>vote</w:t>
      </w:r>
      <w:r w:rsidR="008E6013">
        <w:t>,</w:t>
      </w:r>
      <w:r w:rsidRPr="00AE0F72">
        <w:t xml:space="preserve"> and may determine how an election is to be conducted. A </w:t>
      </w:r>
      <w:bookmarkStart w:id="0" w:name="_GoBack"/>
      <w:bookmarkEnd w:id="0"/>
      <w:r w:rsidR="00A8414B">
        <w:t>D</w:t>
      </w:r>
      <w:r w:rsidRPr="00AE0F72">
        <w:t>HSR for a DWG is to be elected in the same way and may exercise the same powers in the absence of a HSR.</w:t>
      </w:r>
    </w:p>
    <w:p w14:paraId="4718B6BB" w14:textId="76F0B2FE" w:rsidR="00D82EDC" w:rsidRDefault="0095721B" w:rsidP="00EF048A">
      <w:pPr>
        <w:spacing w:before="0" w:after="200"/>
        <w:jc w:val="center"/>
        <w:rPr>
          <w:rFonts w:ascii="Century Gothic" w:eastAsia="Times New Roman" w:hAnsi="Century Gothic" w:cs="Times New Roman"/>
          <w:b/>
          <w:snapToGrid w:val="0"/>
          <w:szCs w:val="20"/>
        </w:rPr>
      </w:pPr>
      <w:r w:rsidRPr="00AE0F72">
        <w:object w:dxaOrig="9855" w:dyaOrig="13387" w14:anchorId="0C8E5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Elelection process for  a Health and Safety Representative" style="width:414.25pt;height:564.3pt" o:ole="">
            <v:imagedata r:id="rId12" o:title=""/>
          </v:shape>
          <o:OLEObject Type="Embed" ProgID="Visio.Drawing.11" ShapeID="_x0000_i1028" DrawAspect="Content" ObjectID="_1664878554" r:id="rId13"/>
        </w:object>
      </w:r>
      <w:r w:rsidR="00D82EDC">
        <w:br w:type="page"/>
      </w:r>
    </w:p>
    <w:p w14:paraId="4CDA5F5E" w14:textId="763B2474" w:rsidR="005310BA" w:rsidRPr="00382965" w:rsidRDefault="005310BA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Calling for Nominations for HSR/DHSR</w:t>
      </w:r>
    </w:p>
    <w:p w14:paraId="42E9A4E0" w14:textId="77777777" w:rsidR="005310BA" w:rsidRDefault="008E6013" w:rsidP="00707AFB">
      <w:pPr>
        <w:jc w:val="left"/>
      </w:pPr>
      <w:r>
        <w:t xml:space="preserve">In consultation with the DWG, the workplace is to determine the process for employees to nominate themselves for consideration for a HSR </w:t>
      </w:r>
      <w:r w:rsidRPr="008E6013">
        <w:t xml:space="preserve">or </w:t>
      </w:r>
      <w:r w:rsidR="00A8414B">
        <w:t>D</w:t>
      </w:r>
      <w:r w:rsidR="009513D2" w:rsidRPr="008E6013">
        <w:t>HSR</w:t>
      </w:r>
      <w:r>
        <w:t xml:space="preserve"> position (e.g. verbal, written, etc.). </w:t>
      </w:r>
    </w:p>
    <w:p w14:paraId="64FB8301" w14:textId="6F83BBD7" w:rsidR="00A8414B" w:rsidRDefault="008E6013" w:rsidP="00707AFB">
      <w:pPr>
        <w:jc w:val="left"/>
        <w:rPr>
          <w:lang w:val="en-US"/>
        </w:rPr>
      </w:pPr>
      <w:r>
        <w:t>The workplace is to d</w:t>
      </w:r>
      <w:r w:rsidR="00A8414B">
        <w:t xml:space="preserve">isplay, </w:t>
      </w:r>
      <w:r w:rsidRPr="008E6013">
        <w:t>distribute</w:t>
      </w:r>
      <w:r w:rsidR="00944968">
        <w:t>,</w:t>
      </w:r>
      <w:r w:rsidRPr="008E6013">
        <w:t xml:space="preserve"> </w:t>
      </w:r>
      <w:r w:rsidR="00A8414B">
        <w:t xml:space="preserve">or communicate </w:t>
      </w:r>
      <w:r>
        <w:t xml:space="preserve">this </w:t>
      </w:r>
      <w:r w:rsidRPr="008E6013">
        <w:t xml:space="preserve">process </w:t>
      </w:r>
      <w:r>
        <w:rPr>
          <w:lang w:val="en-US"/>
        </w:rPr>
        <w:t>a</w:t>
      </w:r>
      <w:r w:rsidRPr="008E6013">
        <w:rPr>
          <w:lang w:val="en-US"/>
        </w:rPr>
        <w:t xml:space="preserve">t least </w:t>
      </w:r>
      <w:r w:rsidR="005310BA">
        <w:rPr>
          <w:lang w:val="en-US"/>
        </w:rPr>
        <w:t>two</w:t>
      </w:r>
      <w:r w:rsidRPr="008E6013">
        <w:rPr>
          <w:lang w:val="en-US"/>
        </w:rPr>
        <w:t xml:space="preserve"> weeks prior to calling for nominations.</w:t>
      </w:r>
      <w:r>
        <w:rPr>
          <w:lang w:val="en-US"/>
        </w:rPr>
        <w:t xml:space="preserve"> An example nomination form </w:t>
      </w:r>
      <w:r w:rsidR="005310BA">
        <w:rPr>
          <w:lang w:val="en-US"/>
        </w:rPr>
        <w:t>is</w:t>
      </w:r>
      <w:r>
        <w:rPr>
          <w:lang w:val="en-US"/>
        </w:rPr>
        <w:t xml:space="preserve"> </w:t>
      </w:r>
      <w:r w:rsidR="005310BA">
        <w:rPr>
          <w:lang w:val="en-US"/>
        </w:rPr>
        <w:t>attached</w:t>
      </w:r>
      <w:r>
        <w:rPr>
          <w:lang w:val="en-US"/>
        </w:rPr>
        <w:t xml:space="preserve"> </w:t>
      </w:r>
      <w:r w:rsidR="00A8414B">
        <w:rPr>
          <w:lang w:val="en-US"/>
        </w:rPr>
        <w:t>at the end of this guide.</w:t>
      </w:r>
    </w:p>
    <w:p w14:paraId="39DFC886" w14:textId="40C4518C" w:rsidR="005310BA" w:rsidRPr="00382965" w:rsidRDefault="005310BA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Election of a HSR when there is more than one DWG</w:t>
      </w:r>
    </w:p>
    <w:p w14:paraId="4AB8AFC3" w14:textId="22D5AA5E" w:rsidR="00681728" w:rsidRDefault="009513D2" w:rsidP="00707AFB">
      <w:pPr>
        <w:jc w:val="left"/>
      </w:pPr>
      <w:r>
        <w:t>If there is more than one DWG in the workplace, separate elections should be held to elect one or more HSR</w:t>
      </w:r>
      <w:r w:rsidR="00667D95">
        <w:t>s</w:t>
      </w:r>
      <w:r>
        <w:t xml:space="preserve"> using the above process.</w:t>
      </w:r>
    </w:p>
    <w:p w14:paraId="2F7B4AC4" w14:textId="019F0B44" w:rsidR="005A26A8" w:rsidRPr="00382965" w:rsidRDefault="005A26A8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What if there are no nominations for a HSR?</w:t>
      </w:r>
    </w:p>
    <w:p w14:paraId="49E5D124" w14:textId="77777777" w:rsidR="00625F31" w:rsidRDefault="00625F31" w:rsidP="00707AFB">
      <w:pPr>
        <w:jc w:val="left"/>
      </w:pPr>
      <w:r>
        <w:t xml:space="preserve">If no nominations for HSRs are received, the </w:t>
      </w:r>
      <w:r w:rsidRPr="0089630A">
        <w:t xml:space="preserve">Workplace Manager and/or Management OHS Nominee </w:t>
      </w:r>
      <w:r>
        <w:t>should:</w:t>
      </w:r>
    </w:p>
    <w:p w14:paraId="1095373C" w14:textId="77777777" w:rsidR="00625F31" w:rsidRDefault="00625F31" w:rsidP="00707AFB">
      <w:pPr>
        <w:pStyle w:val="NormalBullets"/>
        <w:numPr>
          <w:ilvl w:val="0"/>
          <w:numId w:val="34"/>
        </w:numPr>
        <w:spacing w:before="60" w:after="60"/>
        <w:ind w:left="709" w:hanging="709"/>
        <w:jc w:val="left"/>
      </w:pPr>
      <w:r>
        <w:t xml:space="preserve">record that no nominations were received </w:t>
      </w:r>
    </w:p>
    <w:p w14:paraId="4774B484" w14:textId="77777777" w:rsidR="00625F31" w:rsidRDefault="00625F31" w:rsidP="00707AFB">
      <w:pPr>
        <w:pStyle w:val="NormalBullets"/>
        <w:numPr>
          <w:ilvl w:val="0"/>
          <w:numId w:val="34"/>
        </w:numPr>
        <w:spacing w:before="60" w:after="60"/>
        <w:ind w:left="709" w:hanging="709"/>
        <w:jc w:val="left"/>
      </w:pPr>
      <w:r w:rsidRPr="00AE0F72">
        <w:t>communicate to all employees that no nominations were received</w:t>
      </w:r>
    </w:p>
    <w:p w14:paraId="633DFCE0" w14:textId="67DA8596" w:rsidR="00625F31" w:rsidRDefault="00625F31" w:rsidP="00707AFB">
      <w:pPr>
        <w:pStyle w:val="NormalBullets"/>
        <w:numPr>
          <w:ilvl w:val="0"/>
          <w:numId w:val="34"/>
        </w:numPr>
        <w:spacing w:before="60" w:after="60"/>
        <w:ind w:left="709" w:hanging="709"/>
        <w:jc w:val="left"/>
      </w:pPr>
      <w:r w:rsidRPr="00AE0F72">
        <w:t xml:space="preserve">schedule another call for nominations in </w:t>
      </w:r>
      <w:r w:rsidR="005A26A8">
        <w:t>twelve</w:t>
      </w:r>
      <w:r w:rsidRPr="00AE0F72">
        <w:t xml:space="preserve"> months</w:t>
      </w:r>
      <w:r>
        <w:t>,</w:t>
      </w:r>
      <w:r w:rsidRPr="00AE0F72">
        <w:t xml:space="preserve"> or within an agreed timeframe.</w:t>
      </w:r>
    </w:p>
    <w:p w14:paraId="51DFDFCE" w14:textId="6E7060DF" w:rsidR="006E2B46" w:rsidRDefault="000573C9" w:rsidP="00707AFB">
      <w:pPr>
        <w:jc w:val="left"/>
      </w:pPr>
      <w:r>
        <w:t>In the absence of a</w:t>
      </w:r>
      <w:r w:rsidR="006E2B46" w:rsidRPr="00701C24">
        <w:t xml:space="preserve"> HSR, the Workplace Manager</w:t>
      </w:r>
      <w:r w:rsidR="006E2B46">
        <w:t xml:space="preserve"> will need to ensure that:</w:t>
      </w:r>
    </w:p>
    <w:p w14:paraId="5A024F17" w14:textId="79F593F0" w:rsidR="006E2B46" w:rsidRDefault="00190063" w:rsidP="00707AFB">
      <w:pPr>
        <w:pStyle w:val="ListParagraph"/>
        <w:numPr>
          <w:ilvl w:val="0"/>
          <w:numId w:val="43"/>
        </w:numPr>
        <w:spacing w:before="60" w:after="60"/>
        <w:ind w:left="709" w:hanging="709"/>
        <w:contextualSpacing w:val="0"/>
        <w:jc w:val="left"/>
      </w:pPr>
      <w:r>
        <w:t>i</w:t>
      </w:r>
      <w:r w:rsidR="006E2B46">
        <w:t>nformation about alternative avenues of support is provided to all employees (e.g. WorkSafe, EAP, OHS Advisory Service etc.)</w:t>
      </w:r>
    </w:p>
    <w:p w14:paraId="0FF35449" w14:textId="5D395C71" w:rsidR="006E2B46" w:rsidRDefault="00190063" w:rsidP="00707AFB">
      <w:pPr>
        <w:pStyle w:val="ListParagraph"/>
        <w:numPr>
          <w:ilvl w:val="0"/>
          <w:numId w:val="43"/>
        </w:numPr>
        <w:spacing w:before="60" w:after="60"/>
        <w:ind w:left="0" w:firstLine="0"/>
        <w:contextualSpacing w:val="0"/>
        <w:jc w:val="left"/>
      </w:pPr>
      <w:r>
        <w:t>e</w:t>
      </w:r>
      <w:r w:rsidR="006E2B46">
        <w:t xml:space="preserve">mployees are fully aware of the </w:t>
      </w:r>
      <w:r w:rsidR="006E2B46" w:rsidRPr="00707AFB">
        <w:t>OHS Issue Resolution Flowchart</w:t>
      </w:r>
      <w:r w:rsidR="006E2B46">
        <w:t xml:space="preserve"> and processes</w:t>
      </w:r>
    </w:p>
    <w:p w14:paraId="199A892E" w14:textId="7C9C376F" w:rsidR="006E2B46" w:rsidRPr="00AE0F72" w:rsidRDefault="00190063" w:rsidP="00707AFB">
      <w:pPr>
        <w:pStyle w:val="ListParagraph"/>
        <w:numPr>
          <w:ilvl w:val="0"/>
          <w:numId w:val="43"/>
        </w:numPr>
        <w:spacing w:before="60" w:after="60"/>
        <w:ind w:left="709" w:hanging="709"/>
        <w:contextualSpacing w:val="0"/>
        <w:jc w:val="left"/>
      </w:pPr>
      <w:r>
        <w:t>i</w:t>
      </w:r>
      <w:r w:rsidR="006E2B46">
        <w:t xml:space="preserve">nternal communication processes are in place, and utilised, in relation to the ongoing identification and management of hazards and risks and their associated controls. </w:t>
      </w:r>
    </w:p>
    <w:p w14:paraId="0E3DEAA6" w14:textId="1EB4EC82" w:rsidR="009C745F" w:rsidRPr="00382965" w:rsidRDefault="009C745F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What if there is a challenge to the election process after election?</w:t>
      </w:r>
    </w:p>
    <w:p w14:paraId="1287BF46" w14:textId="23A9D419" w:rsidR="00625F31" w:rsidRPr="00C07278" w:rsidRDefault="00625F31" w:rsidP="00707AFB">
      <w:pPr>
        <w:jc w:val="left"/>
      </w:pPr>
      <w:r>
        <w:t xml:space="preserve">In the event </w:t>
      </w:r>
      <w:r w:rsidR="009C745F">
        <w:t xml:space="preserve">there is a challenged </w:t>
      </w:r>
      <w:r>
        <w:t>election result, a decision to accept the current election results or conduct another election should be made by a majority DWG decision. This can be informal e.g. show of hands, or via a formal ballot. Alternatively, contact WorkSafe Victoria to assist in the election.</w:t>
      </w:r>
    </w:p>
    <w:p w14:paraId="064A96FC" w14:textId="4C67D994" w:rsidR="009C745F" w:rsidRPr="00382965" w:rsidRDefault="009C745F" w:rsidP="00707AFB">
      <w:pPr>
        <w:pStyle w:val="ESHeading2"/>
        <w:numPr>
          <w:ilvl w:val="1"/>
          <w:numId w:val="53"/>
        </w:numPr>
        <w:spacing w:line="276" w:lineRule="auto"/>
        <w:ind w:left="709" w:hanging="709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Functions and powers of a HSR/DHSR</w:t>
      </w:r>
    </w:p>
    <w:p w14:paraId="0D36C8A3" w14:textId="04FFD363" w:rsidR="004D599E" w:rsidRPr="00AE0F72" w:rsidRDefault="004D599E" w:rsidP="00707AFB">
      <w:pPr>
        <w:jc w:val="left"/>
      </w:pPr>
      <w:r w:rsidRPr="00AE0F72">
        <w:t xml:space="preserve">The OHS Act 2004 does not impose any </w:t>
      </w:r>
      <w:r w:rsidR="00F7373B">
        <w:t>responsibility</w:t>
      </w:r>
      <w:r w:rsidRPr="00AE0F72">
        <w:t xml:space="preserve"> or duty on a HSR. However, a HSR for a DWG may:</w:t>
      </w:r>
    </w:p>
    <w:p w14:paraId="09BBC5D9" w14:textId="77777777" w:rsidR="004D599E" w:rsidRPr="00AE0F72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</w:pPr>
      <w:r>
        <w:t>in</w:t>
      </w:r>
      <w:r w:rsidRPr="00AE0F72">
        <w:t>spect any part of a workplace in which a member of their DWG works, on reasonable notice, or without delay if there is an incident or immediate risk to health or safety</w:t>
      </w:r>
    </w:p>
    <w:p w14:paraId="03A1C4E4" w14:textId="655D3EE6" w:rsidR="004D599E" w:rsidRPr="00AE0F72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</w:pPr>
      <w:r>
        <w:t>r</w:t>
      </w:r>
      <w:r w:rsidRPr="00AE0F72">
        <w:t>equ</w:t>
      </w:r>
      <w:r w:rsidR="00F7373B">
        <w:t>est</w:t>
      </w:r>
      <w:r w:rsidRPr="00AE0F72">
        <w:t xml:space="preserve"> a health and safety committee to be established</w:t>
      </w:r>
    </w:p>
    <w:p w14:paraId="700B1500" w14:textId="77777777" w:rsidR="004D599E" w:rsidRPr="00AE0F72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</w:pPr>
      <w:r>
        <w:t>i</w:t>
      </w:r>
      <w:r w:rsidRPr="00AE0F72">
        <w:t>f a member of their DWG consents, attend interviews on health or safety matters between that person and an inspector or employer</w:t>
      </w:r>
    </w:p>
    <w:p w14:paraId="2B22662E" w14:textId="571B3A8F" w:rsidR="004D599E" w:rsidRPr="00AE0F72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</w:pPr>
      <w:r>
        <w:t>i</w:t>
      </w:r>
      <w:r w:rsidRPr="00AE0F72">
        <w:t>f the HSR is authorised to represent an independent contractor and they consent, attend interviews on health and safety matters between that person an inspector or employer</w:t>
      </w:r>
    </w:p>
    <w:p w14:paraId="61B6CE7F" w14:textId="77777777" w:rsidR="004D599E" w:rsidRPr="008B6737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  <w:rPr>
          <w:b/>
        </w:rPr>
      </w:pPr>
      <w:r w:rsidRPr="00AE0F72">
        <w:lastRenderedPageBreak/>
        <w:t xml:space="preserve">attempt to resolve health and safety issues within in their DWG </w:t>
      </w:r>
    </w:p>
    <w:p w14:paraId="3D1CCB88" w14:textId="613079E4" w:rsidR="004D599E" w:rsidRPr="008B6737" w:rsidRDefault="004D599E" w:rsidP="00707AFB">
      <w:pPr>
        <w:pStyle w:val="ListParagraph"/>
        <w:numPr>
          <w:ilvl w:val="0"/>
          <w:numId w:val="47"/>
        </w:numPr>
        <w:spacing w:before="60" w:after="60"/>
        <w:ind w:left="709" w:hanging="709"/>
        <w:contextualSpacing w:val="0"/>
        <w:jc w:val="left"/>
        <w:rPr>
          <w:b/>
        </w:rPr>
      </w:pPr>
      <w:r w:rsidRPr="00AE0F72">
        <w:t>issue a Provisional Improvement Notice</w:t>
      </w:r>
      <w:r w:rsidR="00F7373B">
        <w:t>,</w:t>
      </w:r>
      <w:r w:rsidRPr="00AE0F72">
        <w:t xml:space="preserve"> if they reasonably believe there has been a contravention to the OHS Act 2004</w:t>
      </w:r>
      <w:r w:rsidR="00F7373B">
        <w:t>,</w:t>
      </w:r>
      <w:r w:rsidRPr="00AE0F72">
        <w:t xml:space="preserve"> and the issue cannot be resolved using the agreed issue resolution procedure.</w:t>
      </w:r>
    </w:p>
    <w:p w14:paraId="14B901BE" w14:textId="0D3EAF06" w:rsidR="004D599E" w:rsidRDefault="004D599E" w:rsidP="00707AFB">
      <w:pPr>
        <w:tabs>
          <w:tab w:val="left" w:pos="6655"/>
        </w:tabs>
        <w:jc w:val="left"/>
      </w:pPr>
      <w:r w:rsidRPr="00AE0F72">
        <w:t xml:space="preserve">Note: HSR powers can only be used to represent members within </w:t>
      </w:r>
      <w:r w:rsidR="005B66DB">
        <w:t>their</w:t>
      </w:r>
      <w:r w:rsidRPr="00AE0F72">
        <w:t xml:space="preserve"> represented DWG. Exception</w:t>
      </w:r>
      <w:r>
        <w:t>s</w:t>
      </w:r>
      <w:r w:rsidRPr="00AE0F72">
        <w:t xml:space="preserve"> exist where there is an immediate risk to a member of another DWG, or when a person in another DWG ask</w:t>
      </w:r>
      <w:r>
        <w:t>s</w:t>
      </w:r>
      <w:r w:rsidRPr="00AE0F72">
        <w:t xml:space="preserve"> for assistance and the matter cannot be referred to their own HSR.</w:t>
      </w:r>
    </w:p>
    <w:p w14:paraId="188487A1" w14:textId="08054F81" w:rsidR="004D599E" w:rsidRPr="00AE0F72" w:rsidRDefault="004D599E" w:rsidP="00707AFB">
      <w:pPr>
        <w:tabs>
          <w:tab w:val="left" w:pos="6655"/>
        </w:tabs>
        <w:jc w:val="left"/>
      </w:pPr>
      <w:r w:rsidRPr="00AE0F72">
        <w:t>The following is a summary of the powers of a HSR</w:t>
      </w:r>
      <w:r>
        <w:t xml:space="preserve"> and Deputy</w:t>
      </w:r>
      <w:r w:rsidR="00DA0DF7">
        <w:t>: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list of what a Health and safety Representative can do and cannot"/>
      </w:tblPr>
      <w:tblGrid>
        <w:gridCol w:w="1698"/>
        <w:gridCol w:w="7362"/>
      </w:tblGrid>
      <w:tr w:rsidR="004D599E" w:rsidRPr="00AE0F72" w14:paraId="19D6CCFB" w14:textId="77777777" w:rsidTr="00C25374">
        <w:trPr>
          <w:tblHeader/>
        </w:trPr>
        <w:tc>
          <w:tcPr>
            <w:tcW w:w="937" w:type="pct"/>
            <w:shd w:val="clear" w:color="auto" w:fill="FF3300"/>
          </w:tcPr>
          <w:p w14:paraId="2F53E868" w14:textId="77777777" w:rsidR="004D599E" w:rsidRPr="00AE0F72" w:rsidRDefault="004D599E" w:rsidP="00EF048A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</w:rPr>
            </w:pPr>
            <w:r w:rsidRPr="00AE0F72">
              <w:rPr>
                <w:b/>
                <w:color w:val="FFFFFF" w:themeColor="background1"/>
                <w:sz w:val="22"/>
                <w:szCs w:val="22"/>
              </w:rPr>
              <w:t>A HSR Cannot:</w:t>
            </w:r>
          </w:p>
        </w:tc>
        <w:tc>
          <w:tcPr>
            <w:tcW w:w="4063" w:type="pct"/>
          </w:tcPr>
          <w:p w14:paraId="4107AB1C" w14:textId="77777777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 xml:space="preserve">be a </w:t>
            </w:r>
            <w:r w:rsidRPr="00AE0F72">
              <w:rPr>
                <w:b/>
                <w:sz w:val="22"/>
                <w:szCs w:val="22"/>
              </w:rPr>
              <w:t>Workplace Manager</w:t>
            </w:r>
          </w:p>
          <w:p w14:paraId="5E3C1608" w14:textId="77777777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 xml:space="preserve">be a </w:t>
            </w:r>
            <w:r w:rsidRPr="00AE0F72">
              <w:rPr>
                <w:b/>
                <w:sz w:val="22"/>
                <w:szCs w:val="22"/>
              </w:rPr>
              <w:t>Management OHS Nominee</w:t>
            </w:r>
          </w:p>
          <w:p w14:paraId="422607F9" w14:textId="432BDA94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be a Volunteer</w:t>
            </w:r>
            <w:r w:rsidR="005B66DB">
              <w:rPr>
                <w:sz w:val="22"/>
                <w:szCs w:val="22"/>
              </w:rPr>
              <w:t xml:space="preserve"> </w:t>
            </w:r>
          </w:p>
          <w:p w14:paraId="480CB7D8" w14:textId="77777777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be a Contractor</w:t>
            </w:r>
          </w:p>
          <w:p w14:paraId="2AF5B1E3" w14:textId="77777777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be an external union representative (an employee that is also a union representative is allowable)</w:t>
            </w:r>
          </w:p>
          <w:p w14:paraId="2EB611D4" w14:textId="77777777" w:rsidR="004D599E" w:rsidRPr="00AE0F72" w:rsidRDefault="004D599E" w:rsidP="00707AFB">
            <w:pPr>
              <w:pStyle w:val="NormalBullets"/>
              <w:numPr>
                <w:ilvl w:val="0"/>
                <w:numId w:val="36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 xml:space="preserve">be made to implement or manage the workplaces OHS Management System in place of the </w:t>
            </w:r>
            <w:r w:rsidRPr="00AE0F72">
              <w:rPr>
                <w:b/>
                <w:sz w:val="22"/>
                <w:szCs w:val="22"/>
              </w:rPr>
              <w:t>Workplace Manager</w:t>
            </w:r>
            <w:r w:rsidRPr="00AE0F72">
              <w:rPr>
                <w:sz w:val="22"/>
                <w:szCs w:val="22"/>
              </w:rPr>
              <w:t xml:space="preserve"> or the</w:t>
            </w:r>
            <w:r w:rsidRPr="00AE0F72">
              <w:rPr>
                <w:b/>
                <w:sz w:val="22"/>
                <w:szCs w:val="22"/>
              </w:rPr>
              <w:t xml:space="preserve"> Management OHS Nominee</w:t>
            </w:r>
            <w:r w:rsidRPr="00AE0F72">
              <w:rPr>
                <w:sz w:val="22"/>
                <w:szCs w:val="22"/>
              </w:rPr>
              <w:t xml:space="preserve"> (they can agree to work with the management team as long as they receive appropriate time allocation)</w:t>
            </w:r>
          </w:p>
        </w:tc>
      </w:tr>
      <w:tr w:rsidR="004D599E" w:rsidRPr="00AE0F72" w14:paraId="46352753" w14:textId="77777777" w:rsidTr="005B66DB">
        <w:tc>
          <w:tcPr>
            <w:tcW w:w="937" w:type="pct"/>
            <w:shd w:val="clear" w:color="auto" w:fill="9BBB59" w:themeFill="accent3"/>
          </w:tcPr>
          <w:p w14:paraId="6082804A" w14:textId="77777777" w:rsidR="004D599E" w:rsidRPr="00AE0F72" w:rsidRDefault="004D599E" w:rsidP="00EF048A">
            <w:pPr>
              <w:spacing w:before="100" w:beforeAutospacing="1" w:after="100" w:afterAutospacing="1" w:line="276" w:lineRule="auto"/>
              <w:jc w:val="left"/>
              <w:rPr>
                <w:sz w:val="22"/>
                <w:szCs w:val="22"/>
              </w:rPr>
            </w:pPr>
            <w:r w:rsidRPr="00AE0F72">
              <w:rPr>
                <w:b/>
                <w:sz w:val="22"/>
                <w:szCs w:val="22"/>
              </w:rPr>
              <w:t xml:space="preserve">A HSR </w:t>
            </w:r>
            <w:r>
              <w:rPr>
                <w:b/>
                <w:sz w:val="22"/>
                <w:szCs w:val="22"/>
              </w:rPr>
              <w:t>m</w:t>
            </w:r>
            <w:r w:rsidRPr="00AE0F72">
              <w:rPr>
                <w:b/>
                <w:sz w:val="22"/>
                <w:szCs w:val="22"/>
              </w:rPr>
              <w:t>ust</w:t>
            </w:r>
            <w:r>
              <w:rPr>
                <w:b/>
                <w:sz w:val="22"/>
                <w:szCs w:val="22"/>
              </w:rPr>
              <w:t xml:space="preserve"> be given the opportunity to</w:t>
            </w:r>
            <w:r w:rsidRPr="00AE0F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63" w:type="pct"/>
          </w:tcPr>
          <w:p w14:paraId="09807F30" w14:textId="67FCAE74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 xml:space="preserve">attend the WorkSafe Approved </w:t>
            </w:r>
            <w:r w:rsidR="00DE1F94">
              <w:rPr>
                <w:sz w:val="22"/>
                <w:szCs w:val="22"/>
              </w:rPr>
              <w:t>five</w:t>
            </w:r>
            <w:r w:rsidRPr="00AE0F72">
              <w:rPr>
                <w:sz w:val="22"/>
                <w:szCs w:val="22"/>
              </w:rPr>
              <w:t xml:space="preserve"> </w:t>
            </w:r>
            <w:r w:rsidR="00DE1F94">
              <w:rPr>
                <w:sz w:val="22"/>
                <w:szCs w:val="22"/>
              </w:rPr>
              <w:t>day</w:t>
            </w:r>
            <w:r w:rsidRPr="00AE0F72">
              <w:rPr>
                <w:sz w:val="22"/>
                <w:szCs w:val="22"/>
              </w:rPr>
              <w:t xml:space="preserve"> Health and Safety Training and annual </w:t>
            </w:r>
            <w:r>
              <w:rPr>
                <w:sz w:val="22"/>
                <w:szCs w:val="22"/>
              </w:rPr>
              <w:t>one</w:t>
            </w:r>
            <w:r w:rsidRPr="00AE0F72">
              <w:rPr>
                <w:sz w:val="22"/>
                <w:szCs w:val="22"/>
              </w:rPr>
              <w:t>-day refresher</w:t>
            </w:r>
          </w:p>
          <w:p w14:paraId="219C01EC" w14:textId="77777777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participate in health and safety training relevant to their role and as per their entitlements under OHS legislation</w:t>
            </w:r>
          </w:p>
          <w:p w14:paraId="79027806" w14:textId="54D963D5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represent their DWG in local health and safety communication and consultation processes</w:t>
            </w:r>
          </w:p>
          <w:p w14:paraId="6EC36E58" w14:textId="77777777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in </w:t>
            </w:r>
            <w:r w:rsidRPr="00AE0F7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esolving</w:t>
            </w:r>
            <w:r w:rsidRPr="00AE0F72">
              <w:rPr>
                <w:sz w:val="22"/>
                <w:szCs w:val="22"/>
              </w:rPr>
              <w:t xml:space="preserve"> local health, safety issues using the OHS issue resolution process</w:t>
            </w:r>
          </w:p>
          <w:p w14:paraId="5A6D2306" w14:textId="77777777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in </w:t>
            </w:r>
            <w:r w:rsidRPr="00AE0F7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articipating</w:t>
            </w:r>
            <w:r w:rsidRPr="00AE0F72">
              <w:rPr>
                <w:sz w:val="22"/>
                <w:szCs w:val="22"/>
              </w:rPr>
              <w:t xml:space="preserve"> in workplace inspections, including visits by WorkSafe Victoria inspectors and inspections following a, near miss or identification of an immediate risk</w:t>
            </w:r>
          </w:p>
          <w:p w14:paraId="27E57D2A" w14:textId="77777777" w:rsidR="004D599E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be present at interviews concerning OHS matters between DWG members and employer or inspector, if the member consents</w:t>
            </w:r>
          </w:p>
          <w:p w14:paraId="29FF81E3" w14:textId="28BCFF63" w:rsidR="004D599E" w:rsidRPr="00AE0F72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 xml:space="preserve">be a member of the </w:t>
            </w:r>
            <w:r w:rsidR="00C621F8">
              <w:rPr>
                <w:sz w:val="22"/>
                <w:szCs w:val="22"/>
              </w:rPr>
              <w:t>Health and Safety Committee</w:t>
            </w:r>
            <w:r w:rsidRPr="00AE0F72">
              <w:rPr>
                <w:sz w:val="22"/>
                <w:szCs w:val="22"/>
              </w:rPr>
              <w:t xml:space="preserve"> (where applicable)</w:t>
            </w:r>
          </w:p>
          <w:p w14:paraId="4A269BD5" w14:textId="4C80B199" w:rsidR="004D599E" w:rsidRPr="00301E2E" w:rsidRDefault="004D599E" w:rsidP="00707AFB">
            <w:pPr>
              <w:pStyle w:val="NormalBullets"/>
              <w:numPr>
                <w:ilvl w:val="0"/>
                <w:numId w:val="38"/>
              </w:numPr>
              <w:spacing w:before="60" w:after="60" w:line="276" w:lineRule="auto"/>
              <w:ind w:left="357" w:hanging="357"/>
              <w:jc w:val="left"/>
              <w:rPr>
                <w:sz w:val="22"/>
                <w:szCs w:val="22"/>
              </w:rPr>
            </w:pPr>
            <w:r w:rsidRPr="00AE0F72">
              <w:rPr>
                <w:sz w:val="22"/>
                <w:szCs w:val="22"/>
              </w:rPr>
              <w:t>assist in complying with the requireme</w:t>
            </w:r>
            <w:r w:rsidR="00C25374">
              <w:rPr>
                <w:sz w:val="22"/>
                <w:szCs w:val="22"/>
              </w:rPr>
              <w:t>nts of OHS legal notices (e.g. P</w:t>
            </w:r>
            <w:r w:rsidRPr="00AE0F72">
              <w:rPr>
                <w:sz w:val="22"/>
                <w:szCs w:val="22"/>
              </w:rPr>
              <w:t xml:space="preserve">rovisional Improvement Notices (PIN), Improvement Notices and </w:t>
            </w:r>
            <w:r>
              <w:rPr>
                <w:sz w:val="22"/>
                <w:szCs w:val="22"/>
              </w:rPr>
              <w:t>P</w:t>
            </w:r>
            <w:r w:rsidRPr="00AE0F72">
              <w:rPr>
                <w:sz w:val="22"/>
                <w:szCs w:val="22"/>
              </w:rPr>
              <w:t>rohibition Notices)</w:t>
            </w:r>
          </w:p>
        </w:tc>
      </w:tr>
    </w:tbl>
    <w:p w14:paraId="476EFC1A" w14:textId="035CCE1E" w:rsidR="005B66DB" w:rsidRPr="00382965" w:rsidRDefault="005B66DB" w:rsidP="00707AFB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HSR and Deputy HSR Training</w:t>
      </w:r>
    </w:p>
    <w:p w14:paraId="31D8A41B" w14:textId="48E10A61" w:rsidR="00B65F90" w:rsidRDefault="00B65F90" w:rsidP="00707AFB">
      <w:pPr>
        <w:jc w:val="left"/>
      </w:pPr>
      <w:r>
        <w:t>The Workplace Manager is to ensure that the newly elected HSR/DHSR is provided with information about attend</w:t>
      </w:r>
      <w:r w:rsidR="00F7373B">
        <w:t>ing</w:t>
      </w:r>
      <w:r>
        <w:t xml:space="preserve"> </w:t>
      </w:r>
      <w:r w:rsidR="00F7373B">
        <w:t xml:space="preserve">the </w:t>
      </w:r>
      <w:r>
        <w:t xml:space="preserve">WorkSafe approved </w:t>
      </w:r>
      <w:r w:rsidR="005B66DB">
        <w:t>five</w:t>
      </w:r>
      <w:r>
        <w:t xml:space="preserve"> day HSR training event and </w:t>
      </w:r>
      <w:r w:rsidR="00F7373B">
        <w:lastRenderedPageBreak/>
        <w:t xml:space="preserve">subsequent </w:t>
      </w:r>
      <w:r>
        <w:t>annual HSR refresher training. Records are to be maintained about the provision of this information to the HSR/DHSR.</w:t>
      </w:r>
    </w:p>
    <w:p w14:paraId="634FCFAA" w14:textId="4A00DF05" w:rsidR="004D599E" w:rsidRPr="005B32E7" w:rsidRDefault="00B65F90" w:rsidP="00707AFB">
      <w:pPr>
        <w:jc w:val="left"/>
      </w:pPr>
      <w:r>
        <w:t xml:space="preserve">The HSR/DHSR request to attend training must be made at least </w:t>
      </w:r>
      <w:r w:rsidR="005B66DB">
        <w:t>fourteen</w:t>
      </w:r>
      <w:r>
        <w:t xml:space="preserve"> days befo</w:t>
      </w:r>
      <w:r w:rsidR="00625F31">
        <w:t>re the training is due to start and, if so requested, t</w:t>
      </w:r>
      <w:r w:rsidR="004D599E">
        <w:t>he Workplace Manager must</w:t>
      </w:r>
      <w:r w:rsidR="00625F31">
        <w:t xml:space="preserve"> </w:t>
      </w:r>
      <w:r w:rsidR="004D599E">
        <w:t xml:space="preserve">allow the elected HSR and </w:t>
      </w:r>
      <w:r w:rsidR="00A8414B">
        <w:t>D</w:t>
      </w:r>
      <w:r w:rsidR="004D599E">
        <w:t>HSR</w:t>
      </w:r>
      <w:r w:rsidR="00625F31">
        <w:t xml:space="preserve"> to</w:t>
      </w:r>
      <w:r w:rsidR="004D599E">
        <w:t xml:space="preserve"> attend the WorkSafe approved training</w:t>
      </w:r>
      <w:r w:rsidR="00625F31">
        <w:t>.</w:t>
      </w:r>
    </w:p>
    <w:p w14:paraId="07DEA373" w14:textId="13AF6F75" w:rsidR="004D599E" w:rsidRPr="001D32F3" w:rsidRDefault="004D599E" w:rsidP="00707AFB">
      <w:pPr>
        <w:jc w:val="left"/>
      </w:pPr>
      <w:r>
        <w:t>D</w:t>
      </w:r>
      <w:r w:rsidR="005B66DB">
        <w:t>epartment</w:t>
      </w:r>
      <w:r>
        <w:t xml:space="preserve"> workplaces must give the HSR paid time off work to attend the course and must cover the cost of the course.</w:t>
      </w:r>
    </w:p>
    <w:p w14:paraId="18E1188A" w14:textId="6EC84843" w:rsidR="005B66DB" w:rsidRPr="00382965" w:rsidRDefault="005B66DB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Term of Office for HSR/DHSR</w:t>
      </w:r>
    </w:p>
    <w:p w14:paraId="6797CE91" w14:textId="5043295E" w:rsidR="004D599E" w:rsidRPr="00AE0F72" w:rsidRDefault="004D599E" w:rsidP="00DA0DF7">
      <w:pPr>
        <w:jc w:val="left"/>
        <w:rPr>
          <w:i/>
        </w:rPr>
      </w:pPr>
      <w:r w:rsidRPr="00AE0F72">
        <w:t xml:space="preserve">A </w:t>
      </w:r>
      <w:r w:rsidR="00FB3900">
        <w:t>HSR</w:t>
      </w:r>
      <w:r w:rsidRPr="00AE0F72">
        <w:t xml:space="preserve"> for a DWG holds office for a period of three years. After this </w:t>
      </w:r>
      <w:r w:rsidR="005B66DB" w:rsidRPr="00AE0F72">
        <w:t>period,</w:t>
      </w:r>
      <w:r w:rsidRPr="00AE0F72">
        <w:t xml:space="preserve"> the </w:t>
      </w:r>
      <w:r w:rsidRPr="00AE0F72">
        <w:rPr>
          <w:b/>
        </w:rPr>
        <w:t>Workplace Manager</w:t>
      </w:r>
      <w:r w:rsidRPr="00AE0F72">
        <w:t xml:space="preserve"> is to instigate the election process again as per the Health and Safety Representative Election flowchart.</w:t>
      </w:r>
      <w:r w:rsidRPr="00AE0F72">
        <w:rPr>
          <w:i/>
        </w:rPr>
        <w:t xml:space="preserve"> </w:t>
      </w:r>
      <w:r w:rsidRPr="00AE0F72">
        <w:t>However,</w:t>
      </w:r>
      <w:r w:rsidRPr="00AE0F72">
        <w:rPr>
          <w:i/>
        </w:rPr>
        <w:t xml:space="preserve"> </w:t>
      </w:r>
      <w:r w:rsidRPr="00AE0F72">
        <w:t>an election may be held prior to the three-year period expiring if:</w:t>
      </w:r>
    </w:p>
    <w:p w14:paraId="45DC747B" w14:textId="77777777" w:rsidR="004D599E" w:rsidRPr="00AE0F72" w:rsidRDefault="004D599E" w:rsidP="006B6BA7">
      <w:pPr>
        <w:pStyle w:val="NormalBullets"/>
        <w:numPr>
          <w:ilvl w:val="0"/>
          <w:numId w:val="39"/>
        </w:numPr>
        <w:spacing w:before="60" w:after="60"/>
        <w:ind w:left="568" w:hanging="568"/>
        <w:jc w:val="left"/>
      </w:pPr>
      <w:r w:rsidRPr="00AE0F72">
        <w:t>the current HSR transfers to another DWG or leaves employment</w:t>
      </w:r>
    </w:p>
    <w:p w14:paraId="356D6A6D" w14:textId="77777777" w:rsidR="004D599E" w:rsidRPr="00AE0F72" w:rsidRDefault="004D599E" w:rsidP="006B6BA7">
      <w:pPr>
        <w:pStyle w:val="NormalBullets"/>
        <w:numPr>
          <w:ilvl w:val="0"/>
          <w:numId w:val="39"/>
        </w:numPr>
        <w:spacing w:before="60" w:after="60"/>
        <w:ind w:left="568" w:hanging="568"/>
        <w:jc w:val="left"/>
      </w:pPr>
      <w:r w:rsidRPr="00AE0F72">
        <w:t>the HSR resigns from their position</w:t>
      </w:r>
    </w:p>
    <w:p w14:paraId="4198A5F9" w14:textId="344914FF" w:rsidR="004D599E" w:rsidRPr="00AE0F72" w:rsidRDefault="004D599E" w:rsidP="006B6BA7">
      <w:pPr>
        <w:pStyle w:val="NormalBullets"/>
        <w:numPr>
          <w:ilvl w:val="0"/>
          <w:numId w:val="39"/>
        </w:numPr>
        <w:spacing w:before="60" w:after="60"/>
        <w:ind w:left="568" w:hanging="568"/>
        <w:jc w:val="left"/>
      </w:pPr>
      <w:r w:rsidRPr="00AE0F72">
        <w:t xml:space="preserve">after a minimum of </w:t>
      </w:r>
      <w:r w:rsidR="005B66DB">
        <w:t>twelve</w:t>
      </w:r>
      <w:r w:rsidRPr="00AE0F72">
        <w:t xml:space="preserve"> months the majority of the members of the DWG resolve in writing that the HSR no longer represent them</w:t>
      </w:r>
    </w:p>
    <w:p w14:paraId="18241B26" w14:textId="77777777" w:rsidR="004D599E" w:rsidRPr="00AE0F72" w:rsidRDefault="004D599E" w:rsidP="006B6BA7">
      <w:pPr>
        <w:pStyle w:val="NormalBullets"/>
        <w:numPr>
          <w:ilvl w:val="0"/>
          <w:numId w:val="39"/>
        </w:numPr>
        <w:spacing w:before="60" w:after="60"/>
        <w:ind w:left="568" w:hanging="568"/>
        <w:jc w:val="left"/>
      </w:pPr>
      <w:r w:rsidRPr="00AE0F72">
        <w:t>there is a variation or change to the composition of a DWG due to organisational change or restructure</w:t>
      </w:r>
    </w:p>
    <w:p w14:paraId="3C32448A" w14:textId="38EF974E" w:rsidR="004D599E" w:rsidRPr="00F7373B" w:rsidRDefault="004D599E" w:rsidP="006B6BA7">
      <w:pPr>
        <w:pStyle w:val="NormalBullets"/>
        <w:numPr>
          <w:ilvl w:val="0"/>
          <w:numId w:val="39"/>
        </w:numPr>
        <w:spacing w:before="60" w:after="60"/>
        <w:ind w:left="568" w:hanging="568"/>
        <w:jc w:val="left"/>
      </w:pPr>
      <w:r w:rsidRPr="00AE0F72">
        <w:t>dis</w:t>
      </w:r>
      <w:r w:rsidR="005B66DB">
        <w:t>qualification of a HSR under S</w:t>
      </w:r>
      <w:r w:rsidR="001E520C">
        <w:t xml:space="preserve">ection </w:t>
      </w:r>
      <w:r w:rsidRPr="00AE0F72">
        <w:t xml:space="preserve">56 of the </w:t>
      </w:r>
      <w:r w:rsidR="00F7373B">
        <w:t>OHS</w:t>
      </w:r>
      <w:r w:rsidRPr="00EF048A">
        <w:t xml:space="preserve"> Act 2004.</w:t>
      </w:r>
    </w:p>
    <w:p w14:paraId="11FF45BE" w14:textId="09DDB726" w:rsidR="005B66DB" w:rsidRPr="00382965" w:rsidRDefault="005B66DB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Providing HSR time to perform their functions and powers</w:t>
      </w:r>
    </w:p>
    <w:p w14:paraId="6971420D" w14:textId="77777777" w:rsidR="004D599E" w:rsidRPr="00AE0F72" w:rsidRDefault="004D599E" w:rsidP="00DA0DF7">
      <w:pPr>
        <w:jc w:val="left"/>
      </w:pPr>
      <w:r w:rsidRPr="00AE0F72">
        <w:t xml:space="preserve">The </w:t>
      </w:r>
      <w:r w:rsidRPr="00EF048A">
        <w:t>Workplace Manager</w:t>
      </w:r>
      <w:r w:rsidRPr="00AE0F72">
        <w:t xml:space="preserve"> is to allow a HSR to spend a reasonable amount of time as deemed necessary to carry out their HSR duties. The amount of time allocated</w:t>
      </w:r>
      <w:r>
        <w:t xml:space="preserve"> for a HSR</w:t>
      </w:r>
      <w:r w:rsidRPr="00AE0F72">
        <w:t xml:space="preserve"> to perform their role will vary between workplaces.</w:t>
      </w:r>
    </w:p>
    <w:p w14:paraId="38FFC98F" w14:textId="337A5541" w:rsidR="004D599E" w:rsidRPr="00AE0F72" w:rsidRDefault="004D599E" w:rsidP="00DA0DF7">
      <w:pPr>
        <w:jc w:val="left"/>
      </w:pPr>
      <w:r w:rsidRPr="00AE0F72">
        <w:t xml:space="preserve">The HSR and the </w:t>
      </w:r>
      <w:r w:rsidRPr="00EF048A">
        <w:t>Workplace Manager</w:t>
      </w:r>
      <w:r w:rsidRPr="00F7373B">
        <w:t xml:space="preserve"> </w:t>
      </w:r>
      <w:r w:rsidRPr="00AE0F72">
        <w:t>are to</w:t>
      </w:r>
      <w:r w:rsidR="00F7373B">
        <w:t xml:space="preserve"> discuss and</w:t>
      </w:r>
      <w:r w:rsidRPr="00AE0F72">
        <w:t xml:space="preserve"> agree on </w:t>
      </w:r>
      <w:r w:rsidR="00F7373B">
        <w:t xml:space="preserve">the </w:t>
      </w:r>
      <w:r w:rsidRPr="00AE0F72">
        <w:t xml:space="preserve">amount of time needed to perform any anticipated HSR </w:t>
      </w:r>
      <w:r w:rsidR="00F7373B">
        <w:t>functions</w:t>
      </w:r>
      <w:r w:rsidRPr="00AE0F72">
        <w:t>. When agreeing on how much time is needed for a HSR to fulfil their role, parties should consider:</w:t>
      </w:r>
    </w:p>
    <w:p w14:paraId="47E44ED0" w14:textId="77777777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>the type of work or proposed work in the workplace</w:t>
      </w:r>
    </w:p>
    <w:p w14:paraId="1CB04F91" w14:textId="77777777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>the level of risk involved in the work</w:t>
      </w:r>
    </w:p>
    <w:p w14:paraId="32E92486" w14:textId="77777777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>the effectiveness of risk controls</w:t>
      </w:r>
    </w:p>
    <w:p w14:paraId="352B0105" w14:textId="77777777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>the individual needs of employees in the DWG, including:</w:t>
      </w:r>
    </w:p>
    <w:p w14:paraId="4DD2FC93" w14:textId="77777777" w:rsidR="004D599E" w:rsidRPr="00AE0F72" w:rsidRDefault="004D599E" w:rsidP="006B6BA7">
      <w:pPr>
        <w:pStyle w:val="NormalBullets"/>
        <w:numPr>
          <w:ilvl w:val="2"/>
          <w:numId w:val="40"/>
        </w:numPr>
        <w:spacing w:before="60" w:after="60"/>
        <w:ind w:left="1701" w:hanging="567"/>
        <w:jc w:val="left"/>
      </w:pPr>
      <w:r w:rsidRPr="00AE0F72">
        <w:t>employees with language barriers</w:t>
      </w:r>
    </w:p>
    <w:p w14:paraId="3230727D" w14:textId="77777777" w:rsidR="004D599E" w:rsidRPr="00AE0F72" w:rsidRDefault="004D599E" w:rsidP="006B6BA7">
      <w:pPr>
        <w:pStyle w:val="NormalBullets"/>
        <w:numPr>
          <w:ilvl w:val="2"/>
          <w:numId w:val="40"/>
        </w:numPr>
        <w:spacing w:before="60" w:after="60"/>
        <w:ind w:left="1701" w:hanging="567"/>
        <w:jc w:val="left"/>
      </w:pPr>
      <w:r w:rsidRPr="00AE0F72">
        <w:t>employees with disabilities</w:t>
      </w:r>
    </w:p>
    <w:p w14:paraId="07A4EC25" w14:textId="77777777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>attendance at meetings, for example, Health and Safety Committee meetings, OHS working group meetings</w:t>
      </w:r>
    </w:p>
    <w:p w14:paraId="5D040CE6" w14:textId="77256F7A" w:rsidR="004D599E" w:rsidRPr="00AE0F72" w:rsidRDefault="004D599E" w:rsidP="006B6BA7">
      <w:pPr>
        <w:pStyle w:val="NormalBullets"/>
        <w:numPr>
          <w:ilvl w:val="0"/>
          <w:numId w:val="40"/>
        </w:numPr>
        <w:spacing w:before="60" w:after="60"/>
        <w:ind w:left="567" w:hanging="567"/>
        <w:jc w:val="left"/>
      </w:pPr>
      <w:r w:rsidRPr="00AE0F72">
        <w:t xml:space="preserve">the size and complexity of the </w:t>
      </w:r>
      <w:r w:rsidR="00F7373B">
        <w:t>DWG</w:t>
      </w:r>
    </w:p>
    <w:p w14:paraId="7F6FBC00" w14:textId="5D4CC1B7" w:rsidR="004D599E" w:rsidRPr="00AE0F72" w:rsidRDefault="004D599E" w:rsidP="00DA0DF7">
      <w:pPr>
        <w:pStyle w:val="NormalBullets"/>
        <w:numPr>
          <w:ilvl w:val="0"/>
          <w:numId w:val="40"/>
        </w:numPr>
        <w:spacing w:before="60" w:after="60"/>
        <w:ind w:left="567" w:hanging="283"/>
        <w:jc w:val="left"/>
      </w:pPr>
      <w:r w:rsidRPr="00AE0F72">
        <w:t>the size and complexity of the workplace</w:t>
      </w:r>
    </w:p>
    <w:p w14:paraId="7C8C5424" w14:textId="77777777" w:rsidR="004D599E" w:rsidRPr="00AE0F72" w:rsidRDefault="004D599E" w:rsidP="00DA0DF7">
      <w:pPr>
        <w:pStyle w:val="NormalBullets"/>
        <w:numPr>
          <w:ilvl w:val="0"/>
          <w:numId w:val="40"/>
        </w:numPr>
        <w:spacing w:before="60" w:after="60"/>
        <w:ind w:left="567" w:hanging="283"/>
        <w:jc w:val="left"/>
      </w:pPr>
      <w:r w:rsidRPr="00AE0F72">
        <w:t xml:space="preserve">the number of HSRs in the workplace and in the </w:t>
      </w:r>
      <w:r>
        <w:t>DWG.</w:t>
      </w:r>
    </w:p>
    <w:p w14:paraId="4E4AE85C" w14:textId="0C590BDD" w:rsidR="00DB5E98" w:rsidRPr="00382965" w:rsidRDefault="00DB5E98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HSR involvement in workplace inspections</w:t>
      </w:r>
    </w:p>
    <w:p w14:paraId="4C035223" w14:textId="77777777" w:rsidR="004D599E" w:rsidRPr="00AE0F72" w:rsidRDefault="004D599E" w:rsidP="00DA0DF7">
      <w:pPr>
        <w:jc w:val="left"/>
        <w:rPr>
          <w:lang w:val="en-US"/>
        </w:rPr>
      </w:pPr>
      <w:r w:rsidRPr="00AE0F72">
        <w:rPr>
          <w:lang w:val="en-US"/>
        </w:rPr>
        <w:t>Upon request, the workplace must</w:t>
      </w:r>
      <w:r>
        <w:rPr>
          <w:lang w:val="en-US"/>
        </w:rPr>
        <w:t xml:space="preserve"> allow a HSR to participate in w</w:t>
      </w:r>
      <w:r w:rsidRPr="00AE0F72">
        <w:rPr>
          <w:lang w:val="en-US"/>
        </w:rPr>
        <w:t xml:space="preserve">orkplace </w:t>
      </w:r>
      <w:r>
        <w:rPr>
          <w:lang w:val="en-US"/>
        </w:rPr>
        <w:t>i</w:t>
      </w:r>
      <w:r w:rsidRPr="00AE0F72">
        <w:rPr>
          <w:lang w:val="en-US"/>
        </w:rPr>
        <w:t xml:space="preserve">nspections. These inspections can take various forms, including: </w:t>
      </w:r>
    </w:p>
    <w:p w14:paraId="3672F13E" w14:textId="77777777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>regular inspections of the workplace</w:t>
      </w:r>
    </w:p>
    <w:p w14:paraId="729D99E8" w14:textId="77777777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>regular inspections of particular activities or processes</w:t>
      </w:r>
    </w:p>
    <w:p w14:paraId="232656F0" w14:textId="211DF70F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 xml:space="preserve">specific inspections arising from complaints or concerns by members of the </w:t>
      </w:r>
      <w:r w:rsidR="00F7373B">
        <w:rPr>
          <w:lang w:val="en-US"/>
        </w:rPr>
        <w:t>DWG</w:t>
      </w:r>
    </w:p>
    <w:p w14:paraId="10E20032" w14:textId="77777777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>inspections before and following substantial change to the workplace</w:t>
      </w:r>
    </w:p>
    <w:p w14:paraId="492E2AD2" w14:textId="77777777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>inspections after an incident, injury or near miss</w:t>
      </w:r>
    </w:p>
    <w:p w14:paraId="0B2D9E06" w14:textId="77777777" w:rsidR="004D599E" w:rsidRPr="00A43F3F" w:rsidRDefault="004D599E" w:rsidP="006B6BA7">
      <w:pPr>
        <w:pStyle w:val="ListParagraph"/>
        <w:numPr>
          <w:ilvl w:val="0"/>
          <w:numId w:val="41"/>
        </w:numPr>
        <w:spacing w:before="60" w:after="60"/>
        <w:ind w:left="709" w:hanging="709"/>
        <w:contextualSpacing w:val="0"/>
        <w:jc w:val="left"/>
        <w:rPr>
          <w:lang w:val="en-US"/>
        </w:rPr>
      </w:pPr>
      <w:r w:rsidRPr="00A43F3F">
        <w:rPr>
          <w:lang w:val="en-US"/>
        </w:rPr>
        <w:t>Inspections conducted by a WorkSafe Inspector.</w:t>
      </w:r>
    </w:p>
    <w:p w14:paraId="7013F696" w14:textId="2D575A1A" w:rsidR="004D599E" w:rsidRPr="00AE0F72" w:rsidRDefault="004D599E" w:rsidP="00DA0DF7">
      <w:pPr>
        <w:jc w:val="left"/>
      </w:pPr>
      <w:r>
        <w:rPr>
          <w:lang w:val="en-US"/>
        </w:rPr>
        <w:t>A HSR</w:t>
      </w:r>
      <w:r w:rsidRPr="00AE0F72">
        <w:rPr>
          <w:lang w:val="en-US"/>
        </w:rPr>
        <w:t xml:space="preserve"> may choose to conduct inspections on their own</w:t>
      </w:r>
      <w:r>
        <w:rPr>
          <w:lang w:val="en-US"/>
        </w:rPr>
        <w:t>,</w:t>
      </w:r>
      <w:r w:rsidRPr="00AE0F72">
        <w:rPr>
          <w:lang w:val="en-US"/>
        </w:rPr>
        <w:t xml:space="preserve"> or jointly</w:t>
      </w:r>
      <w:r>
        <w:rPr>
          <w:lang w:val="en-US"/>
        </w:rPr>
        <w:t>,</w:t>
      </w:r>
      <w:r w:rsidRPr="00AE0F72">
        <w:rPr>
          <w:lang w:val="en-US"/>
        </w:rPr>
        <w:t xml:space="preserve"> with a management representative. During the </w:t>
      </w:r>
      <w:r w:rsidR="00DB5E98" w:rsidRPr="00AE0F72">
        <w:rPr>
          <w:lang w:val="en-US"/>
        </w:rPr>
        <w:t>inspection,</w:t>
      </w:r>
      <w:r w:rsidRPr="00AE0F72">
        <w:rPr>
          <w:lang w:val="en-US"/>
        </w:rPr>
        <w:t xml:space="preserve"> t</w:t>
      </w:r>
      <w:r w:rsidRPr="00AE0F72">
        <w:t xml:space="preserve">he HSR is entitled to discuss health and safety issues with the employees in their </w:t>
      </w:r>
      <w:r>
        <w:t>DWG</w:t>
      </w:r>
      <w:r w:rsidRPr="00AE0F72">
        <w:t>.</w:t>
      </w:r>
    </w:p>
    <w:p w14:paraId="59B4FB94" w14:textId="29363A90" w:rsidR="00DB5E98" w:rsidRPr="00382965" w:rsidRDefault="00DB5E98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Provisional Improvement Notices</w:t>
      </w:r>
    </w:p>
    <w:p w14:paraId="01A40F86" w14:textId="0E584618" w:rsidR="004D599E" w:rsidRPr="00AE0F72" w:rsidRDefault="004D599E" w:rsidP="00DA0DF7">
      <w:pPr>
        <w:jc w:val="left"/>
        <w:rPr>
          <w:lang w:eastAsia="ko-KR"/>
        </w:rPr>
      </w:pPr>
      <w:r w:rsidRPr="00AE0F72">
        <w:rPr>
          <w:lang w:eastAsia="ko-KR"/>
        </w:rPr>
        <w:t>A Provisional Improvement Notice (PIN) can only be issued by a HSR after consulting with the person responsible for a breach</w:t>
      </w:r>
      <w:r w:rsidR="00F7373B">
        <w:rPr>
          <w:lang w:eastAsia="ko-KR"/>
        </w:rPr>
        <w:t>,</w:t>
      </w:r>
      <w:r w:rsidRPr="00AE0F72">
        <w:rPr>
          <w:lang w:eastAsia="ko-KR"/>
        </w:rPr>
        <w:t xml:space="preserve"> or likely breach of the legislation.</w:t>
      </w:r>
      <w:r>
        <w:rPr>
          <w:lang w:eastAsia="ko-KR"/>
        </w:rPr>
        <w:t xml:space="preserve"> </w:t>
      </w:r>
      <w:r w:rsidRPr="00AE0F72">
        <w:rPr>
          <w:lang w:eastAsia="ko-KR"/>
        </w:rPr>
        <w:t xml:space="preserve">Breaches may include, but are not limited to: </w:t>
      </w:r>
    </w:p>
    <w:p w14:paraId="0DF442BA" w14:textId="77777777" w:rsidR="004D599E" w:rsidRPr="00AE0F72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lang w:eastAsia="ko-KR"/>
        </w:rPr>
      </w:pPr>
      <w:r w:rsidRPr="00AE0F72">
        <w:rPr>
          <w:lang w:eastAsia="ko-KR"/>
        </w:rPr>
        <w:t>excessive noise levels in the workplace</w:t>
      </w:r>
    </w:p>
    <w:p w14:paraId="6EB09224" w14:textId="77777777" w:rsidR="004D599E" w:rsidRPr="00AE0F72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lang w:eastAsia="ko-KR"/>
        </w:rPr>
      </w:pPr>
      <w:r w:rsidRPr="00AE0F72">
        <w:rPr>
          <w:lang w:eastAsia="ko-KR"/>
        </w:rPr>
        <w:t>high levels of employee stress</w:t>
      </w:r>
    </w:p>
    <w:p w14:paraId="06E359BE" w14:textId="77777777" w:rsidR="004D599E" w:rsidRPr="00AE0F72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lang w:eastAsia="ko-KR"/>
        </w:rPr>
      </w:pPr>
      <w:r w:rsidRPr="00AE0F72">
        <w:rPr>
          <w:lang w:eastAsia="ko-KR"/>
        </w:rPr>
        <w:t>a requirement to manually lift heavy objects</w:t>
      </w:r>
    </w:p>
    <w:p w14:paraId="5AF6840C" w14:textId="77777777" w:rsidR="004D599E" w:rsidRPr="00AE0F72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lang w:eastAsia="ko-KR"/>
        </w:rPr>
      </w:pPr>
      <w:r w:rsidRPr="00AE0F72">
        <w:rPr>
          <w:lang w:eastAsia="ko-KR"/>
        </w:rPr>
        <w:t>exposure to chemicals used in the workplace</w:t>
      </w:r>
    </w:p>
    <w:p w14:paraId="3E3498C6" w14:textId="77777777" w:rsidR="004D599E" w:rsidRPr="00AE0F72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lang w:eastAsia="ko-KR"/>
        </w:rPr>
      </w:pPr>
      <w:r w:rsidRPr="00AE0F72">
        <w:rPr>
          <w:lang w:eastAsia="ko-KR"/>
        </w:rPr>
        <w:t>unguarded machines</w:t>
      </w:r>
    </w:p>
    <w:p w14:paraId="02D5CAA9" w14:textId="77777777" w:rsidR="004D599E" w:rsidRPr="00A43F3F" w:rsidRDefault="004D599E" w:rsidP="006B6BA7">
      <w:pPr>
        <w:pStyle w:val="ListParagraph"/>
        <w:numPr>
          <w:ilvl w:val="0"/>
          <w:numId w:val="29"/>
        </w:numPr>
        <w:tabs>
          <w:tab w:val="num" w:pos="709"/>
        </w:tabs>
        <w:spacing w:before="60" w:after="60"/>
        <w:ind w:left="1135" w:hanging="1135"/>
        <w:contextualSpacing w:val="0"/>
        <w:jc w:val="left"/>
        <w:rPr>
          <w:rFonts w:eastAsia="Batang"/>
          <w:lang w:eastAsia="ko-KR"/>
        </w:rPr>
      </w:pPr>
      <w:r w:rsidRPr="00A43F3F">
        <w:rPr>
          <w:rFonts w:eastAsia="Batang"/>
          <w:lang w:eastAsia="ko-KR"/>
        </w:rPr>
        <w:t xml:space="preserve">inadequate </w:t>
      </w:r>
      <w:r w:rsidRPr="00A43F3F">
        <w:rPr>
          <w:lang w:val="en-US"/>
        </w:rPr>
        <w:t>workplace amenities for and/or working environment.</w:t>
      </w:r>
    </w:p>
    <w:p w14:paraId="5ECC69FE" w14:textId="77777777" w:rsidR="004D599E" w:rsidRPr="00AE0F72" w:rsidRDefault="004D599E" w:rsidP="00DA0DF7">
      <w:pPr>
        <w:ind w:left="357" w:hanging="357"/>
        <w:jc w:val="left"/>
        <w:rPr>
          <w:lang w:eastAsia="ko-KR"/>
        </w:rPr>
      </w:pPr>
      <w:r w:rsidRPr="00AE0F72">
        <w:rPr>
          <w:lang w:eastAsia="ko-KR"/>
        </w:rPr>
        <w:t>The PIN must include:</w:t>
      </w:r>
    </w:p>
    <w:p w14:paraId="630B22BF" w14:textId="77777777" w:rsidR="004D599E" w:rsidRPr="00AE0F72" w:rsidRDefault="004D599E" w:rsidP="006B6BA7">
      <w:pPr>
        <w:pStyle w:val="ListParagraph"/>
        <w:numPr>
          <w:ilvl w:val="0"/>
          <w:numId w:val="30"/>
        </w:numPr>
        <w:tabs>
          <w:tab w:val="num" w:pos="709"/>
        </w:tabs>
        <w:spacing w:before="60" w:after="60"/>
        <w:ind w:left="1134" w:hanging="1134"/>
        <w:contextualSpacing w:val="0"/>
        <w:jc w:val="left"/>
        <w:rPr>
          <w:lang w:eastAsia="ko-KR"/>
        </w:rPr>
      </w:pPr>
      <w:r w:rsidRPr="00AE0F72">
        <w:rPr>
          <w:lang w:eastAsia="ko-KR"/>
        </w:rPr>
        <w:t>the HSR’s belief as to what the breach or likely breach is</w:t>
      </w:r>
    </w:p>
    <w:p w14:paraId="3D40D254" w14:textId="2CA178C4" w:rsidR="004D599E" w:rsidRPr="00AE0F72" w:rsidRDefault="004D599E" w:rsidP="0095721B">
      <w:pPr>
        <w:pStyle w:val="ListParagraph"/>
        <w:numPr>
          <w:ilvl w:val="0"/>
          <w:numId w:val="30"/>
        </w:numPr>
        <w:tabs>
          <w:tab w:val="num" w:pos="709"/>
        </w:tabs>
        <w:spacing w:before="60" w:after="60"/>
        <w:ind w:left="709" w:hanging="709"/>
        <w:contextualSpacing w:val="0"/>
        <w:jc w:val="left"/>
        <w:rPr>
          <w:lang w:eastAsia="ko-KR"/>
        </w:rPr>
      </w:pPr>
      <w:r>
        <w:rPr>
          <w:lang w:eastAsia="ko-KR"/>
        </w:rPr>
        <w:t>the section of the</w:t>
      </w:r>
      <w:r w:rsidRPr="00A43F3F">
        <w:rPr>
          <w:i/>
        </w:rPr>
        <w:t xml:space="preserve"> </w:t>
      </w:r>
      <w:r w:rsidR="00F7373B" w:rsidRPr="00EF048A">
        <w:t>OHS</w:t>
      </w:r>
      <w:r w:rsidRPr="00EF048A">
        <w:t xml:space="preserve"> Act 2004</w:t>
      </w:r>
      <w:r w:rsidRPr="00A43F3F">
        <w:rPr>
          <w:i/>
        </w:rPr>
        <w:t xml:space="preserve"> </w:t>
      </w:r>
      <w:r w:rsidRPr="00AE0F72">
        <w:rPr>
          <w:lang w:eastAsia="ko-KR"/>
        </w:rPr>
        <w:t xml:space="preserve">or </w:t>
      </w:r>
      <w:r w:rsidR="0095721B">
        <w:rPr>
          <w:lang w:eastAsia="ko-KR"/>
        </w:rPr>
        <w:t xml:space="preserve">OHS </w:t>
      </w:r>
      <w:r w:rsidRPr="00AE0F72">
        <w:rPr>
          <w:lang w:eastAsia="ko-KR"/>
        </w:rPr>
        <w:t>Regulations</w:t>
      </w:r>
      <w:r w:rsidR="0095721B">
        <w:rPr>
          <w:lang w:eastAsia="ko-KR"/>
        </w:rPr>
        <w:t xml:space="preserve"> 2017</w:t>
      </w:r>
      <w:r w:rsidRPr="00AE0F72">
        <w:rPr>
          <w:lang w:eastAsia="ko-KR"/>
        </w:rPr>
        <w:t xml:space="preserve"> that has or is likely to be breached</w:t>
      </w:r>
    </w:p>
    <w:p w14:paraId="7AD1AB4A" w14:textId="77777777" w:rsidR="004D599E" w:rsidRDefault="004D599E" w:rsidP="006B6BA7">
      <w:pPr>
        <w:pStyle w:val="ListParagraph"/>
        <w:numPr>
          <w:ilvl w:val="0"/>
          <w:numId w:val="30"/>
        </w:numPr>
        <w:tabs>
          <w:tab w:val="num" w:pos="709"/>
        </w:tabs>
        <w:spacing w:before="60" w:after="60"/>
        <w:ind w:left="709" w:hanging="709"/>
        <w:contextualSpacing w:val="0"/>
        <w:jc w:val="left"/>
        <w:rPr>
          <w:lang w:eastAsia="ko-KR"/>
        </w:rPr>
      </w:pPr>
      <w:r w:rsidRPr="00AE0F72">
        <w:rPr>
          <w:lang w:eastAsia="ko-KR"/>
        </w:rPr>
        <w:t xml:space="preserve">date </w:t>
      </w:r>
      <w:r w:rsidRPr="00A43F3F">
        <w:rPr>
          <w:bCs/>
          <w:lang w:eastAsia="ko-KR"/>
        </w:rPr>
        <w:t>by which</w:t>
      </w:r>
      <w:r w:rsidRPr="00AE0F72">
        <w:rPr>
          <w:lang w:eastAsia="ko-KR"/>
        </w:rPr>
        <w:t xml:space="preserve"> the person is required to correct the breach or likely breach</w:t>
      </w:r>
      <w:r>
        <w:rPr>
          <w:lang w:eastAsia="ko-KR"/>
        </w:rPr>
        <w:t xml:space="preserve"> </w:t>
      </w:r>
      <w:r w:rsidRPr="00AE0F72">
        <w:rPr>
          <w:lang w:eastAsia="ko-KR"/>
        </w:rPr>
        <w:t>(at least eight days after the day the PIN is issued</w:t>
      </w:r>
      <w:r>
        <w:rPr>
          <w:lang w:eastAsia="ko-KR"/>
        </w:rPr>
        <w:t>).</w:t>
      </w:r>
    </w:p>
    <w:p w14:paraId="19B00588" w14:textId="51906A42" w:rsidR="00CE1435" w:rsidRPr="00AE0F72" w:rsidRDefault="004D599E" w:rsidP="00DA0DF7">
      <w:pPr>
        <w:ind w:left="425" w:hanging="425"/>
        <w:jc w:val="left"/>
        <w:rPr>
          <w:lang w:eastAsia="ko-KR"/>
        </w:rPr>
      </w:pPr>
      <w:r>
        <w:rPr>
          <w:lang w:eastAsia="ko-KR"/>
        </w:rPr>
        <w:t>Note: the PIN may also contain directions about how to remedy the breach.</w:t>
      </w:r>
    </w:p>
    <w:p w14:paraId="44FA2E76" w14:textId="150DB263" w:rsidR="00DB5E98" w:rsidRPr="00382965" w:rsidRDefault="00CE1435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Resolving or Disputing a PIN</w:t>
      </w:r>
    </w:p>
    <w:p w14:paraId="2B7F10F7" w14:textId="3572851C" w:rsidR="004D599E" w:rsidRDefault="004D599E" w:rsidP="00DA0DF7">
      <w:pPr>
        <w:jc w:val="left"/>
        <w:rPr>
          <w:rFonts w:eastAsia="Batang"/>
          <w:lang w:eastAsia="ko-KR"/>
        </w:rPr>
      </w:pPr>
      <w:r w:rsidRPr="00AE0F72">
        <w:t>If a PIN is issued and not disputed, it should be displayed prominently in the workplace</w:t>
      </w:r>
      <w:r>
        <w:t xml:space="preserve"> (e.g. on the OHS Notice Board)</w:t>
      </w:r>
      <w:r w:rsidRPr="00AE0F72">
        <w:t xml:space="preserve"> and resolved as per the process outlined in the </w:t>
      </w:r>
      <w:r w:rsidRPr="00DA0DF7">
        <w:t>OHS Issue Resolution Flowchart</w:t>
      </w:r>
      <w:r w:rsidR="00DA0DF7">
        <w:rPr>
          <w:i/>
        </w:rPr>
        <w:t xml:space="preserve">. </w:t>
      </w:r>
      <w:r w:rsidRPr="00AE0F72">
        <w:rPr>
          <w:rFonts w:eastAsia="Batang"/>
          <w:lang w:eastAsia="ko-KR"/>
        </w:rPr>
        <w:t>If a PIN is disputed</w:t>
      </w:r>
      <w:r w:rsidR="007D4112">
        <w:rPr>
          <w:rFonts w:eastAsia="Batang"/>
          <w:lang w:eastAsia="ko-KR"/>
        </w:rPr>
        <w:t>,</w:t>
      </w:r>
      <w:r w:rsidRPr="00AE0F72">
        <w:rPr>
          <w:rFonts w:eastAsia="Batang"/>
          <w:lang w:eastAsia="ko-KR"/>
        </w:rPr>
        <w:t xml:space="preserve"> the recipient of the notice (e.g. </w:t>
      </w:r>
      <w:r w:rsidRPr="00AE0F72">
        <w:rPr>
          <w:rFonts w:eastAsia="Batang"/>
          <w:b/>
          <w:lang w:eastAsia="ko-KR"/>
        </w:rPr>
        <w:t>Workplace Manager</w:t>
      </w:r>
      <w:r w:rsidRPr="00AE0F72">
        <w:rPr>
          <w:rFonts w:eastAsia="Batang"/>
          <w:lang w:eastAsia="ko-KR"/>
        </w:rPr>
        <w:t>, employee etc.) has seven days to contact a WorkSafe Victoria Inspector for a review.</w:t>
      </w:r>
    </w:p>
    <w:p w14:paraId="184FD9D7" w14:textId="2B95500B" w:rsidR="00C44141" w:rsidRPr="00AE0F72" w:rsidRDefault="00C44141" w:rsidP="00DA0DF7">
      <w:pPr>
        <w:ind w:left="426" w:hanging="426"/>
        <w:jc w:val="left"/>
        <w:rPr>
          <w:i/>
        </w:rPr>
      </w:pPr>
      <w:r w:rsidRPr="00AE0F72">
        <w:t xml:space="preserve">For further information on </w:t>
      </w:r>
      <w:r w:rsidRPr="00DA0DF7">
        <w:t>WorkSafe Inspector Visit Guidelines</w:t>
      </w:r>
      <w:r>
        <w:t>.</w:t>
      </w:r>
    </w:p>
    <w:p w14:paraId="1C290507" w14:textId="60F0948F" w:rsidR="001E520C" w:rsidRPr="00382965" w:rsidRDefault="001E520C" w:rsidP="00DA0DF7">
      <w:pPr>
        <w:pStyle w:val="ESHeading2"/>
        <w:numPr>
          <w:ilvl w:val="1"/>
          <w:numId w:val="53"/>
        </w:numPr>
        <w:spacing w:line="276" w:lineRule="auto"/>
        <w:ind w:left="788" w:hanging="78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Disqualification of a HSR</w:t>
      </w:r>
    </w:p>
    <w:p w14:paraId="10A28F74" w14:textId="77777777" w:rsidR="004D599E" w:rsidRDefault="004D599E" w:rsidP="00DA0DF7">
      <w:pPr>
        <w:jc w:val="left"/>
      </w:pPr>
      <w:r>
        <w:t>An application to the Magistrates Court is to be made to disqualify on the following grounds as per Section 56 of the OHS Act 2004:</w:t>
      </w:r>
    </w:p>
    <w:p w14:paraId="47660612" w14:textId="77777777" w:rsidR="004D599E" w:rsidRDefault="004D599E" w:rsidP="006B6BA7">
      <w:pPr>
        <w:pStyle w:val="ListParagraph"/>
        <w:numPr>
          <w:ilvl w:val="0"/>
          <w:numId w:val="42"/>
        </w:numPr>
        <w:spacing w:before="60" w:after="60"/>
        <w:ind w:left="709" w:hanging="709"/>
        <w:contextualSpacing w:val="0"/>
        <w:jc w:val="left"/>
      </w:pPr>
      <w:r>
        <w:t>issuing a PIN where they could not have reasonably believed there were grounds for issuing the notice</w:t>
      </w:r>
    </w:p>
    <w:p w14:paraId="3003AB78" w14:textId="77777777" w:rsidR="004D599E" w:rsidRDefault="004D599E" w:rsidP="006B6BA7">
      <w:pPr>
        <w:pStyle w:val="ListParagraph"/>
        <w:numPr>
          <w:ilvl w:val="0"/>
          <w:numId w:val="42"/>
        </w:numPr>
        <w:spacing w:before="60" w:after="60"/>
        <w:ind w:left="709" w:hanging="709"/>
        <w:contextualSpacing w:val="0"/>
        <w:jc w:val="left"/>
      </w:pPr>
      <w:r>
        <w:t>issuing a direction to cease work or exercising any other power causing harm to the employer</w:t>
      </w:r>
    </w:p>
    <w:p w14:paraId="17D5E6A6" w14:textId="77777777" w:rsidR="004D599E" w:rsidRDefault="004D599E" w:rsidP="006B6BA7">
      <w:pPr>
        <w:pStyle w:val="ListParagraph"/>
        <w:numPr>
          <w:ilvl w:val="0"/>
          <w:numId w:val="42"/>
        </w:numPr>
        <w:spacing w:before="60" w:after="60"/>
        <w:ind w:left="709" w:hanging="709"/>
        <w:contextualSpacing w:val="0"/>
        <w:jc w:val="left"/>
      </w:pPr>
      <w:r>
        <w:t>using information from the employer for a purpose that is not connected with the exercise of their powers as a HSR.</w:t>
      </w:r>
    </w:p>
    <w:p w14:paraId="03FE2FCC" w14:textId="5D8CD7C7" w:rsidR="004D599E" w:rsidRDefault="004D599E" w:rsidP="00DA0DF7">
      <w:pPr>
        <w:jc w:val="left"/>
      </w:pPr>
      <w:r>
        <w:t>The Workplace Manager is to contact the D</w:t>
      </w:r>
      <w:r w:rsidR="001E520C">
        <w:t>epartment’s</w:t>
      </w:r>
      <w:r>
        <w:t xml:space="preserve"> OHS Advisory Service ph. 1300 074 715 for advice.</w:t>
      </w:r>
    </w:p>
    <w:p w14:paraId="1F9C5C99" w14:textId="515191D7" w:rsidR="00A46FD9" w:rsidRDefault="00A46FD9">
      <w:pPr>
        <w:spacing w:before="0" w:after="200"/>
        <w:jc w:val="left"/>
      </w:pPr>
      <w:r>
        <w:br w:type="page"/>
      </w:r>
    </w:p>
    <w:p w14:paraId="47EDA11A" w14:textId="77777777" w:rsidR="00DB5E98" w:rsidRDefault="00DB5E98" w:rsidP="005A726D">
      <w:pPr>
        <w:spacing w:before="100" w:beforeAutospacing="1" w:after="100" w:afterAutospacing="1"/>
        <w:rPr>
          <w:rFonts w:ascii="Arial Black" w:hAnsi="Arial Black"/>
          <w:sz w:val="28"/>
        </w:rPr>
      </w:pPr>
    </w:p>
    <w:p w14:paraId="0D30403D" w14:textId="1366924B" w:rsidR="00681728" w:rsidRPr="00681728" w:rsidRDefault="001E520C" w:rsidP="005A726D">
      <w:pPr>
        <w:spacing w:before="100" w:beforeAutospacing="1" w:after="100" w:afterAutospacing="1"/>
        <w:rPr>
          <w:rFonts w:ascii="Arial Black" w:hAnsi="Arial Black"/>
          <w:sz w:val="28"/>
        </w:rPr>
      </w:pPr>
      <w:r>
        <w:rPr>
          <w:rFonts w:eastAsia="Calibri"/>
          <w:b/>
          <w:color w:val="0044AF"/>
          <w:sz w:val="32"/>
          <w:szCs w:val="32"/>
          <w:lang w:val="en-US"/>
        </w:rPr>
        <w:t xml:space="preserve">Call for HSR Nominations- </w:t>
      </w:r>
      <w:r w:rsidRPr="00DA0DF7">
        <w:rPr>
          <w:rFonts w:eastAsia="Calibri"/>
          <w:b/>
          <w:color w:val="0044AF"/>
          <w:sz w:val="32"/>
          <w:szCs w:val="32"/>
          <w:lang w:val="en-US"/>
        </w:rPr>
        <w:t>Example template</w:t>
      </w:r>
      <w:r w:rsidRPr="00681728">
        <w:rPr>
          <w:rFonts w:ascii="Arial Black" w:hAnsi="Arial Black"/>
          <w:sz w:val="28"/>
        </w:rPr>
        <w:t xml:space="preserve"> </w:t>
      </w:r>
    </w:p>
    <w:p w14:paraId="58A2C943" w14:textId="1FCD95FA" w:rsidR="00681728" w:rsidRPr="00681728" w:rsidRDefault="00681728" w:rsidP="005A726D">
      <w:pPr>
        <w:spacing w:before="100" w:beforeAutospacing="1" w:after="100" w:afterAutospacing="1"/>
      </w:pPr>
      <w:r w:rsidRPr="00681728">
        <w:t xml:space="preserve">Under the OHS Act 2004 you are able to elect an employee in the Designated Work Group of </w:t>
      </w:r>
      <w:r w:rsidRPr="00DA0DF7">
        <w:rPr>
          <w:b/>
        </w:rPr>
        <w:t>&lt;</w:t>
      </w:r>
      <w:r w:rsidR="00CF0699" w:rsidRPr="00DA0DF7">
        <w:rPr>
          <w:b/>
        </w:rPr>
        <w:t xml:space="preserve">Insert </w:t>
      </w:r>
      <w:r w:rsidRPr="00DA0DF7">
        <w:rPr>
          <w:b/>
        </w:rPr>
        <w:t>DWG Name&lt;</w:t>
      </w:r>
      <w:r w:rsidRPr="00681728">
        <w:t xml:space="preserve"> to the position of </w:t>
      </w:r>
      <w:r w:rsidR="00667D95">
        <w:t>Health and Safety R</w:t>
      </w:r>
      <w:r w:rsidRPr="00681728">
        <w:t>epresentative.</w:t>
      </w:r>
    </w:p>
    <w:p w14:paraId="6CA49C9D" w14:textId="3B13369C" w:rsidR="00681728" w:rsidRDefault="00667D95" w:rsidP="005A726D">
      <w:pPr>
        <w:autoSpaceDE w:val="0"/>
        <w:autoSpaceDN w:val="0"/>
        <w:adjustRightInd w:val="0"/>
        <w:spacing w:before="100" w:beforeAutospacing="1" w:after="100" w:afterAutospacing="1"/>
      </w:pPr>
      <w:r>
        <w:rPr>
          <w:color w:val="000000"/>
          <w:lang w:eastAsia="en-AU"/>
        </w:rPr>
        <w:t>You can</w:t>
      </w:r>
      <w:r w:rsidR="00681728">
        <w:rPr>
          <w:color w:val="000000"/>
          <w:lang w:eastAsia="en-AU"/>
        </w:rPr>
        <w:t xml:space="preserve"> nominate yourself or a co-worker to be included </w:t>
      </w:r>
      <w:r w:rsidR="00934C72">
        <w:rPr>
          <w:color w:val="000000"/>
          <w:lang w:eastAsia="en-AU"/>
        </w:rPr>
        <w:t>by:</w:t>
      </w:r>
    </w:p>
    <w:p w14:paraId="3660EF37" w14:textId="57697832" w:rsidR="00681728" w:rsidRPr="00DA0DF7" w:rsidRDefault="00681728" w:rsidP="005A72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>
        <w:t xml:space="preserve">Email to: </w:t>
      </w:r>
      <w:r w:rsidRPr="00DA0DF7">
        <w:rPr>
          <w:b/>
        </w:rPr>
        <w:t>&lt;Insert Email Address&lt;</w:t>
      </w:r>
    </w:p>
    <w:p w14:paraId="0434F015" w14:textId="5ED79D10" w:rsidR="00681728" w:rsidRPr="00E03E22" w:rsidRDefault="00681728" w:rsidP="005A726D">
      <w:pPr>
        <w:autoSpaceDE w:val="0"/>
        <w:autoSpaceDN w:val="0"/>
        <w:adjustRightInd w:val="0"/>
        <w:spacing w:before="100" w:beforeAutospacing="1" w:after="100" w:afterAutospacing="1"/>
        <w:ind w:left="851"/>
        <w:rPr>
          <w:b/>
        </w:rPr>
      </w:pPr>
      <w:r w:rsidRPr="00E03E22">
        <w:rPr>
          <w:b/>
        </w:rPr>
        <w:t>Or</w:t>
      </w:r>
    </w:p>
    <w:p w14:paraId="589B6C77" w14:textId="653813B2" w:rsidR="00CF0699" w:rsidRPr="00DA0DF7" w:rsidRDefault="00667D95" w:rsidP="00CF0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rPr>
          <w:b/>
          <w:color w:val="000000"/>
          <w:lang w:eastAsia="en-AU"/>
        </w:rPr>
      </w:pPr>
      <w:r>
        <w:t>Completing the Nomination Form</w:t>
      </w:r>
      <w:r w:rsidR="00681728">
        <w:t xml:space="preserve"> </w:t>
      </w:r>
      <w:r>
        <w:t xml:space="preserve">below to be </w:t>
      </w:r>
      <w:r w:rsidR="00681728">
        <w:t xml:space="preserve">delivered to: </w:t>
      </w:r>
      <w:r w:rsidR="00E03E22" w:rsidRPr="00DA0DF7">
        <w:rPr>
          <w:b/>
        </w:rPr>
        <w:t>&lt;Insert name of person or location&lt;</w:t>
      </w:r>
    </w:p>
    <w:p w14:paraId="293E60D5" w14:textId="41B84B9C" w:rsidR="00CF0699" w:rsidRDefault="00934C72" w:rsidP="00CF0699">
      <w:pPr>
        <w:autoSpaceDE w:val="0"/>
        <w:autoSpaceDN w:val="0"/>
        <w:adjustRightInd w:val="0"/>
        <w:spacing w:before="100" w:beforeAutospacing="1" w:after="100" w:afterAutospacing="1"/>
      </w:pPr>
      <w:r w:rsidRPr="00CF0699">
        <w:rPr>
          <w:color w:val="000000"/>
          <w:lang w:eastAsia="en-AU"/>
        </w:rPr>
        <w:t xml:space="preserve">All nominations must be received by close of business: </w:t>
      </w:r>
      <w:r w:rsidRPr="00DA0DF7">
        <w:rPr>
          <w:b/>
        </w:rPr>
        <w:t>&lt;Insert Date&lt;.</w:t>
      </w:r>
      <w:r>
        <w:t xml:space="preserve"> The election process will be conducted on </w:t>
      </w:r>
      <w:r w:rsidRPr="00DA0DF7">
        <w:rPr>
          <w:b/>
        </w:rPr>
        <w:t>&lt;Insert Date&lt;.</w:t>
      </w:r>
      <w:r>
        <w:t xml:space="preserve"> All employees are encouraged to vote in the election.</w:t>
      </w:r>
    </w:p>
    <w:p w14:paraId="5F25BBFE" w14:textId="610B77DF" w:rsidR="00667D95" w:rsidRPr="00CF0699" w:rsidRDefault="00F44D67" w:rsidP="00F44D67">
      <w:pPr>
        <w:pBdr>
          <w:bottom w:val="dashed" w:sz="4" w:space="1" w:color="auto"/>
        </w:pBdr>
        <w:rPr>
          <w:sz w:val="20"/>
        </w:rPr>
      </w:pPr>
      <w:r w:rsidRPr="00CF0699">
        <w:rPr>
          <w:noProof/>
          <w:sz w:val="20"/>
          <w:lang w:eastAsia="en-AU"/>
        </w:rPr>
        <w:drawing>
          <wp:anchor distT="0" distB="0" distL="114300" distR="114300" simplePos="0" relativeHeight="251662336" behindDoc="0" locked="0" layoutInCell="1" allowOverlap="1" wp14:anchorId="2E9DAC50" wp14:editId="77DADF23">
            <wp:simplePos x="0" y="0"/>
            <wp:positionH relativeFrom="leftMargin">
              <wp:posOffset>748030</wp:posOffset>
            </wp:positionH>
            <wp:positionV relativeFrom="paragraph">
              <wp:posOffset>5080</wp:posOffset>
            </wp:positionV>
            <wp:extent cx="378740" cy="288000"/>
            <wp:effectExtent l="0" t="0" r="2540" b="0"/>
            <wp:wrapSquare wrapText="bothSides"/>
            <wp:docPr id="3" name="Picture 3" descr="Picture of scissors. Cut the paper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E711" w14:textId="77777777" w:rsidR="00F44D67" w:rsidRDefault="00F44D67" w:rsidP="00F44D67">
      <w:pPr>
        <w:spacing w:before="100" w:beforeAutospacing="1" w:after="100" w:afterAutospacing="1" w:line="240" w:lineRule="auto"/>
        <w:rPr>
          <w:rFonts w:ascii="Arial Black" w:hAnsi="Arial Black"/>
          <w:sz w:val="28"/>
        </w:rPr>
      </w:pPr>
    </w:p>
    <w:p w14:paraId="1718CAEB" w14:textId="16B5CF42" w:rsidR="00F44D67" w:rsidRDefault="001E520C" w:rsidP="005A726D">
      <w:pPr>
        <w:spacing w:before="100" w:beforeAutospacing="1" w:after="100" w:afterAutospacing="1"/>
      </w:pPr>
      <w:r>
        <w:rPr>
          <w:rFonts w:eastAsia="Calibri"/>
          <w:b/>
          <w:color w:val="0044AF"/>
          <w:sz w:val="32"/>
          <w:szCs w:val="32"/>
          <w:lang w:val="en-US"/>
        </w:rPr>
        <w:t>Nomination Form</w:t>
      </w:r>
      <w:r w:rsidRPr="00667D95">
        <w:rPr>
          <w:rFonts w:ascii="Arial Black" w:hAnsi="Arial Black"/>
          <w:sz w:val="28"/>
        </w:rPr>
        <w:t xml:space="preserve"> </w:t>
      </w:r>
    </w:p>
    <w:p w14:paraId="0B175B8A" w14:textId="20B33C30" w:rsidR="00CF0699" w:rsidRDefault="00CF0699" w:rsidP="005A726D">
      <w:pPr>
        <w:spacing w:before="100" w:beforeAutospacing="1" w:after="100" w:afterAutospacing="1"/>
      </w:pPr>
      <w:r>
        <w:t>Please provide the full name(s) of the employee(s) you wish to nominate for HSR (note you can nominate yourself</w:t>
      </w:r>
      <w:r w:rsidR="00F44D67">
        <w:t>)</w:t>
      </w:r>
      <w:r>
        <w:t>:</w:t>
      </w:r>
    </w:p>
    <w:p w14:paraId="00E596C9" w14:textId="1DB76001" w:rsidR="00CF0699" w:rsidRDefault="00CF0699" w:rsidP="005A726D">
      <w:pPr>
        <w:spacing w:before="100" w:beforeAutospacing="1" w:after="100" w:afterAutospacing="1"/>
      </w:pPr>
      <w:r>
        <w:t>_________________________________________________________________</w:t>
      </w:r>
    </w:p>
    <w:p w14:paraId="1EEAD4AA" w14:textId="33439A09" w:rsidR="00CF0699" w:rsidRDefault="00CF0699" w:rsidP="005A726D">
      <w:pPr>
        <w:spacing w:before="100" w:beforeAutospacing="1" w:after="100" w:afterAutospacing="1"/>
      </w:pPr>
      <w:r>
        <w:t>_________________________________________________________________</w:t>
      </w:r>
    </w:p>
    <w:p w14:paraId="422DEE41" w14:textId="5100144B" w:rsidR="00681728" w:rsidRDefault="004C1DE6" w:rsidP="005A726D">
      <w:pPr>
        <w:spacing w:before="100" w:beforeAutospacing="1" w:after="100" w:afterAutospacing="1"/>
      </w:pPr>
      <w:r>
        <w:t>Please tick your preferred preference to how the election should be conducted: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mination Form for HSR "/>
        <w:tblDescription w:val="Choice to Select email vote or show of hands"/>
      </w:tblPr>
      <w:tblGrid>
        <w:gridCol w:w="1696"/>
        <w:gridCol w:w="851"/>
      </w:tblGrid>
      <w:tr w:rsidR="004C1DE6" w14:paraId="18CBA599" w14:textId="77777777" w:rsidTr="00C25374">
        <w:trPr>
          <w:tblHeader/>
        </w:trPr>
        <w:tc>
          <w:tcPr>
            <w:tcW w:w="1696" w:type="dxa"/>
          </w:tcPr>
          <w:p w14:paraId="74523161" w14:textId="1335C171" w:rsidR="004C1DE6" w:rsidRDefault="004C1DE6" w:rsidP="005A726D">
            <w:pPr>
              <w:spacing w:before="100" w:beforeAutospacing="1" w:after="100" w:afterAutospacing="1" w:line="276" w:lineRule="auto"/>
            </w:pPr>
            <w:r>
              <w:t>Email vote</w:t>
            </w:r>
          </w:p>
        </w:tc>
        <w:tc>
          <w:tcPr>
            <w:tcW w:w="851" w:type="dxa"/>
          </w:tcPr>
          <w:p w14:paraId="103D3FF7" w14:textId="1000BF97" w:rsidR="004C1DE6" w:rsidRDefault="004C1DE6" w:rsidP="005A726D">
            <w:pPr>
              <w:spacing w:before="100" w:beforeAutospacing="1" w:after="100" w:afterAutospacing="1" w:line="276" w:lineRule="auto"/>
            </w:pPr>
            <w:r w:rsidRPr="00D1446C">
              <w:rPr>
                <w:color w:val="000000"/>
                <w:sz w:val="40"/>
                <w:szCs w:val="40"/>
              </w:rPr>
              <w:sym w:font="Wingdings" w:char="F0A8"/>
            </w:r>
            <w:r w:rsidRPr="00D1446C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4C1DE6" w14:paraId="6D9F4574" w14:textId="77777777" w:rsidTr="004C1DE6">
        <w:tc>
          <w:tcPr>
            <w:tcW w:w="1696" w:type="dxa"/>
          </w:tcPr>
          <w:p w14:paraId="579CA144" w14:textId="0E9414D1" w:rsidR="004C1DE6" w:rsidRDefault="004C1DE6" w:rsidP="005A726D">
            <w:pPr>
              <w:spacing w:before="100" w:beforeAutospacing="1" w:after="100" w:afterAutospacing="1" w:line="276" w:lineRule="auto"/>
            </w:pPr>
            <w:r>
              <w:t xml:space="preserve">Show of hands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14:paraId="2EE3A0DF" w14:textId="07C2B4DD" w:rsidR="004C1DE6" w:rsidRDefault="004C1DE6" w:rsidP="005A726D">
            <w:pPr>
              <w:spacing w:before="100" w:beforeAutospacing="1" w:after="100" w:afterAutospacing="1" w:line="276" w:lineRule="auto"/>
            </w:pPr>
            <w:r w:rsidRPr="00D1446C">
              <w:rPr>
                <w:color w:val="000000"/>
                <w:sz w:val="40"/>
                <w:szCs w:val="40"/>
              </w:rPr>
              <w:sym w:font="Wingdings" w:char="F0A8"/>
            </w:r>
            <w:r w:rsidRPr="00D1446C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</w:tbl>
    <w:p w14:paraId="36105A24" w14:textId="410D2DB0" w:rsidR="00681728" w:rsidRPr="00DA0DF7" w:rsidRDefault="004C1DE6" w:rsidP="00EF048A">
      <w:pPr>
        <w:spacing w:before="100" w:beforeAutospacing="1" w:after="100" w:afterAutospacing="1"/>
        <w:rPr>
          <w:b/>
        </w:rPr>
      </w:pPr>
      <w:r>
        <w:t xml:space="preserve">Thank-you for taking the time </w:t>
      </w:r>
      <w:r w:rsidR="00301E2E">
        <w:t>provide nominations</w:t>
      </w:r>
      <w:r>
        <w:t xml:space="preserve"> for the position of HSR for </w:t>
      </w:r>
      <w:r w:rsidRPr="00DA0DF7">
        <w:rPr>
          <w:b/>
        </w:rPr>
        <w:t xml:space="preserve">&lt;Insert DWG Name&lt;. </w:t>
      </w:r>
    </w:p>
    <w:p w14:paraId="5BB9B24C" w14:textId="75797AAA" w:rsidR="00D22303" w:rsidRPr="00AE0F72" w:rsidRDefault="00D22303" w:rsidP="00EF048A"/>
    <w:sectPr w:rsidR="00D22303" w:rsidRPr="00AE0F72" w:rsidSect="00E14C5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43" w:right="1418" w:bottom="851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67A8" w14:textId="77777777" w:rsidR="00C70817" w:rsidRDefault="00C70817" w:rsidP="00D22303">
      <w:r>
        <w:separator/>
      </w:r>
    </w:p>
  </w:endnote>
  <w:endnote w:type="continuationSeparator" w:id="0">
    <w:p w14:paraId="3886839F" w14:textId="77777777" w:rsidR="00C70817" w:rsidRDefault="00C70817" w:rsidP="00D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1502501"/>
      <w:docPartObj>
        <w:docPartGallery w:val="Page Numbers (Bottom of Page)"/>
        <w:docPartUnique/>
      </w:docPartObj>
    </w:sdtPr>
    <w:sdtEndPr/>
    <w:sdtContent>
      <w:p w14:paraId="0E2F31CB" w14:textId="29955068" w:rsidR="00DC29B6" w:rsidRPr="00DA0DF7" w:rsidRDefault="00E14C53" w:rsidP="00DA0DF7">
        <w:pPr>
          <w:pStyle w:val="Footer"/>
          <w:jc w:val="right"/>
          <w:rPr>
            <w:sz w:val="16"/>
            <w:szCs w:val="16"/>
          </w:rPr>
        </w:pPr>
        <w:r w:rsidRPr="00DA0DF7">
          <w:rPr>
            <w:sz w:val="16"/>
            <w:szCs w:val="16"/>
          </w:rPr>
          <w:t xml:space="preserve">Page | </w:t>
        </w:r>
        <w:r w:rsidRPr="00DA0DF7">
          <w:rPr>
            <w:sz w:val="16"/>
            <w:szCs w:val="16"/>
          </w:rPr>
          <w:fldChar w:fldCharType="begin"/>
        </w:r>
        <w:r w:rsidRPr="00DA0DF7">
          <w:rPr>
            <w:sz w:val="16"/>
            <w:szCs w:val="16"/>
          </w:rPr>
          <w:instrText xml:space="preserve"> PAGE   \* MERGEFORMAT </w:instrText>
        </w:r>
        <w:r w:rsidRPr="00DA0DF7">
          <w:rPr>
            <w:sz w:val="16"/>
            <w:szCs w:val="16"/>
          </w:rPr>
          <w:fldChar w:fldCharType="separate"/>
        </w:r>
        <w:r w:rsidR="00DE1F94">
          <w:rPr>
            <w:noProof/>
            <w:sz w:val="16"/>
            <w:szCs w:val="16"/>
          </w:rPr>
          <w:t>8</w:t>
        </w:r>
        <w:r w:rsidRPr="00DA0DF7">
          <w:rPr>
            <w:noProof/>
            <w:sz w:val="16"/>
            <w:szCs w:val="16"/>
          </w:rPr>
          <w:fldChar w:fldCharType="end"/>
        </w:r>
        <w:r w:rsidRPr="00DA0DF7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4E3" w14:textId="19B089AE" w:rsidR="00E14C53" w:rsidRPr="00E14C53" w:rsidRDefault="00E14C5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E14C53">
      <w:rPr>
        <w:i/>
        <w:sz w:val="16"/>
        <w:szCs w:val="16"/>
      </w:rPr>
      <w:t xml:space="preserve">Last Updated: </w:t>
    </w:r>
    <w:r w:rsidR="0095721B">
      <w:rPr>
        <w:i/>
        <w:sz w:val="16"/>
        <w:szCs w:val="16"/>
      </w:rPr>
      <w:t>22 October</w:t>
    </w:r>
    <w:r w:rsidR="00C621F8">
      <w:rPr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17B1" w14:textId="77777777" w:rsidR="00C70817" w:rsidRDefault="00C70817" w:rsidP="00D22303">
      <w:r>
        <w:separator/>
      </w:r>
    </w:p>
  </w:footnote>
  <w:footnote w:type="continuationSeparator" w:id="0">
    <w:p w14:paraId="0D19E035" w14:textId="77777777" w:rsidR="00C70817" w:rsidRDefault="00C70817" w:rsidP="00D2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928B" w14:textId="1C741576" w:rsidR="00E14C53" w:rsidRPr="00E14C53" w:rsidRDefault="00E14C53" w:rsidP="00E14C53">
    <w:pPr>
      <w:spacing w:before="0" w:after="200"/>
      <w:jc w:val="right"/>
      <w:rPr>
        <w:rFonts w:eastAsia="Calibri"/>
        <w:b/>
        <w:color w:val="0044AF"/>
        <w:sz w:val="44"/>
        <w:szCs w:val="44"/>
        <w:lang w:val="en-US"/>
      </w:rPr>
    </w:pPr>
    <w:r w:rsidRPr="00E14C53">
      <w:rPr>
        <w:rFonts w:eastAsia="Calibri"/>
        <w:b/>
        <w:color w:val="0044AF"/>
        <w:sz w:val="44"/>
        <w:szCs w:val="44"/>
        <w:lang w:val="en-US"/>
      </w:rPr>
      <w:t>Health and Safety Representative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0F82" w14:textId="0A8C0255" w:rsidR="00E14C53" w:rsidRDefault="00E14C53">
    <w:pPr>
      <w:pStyle w:val="Header"/>
    </w:pPr>
    <w:r w:rsidRPr="004042E5">
      <w:rPr>
        <w:noProof/>
        <w:sz w:val="32"/>
        <w:lang w:eastAsia="en-AU"/>
      </w:rPr>
      <w:drawing>
        <wp:inline distT="0" distB="0" distL="0" distR="0" wp14:anchorId="38422C27" wp14:editId="38284502">
          <wp:extent cx="5759450" cy="733676"/>
          <wp:effectExtent l="0" t="0" r="0" b="9525"/>
          <wp:docPr id="2" name="Picture 2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83"/>
    <w:multiLevelType w:val="hybridMultilevel"/>
    <w:tmpl w:val="20C457C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02B744CE"/>
    <w:multiLevelType w:val="hybridMultilevel"/>
    <w:tmpl w:val="ED489472"/>
    <w:lvl w:ilvl="0" w:tplc="0C09000F">
      <w:start w:val="1"/>
      <w:numFmt w:val="decimal"/>
      <w:pStyle w:val="ES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766C5"/>
    <w:multiLevelType w:val="hybridMultilevel"/>
    <w:tmpl w:val="D12283A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BB"/>
    <w:multiLevelType w:val="multilevel"/>
    <w:tmpl w:val="7EE6E634"/>
    <w:styleLink w:val="WWOutlineListStyl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%4."/>
      <w:lvlJc w:val="left"/>
      <w:pPr>
        <w:ind w:left="851" w:hanging="851"/>
      </w:pPr>
    </w:lvl>
    <w:lvl w:ilvl="4">
      <w:start w:val="1"/>
      <w:numFmt w:val="lowerRoman"/>
      <w:lvlText w:val="%5."/>
      <w:lvlJc w:val="left"/>
      <w:pPr>
        <w:ind w:left="851" w:hanging="851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B135AB7"/>
    <w:multiLevelType w:val="hybridMultilevel"/>
    <w:tmpl w:val="C93CB1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5E56"/>
    <w:multiLevelType w:val="multilevel"/>
    <w:tmpl w:val="0CCADF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2F17BC"/>
    <w:multiLevelType w:val="hybridMultilevel"/>
    <w:tmpl w:val="3C225E9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2530BCF"/>
    <w:multiLevelType w:val="hybridMultilevel"/>
    <w:tmpl w:val="633E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A64"/>
    <w:multiLevelType w:val="hybridMultilevel"/>
    <w:tmpl w:val="328ED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403"/>
    <w:multiLevelType w:val="hybridMultilevel"/>
    <w:tmpl w:val="2550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6270A"/>
    <w:multiLevelType w:val="hybridMultilevel"/>
    <w:tmpl w:val="EDD6B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328F"/>
    <w:multiLevelType w:val="hybridMultilevel"/>
    <w:tmpl w:val="8AD2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B1968"/>
    <w:multiLevelType w:val="hybridMultilevel"/>
    <w:tmpl w:val="CBB6C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829"/>
    <w:multiLevelType w:val="multilevel"/>
    <w:tmpl w:val="7EE6E634"/>
    <w:numStyleLink w:val="WWOutlineListStyle"/>
  </w:abstractNum>
  <w:abstractNum w:abstractNumId="19" w15:restartNumberingAfterBreak="0">
    <w:nsid w:val="415643DF"/>
    <w:multiLevelType w:val="hybridMultilevel"/>
    <w:tmpl w:val="2C7A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0735"/>
    <w:multiLevelType w:val="multilevel"/>
    <w:tmpl w:val="C638C8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4E7ACA"/>
    <w:multiLevelType w:val="multilevel"/>
    <w:tmpl w:val="17BCDE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6D3080"/>
    <w:multiLevelType w:val="multilevel"/>
    <w:tmpl w:val="8D7068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EEF702D"/>
    <w:multiLevelType w:val="hybridMultilevel"/>
    <w:tmpl w:val="69A6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B4BB9"/>
    <w:multiLevelType w:val="hybridMultilevel"/>
    <w:tmpl w:val="7D7C7E82"/>
    <w:lvl w:ilvl="0" w:tplc="0C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8F2"/>
    <w:multiLevelType w:val="hybridMultilevel"/>
    <w:tmpl w:val="04B84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A047B"/>
    <w:multiLevelType w:val="hybridMultilevel"/>
    <w:tmpl w:val="DFAC4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01BB"/>
    <w:multiLevelType w:val="hybridMultilevel"/>
    <w:tmpl w:val="1096B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B41CE"/>
    <w:multiLevelType w:val="hybridMultilevel"/>
    <w:tmpl w:val="5832D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3377200"/>
    <w:multiLevelType w:val="hybridMultilevel"/>
    <w:tmpl w:val="5080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D567F"/>
    <w:multiLevelType w:val="hybridMultilevel"/>
    <w:tmpl w:val="1E7830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904BB"/>
    <w:multiLevelType w:val="hybridMultilevel"/>
    <w:tmpl w:val="68C4C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847F1"/>
    <w:multiLevelType w:val="hybridMultilevel"/>
    <w:tmpl w:val="722EC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9C60DC"/>
    <w:multiLevelType w:val="hybridMultilevel"/>
    <w:tmpl w:val="5D2242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16B0D"/>
    <w:multiLevelType w:val="hybridMultilevel"/>
    <w:tmpl w:val="464057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43EBD"/>
    <w:multiLevelType w:val="hybridMultilevel"/>
    <w:tmpl w:val="1844683C"/>
    <w:lvl w:ilvl="0" w:tplc="F8DEF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13FBC"/>
    <w:multiLevelType w:val="hybridMultilevel"/>
    <w:tmpl w:val="9F306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98302B"/>
    <w:multiLevelType w:val="hybridMultilevel"/>
    <w:tmpl w:val="1DD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>
      <w:lvl w:ilvl="0">
        <w:start w:val="1"/>
        <w:numFmt w:val="none"/>
        <w:lvlText w:val="1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0"/>
  </w:num>
  <w:num w:numId="4">
    <w:abstractNumId w:val="22"/>
  </w:num>
  <w:num w:numId="5">
    <w:abstractNumId w:val="27"/>
  </w:num>
  <w:num w:numId="6">
    <w:abstractNumId w:val="33"/>
  </w:num>
  <w:num w:numId="7">
    <w:abstractNumId w:val="0"/>
  </w:num>
  <w:num w:numId="8">
    <w:abstractNumId w:val="39"/>
  </w:num>
  <w:num w:numId="9">
    <w:abstractNumId w:val="26"/>
  </w:num>
  <w:num w:numId="10">
    <w:abstractNumId w:val="43"/>
  </w:num>
  <w:num w:numId="11">
    <w:abstractNumId w:val="36"/>
  </w:num>
  <w:num w:numId="12">
    <w:abstractNumId w:val="11"/>
  </w:num>
  <w:num w:numId="13">
    <w:abstractNumId w:val="15"/>
  </w:num>
  <w:num w:numId="14">
    <w:abstractNumId w:val="21"/>
  </w:num>
  <w:num w:numId="15">
    <w:abstractNumId w:val="19"/>
  </w:num>
  <w:num w:numId="16">
    <w:abstractNumId w:val="18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</w:lvl>
    </w:lvlOverride>
  </w:num>
  <w:num w:numId="17">
    <w:abstractNumId w:val="25"/>
  </w:num>
  <w:num w:numId="18">
    <w:abstractNumId w:val="42"/>
  </w:num>
  <w:num w:numId="19">
    <w:abstractNumId w:val="7"/>
  </w:num>
  <w:num w:numId="20">
    <w:abstractNumId w:val="28"/>
  </w:num>
  <w:num w:numId="21">
    <w:abstractNumId w:val="18"/>
    <w:lvlOverride w:ilvl="0">
      <w:lvl w:ilvl="0">
        <w:start w:val="1"/>
        <w:numFmt w:val="none"/>
        <w:lvlText w:val="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30"/>
  </w:num>
  <w:num w:numId="23">
    <w:abstractNumId w:val="1"/>
  </w:num>
  <w:num w:numId="24">
    <w:abstractNumId w:val="32"/>
  </w:num>
  <w:num w:numId="25">
    <w:abstractNumId w:val="23"/>
  </w:num>
  <w:num w:numId="26">
    <w:abstractNumId w:val="34"/>
  </w:num>
  <w:num w:numId="27">
    <w:abstractNumId w:val="24"/>
  </w:num>
  <w:num w:numId="28">
    <w:abstractNumId w:val="17"/>
  </w:num>
  <w:num w:numId="29">
    <w:abstractNumId w:val="29"/>
  </w:num>
  <w:num w:numId="30">
    <w:abstractNumId w:val="5"/>
  </w:num>
  <w:num w:numId="31">
    <w:abstractNumId w:val="44"/>
  </w:num>
  <w:num w:numId="32">
    <w:abstractNumId w:val="12"/>
  </w:num>
  <w:num w:numId="33">
    <w:abstractNumId w:val="40"/>
  </w:num>
  <w:num w:numId="34">
    <w:abstractNumId w:val="4"/>
  </w:num>
  <w:num w:numId="35">
    <w:abstractNumId w:val="3"/>
  </w:num>
  <w:num w:numId="36">
    <w:abstractNumId w:val="16"/>
  </w:num>
  <w:num w:numId="37">
    <w:abstractNumId w:val="37"/>
  </w:num>
  <w:num w:numId="38">
    <w:abstractNumId w:val="2"/>
  </w:num>
  <w:num w:numId="39">
    <w:abstractNumId w:val="41"/>
  </w:num>
  <w:num w:numId="40">
    <w:abstractNumId w:val="13"/>
  </w:num>
  <w:num w:numId="41">
    <w:abstractNumId w:val="8"/>
  </w:num>
  <w:num w:numId="42">
    <w:abstractNumId w:val="38"/>
  </w:num>
  <w:num w:numId="43">
    <w:abstractNumId w:val="35"/>
  </w:num>
  <w:num w:numId="44">
    <w:abstractNumId w:val="20"/>
  </w:num>
  <w:num w:numId="45">
    <w:abstractNumId w:val="20"/>
  </w:num>
  <w:num w:numId="46">
    <w:abstractNumId w:val="20"/>
  </w:num>
  <w:num w:numId="47">
    <w:abstractNumId w:val="31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14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C"/>
    <w:rsid w:val="00015465"/>
    <w:rsid w:val="00027591"/>
    <w:rsid w:val="00035F04"/>
    <w:rsid w:val="00041D98"/>
    <w:rsid w:val="000573C9"/>
    <w:rsid w:val="00065579"/>
    <w:rsid w:val="00067252"/>
    <w:rsid w:val="00070496"/>
    <w:rsid w:val="00076912"/>
    <w:rsid w:val="00076A11"/>
    <w:rsid w:val="0008472E"/>
    <w:rsid w:val="00092928"/>
    <w:rsid w:val="000B2340"/>
    <w:rsid w:val="000C41CF"/>
    <w:rsid w:val="000D4CF8"/>
    <w:rsid w:val="000E3CD0"/>
    <w:rsid w:val="000E4655"/>
    <w:rsid w:val="001006CA"/>
    <w:rsid w:val="00114222"/>
    <w:rsid w:val="00114685"/>
    <w:rsid w:val="00133733"/>
    <w:rsid w:val="00134CFF"/>
    <w:rsid w:val="00172D4F"/>
    <w:rsid w:val="001778C8"/>
    <w:rsid w:val="001870B7"/>
    <w:rsid w:val="00190063"/>
    <w:rsid w:val="00190D95"/>
    <w:rsid w:val="001A6E7F"/>
    <w:rsid w:val="001B411F"/>
    <w:rsid w:val="001C668D"/>
    <w:rsid w:val="001D285C"/>
    <w:rsid w:val="001D32F3"/>
    <w:rsid w:val="001D4B20"/>
    <w:rsid w:val="001E0D94"/>
    <w:rsid w:val="001E520C"/>
    <w:rsid w:val="001E5F81"/>
    <w:rsid w:val="001E7EBA"/>
    <w:rsid w:val="001F5140"/>
    <w:rsid w:val="00201DB5"/>
    <w:rsid w:val="00216079"/>
    <w:rsid w:val="002202CD"/>
    <w:rsid w:val="00243986"/>
    <w:rsid w:val="00247BF9"/>
    <w:rsid w:val="002511C1"/>
    <w:rsid w:val="0026683D"/>
    <w:rsid w:val="002933A3"/>
    <w:rsid w:val="002E15EC"/>
    <w:rsid w:val="002E49F2"/>
    <w:rsid w:val="002F08D0"/>
    <w:rsid w:val="002F76EF"/>
    <w:rsid w:val="003009FA"/>
    <w:rsid w:val="00301E2E"/>
    <w:rsid w:val="0032111F"/>
    <w:rsid w:val="003462B6"/>
    <w:rsid w:val="00362AAC"/>
    <w:rsid w:val="003643A5"/>
    <w:rsid w:val="00374854"/>
    <w:rsid w:val="00382965"/>
    <w:rsid w:val="003879FC"/>
    <w:rsid w:val="003B437D"/>
    <w:rsid w:val="003B793B"/>
    <w:rsid w:val="003C20AB"/>
    <w:rsid w:val="003C3F31"/>
    <w:rsid w:val="003D0699"/>
    <w:rsid w:val="003D39FF"/>
    <w:rsid w:val="003D5029"/>
    <w:rsid w:val="003D5118"/>
    <w:rsid w:val="003E528E"/>
    <w:rsid w:val="003F537D"/>
    <w:rsid w:val="00404DA3"/>
    <w:rsid w:val="00411157"/>
    <w:rsid w:val="0041573D"/>
    <w:rsid w:val="0043241B"/>
    <w:rsid w:val="0043661E"/>
    <w:rsid w:val="00436A39"/>
    <w:rsid w:val="0044172C"/>
    <w:rsid w:val="00446F39"/>
    <w:rsid w:val="0045603D"/>
    <w:rsid w:val="00465DDD"/>
    <w:rsid w:val="004769A8"/>
    <w:rsid w:val="00477BBF"/>
    <w:rsid w:val="0048400A"/>
    <w:rsid w:val="004935FF"/>
    <w:rsid w:val="00497204"/>
    <w:rsid w:val="004A4E3F"/>
    <w:rsid w:val="004C1DE6"/>
    <w:rsid w:val="004C7127"/>
    <w:rsid w:val="004D0468"/>
    <w:rsid w:val="004D599E"/>
    <w:rsid w:val="004F55ED"/>
    <w:rsid w:val="00503717"/>
    <w:rsid w:val="005108DD"/>
    <w:rsid w:val="00527EC2"/>
    <w:rsid w:val="005310BA"/>
    <w:rsid w:val="00540291"/>
    <w:rsid w:val="005449A7"/>
    <w:rsid w:val="0054759A"/>
    <w:rsid w:val="0055043D"/>
    <w:rsid w:val="00551F62"/>
    <w:rsid w:val="00551FC0"/>
    <w:rsid w:val="0055748A"/>
    <w:rsid w:val="005646E6"/>
    <w:rsid w:val="00566127"/>
    <w:rsid w:val="00566879"/>
    <w:rsid w:val="0057786C"/>
    <w:rsid w:val="0058060C"/>
    <w:rsid w:val="00582C59"/>
    <w:rsid w:val="0058403F"/>
    <w:rsid w:val="00584A51"/>
    <w:rsid w:val="00584FFF"/>
    <w:rsid w:val="00595843"/>
    <w:rsid w:val="005975AC"/>
    <w:rsid w:val="005A26A8"/>
    <w:rsid w:val="005A726D"/>
    <w:rsid w:val="005B32E7"/>
    <w:rsid w:val="005B66DB"/>
    <w:rsid w:val="005C15BE"/>
    <w:rsid w:val="005C4E49"/>
    <w:rsid w:val="005D5CCB"/>
    <w:rsid w:val="005D6AA2"/>
    <w:rsid w:val="005E0430"/>
    <w:rsid w:val="005E0652"/>
    <w:rsid w:val="005E08AE"/>
    <w:rsid w:val="005E2B32"/>
    <w:rsid w:val="005E39C0"/>
    <w:rsid w:val="006002DB"/>
    <w:rsid w:val="00606BE2"/>
    <w:rsid w:val="00610DC3"/>
    <w:rsid w:val="0061183A"/>
    <w:rsid w:val="00623007"/>
    <w:rsid w:val="00625F31"/>
    <w:rsid w:val="00630B06"/>
    <w:rsid w:val="00640629"/>
    <w:rsid w:val="006432C0"/>
    <w:rsid w:val="00651F84"/>
    <w:rsid w:val="006607A5"/>
    <w:rsid w:val="00667C02"/>
    <w:rsid w:val="00667D95"/>
    <w:rsid w:val="00676D8E"/>
    <w:rsid w:val="00681728"/>
    <w:rsid w:val="00681CFC"/>
    <w:rsid w:val="0068418B"/>
    <w:rsid w:val="006A129F"/>
    <w:rsid w:val="006A145E"/>
    <w:rsid w:val="006A21E1"/>
    <w:rsid w:val="006A253F"/>
    <w:rsid w:val="006A6DAF"/>
    <w:rsid w:val="006B263E"/>
    <w:rsid w:val="006B6BA7"/>
    <w:rsid w:val="006D2BCB"/>
    <w:rsid w:val="006D2D35"/>
    <w:rsid w:val="006D37D4"/>
    <w:rsid w:val="006E194E"/>
    <w:rsid w:val="006E2B46"/>
    <w:rsid w:val="006E3E15"/>
    <w:rsid w:val="006F5338"/>
    <w:rsid w:val="0070436E"/>
    <w:rsid w:val="0070539E"/>
    <w:rsid w:val="00706F19"/>
    <w:rsid w:val="00707AFB"/>
    <w:rsid w:val="0071344C"/>
    <w:rsid w:val="00717C2D"/>
    <w:rsid w:val="00720B1F"/>
    <w:rsid w:val="00720D65"/>
    <w:rsid w:val="00724F6E"/>
    <w:rsid w:val="0072623A"/>
    <w:rsid w:val="00727477"/>
    <w:rsid w:val="0074148C"/>
    <w:rsid w:val="00745CAB"/>
    <w:rsid w:val="007471AB"/>
    <w:rsid w:val="00757A8A"/>
    <w:rsid w:val="00771679"/>
    <w:rsid w:val="00772105"/>
    <w:rsid w:val="00772650"/>
    <w:rsid w:val="00785754"/>
    <w:rsid w:val="007958F1"/>
    <w:rsid w:val="007968C0"/>
    <w:rsid w:val="007A2FE9"/>
    <w:rsid w:val="007A373A"/>
    <w:rsid w:val="007B2054"/>
    <w:rsid w:val="007D32ED"/>
    <w:rsid w:val="007D4112"/>
    <w:rsid w:val="007E2895"/>
    <w:rsid w:val="007E3A16"/>
    <w:rsid w:val="007F5620"/>
    <w:rsid w:val="00800A28"/>
    <w:rsid w:val="00803A74"/>
    <w:rsid w:val="0081030D"/>
    <w:rsid w:val="00817163"/>
    <w:rsid w:val="0083346D"/>
    <w:rsid w:val="00836B9C"/>
    <w:rsid w:val="00837F47"/>
    <w:rsid w:val="00844F21"/>
    <w:rsid w:val="0087026F"/>
    <w:rsid w:val="00872098"/>
    <w:rsid w:val="00872AE4"/>
    <w:rsid w:val="008743A1"/>
    <w:rsid w:val="00882F51"/>
    <w:rsid w:val="00884394"/>
    <w:rsid w:val="00885E45"/>
    <w:rsid w:val="0089365E"/>
    <w:rsid w:val="00895C35"/>
    <w:rsid w:val="0089630A"/>
    <w:rsid w:val="00896D91"/>
    <w:rsid w:val="008B6737"/>
    <w:rsid w:val="008B6862"/>
    <w:rsid w:val="008C08C9"/>
    <w:rsid w:val="008C1B35"/>
    <w:rsid w:val="008C2899"/>
    <w:rsid w:val="008C49E9"/>
    <w:rsid w:val="008C7C00"/>
    <w:rsid w:val="008D214D"/>
    <w:rsid w:val="008D79B8"/>
    <w:rsid w:val="008E3836"/>
    <w:rsid w:val="008E6013"/>
    <w:rsid w:val="008F0497"/>
    <w:rsid w:val="008F4855"/>
    <w:rsid w:val="00902E08"/>
    <w:rsid w:val="00904F13"/>
    <w:rsid w:val="00907544"/>
    <w:rsid w:val="00911232"/>
    <w:rsid w:val="00913ED5"/>
    <w:rsid w:val="0091635C"/>
    <w:rsid w:val="0093339D"/>
    <w:rsid w:val="0093361B"/>
    <w:rsid w:val="00934C72"/>
    <w:rsid w:val="009354A7"/>
    <w:rsid w:val="009430D1"/>
    <w:rsid w:val="00944968"/>
    <w:rsid w:val="00946D39"/>
    <w:rsid w:val="009513D2"/>
    <w:rsid w:val="009544D6"/>
    <w:rsid w:val="0095600B"/>
    <w:rsid w:val="0095721B"/>
    <w:rsid w:val="00967307"/>
    <w:rsid w:val="00972BF6"/>
    <w:rsid w:val="00981CE4"/>
    <w:rsid w:val="00986629"/>
    <w:rsid w:val="009A0133"/>
    <w:rsid w:val="009A6158"/>
    <w:rsid w:val="009C745F"/>
    <w:rsid w:val="009D1CB7"/>
    <w:rsid w:val="009D3819"/>
    <w:rsid w:val="009E01A8"/>
    <w:rsid w:val="009E5BEA"/>
    <w:rsid w:val="009E7447"/>
    <w:rsid w:val="009F04FA"/>
    <w:rsid w:val="009F26D8"/>
    <w:rsid w:val="009F2C1B"/>
    <w:rsid w:val="009F55DE"/>
    <w:rsid w:val="00A00A36"/>
    <w:rsid w:val="00A05899"/>
    <w:rsid w:val="00A06A5C"/>
    <w:rsid w:val="00A106F2"/>
    <w:rsid w:val="00A232B5"/>
    <w:rsid w:val="00A242B9"/>
    <w:rsid w:val="00A30AE8"/>
    <w:rsid w:val="00A35F6C"/>
    <w:rsid w:val="00A418D0"/>
    <w:rsid w:val="00A43743"/>
    <w:rsid w:val="00A43F3F"/>
    <w:rsid w:val="00A46FD9"/>
    <w:rsid w:val="00A5238F"/>
    <w:rsid w:val="00A73FB8"/>
    <w:rsid w:val="00A8414B"/>
    <w:rsid w:val="00A92180"/>
    <w:rsid w:val="00AC78F3"/>
    <w:rsid w:val="00AE0F72"/>
    <w:rsid w:val="00B20D16"/>
    <w:rsid w:val="00B229E3"/>
    <w:rsid w:val="00B32A98"/>
    <w:rsid w:val="00B56C50"/>
    <w:rsid w:val="00B624CC"/>
    <w:rsid w:val="00B65F90"/>
    <w:rsid w:val="00B745EE"/>
    <w:rsid w:val="00B76430"/>
    <w:rsid w:val="00B8358F"/>
    <w:rsid w:val="00B83926"/>
    <w:rsid w:val="00B8542C"/>
    <w:rsid w:val="00B9399E"/>
    <w:rsid w:val="00BA0FBD"/>
    <w:rsid w:val="00BA1ECC"/>
    <w:rsid w:val="00BB2403"/>
    <w:rsid w:val="00BB2BA3"/>
    <w:rsid w:val="00BB5959"/>
    <w:rsid w:val="00BB5E87"/>
    <w:rsid w:val="00BC17FB"/>
    <w:rsid w:val="00BC1DB6"/>
    <w:rsid w:val="00BC56B2"/>
    <w:rsid w:val="00BD11F1"/>
    <w:rsid w:val="00BD6C7B"/>
    <w:rsid w:val="00BE11C9"/>
    <w:rsid w:val="00BF0557"/>
    <w:rsid w:val="00BF765A"/>
    <w:rsid w:val="00C07278"/>
    <w:rsid w:val="00C10BA3"/>
    <w:rsid w:val="00C13108"/>
    <w:rsid w:val="00C15953"/>
    <w:rsid w:val="00C25374"/>
    <w:rsid w:val="00C4215D"/>
    <w:rsid w:val="00C4380C"/>
    <w:rsid w:val="00C44141"/>
    <w:rsid w:val="00C54904"/>
    <w:rsid w:val="00C54F54"/>
    <w:rsid w:val="00C57E06"/>
    <w:rsid w:val="00C621F8"/>
    <w:rsid w:val="00C63204"/>
    <w:rsid w:val="00C70817"/>
    <w:rsid w:val="00C92969"/>
    <w:rsid w:val="00CB2F0C"/>
    <w:rsid w:val="00CB4481"/>
    <w:rsid w:val="00CB44E7"/>
    <w:rsid w:val="00CB474A"/>
    <w:rsid w:val="00CC0B0B"/>
    <w:rsid w:val="00CD0065"/>
    <w:rsid w:val="00CE1435"/>
    <w:rsid w:val="00CF0699"/>
    <w:rsid w:val="00CF1866"/>
    <w:rsid w:val="00CF2287"/>
    <w:rsid w:val="00CF4554"/>
    <w:rsid w:val="00D059B7"/>
    <w:rsid w:val="00D0782D"/>
    <w:rsid w:val="00D10B65"/>
    <w:rsid w:val="00D12C3B"/>
    <w:rsid w:val="00D14EE2"/>
    <w:rsid w:val="00D22303"/>
    <w:rsid w:val="00D37006"/>
    <w:rsid w:val="00D501E2"/>
    <w:rsid w:val="00D62CFE"/>
    <w:rsid w:val="00D6324A"/>
    <w:rsid w:val="00D6789A"/>
    <w:rsid w:val="00D72C13"/>
    <w:rsid w:val="00D75603"/>
    <w:rsid w:val="00D82EDC"/>
    <w:rsid w:val="00D94282"/>
    <w:rsid w:val="00D969B6"/>
    <w:rsid w:val="00DA0DF7"/>
    <w:rsid w:val="00DA244D"/>
    <w:rsid w:val="00DB5E98"/>
    <w:rsid w:val="00DC29B6"/>
    <w:rsid w:val="00DC2DF5"/>
    <w:rsid w:val="00DD29BB"/>
    <w:rsid w:val="00DD74B5"/>
    <w:rsid w:val="00DE1F94"/>
    <w:rsid w:val="00DE39D8"/>
    <w:rsid w:val="00E03E22"/>
    <w:rsid w:val="00E11631"/>
    <w:rsid w:val="00E12575"/>
    <w:rsid w:val="00E14C53"/>
    <w:rsid w:val="00E16CCF"/>
    <w:rsid w:val="00E20AEC"/>
    <w:rsid w:val="00E20C14"/>
    <w:rsid w:val="00E33326"/>
    <w:rsid w:val="00E36BA4"/>
    <w:rsid w:val="00E413F8"/>
    <w:rsid w:val="00E44CBF"/>
    <w:rsid w:val="00E735DA"/>
    <w:rsid w:val="00E81258"/>
    <w:rsid w:val="00E82383"/>
    <w:rsid w:val="00E87D56"/>
    <w:rsid w:val="00E91685"/>
    <w:rsid w:val="00E95FA6"/>
    <w:rsid w:val="00E970AA"/>
    <w:rsid w:val="00EA474E"/>
    <w:rsid w:val="00EB0ABB"/>
    <w:rsid w:val="00EB1CD0"/>
    <w:rsid w:val="00EC5EE3"/>
    <w:rsid w:val="00EC6692"/>
    <w:rsid w:val="00ED1D2E"/>
    <w:rsid w:val="00ED492E"/>
    <w:rsid w:val="00ED61D1"/>
    <w:rsid w:val="00EE0100"/>
    <w:rsid w:val="00EE3B2B"/>
    <w:rsid w:val="00EE6705"/>
    <w:rsid w:val="00EF048A"/>
    <w:rsid w:val="00F236EF"/>
    <w:rsid w:val="00F2698F"/>
    <w:rsid w:val="00F340E0"/>
    <w:rsid w:val="00F44D67"/>
    <w:rsid w:val="00F4681A"/>
    <w:rsid w:val="00F57958"/>
    <w:rsid w:val="00F67432"/>
    <w:rsid w:val="00F723D2"/>
    <w:rsid w:val="00F7373B"/>
    <w:rsid w:val="00F75FC6"/>
    <w:rsid w:val="00F80586"/>
    <w:rsid w:val="00F87BA9"/>
    <w:rsid w:val="00F904AF"/>
    <w:rsid w:val="00FB0D7E"/>
    <w:rsid w:val="00FB199B"/>
    <w:rsid w:val="00FB3900"/>
    <w:rsid w:val="00FB4CB9"/>
    <w:rsid w:val="00FB7DFC"/>
    <w:rsid w:val="00FD0524"/>
    <w:rsid w:val="00FD386B"/>
    <w:rsid w:val="00FD622A"/>
    <w:rsid w:val="00FE0889"/>
    <w:rsid w:val="00FE57BC"/>
    <w:rsid w:val="00FE7BC5"/>
    <w:rsid w:val="00FF08B2"/>
    <w:rsid w:val="00FF1F2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2F30E6"/>
  <w15:docId w15:val="{E63E63EE-E626-48BD-A4D9-635BCE1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03"/>
    <w:pPr>
      <w:spacing w:before="120" w:after="1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D82EDC"/>
    <w:pPr>
      <w:keepNext/>
      <w:numPr>
        <w:numId w:val="44"/>
      </w:numPr>
      <w:tabs>
        <w:tab w:val="left" w:pos="851"/>
      </w:tabs>
      <w:suppressAutoHyphens/>
      <w:autoSpaceDN w:val="0"/>
      <w:spacing w:before="100" w:beforeAutospacing="1" w:after="100" w:afterAutospacing="1"/>
      <w:ind w:left="851" w:hanging="851"/>
      <w:textAlignment w:val="baseline"/>
      <w:outlineLvl w:val="0"/>
    </w:pPr>
    <w:rPr>
      <w:rFonts w:eastAsia="Times New Roman"/>
      <w:b/>
      <w:snapToGrid w:val="0"/>
    </w:rPr>
  </w:style>
  <w:style w:type="paragraph" w:styleId="Heading2">
    <w:name w:val="heading 2"/>
    <w:basedOn w:val="Heading1"/>
    <w:next w:val="Normal"/>
    <w:link w:val="Heading2Char"/>
    <w:qFormat/>
    <w:rsid w:val="00D82EDC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6D37D4"/>
    <w:pPr>
      <w:numPr>
        <w:ilvl w:val="2"/>
      </w:numPr>
      <w:ind w:left="1701" w:hanging="981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1D285C"/>
    <w:pPr>
      <w:keepLines/>
      <w:numPr>
        <w:ilvl w:val="3"/>
      </w:numPr>
      <w:spacing w:before="40" w:after="20"/>
      <w:outlineLvl w:val="3"/>
    </w:pPr>
    <w:rPr>
      <w:b w:val="0"/>
      <w:kern w:val="3"/>
      <w:sz w:val="20"/>
    </w:rPr>
  </w:style>
  <w:style w:type="paragraph" w:styleId="Heading5">
    <w:name w:val="heading 5"/>
    <w:basedOn w:val="Heading4"/>
    <w:next w:val="Normal"/>
    <w:link w:val="Heading5Char"/>
    <w:qFormat/>
    <w:rsid w:val="001D285C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82965"/>
    <w:pPr>
      <w:numPr>
        <w:ilvl w:val="0"/>
        <w:numId w:val="0"/>
      </w:numPr>
      <w:tabs>
        <w:tab w:val="clear" w:pos="851"/>
        <w:tab w:val="left" w:pos="567"/>
        <w:tab w:val="num" w:pos="1152"/>
      </w:tabs>
      <w:suppressAutoHyphens w:val="0"/>
      <w:autoSpaceDN/>
      <w:spacing w:beforeAutospacing="0" w:afterAutospacing="0" w:line="240" w:lineRule="auto"/>
      <w:ind w:left="1152" w:hanging="1152"/>
      <w:jc w:val="left"/>
      <w:textAlignment w:val="auto"/>
      <w:outlineLvl w:val="5"/>
    </w:pPr>
    <w:rPr>
      <w:rFonts w:ascii="Century Gothic" w:hAnsi="Century Gothic" w:cs="Times New Roman"/>
      <w:i/>
      <w:kern w:val="24"/>
      <w:szCs w:val="20"/>
    </w:rPr>
  </w:style>
  <w:style w:type="paragraph" w:styleId="Heading7">
    <w:name w:val="heading 7"/>
    <w:basedOn w:val="Heading5"/>
    <w:next w:val="Normal"/>
    <w:link w:val="Heading7Char"/>
    <w:qFormat/>
    <w:rsid w:val="00382965"/>
    <w:pPr>
      <w:numPr>
        <w:ilvl w:val="0"/>
        <w:numId w:val="0"/>
      </w:numPr>
      <w:tabs>
        <w:tab w:val="clear" w:pos="851"/>
        <w:tab w:val="left" w:pos="567"/>
        <w:tab w:val="num" w:pos="1296"/>
      </w:tabs>
      <w:suppressAutoHyphens w:val="0"/>
      <w:autoSpaceDN/>
      <w:spacing w:beforeAutospacing="0" w:afterAutospacing="0" w:line="240" w:lineRule="auto"/>
      <w:ind w:left="1296" w:hanging="1296"/>
      <w:jc w:val="left"/>
      <w:textAlignment w:val="auto"/>
      <w:outlineLvl w:val="6"/>
    </w:pPr>
    <w:rPr>
      <w:rFonts w:ascii="Century Gothic" w:hAnsi="Century Gothic" w:cs="Times New Roman"/>
      <w:b/>
      <w:kern w:val="24"/>
      <w:szCs w:val="20"/>
    </w:rPr>
  </w:style>
  <w:style w:type="paragraph" w:styleId="Heading8">
    <w:name w:val="heading 8"/>
    <w:basedOn w:val="Heading5"/>
    <w:next w:val="Normal"/>
    <w:link w:val="Heading8Char"/>
    <w:qFormat/>
    <w:rsid w:val="0089365E"/>
    <w:pPr>
      <w:numPr>
        <w:ilvl w:val="0"/>
        <w:numId w:val="0"/>
      </w:numPr>
      <w:suppressAutoHyphens w:val="0"/>
      <w:autoSpaceDN/>
      <w:jc w:val="left"/>
      <w:textAlignment w:val="auto"/>
      <w:outlineLvl w:val="7"/>
    </w:pPr>
    <w:rPr>
      <w:b/>
      <w:kern w:val="24"/>
    </w:rPr>
  </w:style>
  <w:style w:type="paragraph" w:styleId="Heading9">
    <w:name w:val="heading 9"/>
    <w:basedOn w:val="Heading5"/>
    <w:next w:val="Normal"/>
    <w:link w:val="Heading9Char"/>
    <w:qFormat/>
    <w:rsid w:val="0089365E"/>
    <w:pPr>
      <w:numPr>
        <w:ilvl w:val="0"/>
        <w:numId w:val="0"/>
      </w:numPr>
      <w:suppressAutoHyphens w:val="0"/>
      <w:autoSpaceDN/>
      <w:jc w:val="left"/>
      <w:textAlignment w:val="auto"/>
      <w:outlineLvl w:val="8"/>
    </w:pPr>
    <w:rPr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C"/>
  </w:style>
  <w:style w:type="paragraph" w:styleId="Footer">
    <w:name w:val="footer"/>
    <w:basedOn w:val="Normal"/>
    <w:link w:val="Foot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C"/>
  </w:style>
  <w:style w:type="paragraph" w:styleId="BalloonText">
    <w:name w:val="Balloon Text"/>
    <w:basedOn w:val="Normal"/>
    <w:link w:val="BalloonTextChar"/>
    <w:uiPriority w:val="99"/>
    <w:semiHidden/>
    <w:unhideWhenUsed/>
    <w:rsid w:val="001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2EDC"/>
    <w:rPr>
      <w:rFonts w:ascii="Arial" w:eastAsia="Times New Roman" w:hAnsi="Arial" w:cs="Arial"/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D82EDC"/>
    <w:rPr>
      <w:rFonts w:ascii="Arial" w:eastAsia="Times New Roman" w:hAnsi="Arial" w:cs="Arial"/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37D4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1D285C"/>
    <w:rPr>
      <w:rFonts w:ascii="Century Gothic" w:eastAsia="Times New Roman" w:hAnsi="Century Gothic" w:cs="Times New Roman"/>
      <w:snapToGrid w:val="0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D285C"/>
    <w:rPr>
      <w:rFonts w:ascii="Century Gothic" w:eastAsia="Times New Roman" w:hAnsi="Century Gothic" w:cs="Times New Roman"/>
      <w:snapToGrid w:val="0"/>
      <w:kern w:val="3"/>
      <w:sz w:val="20"/>
      <w:szCs w:val="20"/>
    </w:rPr>
  </w:style>
  <w:style w:type="numbering" w:customStyle="1" w:styleId="WWOutlineListStyle">
    <w:name w:val="WW_OutlineListStyle"/>
    <w:basedOn w:val="NoList"/>
    <w:rsid w:val="001D285C"/>
    <w:pPr>
      <w:numPr>
        <w:numId w:val="1"/>
      </w:numPr>
    </w:pPr>
  </w:style>
  <w:style w:type="paragraph" w:customStyle="1" w:styleId="Default">
    <w:name w:val="Default"/>
    <w:rsid w:val="001D285C"/>
    <w:pPr>
      <w:suppressAutoHyphens/>
      <w:autoSpaceDE w:val="0"/>
      <w:autoSpaceDN w:val="0"/>
      <w:spacing w:after="0" w:line="240" w:lineRule="auto"/>
      <w:textAlignment w:val="baseline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SAdvPosition">
    <w:name w:val="OHS Adv Position"/>
    <w:basedOn w:val="Normal"/>
    <w:rsid w:val="001D285C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  <w:u w:val="single"/>
      <w:lang w:eastAsia="en-AU"/>
    </w:rPr>
  </w:style>
  <w:style w:type="character" w:styleId="CommentReference">
    <w:name w:val="annotation reference"/>
    <w:basedOn w:val="DefaultParagraphFont"/>
    <w:semiHidden/>
    <w:unhideWhenUsed/>
    <w:rsid w:val="0055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631"/>
    <w:pPr>
      <w:ind w:left="720"/>
      <w:contextualSpacing/>
    </w:pPr>
  </w:style>
  <w:style w:type="paragraph" w:customStyle="1" w:styleId="NormalTextLevel3">
    <w:name w:val="Normal Text Level 3"/>
    <w:basedOn w:val="Normal"/>
    <w:link w:val="NormalTextLevel3Char"/>
    <w:qFormat/>
    <w:rsid w:val="001F5140"/>
    <w:pPr>
      <w:ind w:left="709" w:firstLine="11"/>
    </w:pPr>
  </w:style>
  <w:style w:type="character" w:styleId="SubtleReference">
    <w:name w:val="Subtle Reference"/>
    <w:basedOn w:val="DefaultParagraphFont"/>
    <w:uiPriority w:val="31"/>
    <w:qFormat/>
    <w:rsid w:val="009F2C1B"/>
    <w:rPr>
      <w:smallCaps/>
      <w:color w:val="C0504D" w:themeColor="accent2"/>
      <w:u w:val="single"/>
    </w:rPr>
  </w:style>
  <w:style w:type="character" w:customStyle="1" w:styleId="NormalTextLevel3Char">
    <w:name w:val="Normal Text Level 3 Char"/>
    <w:basedOn w:val="DefaultParagraphFont"/>
    <w:link w:val="NormalTextLevel3"/>
    <w:rsid w:val="001F5140"/>
    <w:rPr>
      <w:rFonts w:ascii="Arial" w:hAnsi="Arial" w:cs="Arial"/>
    </w:rPr>
  </w:style>
  <w:style w:type="paragraph" w:customStyle="1" w:styleId="NormalBullets">
    <w:name w:val="Normal Bullets"/>
    <w:basedOn w:val="NormalTextLevel3"/>
    <w:link w:val="NormalBulletsChar"/>
    <w:qFormat/>
    <w:rsid w:val="009F2C1B"/>
    <w:pPr>
      <w:spacing w:after="0"/>
      <w:ind w:left="0" w:firstLine="0"/>
    </w:pPr>
  </w:style>
  <w:style w:type="character" w:styleId="Hyperlink">
    <w:name w:val="Hyperlink"/>
    <w:basedOn w:val="DefaultParagraphFont"/>
    <w:uiPriority w:val="99"/>
    <w:unhideWhenUsed/>
    <w:rsid w:val="008F0497"/>
    <w:rPr>
      <w:color w:val="0000FF" w:themeColor="hyperlink"/>
      <w:u w:val="single"/>
    </w:rPr>
  </w:style>
  <w:style w:type="character" w:customStyle="1" w:styleId="NormalBulletsChar">
    <w:name w:val="Normal Bullets Char"/>
    <w:basedOn w:val="NormalTextLevel3Char"/>
    <w:link w:val="NormalBullets"/>
    <w:rsid w:val="009F2C1B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89365E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9365E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  <w:style w:type="paragraph" w:styleId="PlainText">
    <w:name w:val="Plain Text"/>
    <w:basedOn w:val="Normal"/>
    <w:link w:val="PlainTextChar"/>
    <w:rsid w:val="00803A74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803A74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CharChar">
    <w:name w:val="Char Char"/>
    <w:basedOn w:val="Normal"/>
    <w:rsid w:val="004C1DE6"/>
    <w:pPr>
      <w:spacing w:before="0" w:after="160" w:line="240" w:lineRule="exact"/>
      <w:jc w:val="left"/>
    </w:pPr>
    <w:rPr>
      <w:rFonts w:ascii="Times New Roman" w:eastAsia="Times New Roman" w:hAnsi="Times New Roman"/>
      <w:bCs/>
      <w:sz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82965"/>
    <w:rPr>
      <w:rFonts w:ascii="Century Gothic" w:eastAsia="Times New Roman" w:hAnsi="Century Gothic" w:cs="Times New Roman"/>
      <w:i/>
      <w:snapToGrid w:val="0"/>
      <w:kern w:val="24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82965"/>
    <w:rPr>
      <w:rFonts w:ascii="Century Gothic" w:eastAsia="Times New Roman" w:hAnsi="Century Gothic" w:cs="Times New Roman"/>
      <w:b/>
      <w:snapToGrid w:val="0"/>
      <w:kern w:val="24"/>
      <w:sz w:val="20"/>
      <w:szCs w:val="20"/>
    </w:rPr>
  </w:style>
  <w:style w:type="paragraph" w:customStyle="1" w:styleId="ESHeading2">
    <w:name w:val="ES_Heading 2"/>
    <w:basedOn w:val="Heading1"/>
    <w:qFormat/>
    <w:rsid w:val="00382965"/>
    <w:pPr>
      <w:keepLines/>
      <w:numPr>
        <w:numId w:val="23"/>
      </w:numPr>
      <w:tabs>
        <w:tab w:val="clear" w:pos="851"/>
      </w:tabs>
      <w:suppressAutoHyphens w:val="0"/>
      <w:autoSpaceDN/>
      <w:spacing w:before="240" w:beforeAutospacing="0" w:after="120" w:afterAutospacing="0" w:line="240" w:lineRule="atLeast"/>
      <w:jc w:val="left"/>
      <w:textAlignment w:val="auto"/>
      <w:outlineLvl w:val="1"/>
    </w:pPr>
    <w:rPr>
      <w:rFonts w:eastAsiaTheme="majorEastAsia" w:cstheme="majorBidi"/>
      <w:bCs/>
      <w:caps/>
      <w:snapToGrid/>
      <w:color w:val="004EA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safetyhw/Pages/definedohsterm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consultation, communicaiton,safety, HSR, health and safety representative, PIN, election, training,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Health and Safety Representative Guide</DEECD_Descrip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227-B805-4593-8420-A64F02CDD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F9299-460B-40D3-A7D3-D8BE10AD9C0C}">
  <ds:schemaRefs>
    <ds:schemaRef ds:uri="c10f4a48-0b78-43ad-8a22-6707c806cbc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31F6D3-06A8-42AC-BFF2-08D100C4A3CA}"/>
</file>

<file path=customXml/itemProps4.xml><?xml version="1.0" encoding="utf-8"?>
<ds:datastoreItem xmlns:ds="http://schemas.openxmlformats.org/officeDocument/2006/customXml" ds:itemID="{83013711-20A6-4A86-BECF-BA48D15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Representative Guide</vt:lpstr>
    </vt:vector>
  </TitlesOfParts>
  <Company>DEECD</Company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Representative Guide</dc:title>
  <dc:creator>Scamporlino, Kara A</dc:creator>
  <cp:lastModifiedBy>Algefski, Grace G</cp:lastModifiedBy>
  <cp:revision>2</cp:revision>
  <cp:lastPrinted>2017-02-23T03:59:00Z</cp:lastPrinted>
  <dcterms:created xsi:type="dcterms:W3CDTF">2020-10-22T02:29:00Z</dcterms:created>
  <dcterms:modified xsi:type="dcterms:W3CDTF">2020-10-22T02:29:00Z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1823700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