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01" w:type="pct"/>
        <w:tblLook w:val="04A0" w:firstRow="1" w:lastRow="0" w:firstColumn="1" w:lastColumn="0" w:noHBand="0" w:noVBand="1"/>
      </w:tblPr>
      <w:tblGrid>
        <w:gridCol w:w="6467"/>
        <w:gridCol w:w="321"/>
        <w:gridCol w:w="3813"/>
        <w:gridCol w:w="4687"/>
      </w:tblGrid>
      <w:tr w:rsidR="00D2235B" w:rsidRPr="006758C9" w:rsidTr="006B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bookmarkStart w:id="0" w:name="_GoBack"/>
            <w:bookmarkEnd w:id="0"/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6B4302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B2384B" w:rsidRDefault="00B6728D" w:rsidP="00971582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Plant/Equipment Item</w:t>
            </w:r>
            <w:r w:rsidRPr="00D03864">
              <w:rPr>
                <w:rFonts w:cs="Arial"/>
                <w:b/>
                <w:szCs w:val="22"/>
              </w:rPr>
              <w:t xml:space="preserve">: </w:t>
            </w:r>
            <w:r w:rsidR="00971582" w:rsidRPr="00D03864">
              <w:rPr>
                <w:rFonts w:cs="Arial"/>
                <w:b/>
                <w:szCs w:val="22"/>
              </w:rPr>
              <w:t xml:space="preserve">Biscuit Joiner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6B430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1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2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  <w:tr w:rsidR="00B6728D" w:rsidRPr="006758C9" w:rsidTr="006B430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B6728D" w:rsidRPr="006758C9" w:rsidTr="006B4302">
        <w:trPr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6758C9" w:rsidRDefault="00971582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  <w:color w:val="0000FF"/>
                <w:sz w:val="20"/>
              </w:rPr>
              <w:drawing>
                <wp:inline distT="0" distB="0" distL="0" distR="0">
                  <wp:extent cx="3352800" cy="3352800"/>
                  <wp:effectExtent l="0" t="0" r="0" b="0"/>
                  <wp:docPr id="2" name="Picture 2" descr="Biscuit Joiner &#10;&#10;http://www.dewalt.com.au/ProductImages/Imports/AN_Images/Dewalt/Applications/Detail/DW682_A2_Detail.jpg" title="Biscuit Joi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dewalt.com.au/ProductImages/Imports/AN_Images/Dewalt/Applications/Detail/DW682_A2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971582" w:rsidRPr="00971582" w:rsidRDefault="00971582" w:rsidP="00971582">
            <w:pPr>
              <w:spacing w:before="40" w:after="40"/>
              <w:ind w:righ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"/>
              </w:rPr>
            </w:pPr>
            <w:r w:rsidRPr="00971582">
              <w:rPr>
                <w:rFonts w:cs="Arial"/>
                <w:bCs/>
                <w:lang w:val="en"/>
              </w:rPr>
              <w:t>A biscuit joiner</w:t>
            </w:r>
            <w:r w:rsidRPr="00971582">
              <w:rPr>
                <w:rFonts w:cs="Arial"/>
                <w:lang w:val="en"/>
              </w:rPr>
              <w:t xml:space="preserve"> is a </w:t>
            </w:r>
            <w:proofErr w:type="spellStart"/>
            <w:r w:rsidRPr="00971582">
              <w:rPr>
                <w:rFonts w:cs="Arial"/>
                <w:lang w:val="en"/>
              </w:rPr>
              <w:t>specialised</w:t>
            </w:r>
            <w:proofErr w:type="spellEnd"/>
            <w:r w:rsidRPr="00971582">
              <w:rPr>
                <w:rFonts w:cs="Arial"/>
                <w:lang w:val="en"/>
              </w:rPr>
              <w:t xml:space="preserve"> woodworking tool that uses a circular saw blade to cut a crescent shaped hole in the opposite edges of two pieces of wood.</w:t>
            </w:r>
          </w:p>
          <w:p w:rsidR="00971582" w:rsidRPr="00971582" w:rsidRDefault="00971582" w:rsidP="00971582">
            <w:pPr>
              <w:spacing w:before="40" w:after="40"/>
              <w:ind w:righ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"/>
              </w:rPr>
            </w:pPr>
          </w:p>
          <w:p w:rsidR="00B6728D" w:rsidRPr="006758C9" w:rsidRDefault="00971582" w:rsidP="009715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71582">
              <w:rPr>
                <w:rFonts w:cs="Arial"/>
                <w:lang w:val="en"/>
              </w:rPr>
              <w:t>An oval-shaped, wooden biscuit (hence the name biscuit join) is placed in the slot, glue is applied and the two pieces of wood are clamped together.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971582" w:rsidRPr="00971582" w:rsidRDefault="00971582" w:rsidP="0097158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582">
              <w:t xml:space="preserve">Impact  and cutting </w:t>
            </w:r>
          </w:p>
          <w:p w:rsidR="00971582" w:rsidRPr="00971582" w:rsidRDefault="00971582" w:rsidP="0097158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582">
              <w:t>Electricity</w:t>
            </w:r>
          </w:p>
          <w:p w:rsidR="00971582" w:rsidRPr="00971582" w:rsidRDefault="00971582" w:rsidP="0097158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582">
              <w:t>Slips/trips/falls</w:t>
            </w:r>
          </w:p>
          <w:p w:rsidR="00971582" w:rsidRPr="00971582" w:rsidRDefault="00971582" w:rsidP="0097158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582">
              <w:t>Other (dust)</w:t>
            </w:r>
          </w:p>
          <w:p w:rsidR="00C30F59" w:rsidRPr="00C30F59" w:rsidRDefault="00C30F59" w:rsidP="009715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B565CB" w:rsidRDefault="00B565CB" w:rsidP="00B565C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B565C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4A0F82" w:rsidRPr="004A0F82" w:rsidRDefault="004A0F82" w:rsidP="004A0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A0F82">
              <w:rPr>
                <w:rFonts w:cs="Arial"/>
              </w:rPr>
              <w:t>AS 1473 Guarding and safe use of woodworking machinery</w:t>
            </w:r>
          </w:p>
          <w:p w:rsidR="004A0F82" w:rsidRPr="004A0F82" w:rsidRDefault="004A0F82" w:rsidP="004A0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A0F82">
              <w:rPr>
                <w:rFonts w:cs="Arial"/>
              </w:rPr>
              <w:t xml:space="preserve">AS 4024.1 Safety of machinery </w:t>
            </w:r>
          </w:p>
          <w:p w:rsidR="004A0F82" w:rsidRPr="004A0F82" w:rsidRDefault="004A0F82" w:rsidP="004A0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A0F82">
              <w:rPr>
                <w:rFonts w:cs="Arial"/>
              </w:rPr>
              <w:t>AS/NZS 3760 In service safety inspection and testing of electrical equipment</w:t>
            </w:r>
          </w:p>
          <w:p w:rsidR="00003E1C" w:rsidRPr="00FA15C2" w:rsidRDefault="004A0F82" w:rsidP="004A0F82">
            <w:pPr>
              <w:tabs>
                <w:tab w:val="left" w:pos="2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A0F82">
              <w:rPr>
                <w:rFonts w:cs="Arial"/>
                <w:bCs/>
              </w:rPr>
              <w:t xml:space="preserve">AS/NZS 60745  </w:t>
            </w:r>
            <w:r w:rsidRPr="004A0F82">
              <w:rPr>
                <w:rFonts w:cs="Arial"/>
              </w:rPr>
              <w:t>Hand-held motor-operated electric tools - Safety - General requirements</w:t>
            </w:r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B565C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B565C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B565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B0658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BC7E02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BC7E02" w:rsidRDefault="007F1080" w:rsidP="00BC7E0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3864" w:rsidRDefault="00D03864" w:rsidP="006758C9">
      <w:pPr>
        <w:tabs>
          <w:tab w:val="left" w:pos="5540"/>
        </w:tabs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9556D8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B565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F82">
              <w:t>Injuries could be sustained as a result of the cutter being poorly maintained, damaged or the work piece not being secured.</w:t>
            </w:r>
          </w:p>
          <w:p w:rsidR="00361A21" w:rsidRPr="004A0F82" w:rsidRDefault="00361A21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F82">
              <w:t xml:space="preserve">Ensure work piece is securely clamped in place prior to cutting. The work piece should not be cut freehand. </w:t>
            </w:r>
          </w:p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F82">
              <w:t>Ensure appropriate PPE (e.g. eye protection) is worn whilst operating equipment.</w:t>
            </w:r>
          </w:p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F82">
              <w:t>Ensure guards are appropriately fitted prior to use.</w:t>
            </w:r>
          </w:p>
          <w:p w:rsidR="004A0F82" w:rsidRPr="004A0F82" w:rsidRDefault="004A0F82" w:rsidP="004A0F8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B44187" w:rsidRPr="004A0F82" w:rsidRDefault="00B44187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B565C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B565C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D0386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B565C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D0386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758C9">
              <w:rPr>
                <w:rFonts w:cs="Arial"/>
                <w:szCs w:val="22"/>
                <w:lang w:val="en-US"/>
              </w:rPr>
              <w:t>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</w:t>
            </w:r>
            <w:proofErr w:type="spellEnd"/>
            <w:r w:rsidRPr="006758C9">
              <w:rPr>
                <w:rFonts w:cs="Arial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D0386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6758C9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D0386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6758C9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4A0F82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6758C9" w:rsidRDefault="004A0F82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:rsidR="00FB7545" w:rsidRPr="006758C9" w:rsidRDefault="004A0F82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6758C9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6758C9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6758C9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6758C9" w:rsidRDefault="004A0F8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:rsidR="00FB7545" w:rsidRPr="006758C9" w:rsidRDefault="00B0658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565C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6758C9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A0F82" w:rsidRPr="006758C9" w:rsidTr="00B565C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6758C9" w:rsidRDefault="004A0F8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4A0F82" w:rsidRPr="006758C9" w:rsidRDefault="004A0F82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6758C9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A0F82" w:rsidRPr="006758C9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:rsidR="004A0F82" w:rsidRPr="006758C9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4A0F82" w:rsidRPr="006758C9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6758C9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A0F82" w:rsidRPr="006758C9" w:rsidTr="00B565C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6758C9" w:rsidRDefault="004A0F8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4A0F82" w:rsidRPr="006758C9" w:rsidRDefault="004A0F8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6758C9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6758C9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6758C9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6758C9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6758C9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C7E02" w:rsidRDefault="00BC7E0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B565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5E69">
              <w:rPr>
                <w:rFonts w:cs="Arial"/>
              </w:rPr>
              <w:t>Damaged or frayed electrical leads pose an electrical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958F8" w:rsidRPr="00B55E69" w:rsidRDefault="00C958F8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 xml:space="preserve">Operator to check for damaged electrical cords prior to use. </w:t>
            </w:r>
          </w:p>
          <w:p w:rsidR="00B63D58" w:rsidRPr="004A0F8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br/>
              <w:t>Ensure equipment is regularly serviced, tested and tagged and appropriate isolation procedures (e.g. lock out tags) are in place.</w:t>
            </w: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D0386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D0386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6758C9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6758C9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A0F8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A0F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6758C9" w:rsidRDefault="00B0658B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6758C9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6758C9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6758C9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55E69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B565C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B730A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03864" w:rsidRDefault="00D03864" w:rsidP="00834607">
      <w:pPr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B565C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B5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565CB">
              <w:rPr>
                <w:rFonts w:cs="Arial"/>
                <w:b/>
                <w:sz w:val="18"/>
                <w:szCs w:val="22"/>
              </w:rPr>
              <w:t>Risk</w:t>
            </w:r>
            <w:r w:rsidR="00B565CB" w:rsidRPr="00B565CB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B565CB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571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B55E6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B55E69" w:rsidRDefault="00B44187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2B6BBD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2B6BBD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C535D5" w:rsidRPr="006758C9" w:rsidRDefault="00C535D5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Can anyone be injured or suffer </w:t>
            </w:r>
            <w:r w:rsidR="00D76D1F" w:rsidRPr="006758C9">
              <w:rPr>
                <w:rFonts w:cs="Arial"/>
                <w:szCs w:val="22"/>
                <w:lang w:val="en-US"/>
              </w:rPr>
              <w:t>ill health</w:t>
            </w:r>
            <w:r w:rsidRPr="006758C9">
              <w:rPr>
                <w:rFonts w:cs="Arial"/>
                <w:szCs w:val="22"/>
                <w:lang w:val="en-US"/>
              </w:rPr>
              <w:t xml:space="preserve">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6758C9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C103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C103F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C103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4C103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535D5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535D5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C535D5" w:rsidRPr="006758C9" w:rsidRDefault="00C535D5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6758C9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003E1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003E1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565C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C535D5" w:rsidRPr="006758C9" w:rsidRDefault="00C535D5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6758C9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565C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C535D5" w:rsidRPr="006758C9" w:rsidRDefault="00C535D5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6758C9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BC7E0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BC7E0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565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B565CB">
            <w:pPr>
              <w:ind w:left="-30"/>
              <w:rPr>
                <w:rFonts w:cs="Arial"/>
                <w:szCs w:val="22"/>
              </w:rPr>
            </w:pPr>
            <w:r w:rsidRPr="00B565CB">
              <w:rPr>
                <w:rFonts w:cs="Arial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6758C9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B565C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Poor housekeeping practices allowing the build-up of waste materials or failure to immediately clean up spills could result in a slip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B55E69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Ensure appropriate cleaning and housekeeping practices are maintained to minimise the risk of a slip, trip or fall.</w:t>
            </w:r>
            <w:r w:rsidR="005F5DE7" w:rsidRPr="00B55E6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D03864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D0386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565C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C535D5" w:rsidRDefault="00C535D5">
      <w:pPr>
        <w:rPr>
          <w:rFonts w:cs="Arial"/>
          <w:szCs w:val="22"/>
        </w:rPr>
      </w:pPr>
    </w:p>
    <w:p w:rsidR="00D03864" w:rsidRDefault="00D0386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71930" w:rsidRDefault="00571930">
      <w:pPr>
        <w:rPr>
          <w:rFonts w:cs="Arial"/>
          <w:szCs w:val="22"/>
        </w:rPr>
      </w:pPr>
    </w:p>
    <w:tbl>
      <w:tblPr>
        <w:tblStyle w:val="TableGrid1"/>
        <w:tblW w:w="5302" w:type="pct"/>
        <w:tblLayout w:type="fixed"/>
        <w:tblLook w:val="04A0" w:firstRow="1" w:lastRow="0" w:firstColumn="1" w:lastColumn="0" w:noHBand="0" w:noVBand="1"/>
      </w:tblPr>
      <w:tblGrid>
        <w:gridCol w:w="4450"/>
        <w:gridCol w:w="1254"/>
        <w:gridCol w:w="281"/>
        <w:gridCol w:w="973"/>
        <w:gridCol w:w="1113"/>
        <w:gridCol w:w="1113"/>
        <w:gridCol w:w="1456"/>
        <w:gridCol w:w="1336"/>
        <w:gridCol w:w="3315"/>
      </w:tblGrid>
      <w:tr w:rsidR="001F6632" w:rsidRPr="006758C9" w:rsidTr="00B5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B565C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B565C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1F6632" w:rsidRPr="006758C9" w:rsidRDefault="001F6632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758C9" w:rsidRDefault="001F6632" w:rsidP="0057193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003E1C" w:rsidRDefault="001F6632" w:rsidP="00B55E69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F6632" w:rsidRPr="006758C9" w:rsidTr="00B565C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758C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6758C9" w:rsidRDefault="00B55E69" w:rsidP="0057193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B55E69" w:rsidRDefault="00B55E69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D76D1F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D4BF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D76D1F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D4BF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B55E69" w:rsidRPr="006758C9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D76D1F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571930" w:rsidRDefault="0057193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71930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B55E69" w:rsidRPr="00571930" w:rsidRDefault="00571930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71930">
              <w:t>Ensure good housekeeping practices are maintained.</w:t>
            </w:r>
          </w:p>
        </w:tc>
      </w:tr>
      <w:tr w:rsidR="00B55E69" w:rsidRPr="006758C9" w:rsidTr="00B565C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6758C9" w:rsidRDefault="00B55E69" w:rsidP="0057193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5719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="0057193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D76D1F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D76D1F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6758C9" w:rsidRDefault="00B55E69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6C54F5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55E69" w:rsidRPr="006758C9" w:rsidRDefault="006C54F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55E69" w:rsidRPr="006758C9" w:rsidRDefault="006C54F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B4302">
              <w:rPr>
                <w:rFonts w:cs="Arial"/>
                <w:szCs w:val="22"/>
              </w:rPr>
            </w:r>
            <w:r w:rsidR="006B430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565C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6758C9" w:rsidRDefault="00B55E69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B55E69" w:rsidRPr="006758C9" w:rsidTr="00B565CB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6758C9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6758C9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B43A9A" w:rsidRDefault="00B43A9A" w:rsidP="001F6632">
      <w:pPr>
        <w:rPr>
          <w:rFonts w:cs="Arial"/>
          <w:szCs w:val="22"/>
        </w:rPr>
        <w:sectPr w:rsidR="00B43A9A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tbl>
      <w:tblPr>
        <w:tblpPr w:leftFromText="180" w:rightFromText="180" w:vertAnchor="text" w:horzAnchor="margin" w:tblpY="-223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565CB" w:rsidRPr="00A057E4" w:rsidTr="00B565CB">
        <w:trPr>
          <w:trHeight w:val="8794"/>
        </w:trPr>
        <w:tc>
          <w:tcPr>
            <w:tcW w:w="7478" w:type="dxa"/>
            <w:shd w:val="clear" w:color="auto" w:fill="auto"/>
          </w:tcPr>
          <w:p w:rsidR="00B565CB" w:rsidRDefault="00B565CB" w:rsidP="00B565CB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565CB" w:rsidRPr="0013117E" w:rsidRDefault="00B565CB" w:rsidP="00B565C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565CB" w:rsidRPr="00A057E4" w:rsidTr="003626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pStyle w:val="ESBulletsinTableLevel2"/>
                    <w:framePr w:hSpace="180" w:wrap="around" w:vAnchor="text" w:hAnchor="margin" w:y="-22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pStyle w:val="ESBulletsinTable"/>
                    <w:framePr w:hSpace="180" w:wrap="around" w:vAnchor="text" w:hAnchor="margin" w:y="-223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565CB" w:rsidRPr="00A057E4" w:rsidTr="0036264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565CB" w:rsidRPr="00A057E4" w:rsidTr="0036264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565CB" w:rsidRDefault="00B565CB" w:rsidP="00B565CB">
            <w:pPr>
              <w:rPr>
                <w:sz w:val="20"/>
              </w:rPr>
            </w:pPr>
          </w:p>
          <w:p w:rsidR="00B565CB" w:rsidRDefault="00B565CB" w:rsidP="00B565C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565CB" w:rsidRPr="00A057E4" w:rsidRDefault="00B565CB" w:rsidP="00B565C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565CB" w:rsidRPr="00A057E4" w:rsidTr="003626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565CB" w:rsidRDefault="00B565CB" w:rsidP="00B565CB">
            <w:pPr>
              <w:rPr>
                <w:sz w:val="20"/>
              </w:rPr>
            </w:pPr>
          </w:p>
          <w:p w:rsidR="00B565CB" w:rsidRPr="00A6263E" w:rsidRDefault="00B565CB" w:rsidP="00B565CB">
            <w:pPr>
              <w:rPr>
                <w:sz w:val="20"/>
              </w:rPr>
            </w:pPr>
          </w:p>
          <w:p w:rsidR="00B565CB" w:rsidRPr="00A6263E" w:rsidRDefault="00B565CB" w:rsidP="00B565C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B565CB" w:rsidRPr="00A057E4" w:rsidRDefault="00B565CB" w:rsidP="00B565CB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565CB" w:rsidRPr="00A057E4" w:rsidTr="003626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pStyle w:val="ESBulletsinTableLevel2"/>
                    <w:framePr w:hSpace="180" w:wrap="around" w:vAnchor="text" w:hAnchor="margin" w:y="-22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pStyle w:val="ESBulletsinTable"/>
                    <w:framePr w:hSpace="180" w:wrap="around" w:vAnchor="text" w:hAnchor="margin" w:y="-22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565CB" w:rsidRPr="00A057E4" w:rsidTr="0036264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565CB" w:rsidRPr="00A057E4" w:rsidTr="0036264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565CB" w:rsidRPr="00A057E4" w:rsidRDefault="00B565CB" w:rsidP="00B565C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B565CB" w:rsidRPr="00A057E4" w:rsidTr="003626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565CB" w:rsidRPr="00A057E4" w:rsidTr="003626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565CB" w:rsidRPr="00A057E4" w:rsidTr="0036264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565CB" w:rsidRPr="00A057E4" w:rsidRDefault="00B565CB" w:rsidP="00B565CB">
                  <w:pPr>
                    <w:framePr w:hSpace="180" w:wrap="around" w:vAnchor="text" w:hAnchor="margin" w:y="-22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565CB" w:rsidRPr="00A057E4" w:rsidRDefault="00B565CB" w:rsidP="00B565C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1F6632" w:rsidRPr="006758C9" w:rsidRDefault="001F6632" w:rsidP="001F6632">
      <w:pPr>
        <w:rPr>
          <w:rFonts w:cs="Arial"/>
          <w:szCs w:val="22"/>
        </w:rPr>
      </w:pPr>
    </w:p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B43A9A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7D" w:rsidRDefault="00280E7D">
      <w:r>
        <w:separator/>
      </w:r>
    </w:p>
  </w:endnote>
  <w:endnote w:type="continuationSeparator" w:id="0">
    <w:p w:rsidR="00280E7D" w:rsidRDefault="002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CB" w:rsidRDefault="00B56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030FAB" w:rsidRDefault="00B0658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B565CB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CB" w:rsidRDefault="00B565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980CD5" w:rsidRDefault="00971582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Biscuit Joine</w:t>
    </w:r>
    <w:r w:rsidR="00B0658B">
      <w:rPr>
        <w:sz w:val="18"/>
      </w:rPr>
      <w:t xml:space="preserve">r </w:t>
    </w:r>
    <w:r w:rsidR="00B0658B" w:rsidRPr="00980CD5">
      <w:rPr>
        <w:sz w:val="18"/>
      </w:rPr>
      <w:t>Risk Management Form</w:t>
    </w:r>
    <w:r w:rsidR="00B0658B">
      <w:rPr>
        <w:sz w:val="20"/>
      </w:rPr>
      <w:tab/>
    </w:r>
    <w:r w:rsidR="00B0658B">
      <w:rPr>
        <w:sz w:val="20"/>
      </w:rPr>
      <w:tab/>
    </w:r>
    <w:r w:rsidR="00B0658B" w:rsidRPr="00980CD5">
      <w:rPr>
        <w:sz w:val="18"/>
        <w:szCs w:val="18"/>
      </w:rPr>
      <w:t xml:space="preserve">Page | </w:t>
    </w:r>
    <w:r w:rsidR="00B0658B" w:rsidRPr="00980CD5">
      <w:rPr>
        <w:sz w:val="18"/>
        <w:szCs w:val="18"/>
      </w:rPr>
      <w:fldChar w:fldCharType="begin"/>
    </w:r>
    <w:r w:rsidR="00B0658B" w:rsidRPr="00980CD5">
      <w:rPr>
        <w:sz w:val="18"/>
        <w:szCs w:val="18"/>
      </w:rPr>
      <w:instrText xml:space="preserve"> PAGE   \* MERGEFORMAT </w:instrText>
    </w:r>
    <w:r w:rsidR="00B0658B" w:rsidRPr="00980CD5">
      <w:rPr>
        <w:sz w:val="18"/>
        <w:szCs w:val="18"/>
      </w:rPr>
      <w:fldChar w:fldCharType="separate"/>
    </w:r>
    <w:r w:rsidR="006B4302">
      <w:rPr>
        <w:noProof/>
        <w:sz w:val="18"/>
        <w:szCs w:val="18"/>
      </w:rPr>
      <w:t>8</w:t>
    </w:r>
    <w:r w:rsidR="00B0658B" w:rsidRPr="00980CD5">
      <w:rPr>
        <w:noProof/>
        <w:sz w:val="18"/>
        <w:szCs w:val="18"/>
      </w:rPr>
      <w:fldChar w:fldCharType="end"/>
    </w:r>
    <w:r w:rsidR="00B0658B" w:rsidRPr="00980CD5">
      <w:rPr>
        <w:sz w:val="18"/>
        <w:szCs w:val="18"/>
      </w:rPr>
      <w:t xml:space="preserve"> </w:t>
    </w:r>
  </w:p>
  <w:p w:rsidR="00B0658B" w:rsidRPr="00501C44" w:rsidRDefault="00B0658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Pr="00980CD5" w:rsidRDefault="00B43A9A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Biscuit Joiner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6B4302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B43A9A" w:rsidRPr="00501C44" w:rsidRDefault="00B43A9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7D" w:rsidRDefault="00280E7D">
      <w:r>
        <w:separator/>
      </w:r>
    </w:p>
  </w:footnote>
  <w:footnote w:type="continuationSeparator" w:id="0">
    <w:p w:rsidR="00280E7D" w:rsidRDefault="0028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1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CB" w:rsidRDefault="00B565CB" w:rsidP="00B565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86443D" wp14:editId="0CF4C9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58B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2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0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4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B2384B" w:rsidRDefault="006B4302" w:rsidP="00B565C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5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0658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3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7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Pr="00B2384B" w:rsidRDefault="006B4302" w:rsidP="00B565C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8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43A9A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9A" w:rsidRDefault="006B4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646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0E7D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0F82"/>
    <w:rsid w:val="004A20D7"/>
    <w:rsid w:val="004A2821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02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3A9A"/>
    <w:rsid w:val="00B44187"/>
    <w:rsid w:val="00B55E69"/>
    <w:rsid w:val="00B565CB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3864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6D1F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6E0B8118"/>
  <w15:docId w15:val="{30037DF1-80E4-4616-95CF-D950261C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B565CB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dewalt.com.au/ProductImages/Imports/AN_Images/Dewalt/Applications/Detail/DW682_A2_Detail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biscuit joiner, plant and equipment risk management form</DEECD_Keywords>
    <PublishingExpirationDate xmlns="http://schemas.microsoft.com/sharepoint/v3" xsi:nil="true"/>
    <DEECD_Description xmlns="http://schemas.microsoft.com/sharepoint/v3">Plant and equipment risk management from for using a biscuit joiner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D8075-71B0-42CF-B40A-16708E86FC22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E57105-E8B8-47E4-B7C6-604DCBE6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1578</Words>
  <Characters>10564</Characters>
  <Application>Microsoft Office Word</Application>
  <DocSecurity>0</DocSecurity>
  <Lines>960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-Biscuit Joiner</vt:lpstr>
    </vt:vector>
  </TitlesOfParts>
  <Company>Marsh Pty Ltd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-Biscuit Joiner</dc:title>
  <dc:creator>cjaconel</dc:creator>
  <cp:lastModifiedBy>Rizvi, Syed Hadi Hussain</cp:lastModifiedBy>
  <cp:revision>3</cp:revision>
  <cp:lastPrinted>2009-04-24T02:53:00Z</cp:lastPrinted>
  <dcterms:created xsi:type="dcterms:W3CDTF">2023-02-02T01:07:00Z</dcterms:created>
  <dcterms:modified xsi:type="dcterms:W3CDTF">2023-02-02T01:07:00Z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2023-02-02T01:03:47Z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8dfe84cb-7fe8-44f6-951c-1d96a6355c48</vt:lpwstr>
  </property>
  <property fmtid="{D5CDD505-2E9C-101B-9397-08002B2CF9AE}" pid="27" name="MSIP_Label_38f1469a-2c2a-4aee-b92b-090d4c5468ff_ContentBits">
    <vt:lpwstr>0</vt:lpwstr>
  </property>
</Properties>
</file>