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EACE" w14:textId="0EA8E80B" w:rsidR="00297B2A" w:rsidRPr="00297B2A" w:rsidRDefault="005A6993" w:rsidP="0095133B">
      <w:pPr>
        <w:pStyle w:val="FormName"/>
        <w:jc w:val="left"/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Movement of Air Purifiers: </w:t>
      </w:r>
      <w:r w:rsidR="00297B2A" w:rsidRPr="00297B2A">
        <w:rPr>
          <w:sz w:val="44"/>
          <w:szCs w:val="44"/>
        </w:rPr>
        <w:t xml:space="preserve">Safe Work Procedure </w:t>
      </w:r>
    </w:p>
    <w:p w14:paraId="3B475CF3" w14:textId="2E412EAA" w:rsidR="00297B2A" w:rsidRPr="00662460" w:rsidRDefault="00297B2A" w:rsidP="00297B2A">
      <w:pPr>
        <w:rPr>
          <w:b/>
        </w:rPr>
      </w:pPr>
      <w:r w:rsidRPr="004F4CE4">
        <w:rPr>
          <w:b/>
        </w:rPr>
        <w:t>NOTE:</w:t>
      </w:r>
      <w:r w:rsidRPr="004F4CE4">
        <w:t xml:space="preserve"> </w:t>
      </w:r>
      <w:r w:rsidRPr="004F4CE4">
        <w:rPr>
          <w:b/>
        </w:rPr>
        <w:t xml:space="preserve"> </w:t>
      </w:r>
      <w:r w:rsidR="001019CC">
        <w:rPr>
          <w:b/>
        </w:rPr>
        <w:t xml:space="preserve">Staff are required to complete </w:t>
      </w:r>
      <w:r w:rsidR="00B840BE" w:rsidRPr="00B840BE">
        <w:rPr>
          <w:b/>
        </w:rPr>
        <w:t>the</w:t>
      </w:r>
      <w:r w:rsidR="00662460" w:rsidRPr="00B840BE">
        <w:rPr>
          <w:b/>
        </w:rPr>
        <w:t xml:space="preserve"> </w:t>
      </w:r>
      <w:hyperlink r:id="rId10" w:history="1">
        <w:r w:rsidR="00662460" w:rsidRPr="00B840BE">
          <w:rPr>
            <w:rStyle w:val="rpl-text-label"/>
            <w:b/>
            <w:color w:val="1855BF"/>
          </w:rPr>
          <w:t>Manual Handling eLearning</w:t>
        </w:r>
        <w:r w:rsidR="0095133B">
          <w:rPr>
            <w:rStyle w:val="rpl-text-label"/>
            <w:b/>
            <w:color w:val="1855BF"/>
          </w:rPr>
          <w:t xml:space="preserve"> </w:t>
        </w:r>
        <w:r w:rsidR="00662460" w:rsidRPr="00B840BE">
          <w:rPr>
            <w:rStyle w:val="rpl-text-icongroup"/>
            <w:b/>
            <w:color w:val="1855BF"/>
          </w:rPr>
          <w:t>Module</w:t>
        </w:r>
      </w:hyperlink>
      <w:r w:rsidR="0095133B">
        <w:rPr>
          <w:b/>
          <w:color w:val="011A3C"/>
        </w:rPr>
        <w:t xml:space="preserve"> </w:t>
      </w:r>
      <w:r w:rsidR="00662460" w:rsidRPr="00B840BE">
        <w:rPr>
          <w:b/>
          <w:color w:val="011A3C"/>
        </w:rPr>
        <w:t>(login required)</w:t>
      </w:r>
      <w:r w:rsidR="001019CC">
        <w:rPr>
          <w:b/>
          <w:color w:val="011A3C"/>
        </w:rPr>
        <w:t xml:space="preserve"> before moving / lifting air purifiers. </w:t>
      </w:r>
    </w:p>
    <w:p w14:paraId="623DCAA3" w14:textId="3390665D" w:rsidR="00E15B40" w:rsidRDefault="00E15B40" w:rsidP="000F6A81"/>
    <w:tbl>
      <w:tblPr>
        <w:tblpPr w:leftFromText="181" w:rightFromText="181" w:bottomFromText="164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48"/>
        <w:gridCol w:w="946"/>
        <w:gridCol w:w="399"/>
        <w:gridCol w:w="278"/>
        <w:gridCol w:w="1067"/>
        <w:gridCol w:w="1347"/>
        <w:gridCol w:w="1346"/>
        <w:gridCol w:w="1346"/>
        <w:gridCol w:w="1659"/>
      </w:tblGrid>
      <w:tr w:rsidR="00EE1BC8" w14:paraId="6874C89F" w14:textId="77777777" w:rsidTr="00CB73A1">
        <w:trPr>
          <w:trHeight w:val="440"/>
        </w:trPr>
        <w:tc>
          <w:tcPr>
            <w:tcW w:w="1178" w:type="pct"/>
            <w:gridSpan w:val="2"/>
            <w:shd w:val="clear" w:color="auto" w:fill="004EA8"/>
            <w:vAlign w:val="center"/>
          </w:tcPr>
          <w:p w14:paraId="005FB131" w14:textId="77777777" w:rsidR="00297B2A" w:rsidRDefault="00297B2A" w:rsidP="00EE1BC8">
            <w:pPr>
              <w:pStyle w:val="OHSAdvtext"/>
              <w:rPr>
                <w:color w:val="FFFFFF"/>
              </w:rPr>
            </w:pPr>
            <w:r w:rsidRPr="00604EF5">
              <w:rPr>
                <w:b/>
                <w:color w:val="FFFFFF" w:themeColor="background1"/>
              </w:rPr>
              <w:t>Description of Work:</w:t>
            </w:r>
          </w:p>
        </w:tc>
        <w:tc>
          <w:tcPr>
            <w:tcW w:w="3822" w:type="pct"/>
            <w:gridSpan w:val="7"/>
            <w:shd w:val="clear" w:color="auto" w:fill="auto"/>
            <w:vAlign w:val="center"/>
          </w:tcPr>
          <w:p w14:paraId="721D488A" w14:textId="35D6BF8E" w:rsidR="00297B2A" w:rsidRPr="00604EF5" w:rsidRDefault="004204A3" w:rsidP="00EE1BC8">
            <w:pPr>
              <w:pStyle w:val="OHSAdvtext"/>
              <w:rPr>
                <w:sz w:val="22"/>
                <w:szCs w:val="22"/>
              </w:rPr>
            </w:pPr>
            <w:r w:rsidRPr="00112723">
              <w:t xml:space="preserve">Transfer </w:t>
            </w:r>
            <w:r>
              <w:t xml:space="preserve">/ movement </w:t>
            </w:r>
            <w:r w:rsidRPr="00112723">
              <w:t>of air purifiers</w:t>
            </w:r>
            <w:r w:rsidR="00765D79">
              <w:t xml:space="preserve"> </w:t>
            </w:r>
            <w:r w:rsidR="00765D79" w:rsidRPr="00765D79">
              <w:t>(Samsung AX7500/AX90T model)</w:t>
            </w:r>
            <w:r w:rsidRPr="00112723">
              <w:t xml:space="preserve"> from point of delivery to the point of use</w:t>
            </w:r>
            <w:r>
              <w:t xml:space="preserve"> by school staff</w:t>
            </w:r>
            <w:r w:rsidRPr="00112723">
              <w:t>.</w:t>
            </w:r>
          </w:p>
        </w:tc>
      </w:tr>
      <w:tr w:rsidR="00EE1BC8" w14:paraId="1AE93D98" w14:textId="77777777" w:rsidTr="00912CAE">
        <w:trPr>
          <w:trHeight w:val="1554"/>
        </w:trPr>
        <w:tc>
          <w:tcPr>
            <w:tcW w:w="1526" w:type="pct"/>
            <w:gridSpan w:val="4"/>
            <w:vAlign w:val="center"/>
          </w:tcPr>
          <w:p w14:paraId="634178F7" w14:textId="77777777" w:rsidR="00297B2A" w:rsidRDefault="00297B2A" w:rsidP="00EE1BC8">
            <w:pPr>
              <w:widowControl w:val="0"/>
              <w:autoSpaceDE w:val="0"/>
              <w:autoSpaceDN w:val="0"/>
              <w:adjustRightInd w:val="0"/>
              <w:ind w:left="709" w:right="42"/>
              <w:rPr>
                <w:b/>
                <w:bCs/>
                <w:noProof/>
                <w:color w:val="000000"/>
                <w:sz w:val="20"/>
              </w:rPr>
            </w:pPr>
          </w:p>
          <w:p w14:paraId="61CA8993" w14:textId="67781CD6" w:rsidR="00297B2A" w:rsidRPr="00D763E1" w:rsidRDefault="00B713A5" w:rsidP="00EE1BC8">
            <w:pPr>
              <w:widowControl w:val="0"/>
              <w:autoSpaceDE w:val="0"/>
              <w:autoSpaceDN w:val="0"/>
              <w:adjustRightInd w:val="0"/>
              <w:ind w:left="709" w:right="42"/>
              <w:rPr>
                <w:b/>
                <w:bCs/>
                <w:color w:val="000000"/>
                <w:sz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4E7C31E" wp14:editId="335F15F1">
                  <wp:extent cx="1017767" cy="19106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788" cy="193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pct"/>
            <w:gridSpan w:val="5"/>
          </w:tcPr>
          <w:p w14:paraId="320CB12F" w14:textId="77777777" w:rsidR="00297B2A" w:rsidRDefault="00297B2A" w:rsidP="00EE1BC8">
            <w:pPr>
              <w:pStyle w:val="OHSAdvtext"/>
              <w:rPr>
                <w:b/>
              </w:rPr>
            </w:pPr>
            <w:r>
              <w:rPr>
                <w:b/>
              </w:rPr>
              <w:t xml:space="preserve">Potential </w:t>
            </w:r>
            <w:r w:rsidRPr="00F27C28">
              <w:rPr>
                <w:b/>
              </w:rPr>
              <w:t>Hazards</w:t>
            </w:r>
          </w:p>
          <w:p w14:paraId="106D1957" w14:textId="77777777" w:rsidR="00297B2A" w:rsidRDefault="00EE1BC8" w:rsidP="00912CAE">
            <w:pPr>
              <w:pStyle w:val="OHSAdvtext"/>
              <w:numPr>
                <w:ilvl w:val="0"/>
                <w:numId w:val="2"/>
              </w:numPr>
            </w:pPr>
            <w:r>
              <w:t>Hazardous manual handling</w:t>
            </w:r>
          </w:p>
          <w:p w14:paraId="6F009EAC" w14:textId="77777777" w:rsidR="00EE1BC8" w:rsidRDefault="00EE1BC8" w:rsidP="00912CAE">
            <w:pPr>
              <w:pStyle w:val="OHSAdvtext"/>
              <w:numPr>
                <w:ilvl w:val="0"/>
                <w:numId w:val="2"/>
              </w:numPr>
            </w:pPr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  <w:p w14:paraId="2BF61751" w14:textId="58898DD1" w:rsidR="00C67463" w:rsidRDefault="00C67463" w:rsidP="00125041">
            <w:pPr>
              <w:pStyle w:val="OHSAdvtext"/>
              <w:ind w:left="720"/>
            </w:pPr>
          </w:p>
        </w:tc>
      </w:tr>
      <w:tr w:rsidR="00EE1BC8" w:rsidRPr="00C4401B" w14:paraId="1205CD31" w14:textId="77777777" w:rsidTr="00912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4EA8"/>
            <w:vAlign w:val="center"/>
          </w:tcPr>
          <w:p w14:paraId="00ECA86B" w14:textId="77777777" w:rsidR="00297B2A" w:rsidRPr="00C4401B" w:rsidRDefault="00297B2A" w:rsidP="00EE1BC8">
            <w:pPr>
              <w:pStyle w:val="OHSAdvtext"/>
              <w:rPr>
                <w:b/>
                <w:color w:val="FFFFFF"/>
              </w:rPr>
            </w:pPr>
            <w:r w:rsidRPr="00604EF5">
              <w:rPr>
                <w:b/>
                <w:bCs/>
                <w:color w:val="FFFFFF" w:themeColor="background1"/>
              </w:rPr>
              <w:t>Personal Protective Equipment (PPE) Required</w:t>
            </w:r>
            <w:r w:rsidRPr="00604EF5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604EF5">
              <w:rPr>
                <w:i/>
                <w:color w:val="FFFFFF" w:themeColor="background1"/>
                <w:sz w:val="16"/>
                <w:szCs w:val="16"/>
              </w:rPr>
              <w:t>(</w:t>
            </w:r>
            <w:r w:rsidRPr="00604EF5">
              <w:rPr>
                <w:i/>
                <w:iCs/>
                <w:color w:val="FFFFFF" w:themeColor="background1"/>
                <w:sz w:val="16"/>
                <w:szCs w:val="16"/>
              </w:rPr>
              <w:t>Check the box for required PPE</w:t>
            </w:r>
            <w:r w:rsidRPr="00604EF5">
              <w:rPr>
                <w:color w:val="FFFFFF" w:themeColor="background1"/>
                <w:sz w:val="16"/>
                <w:szCs w:val="16"/>
              </w:rPr>
              <w:t>)</w:t>
            </w:r>
            <w:r w:rsidRPr="00604EF5">
              <w:rPr>
                <w:color w:val="FFFFFF" w:themeColor="background1"/>
                <w:sz w:val="22"/>
              </w:rPr>
              <w:t>:</w:t>
            </w:r>
          </w:p>
        </w:tc>
      </w:tr>
      <w:tr w:rsidR="00EE1BC8" w:rsidRPr="0006702C" w14:paraId="00B71289" w14:textId="77777777" w:rsidTr="00CB7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9"/>
        </w:trPr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9D8CC0" w14:textId="77777777" w:rsidR="00297B2A" w:rsidRPr="0006702C" w:rsidRDefault="00297B2A" w:rsidP="00EE1BC8">
            <w:pPr>
              <w:pStyle w:val="Heading4"/>
              <w:ind w:left="4395" w:hanging="4395"/>
            </w:pPr>
            <w:r>
              <w:rPr>
                <w:noProof/>
                <w:lang w:eastAsia="en-AU"/>
              </w:rPr>
              <w:drawing>
                <wp:inline distT="0" distB="0" distL="0" distR="0" wp14:anchorId="4EF17CCD" wp14:editId="214DAA9A">
                  <wp:extent cx="457200" cy="457200"/>
                  <wp:effectExtent l="0" t="0" r="0" b="0"/>
                  <wp:docPr id="9" name="Picture 1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D465A" w14:textId="77777777" w:rsidR="00297B2A" w:rsidRPr="0006702C" w:rsidRDefault="00297B2A" w:rsidP="00EE1BC8">
            <w:pPr>
              <w:jc w:val="center"/>
            </w:pPr>
            <w:r w:rsidRPr="0006702C">
              <w:t>Gloves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0CD6A" w14:textId="77777777" w:rsidR="00297B2A" w:rsidRPr="0006702C" w:rsidRDefault="00297B2A" w:rsidP="00EE1BC8">
            <w:pPr>
              <w:pStyle w:val="Heading4"/>
              <w:ind w:left="4395" w:hanging="4395"/>
            </w:pPr>
            <w:r>
              <w:rPr>
                <w:noProof/>
                <w:lang w:eastAsia="en-AU"/>
              </w:rPr>
              <w:drawing>
                <wp:inline distT="0" distB="0" distL="0" distR="0" wp14:anchorId="3B969F87" wp14:editId="1C72BFC2">
                  <wp:extent cx="457200" cy="457200"/>
                  <wp:effectExtent l="0" t="0" r="0" b="0"/>
                  <wp:docPr id="1" name="Picture 2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052E14" w14:textId="77777777" w:rsidR="00297B2A" w:rsidRPr="0006702C" w:rsidRDefault="00297B2A" w:rsidP="00EE1BC8">
            <w:pPr>
              <w:jc w:val="center"/>
            </w:pPr>
            <w:r w:rsidRPr="0006702C">
              <w:t xml:space="preserve">Face </w:t>
            </w:r>
            <w:r>
              <w:t>M</w:t>
            </w:r>
            <w:r w:rsidRPr="0006702C">
              <w:t>asks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C5958C" w14:textId="77777777" w:rsidR="00297B2A" w:rsidRPr="0006702C" w:rsidRDefault="00297B2A" w:rsidP="00EE1BC8">
            <w:pPr>
              <w:pStyle w:val="Heading4"/>
              <w:ind w:left="4395" w:hanging="4395"/>
            </w:pPr>
            <w:r>
              <w:rPr>
                <w:noProof/>
                <w:lang w:eastAsia="en-AU"/>
              </w:rPr>
              <w:drawing>
                <wp:inline distT="0" distB="0" distL="0" distR="0" wp14:anchorId="7933346A" wp14:editId="3C6EB687">
                  <wp:extent cx="466725" cy="466725"/>
                  <wp:effectExtent l="0" t="0" r="9525" b="9525"/>
                  <wp:docPr id="3" name="Picture 3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07055D" w14:textId="77777777" w:rsidR="00297B2A" w:rsidRPr="00297B2A" w:rsidRDefault="00297B2A" w:rsidP="00EE1BC8">
            <w:pPr>
              <w:pStyle w:val="Heading4"/>
              <w:ind w:left="4395" w:hanging="4395"/>
              <w:rPr>
                <w:rFonts w:ascii="Arial" w:hAnsi="Arial" w:cs="Arial"/>
                <w:b/>
                <w:i w:val="0"/>
                <w:color w:val="auto"/>
              </w:rPr>
            </w:pPr>
            <w:r w:rsidRPr="00297B2A">
              <w:rPr>
                <w:rFonts w:ascii="Arial" w:hAnsi="Arial" w:cs="Arial"/>
                <w:i w:val="0"/>
                <w:color w:val="auto"/>
              </w:rPr>
              <w:t>Eye</w:t>
            </w:r>
          </w:p>
          <w:p w14:paraId="4A656AAB" w14:textId="77777777" w:rsidR="00297B2A" w:rsidRPr="0006702C" w:rsidRDefault="00297B2A" w:rsidP="00EE1BC8">
            <w:pPr>
              <w:pStyle w:val="Heading4"/>
              <w:ind w:left="4395" w:hanging="4395"/>
              <w:rPr>
                <w:bCs/>
              </w:rPr>
            </w:pPr>
            <w:r w:rsidRPr="00297B2A">
              <w:rPr>
                <w:rFonts w:ascii="Arial" w:hAnsi="Arial" w:cs="Arial"/>
                <w:i w:val="0"/>
                <w:color w:val="auto"/>
              </w:rPr>
              <w:t>Protection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BA1091" w14:textId="77777777" w:rsidR="00297B2A" w:rsidRDefault="00297B2A" w:rsidP="00EE1BC8">
            <w:pPr>
              <w:pStyle w:val="Heading4"/>
              <w:ind w:left="4395" w:hanging="4395"/>
            </w:pPr>
            <w:r>
              <w:rPr>
                <w:noProof/>
                <w:lang w:eastAsia="en-AU"/>
              </w:rPr>
              <w:drawing>
                <wp:inline distT="0" distB="0" distL="0" distR="0" wp14:anchorId="7E5D21CB" wp14:editId="55E67742">
                  <wp:extent cx="466725" cy="466725"/>
                  <wp:effectExtent l="0" t="0" r="9525" b="9525"/>
                  <wp:docPr id="8" name="Picture 8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1A5A7A" w14:textId="77777777" w:rsidR="00297B2A" w:rsidRPr="0006702C" w:rsidRDefault="00297B2A" w:rsidP="00EE1BC8">
            <w:pPr>
              <w:jc w:val="center"/>
            </w:pPr>
            <w:r>
              <w:t>Welding Mask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0DBEF4" w14:textId="77777777" w:rsidR="00297B2A" w:rsidRDefault="00297B2A" w:rsidP="00EE1BC8">
            <w:pPr>
              <w:pStyle w:val="Heading4"/>
              <w:ind w:left="4395" w:hanging="4395"/>
            </w:pPr>
            <w:r>
              <w:rPr>
                <w:noProof/>
                <w:lang w:eastAsia="en-AU"/>
              </w:rPr>
              <w:drawing>
                <wp:inline distT="0" distB="0" distL="0" distR="0" wp14:anchorId="057A0B67" wp14:editId="36141B87">
                  <wp:extent cx="466725" cy="466725"/>
                  <wp:effectExtent l="0" t="0" r="9525" b="9525"/>
                  <wp:docPr id="5" name="Picture 5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637F2A" w14:textId="77777777" w:rsidR="00297B2A" w:rsidRDefault="00297B2A" w:rsidP="00EE1BC8">
            <w:pPr>
              <w:jc w:val="center"/>
            </w:pPr>
            <w:r>
              <w:t>Appropriate</w:t>
            </w:r>
          </w:p>
          <w:p w14:paraId="14125703" w14:textId="77777777" w:rsidR="00297B2A" w:rsidRPr="0006702C" w:rsidRDefault="00297B2A" w:rsidP="00EE1BC8">
            <w:pPr>
              <w:jc w:val="center"/>
            </w:pPr>
            <w:r>
              <w:t>Footwear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A0BF05" w14:textId="77777777" w:rsidR="00297B2A" w:rsidRDefault="00297B2A" w:rsidP="00EE1BC8">
            <w:pPr>
              <w:pStyle w:val="Heading4"/>
              <w:ind w:left="4395" w:hanging="4395"/>
            </w:pPr>
            <w:r>
              <w:rPr>
                <w:noProof/>
                <w:lang w:eastAsia="en-AU"/>
              </w:rPr>
              <w:drawing>
                <wp:inline distT="0" distB="0" distL="0" distR="0" wp14:anchorId="3C70CADB" wp14:editId="4E2311F8">
                  <wp:extent cx="466725" cy="466725"/>
                  <wp:effectExtent l="0" t="0" r="9525" b="9525"/>
                  <wp:docPr id="6" name="Picture 6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CEDBF" w14:textId="77777777" w:rsidR="00297B2A" w:rsidRPr="0006702C" w:rsidRDefault="00297B2A" w:rsidP="00EE1BC8">
            <w:pPr>
              <w:jc w:val="center"/>
            </w:pPr>
            <w:r>
              <w:t>Hearing Protection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C98471" w14:textId="77777777" w:rsidR="00297B2A" w:rsidRDefault="00297B2A" w:rsidP="00EE1BC8">
            <w:pPr>
              <w:pStyle w:val="Heading4"/>
              <w:ind w:left="4395" w:hanging="4395"/>
            </w:pPr>
            <w:r>
              <w:rPr>
                <w:noProof/>
                <w:lang w:eastAsia="en-AU"/>
              </w:rPr>
              <w:drawing>
                <wp:inline distT="0" distB="0" distL="0" distR="0" wp14:anchorId="32752BD7" wp14:editId="541F9B4A">
                  <wp:extent cx="466725" cy="466725"/>
                  <wp:effectExtent l="0" t="0" r="9525" b="9525"/>
                  <wp:docPr id="7" name="Picture 7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AA489" w14:textId="77777777" w:rsidR="00297B2A" w:rsidRPr="0006702C" w:rsidRDefault="00297B2A" w:rsidP="00EE1BC8">
            <w:pPr>
              <w:jc w:val="center"/>
            </w:pPr>
            <w:r>
              <w:t>Protective Clothing</w:t>
            </w:r>
          </w:p>
        </w:tc>
      </w:tr>
      <w:tr w:rsidR="00EE1BC8" w14:paraId="27F2B68D" w14:textId="77777777" w:rsidTr="00CB7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4EC181" w14:textId="0776DF71" w:rsidR="00297B2A" w:rsidRDefault="000D3A44" w:rsidP="00EE1BC8">
            <w:pPr>
              <w:jc w:val="center"/>
              <w:rPr>
                <w:sz w:val="28"/>
              </w:rPr>
            </w:pPr>
            <w:r>
              <w:rPr>
                <w:sz w:val="28"/>
                <w:highlight w:val="lightGray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highlight w:val="lightGray"/>
              </w:rPr>
              <w:instrText xml:space="preserve"> </w:instrText>
            </w:r>
            <w:bookmarkStart w:id="0" w:name="Check1"/>
            <w:r>
              <w:rPr>
                <w:sz w:val="28"/>
                <w:highlight w:val="lightGray"/>
              </w:rPr>
              <w:instrText xml:space="preserve">FORMCHECKBOX </w:instrText>
            </w:r>
            <w:r w:rsidR="009A6664">
              <w:rPr>
                <w:sz w:val="28"/>
                <w:highlight w:val="lightGray"/>
              </w:rPr>
            </w:r>
            <w:r w:rsidR="009A6664">
              <w:rPr>
                <w:sz w:val="28"/>
                <w:highlight w:val="lightGray"/>
              </w:rPr>
              <w:fldChar w:fldCharType="separate"/>
            </w:r>
            <w:r>
              <w:rPr>
                <w:sz w:val="28"/>
                <w:highlight w:val="lightGray"/>
              </w:rPr>
              <w:fldChar w:fldCharType="end"/>
            </w:r>
            <w:bookmarkEnd w:id="0"/>
          </w:p>
        </w:tc>
        <w:tc>
          <w:tcPr>
            <w:tcW w:w="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621A08" w14:textId="77777777" w:rsidR="00297B2A" w:rsidRDefault="00297B2A" w:rsidP="00EE1BC8">
            <w:pPr>
              <w:pStyle w:val="Header"/>
              <w:jc w:val="center"/>
              <w:rPr>
                <w:sz w:val="28"/>
              </w:rPr>
            </w:pPr>
            <w:r>
              <w:rPr>
                <w:sz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highlight w:val="lightGray"/>
              </w:rPr>
              <w:instrText xml:space="preserve"> FORMCHECKBOX </w:instrText>
            </w:r>
            <w:r w:rsidR="009A6664">
              <w:rPr>
                <w:sz w:val="28"/>
                <w:highlight w:val="lightGray"/>
              </w:rPr>
            </w:r>
            <w:r w:rsidR="009A6664">
              <w:rPr>
                <w:sz w:val="28"/>
                <w:highlight w:val="lightGray"/>
              </w:rPr>
              <w:fldChar w:fldCharType="separate"/>
            </w:r>
            <w:r>
              <w:rPr>
                <w:sz w:val="28"/>
                <w:highlight w:val="lightGray"/>
              </w:rPr>
              <w:fldChar w:fldCharType="end"/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8D4B4E" w14:textId="77777777" w:rsidR="00297B2A" w:rsidRDefault="00297B2A" w:rsidP="00EE1BC8">
            <w:pPr>
              <w:pStyle w:val="Header"/>
              <w:jc w:val="center"/>
              <w:rPr>
                <w:sz w:val="28"/>
              </w:rPr>
            </w:pPr>
            <w:r>
              <w:rPr>
                <w:sz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  <w:highlight w:val="lightGray"/>
              </w:rPr>
              <w:instrText xml:space="preserve"> FORMCHECKBOX </w:instrText>
            </w:r>
            <w:r w:rsidR="009A6664">
              <w:rPr>
                <w:sz w:val="28"/>
                <w:highlight w:val="lightGray"/>
              </w:rPr>
            </w:r>
            <w:r w:rsidR="009A6664">
              <w:rPr>
                <w:sz w:val="28"/>
                <w:highlight w:val="lightGray"/>
              </w:rPr>
              <w:fldChar w:fldCharType="separate"/>
            </w:r>
            <w:r>
              <w:rPr>
                <w:sz w:val="28"/>
                <w:highlight w:val="lightGray"/>
              </w:rPr>
              <w:fldChar w:fldCharType="end"/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8EDFD6" w14:textId="77777777" w:rsidR="00297B2A" w:rsidRDefault="00297B2A" w:rsidP="00EE1BC8">
            <w:pPr>
              <w:pStyle w:val="Header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9A6664">
              <w:rPr>
                <w:sz w:val="28"/>
              </w:rPr>
            </w:r>
            <w:r w:rsidR="009A666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2E1DF0" w14:textId="05F72AC4" w:rsidR="00297B2A" w:rsidRDefault="00B713A5" w:rsidP="00EE1BC8">
            <w:pPr>
              <w:pStyle w:val="Header"/>
              <w:jc w:val="center"/>
              <w:rPr>
                <w:sz w:val="28"/>
              </w:rPr>
            </w:pPr>
            <w:r>
              <w:rPr>
                <w:sz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8"/>
                <w:highlight w:val="lightGray"/>
              </w:rPr>
              <w:instrText xml:space="preserve"> FORMCHECKBOX </w:instrText>
            </w:r>
            <w:r w:rsidR="009A6664">
              <w:rPr>
                <w:sz w:val="28"/>
                <w:highlight w:val="lightGray"/>
              </w:rPr>
            </w:r>
            <w:r w:rsidR="009A6664">
              <w:rPr>
                <w:sz w:val="28"/>
                <w:highlight w:val="lightGray"/>
              </w:rPr>
              <w:fldChar w:fldCharType="separate"/>
            </w:r>
            <w:r>
              <w:rPr>
                <w:sz w:val="28"/>
                <w:highlight w:val="lightGray"/>
              </w:rPr>
              <w:fldChar w:fldCharType="end"/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3F4A24" w14:textId="77777777" w:rsidR="00297B2A" w:rsidRDefault="00297B2A" w:rsidP="00EE1BC8">
            <w:pPr>
              <w:pStyle w:val="Header"/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9A6664">
              <w:rPr>
                <w:sz w:val="28"/>
              </w:rPr>
            </w:r>
            <w:r w:rsidR="009A666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8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0C2BA3" w14:textId="77777777" w:rsidR="00297B2A" w:rsidRDefault="00297B2A" w:rsidP="00EE1BC8">
            <w:pPr>
              <w:pStyle w:val="Header"/>
              <w:jc w:val="center"/>
              <w:rPr>
                <w:sz w:val="28"/>
              </w:rPr>
            </w:pPr>
            <w:r>
              <w:rPr>
                <w:sz w:val="28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sz w:val="28"/>
                <w:highlight w:val="lightGray"/>
              </w:rPr>
              <w:instrText xml:space="preserve"> FORMCHECKBOX </w:instrText>
            </w:r>
            <w:r w:rsidR="009A6664">
              <w:rPr>
                <w:sz w:val="28"/>
                <w:highlight w:val="lightGray"/>
              </w:rPr>
            </w:r>
            <w:r w:rsidR="009A6664">
              <w:rPr>
                <w:sz w:val="28"/>
                <w:highlight w:val="lightGray"/>
              </w:rPr>
              <w:fldChar w:fldCharType="separate"/>
            </w:r>
            <w:r>
              <w:rPr>
                <w:sz w:val="28"/>
                <w:highlight w:val="lightGray"/>
              </w:rPr>
              <w:fldChar w:fldCharType="end"/>
            </w:r>
            <w:bookmarkEnd w:id="1"/>
          </w:p>
        </w:tc>
      </w:tr>
      <w:tr w:rsidR="00EE1BC8" w14:paraId="57735C30" w14:textId="77777777" w:rsidTr="00912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4EA8"/>
            <w:vAlign w:val="center"/>
          </w:tcPr>
          <w:p w14:paraId="25520AC1" w14:textId="77777777" w:rsidR="00297B2A" w:rsidRPr="00763AF2" w:rsidRDefault="00297B2A" w:rsidP="00EE1BC8">
            <w:pPr>
              <w:pStyle w:val="OHSAdvtext"/>
              <w:rPr>
                <w:b/>
              </w:rPr>
            </w:pPr>
            <w:r>
              <w:t xml:space="preserve"> </w:t>
            </w:r>
            <w:r w:rsidRPr="00604EF5">
              <w:rPr>
                <w:b/>
                <w:color w:val="FFFFFF" w:themeColor="background1"/>
              </w:rPr>
              <w:t>Safe Work Procedure Checklist:</w:t>
            </w:r>
          </w:p>
        </w:tc>
      </w:tr>
      <w:tr w:rsidR="00EE1BC8" w14:paraId="4CF3B388" w14:textId="77777777" w:rsidTr="000D3A44">
        <w:trPr>
          <w:trHeight w:val="11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A4819D" w14:textId="77777777" w:rsidR="00297B2A" w:rsidRDefault="00297B2A" w:rsidP="003F0CF9">
            <w:pPr>
              <w:pStyle w:val="OHSAdvtext"/>
              <w:spacing w:before="0" w:line="276" w:lineRule="auto"/>
              <w:jc w:val="left"/>
            </w:pPr>
            <w:r>
              <w:t>1. PRE-Operation/Task:</w:t>
            </w:r>
          </w:p>
          <w:p w14:paraId="110DD264" w14:textId="3068E9EA" w:rsidR="003F0CF9" w:rsidRPr="003F0CF9" w:rsidRDefault="00AA1170" w:rsidP="003F0CF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Where possible, ensure the supplier delivers the boxes as close as possible to school buildings and in a safe place for unloading/handling of the boxes.</w:t>
            </w:r>
          </w:p>
          <w:p w14:paraId="2BD7543C" w14:textId="2512C592" w:rsidR="00297B2A" w:rsidRPr="00C745AA" w:rsidRDefault="000D3A44" w:rsidP="00C745A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Identify</w:t>
            </w:r>
            <w:r w:rsidRPr="00C745AA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="00EE1BC8" w:rsidRPr="00C745AA">
              <w:rPr>
                <w:rFonts w:eastAsia="Times New Roman" w:cs="Times New Roman"/>
                <w:sz w:val="20"/>
                <w:szCs w:val="20"/>
                <w:lang w:eastAsia="en-AU"/>
              </w:rPr>
              <w:t>two or more staff members</w:t>
            </w:r>
            <w:r w:rsidR="005D76F6" w:rsidRPr="00C745AA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="00EE1BC8" w:rsidRPr="00C745AA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to 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move the </w:t>
            </w:r>
            <w:r w:rsidR="00EE1BC8" w:rsidRPr="00C745AA">
              <w:rPr>
                <w:rFonts w:eastAsia="Times New Roman" w:cs="Times New Roman"/>
                <w:sz w:val="20"/>
                <w:szCs w:val="20"/>
                <w:lang w:eastAsia="en-AU"/>
              </w:rPr>
              <w:t>box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es</w:t>
            </w:r>
            <w:r w:rsidR="00EE1BC8" w:rsidRPr="00C745AA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to </w:t>
            </w:r>
            <w:r w:rsidR="00C745AA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a </w:t>
            </w:r>
            <w:r w:rsidR="00EE1BC8" w:rsidRPr="00C745AA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suitable area for 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placement and </w:t>
            </w:r>
            <w:r w:rsidR="00EE1BC8" w:rsidRPr="00C745AA">
              <w:rPr>
                <w:rFonts w:eastAsia="Times New Roman" w:cs="Times New Roman"/>
                <w:sz w:val="20"/>
                <w:szCs w:val="20"/>
                <w:lang w:eastAsia="en-AU"/>
              </w:rPr>
              <w:t>unboxing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of</w:t>
            </w:r>
            <w:r w:rsidR="00EE1BC8" w:rsidRPr="00C745AA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air purifier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s</w:t>
            </w:r>
            <w:r w:rsidR="00662460" w:rsidRPr="00C745AA">
              <w:rPr>
                <w:rFonts w:eastAsia="Times New Roman" w:cs="Times New Roman"/>
                <w:sz w:val="20"/>
                <w:szCs w:val="20"/>
                <w:lang w:eastAsia="en-AU"/>
              </w:rPr>
              <w:t>.</w:t>
            </w:r>
            <w:r w:rsidR="00EE1BC8" w:rsidRPr="00C745AA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="007D28C7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Where possible, select staff for this task that do not have any pre-existing injuries or preconditions that may make this work difficult for them. </w:t>
            </w:r>
            <w:r w:rsidR="00B840BE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Where possible, staff of a similar height and build should be selected for this task. </w:t>
            </w:r>
          </w:p>
          <w:p w14:paraId="6F43AE05" w14:textId="09641698" w:rsidR="008B2CD7" w:rsidRDefault="00C745AA" w:rsidP="008B2CD7">
            <w:pPr>
              <w:pStyle w:val="OHSAdvtext"/>
              <w:numPr>
                <w:ilvl w:val="0"/>
                <w:numId w:val="1"/>
              </w:numPr>
              <w:spacing w:before="0" w:line="276" w:lineRule="auto"/>
            </w:pPr>
            <w:bookmarkStart w:id="2" w:name="_Hlk93488275"/>
            <w:r>
              <w:t xml:space="preserve">Ensure those staff members have completed the </w:t>
            </w:r>
            <w:hyperlink r:id="rId19" w:history="1">
              <w:r w:rsidRPr="00BA5A20">
                <w:rPr>
                  <w:rStyle w:val="Hyperlink"/>
                </w:rPr>
                <w:t>Manual Handling eLearning module</w:t>
              </w:r>
            </w:hyperlink>
            <w:r w:rsidR="008B2CD7">
              <w:t xml:space="preserve"> </w:t>
            </w:r>
            <w:r w:rsidR="008B2CD7" w:rsidRPr="008B2CD7">
              <w:rPr>
                <w:rStyle w:val="Hyperlink"/>
                <w:rFonts w:eastAsiaTheme="majorEastAsia"/>
                <w:color w:val="auto"/>
                <w:u w:val="none"/>
              </w:rPr>
              <w:t>(or complete it as a refresher)</w:t>
            </w:r>
            <w:r w:rsidR="008B2CD7">
              <w:rPr>
                <w:rStyle w:val="Hyperlink"/>
                <w:rFonts w:eastAsiaTheme="majorEastAsia"/>
                <w:color w:val="auto"/>
                <w:u w:val="none"/>
              </w:rPr>
              <w:t xml:space="preserve"> prior to starting this work</w:t>
            </w:r>
            <w:r w:rsidR="008B2CD7">
              <w:rPr>
                <w:rStyle w:val="Hyperlink"/>
                <w:rFonts w:eastAsiaTheme="majorEastAsia"/>
              </w:rPr>
              <w:t xml:space="preserve">. A </w:t>
            </w:r>
            <w:hyperlink r:id="rId20" w:history="1">
              <w:r w:rsidR="008B2CD7" w:rsidRPr="00BA5A20">
                <w:rPr>
                  <w:rStyle w:val="Hyperlink"/>
                </w:rPr>
                <w:t>Manual Handling Awareness Training</w:t>
              </w:r>
            </w:hyperlink>
            <w:r w:rsidR="008B2CD7">
              <w:t xml:space="preserve"> presentation is also available to support staff to familiarise themselves with safe manual handling techniques. </w:t>
            </w:r>
          </w:p>
          <w:bookmarkEnd w:id="2"/>
          <w:p w14:paraId="2FC95FA7" w14:textId="01C65562" w:rsidR="008339D0" w:rsidRDefault="00582B27" w:rsidP="003F0CF9">
            <w:pPr>
              <w:pStyle w:val="OHSAdvtext"/>
              <w:numPr>
                <w:ilvl w:val="0"/>
                <w:numId w:val="1"/>
              </w:numPr>
              <w:spacing w:before="0" w:line="276" w:lineRule="auto"/>
            </w:pPr>
            <w:r>
              <w:t>E</w:t>
            </w:r>
            <w:r w:rsidR="00C745AA">
              <w:t xml:space="preserve">nsure the </w:t>
            </w:r>
            <w:r w:rsidR="00BD2C36">
              <w:t xml:space="preserve">trained </w:t>
            </w:r>
            <w:r w:rsidR="00C745AA">
              <w:t xml:space="preserve">staff </w:t>
            </w:r>
            <w:r w:rsidR="005A6993">
              <w:t>are briefed</w:t>
            </w:r>
            <w:r w:rsidR="000D3A44">
              <w:t xml:space="preserve"> </w:t>
            </w:r>
            <w:r w:rsidR="00C745AA">
              <w:t xml:space="preserve">about the route of travel for the air </w:t>
            </w:r>
            <w:r w:rsidR="005810DD">
              <w:t>purifier and</w:t>
            </w:r>
            <w:r w:rsidR="00C745AA">
              <w:t xml:space="preserve"> </w:t>
            </w:r>
            <w:r w:rsidR="00250AFD">
              <w:t xml:space="preserve">are supported to </w:t>
            </w:r>
            <w:r w:rsidR="00C745AA">
              <w:t>discuss how they will move the air purifier</w:t>
            </w:r>
            <w:r w:rsidR="000D3A44">
              <w:t>s</w:t>
            </w:r>
            <w:r w:rsidR="00C745AA">
              <w:t xml:space="preserve">. </w:t>
            </w:r>
            <w:r w:rsidR="00B840BE">
              <w:t xml:space="preserve">For example, staff should: </w:t>
            </w:r>
          </w:p>
          <w:p w14:paraId="438EBF2B" w14:textId="755F85D6" w:rsidR="005D76F6" w:rsidRDefault="005D76F6" w:rsidP="00C0131D">
            <w:pPr>
              <w:pStyle w:val="OHSAdvtext"/>
              <w:numPr>
                <w:ilvl w:val="0"/>
                <w:numId w:val="4"/>
              </w:numPr>
              <w:spacing w:before="0" w:line="276" w:lineRule="auto"/>
            </w:pPr>
            <w:r>
              <w:t>Consider environmental factors before commencing</w:t>
            </w:r>
            <w:r w:rsidR="00C745AA">
              <w:t xml:space="preserve"> the move</w:t>
            </w:r>
            <w:r>
              <w:t xml:space="preserve"> e.g.</w:t>
            </w:r>
            <w:r w:rsidR="00582B27">
              <w:t>,</w:t>
            </w:r>
            <w:r>
              <w:t xml:space="preserve"> avoid inclement weather</w:t>
            </w:r>
            <w:r w:rsidR="00497EBB">
              <w:t xml:space="preserve"> / excessive heat where possible</w:t>
            </w:r>
            <w:r w:rsidR="00C745AA">
              <w:t>, as this may create additional slip</w:t>
            </w:r>
            <w:r w:rsidR="005A6993">
              <w:t xml:space="preserve"> / other</w:t>
            </w:r>
            <w:r w:rsidR="00C745AA">
              <w:t xml:space="preserve"> hazard</w:t>
            </w:r>
            <w:r w:rsidR="00B840BE">
              <w:t>s</w:t>
            </w:r>
            <w:r w:rsidR="00497EBB">
              <w:t xml:space="preserve">. </w:t>
            </w:r>
          </w:p>
          <w:p w14:paraId="444ABFB0" w14:textId="70D6E9FB" w:rsidR="005D76F6" w:rsidRDefault="005D76F6" w:rsidP="00C0131D">
            <w:pPr>
              <w:pStyle w:val="OHSAdvtext"/>
              <w:numPr>
                <w:ilvl w:val="0"/>
                <w:numId w:val="4"/>
              </w:numPr>
              <w:spacing w:before="0" w:line="276" w:lineRule="auto"/>
            </w:pPr>
            <w:r>
              <w:t xml:space="preserve">Consider </w:t>
            </w:r>
            <w:r w:rsidR="00C745AA">
              <w:t xml:space="preserve">when </w:t>
            </w:r>
            <w:r w:rsidR="00582B27">
              <w:t>the best time is</w:t>
            </w:r>
            <w:r w:rsidR="00C745AA">
              <w:t xml:space="preserve"> to move the air purifier, </w:t>
            </w:r>
            <w:r>
              <w:t>taking into consideration student movement</w:t>
            </w:r>
            <w:r w:rsidR="00B840BE">
              <w:t xml:space="preserve">s and break times. </w:t>
            </w:r>
          </w:p>
          <w:p w14:paraId="5A97413C" w14:textId="73F68A37" w:rsidR="00EE1BC8" w:rsidRDefault="00EE1BC8" w:rsidP="00C0131D">
            <w:pPr>
              <w:pStyle w:val="OHSAdvtext"/>
              <w:numPr>
                <w:ilvl w:val="0"/>
                <w:numId w:val="4"/>
              </w:numPr>
              <w:spacing w:before="0" w:line="276" w:lineRule="auto"/>
            </w:pPr>
            <w:r>
              <w:lastRenderedPageBreak/>
              <w:t xml:space="preserve">Ensure planned routes of travel are clear from trip hazards or obstructions </w:t>
            </w:r>
            <w:r w:rsidR="00C745AA">
              <w:t xml:space="preserve">(such as mats, cords, closed doors or furniture) </w:t>
            </w:r>
            <w:r>
              <w:t>prior to moving the air purifier</w:t>
            </w:r>
            <w:r w:rsidR="00497EBB">
              <w:t xml:space="preserve">, and consider how to navigate / avoid stairs, potentially slippery surfaces, etc. </w:t>
            </w:r>
            <w:r>
              <w:t>I</w:t>
            </w:r>
            <w:r w:rsidR="00C745AA">
              <w:t>f needed</w:t>
            </w:r>
            <w:r w:rsidR="00497EBB">
              <w:t xml:space="preserve"> and available</w:t>
            </w:r>
            <w:r w:rsidR="00C745AA">
              <w:t xml:space="preserve">, ask </w:t>
            </w:r>
            <w:r>
              <w:t>a</w:t>
            </w:r>
            <w:r w:rsidR="00C745AA">
              <w:t xml:space="preserve">n extra </w:t>
            </w:r>
            <w:r>
              <w:t xml:space="preserve">person to </w:t>
            </w:r>
            <w:r w:rsidR="00497EBB">
              <w:t xml:space="preserve">help to </w:t>
            </w:r>
            <w:r>
              <w:t>open doors and clear pathways of travel</w:t>
            </w:r>
            <w:r w:rsidR="00C745AA">
              <w:t>, or ensure these are clear</w:t>
            </w:r>
            <w:r w:rsidR="00497EBB">
              <w:t>ed / opened</w:t>
            </w:r>
            <w:r w:rsidR="00C745AA">
              <w:t xml:space="preserve"> ahead or time. </w:t>
            </w:r>
          </w:p>
          <w:p w14:paraId="650D5E9E" w14:textId="4CA1287F" w:rsidR="003B19F3" w:rsidRPr="00A04BA0" w:rsidRDefault="00C745AA" w:rsidP="0095133B">
            <w:pPr>
              <w:pStyle w:val="OHSAdvtext"/>
              <w:numPr>
                <w:ilvl w:val="0"/>
                <w:numId w:val="1"/>
              </w:numPr>
              <w:spacing w:before="0" w:line="276" w:lineRule="auto"/>
              <w:ind w:left="741"/>
            </w:pPr>
            <w:r>
              <w:t>Ensure staff wear appropriate footwear (i</w:t>
            </w:r>
            <w:r w:rsidR="002E320B">
              <w:t>.</w:t>
            </w:r>
            <w:r>
              <w:t>e</w:t>
            </w:r>
            <w:r w:rsidR="002E320B">
              <w:t>.</w:t>
            </w:r>
            <w:r w:rsidR="0095133B">
              <w:t>,</w:t>
            </w:r>
            <w:r w:rsidR="00925937">
              <w:t xml:space="preserve"> </w:t>
            </w:r>
            <w:r>
              <w:t>closed toed</w:t>
            </w:r>
            <w:r w:rsidR="00C0131D">
              <w:t>, non-slip</w:t>
            </w:r>
            <w:r>
              <w:t xml:space="preserve"> shoes) when air purifiers are moved</w:t>
            </w:r>
            <w:r w:rsidR="007D28C7">
              <w:t>.</w:t>
            </w:r>
            <w:r>
              <w:t xml:space="preserve"> </w:t>
            </w:r>
          </w:p>
        </w:tc>
      </w:tr>
      <w:tr w:rsidR="00EE1BC8" w14:paraId="709896D2" w14:textId="77777777" w:rsidTr="00912CAE">
        <w:trPr>
          <w:trHeight w:val="153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3B43F8" w14:textId="77777777" w:rsidR="00297B2A" w:rsidRDefault="00297B2A" w:rsidP="00EE1BC8">
            <w:pPr>
              <w:pStyle w:val="OHSAdvtext"/>
              <w:jc w:val="left"/>
            </w:pPr>
            <w:r>
              <w:lastRenderedPageBreak/>
              <w:t>2. Operation/Task</w:t>
            </w:r>
          </w:p>
          <w:p w14:paraId="3477E325" w14:textId="63020FB4" w:rsidR="0046369B" w:rsidRPr="003F0CF9" w:rsidRDefault="0031633D" w:rsidP="0046369B">
            <w:pPr>
              <w:numPr>
                <w:ilvl w:val="0"/>
                <w:numId w:val="1"/>
              </w:numPr>
              <w:spacing w:before="40"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31633D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It is preferable for staff to use a hand trolley and/or stair climbing trolley, if available, to assist with moving air purifiers. </w:t>
            </w:r>
            <w:r w:rsidR="0046369B" w:rsidRPr="003F0CF9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If </w:t>
            </w:r>
            <w:r w:rsidR="0046369B">
              <w:rPr>
                <w:rFonts w:eastAsia="Times New Roman" w:cs="Times New Roman"/>
                <w:sz w:val="20"/>
                <w:szCs w:val="20"/>
                <w:lang w:eastAsia="en-AU"/>
              </w:rPr>
              <w:t>a trolley</w:t>
            </w:r>
            <w:r w:rsidR="0046369B" w:rsidRPr="003F0CF9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="0046369B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is </w:t>
            </w:r>
            <w:r w:rsidR="0046369B" w:rsidRPr="003F0CF9">
              <w:rPr>
                <w:rFonts w:eastAsia="Times New Roman" w:cs="Times New Roman"/>
                <w:sz w:val="20"/>
                <w:szCs w:val="20"/>
                <w:lang w:eastAsia="en-AU"/>
              </w:rPr>
              <w:t>unavailable</w:t>
            </w:r>
            <w:r w:rsidR="0046369B">
              <w:rPr>
                <w:rFonts w:eastAsia="Times New Roman" w:cs="Times New Roman"/>
                <w:sz w:val="20"/>
                <w:szCs w:val="20"/>
                <w:lang w:eastAsia="en-AU"/>
              </w:rPr>
              <w:t>, use a</w:t>
            </w:r>
            <w:r w:rsidR="0046369B" w:rsidRPr="003F0CF9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two person lift</w:t>
            </w:r>
            <w:r w:rsidR="00A813B2">
              <w:rPr>
                <w:rFonts w:eastAsia="Times New Roman" w:cs="Times New Roman"/>
                <w:sz w:val="20"/>
                <w:szCs w:val="20"/>
                <w:lang w:eastAsia="en-AU"/>
              </w:rPr>
              <w:t>,</w:t>
            </w:r>
            <w:r w:rsidR="0046369B" w:rsidRPr="003F0CF9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</w:t>
            </w:r>
            <w:r w:rsidR="0046369B">
              <w:rPr>
                <w:sz w:val="20"/>
              </w:rPr>
              <w:t xml:space="preserve">following the </w:t>
            </w:r>
            <w:hyperlink r:id="rId21" w:history="1">
              <w:r w:rsidR="0046369B" w:rsidRPr="00DB2353">
                <w:rPr>
                  <w:rStyle w:val="Hyperlink"/>
                  <w:sz w:val="20"/>
                </w:rPr>
                <w:t>S.M.A.R.T Lifting</w:t>
              </w:r>
            </w:hyperlink>
            <w:r w:rsidR="0046369B" w:rsidRPr="00DB2353">
              <w:rPr>
                <w:sz w:val="20"/>
              </w:rPr>
              <w:t xml:space="preserve"> process</w:t>
            </w:r>
            <w:r w:rsidR="0046369B">
              <w:rPr>
                <w:sz w:val="20"/>
              </w:rPr>
              <w:t>.</w:t>
            </w:r>
          </w:p>
          <w:p w14:paraId="56D03E60" w14:textId="56CEFD3D" w:rsidR="00297B2A" w:rsidRPr="003F0CF9" w:rsidRDefault="00377794" w:rsidP="0046369B">
            <w:pPr>
              <w:numPr>
                <w:ilvl w:val="0"/>
                <w:numId w:val="1"/>
              </w:numPr>
              <w:spacing w:before="40"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Staff </w:t>
            </w:r>
            <w:r w:rsidR="00564CFD">
              <w:rPr>
                <w:rFonts w:eastAsia="Times New Roman" w:cs="Times New Roman"/>
                <w:sz w:val="20"/>
                <w:szCs w:val="20"/>
                <w:lang w:eastAsia="en-AU"/>
              </w:rPr>
              <w:t>should e</w:t>
            </w:r>
            <w:r w:rsidR="003B19F3" w:rsidRPr="003F0CF9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nsure adequate space is available </w:t>
            </w:r>
            <w:r w:rsidR="00564CFD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to </w:t>
            </w:r>
            <w:r w:rsidR="003B19F3" w:rsidRPr="003F0CF9">
              <w:rPr>
                <w:rFonts w:eastAsia="Times New Roman" w:cs="Times New Roman"/>
                <w:sz w:val="20"/>
                <w:szCs w:val="20"/>
                <w:lang w:eastAsia="en-AU"/>
              </w:rPr>
              <w:t>place the air purifier in its intended location</w:t>
            </w:r>
            <w:r w:rsidR="00564CFD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. </w:t>
            </w:r>
          </w:p>
          <w:p w14:paraId="6D1B0F8B" w14:textId="77777777" w:rsidR="003B19F3" w:rsidRDefault="00564CFD" w:rsidP="0046369B">
            <w:pPr>
              <w:numPr>
                <w:ilvl w:val="0"/>
                <w:numId w:val="1"/>
              </w:numPr>
              <w:spacing w:before="40"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When moving the air purifier, staff should a</w:t>
            </w:r>
            <w:r w:rsidR="003B19F3" w:rsidRPr="003F0CF9">
              <w:rPr>
                <w:rFonts w:eastAsia="Times New Roman" w:cs="Times New Roman"/>
                <w:sz w:val="20"/>
                <w:szCs w:val="20"/>
                <w:lang w:eastAsia="en-AU"/>
              </w:rPr>
              <w:t>void twisting and turning or sustained awkward body positions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.</w:t>
            </w:r>
          </w:p>
          <w:p w14:paraId="487E17FB" w14:textId="77777777" w:rsidR="008830EC" w:rsidRDefault="008830EC" w:rsidP="008830EC">
            <w:pPr>
              <w:spacing w:before="40"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  <w:p w14:paraId="2801BF95" w14:textId="77777777" w:rsidR="007B1F71" w:rsidRDefault="007B1F71" w:rsidP="008830EC">
            <w:pPr>
              <w:spacing w:before="40"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  <w:p w14:paraId="4DBD42AB" w14:textId="0F15F2D6" w:rsidR="007B1F71" w:rsidRDefault="00AC0813" w:rsidP="008830EC">
            <w:pPr>
              <w:spacing w:before="40"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368BE8E" wp14:editId="74633D4D">
                  <wp:extent cx="1957070" cy="1957070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070" cy="195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34744">
              <w:rPr>
                <w:rFonts w:eastAsia="Times New Roman" w:cs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1B2A123" wp14:editId="74A4CB53">
                  <wp:extent cx="2023745" cy="20237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023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CFEF5F" w14:textId="518250DC" w:rsidR="007B1F71" w:rsidRDefault="007B1F71" w:rsidP="008830EC">
            <w:pPr>
              <w:spacing w:before="40"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  <w:p w14:paraId="322D3BE7" w14:textId="0F64D600" w:rsidR="007B1F71" w:rsidRDefault="004B20B0" w:rsidP="008830EC">
            <w:pPr>
              <w:spacing w:before="40"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4B20B0">
              <w:rPr>
                <w:rFonts w:eastAsia="Calibri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EC314FC" wp14:editId="1837DEC9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67310</wp:posOffset>
                      </wp:positionV>
                      <wp:extent cx="1543050" cy="1404620"/>
                      <wp:effectExtent l="0" t="0" r="0" b="127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6EC63" w14:textId="77777777" w:rsidR="004B20B0" w:rsidRPr="004620CA" w:rsidRDefault="004B20B0" w:rsidP="004B20B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Stair-climbing Trolley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EC314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2pt;margin-top:5.3pt;width:12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" stroked="f">
                      <v:textbox style="mso-fit-shape-to-text:t">
                        <w:txbxContent>
                          <w:p w14:paraId="0026EC63" w14:textId="77777777" w:rsidR="004B20B0" w:rsidRPr="004620CA" w:rsidRDefault="004B20B0" w:rsidP="004B20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Stair-climbing Trolley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A3CB6" w:rsidRPr="00CA3CB6">
              <w:rPr>
                <w:rFonts w:eastAsia="Times New Roman" w:cs="Times New Roman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DFD3D7D" wp14:editId="58220997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51435</wp:posOffset>
                      </wp:positionV>
                      <wp:extent cx="996950" cy="1404620"/>
                      <wp:effectExtent l="0" t="0" r="0" b="571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0CD56" w14:textId="12641757" w:rsidR="00CA3CB6" w:rsidRPr="004B20B0" w:rsidRDefault="00CA3C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B20B0">
                                    <w:rPr>
                                      <w:sz w:val="20"/>
                                      <w:szCs w:val="20"/>
                                    </w:rPr>
                                    <w:t>Hand Trolley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FD3D7D" id="_x0000_s1027" type="#_x0000_t202" style="position:absolute;margin-left:34.75pt;margin-top:4.05pt;width:7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" stroked="f">
                      <v:textbox style="mso-fit-shape-to-text:t">
                        <w:txbxContent>
                          <w:p w14:paraId="1AD0CD56" w14:textId="12641757" w:rsidR="00CA3CB6" w:rsidRPr="004B20B0" w:rsidRDefault="00CA3C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20B0">
                              <w:rPr>
                                <w:sz w:val="20"/>
                                <w:szCs w:val="20"/>
                              </w:rPr>
                              <w:t>Hand Trolley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8AB5995" w14:textId="27047C59" w:rsidR="007B1F71" w:rsidRPr="003F0CF9" w:rsidRDefault="007B1F71" w:rsidP="004B20B0">
            <w:pPr>
              <w:spacing w:before="40"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</w:tr>
      <w:tr w:rsidR="00EE1BC8" w14:paraId="4F4E5DD7" w14:textId="77777777" w:rsidTr="00912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153BC9" w14:textId="7B17C382" w:rsidR="005D76F6" w:rsidRDefault="00297B2A" w:rsidP="0095133B">
            <w:pPr>
              <w:pStyle w:val="OHSAdvtext"/>
              <w:spacing w:before="60" w:after="60" w:line="276" w:lineRule="auto"/>
            </w:pPr>
            <w:r>
              <w:t>3. POST-Operation/Task:</w:t>
            </w:r>
          </w:p>
          <w:p w14:paraId="0C3016B2" w14:textId="71B1104F" w:rsidR="00297B2A" w:rsidRPr="003F0CF9" w:rsidRDefault="00B840BE" w:rsidP="0095133B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Staff should r</w:t>
            </w:r>
            <w:r w:rsidR="003B19F3" w:rsidRPr="003F0CF9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emove all packaging, </w:t>
            </w:r>
            <w:r w:rsidR="00C61456" w:rsidRPr="003F0CF9">
              <w:rPr>
                <w:rFonts w:eastAsia="Times New Roman" w:cs="Times New Roman"/>
                <w:sz w:val="20"/>
                <w:szCs w:val="20"/>
                <w:lang w:eastAsia="en-AU"/>
              </w:rPr>
              <w:t>box and associated materials and dispose in</w:t>
            </w:r>
            <w:r w:rsidR="005810DD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appropriate</w:t>
            </w:r>
            <w:r w:rsidR="00C61456" w:rsidRPr="003F0CF9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waste</w:t>
            </w:r>
            <w:r w:rsidR="005810DD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or recycling</w:t>
            </w:r>
            <w:r w:rsidR="00C61456" w:rsidRPr="003F0CF9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bin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. </w:t>
            </w:r>
          </w:p>
          <w:p w14:paraId="4BD17DF1" w14:textId="1642AF92" w:rsidR="003B19F3" w:rsidRPr="003F0CF9" w:rsidRDefault="00B840BE" w:rsidP="0095133B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The school should r</w:t>
            </w:r>
            <w:r w:rsidR="003B19F3" w:rsidRPr="003F0CF9">
              <w:rPr>
                <w:rFonts w:eastAsia="Times New Roman" w:cs="Times New Roman"/>
                <w:sz w:val="20"/>
                <w:szCs w:val="20"/>
                <w:lang w:eastAsia="en-AU"/>
              </w:rPr>
              <w:t>etain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the air purifier </w:t>
            </w:r>
            <w:r w:rsidR="003B19F3" w:rsidRPr="003F0CF9">
              <w:rPr>
                <w:rFonts w:eastAsia="Times New Roman" w:cs="Times New Roman"/>
                <w:sz w:val="20"/>
                <w:szCs w:val="20"/>
                <w:lang w:eastAsia="en-AU"/>
              </w:rPr>
              <w:t>Instruction/Operation Manual</w:t>
            </w:r>
            <w:r w:rsidR="00564CFD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and file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it</w:t>
            </w:r>
            <w:r w:rsidR="00564CFD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in an appropriate place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. </w:t>
            </w:r>
            <w:r w:rsidR="00564CFD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</w:t>
            </w:r>
          </w:p>
          <w:p w14:paraId="6CE11542" w14:textId="4333CFDA" w:rsidR="003B19F3" w:rsidRDefault="003B19F3" w:rsidP="0095133B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3F0CF9">
              <w:rPr>
                <w:rFonts w:eastAsia="Times New Roman" w:cs="Times New Roman"/>
                <w:sz w:val="20"/>
                <w:szCs w:val="20"/>
                <w:lang w:eastAsia="en-AU"/>
              </w:rPr>
              <w:t>Provide all key staff with instructions for correct use of the Air Purifier in accordance with the Product Instruction/Operation Manual.</w:t>
            </w:r>
          </w:p>
          <w:p w14:paraId="0A6AD2DF" w14:textId="6A48A3AA" w:rsidR="00312DBB" w:rsidRPr="001B58A0" w:rsidRDefault="00312DBB" w:rsidP="0095133B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ind w:left="315"/>
              <w:contextualSpacing w:val="0"/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AU"/>
              </w:rPr>
            </w:pPr>
            <w:r w:rsidRPr="001B58A0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eastAsia="en-AU"/>
              </w:rPr>
              <w:t>Movement of air purifiers (to a different location within the school)</w:t>
            </w:r>
          </w:p>
          <w:p w14:paraId="5001C99C" w14:textId="77777777" w:rsidR="00093100" w:rsidRPr="00093100" w:rsidRDefault="00093100" w:rsidP="0095133B">
            <w:pPr>
              <w:spacing w:before="60" w:after="6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093100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Schools may wish to move the air purifiers to different locations around the school, based on risk / need / changes in class arrangements. To do this, staff should follow the steps in the ‘Pre-Operation / Task’ section above related to the movement of the air purifiers, including considering environmental factors. </w:t>
            </w:r>
          </w:p>
          <w:p w14:paraId="2BE3700D" w14:textId="5D9B7909" w:rsidR="00297B2A" w:rsidRPr="0095133B" w:rsidRDefault="00093100" w:rsidP="0095133B">
            <w:pPr>
              <w:spacing w:before="60" w:after="6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093100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When the best time is to move the air purifier, ensuring planned routes of travel are clear from trip hazards or obstructions, wearing appropriate footwear and using a </w:t>
            </w:r>
            <w:hyperlink r:id="rId24" w:history="1">
              <w:r w:rsidRPr="00093100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S.M.A.R.T Lifting</w:t>
              </w:r>
            </w:hyperlink>
            <w:r w:rsidRPr="00093100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process.</w:t>
            </w:r>
          </w:p>
        </w:tc>
      </w:tr>
    </w:tbl>
    <w:p w14:paraId="6B620C7C" w14:textId="3287D9C8" w:rsidR="00E15B40" w:rsidRDefault="00E15B40" w:rsidP="000F6A81"/>
    <w:sectPr w:rsidR="00E15B40" w:rsidSect="00297B2A">
      <w:footerReference w:type="default" r:id="rId25"/>
      <w:headerReference w:type="first" r:id="rId26"/>
      <w:footerReference w:type="first" r:id="rId27"/>
      <w:pgSz w:w="11906" w:h="16838"/>
      <w:pgMar w:top="1440" w:right="1080" w:bottom="1440" w:left="1080" w:header="709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FBCE" w14:textId="77777777" w:rsidR="009A6664" w:rsidRDefault="009A6664" w:rsidP="000F6A81">
      <w:r>
        <w:separator/>
      </w:r>
    </w:p>
  </w:endnote>
  <w:endnote w:type="continuationSeparator" w:id="0">
    <w:p w14:paraId="51502E2D" w14:textId="77777777" w:rsidR="009A6664" w:rsidRDefault="009A6664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CC00" w14:textId="713AC255" w:rsidR="000F6A81" w:rsidRPr="00E81047" w:rsidRDefault="00681702" w:rsidP="000F6A81">
    <w:pPr>
      <w:pStyle w:val="Footer"/>
      <w:tabs>
        <w:tab w:val="clear" w:pos="4513"/>
        <w:tab w:val="clear" w:pos="9026"/>
        <w:tab w:val="right" w:pos="10772"/>
      </w:tabs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Movement of Air Purifiers</w:t>
    </w:r>
    <w:r w:rsidR="006838CF">
      <w:rPr>
        <w:color w:val="808080" w:themeColor="background1" w:themeShade="80"/>
        <w:sz w:val="16"/>
        <w:szCs w:val="16"/>
      </w:rPr>
      <w:t xml:space="preserve"> – Safe Work Procedure</w:t>
    </w:r>
    <w:r w:rsidR="000F6A81" w:rsidRPr="00E81047">
      <w:rPr>
        <w:color w:val="808080" w:themeColor="background1" w:themeShade="80"/>
        <w:sz w:val="16"/>
        <w:szCs w:val="16"/>
      </w:rPr>
      <w:tab/>
    </w:r>
    <w:r w:rsidR="00E81047" w:rsidRPr="00E81047">
      <w:rPr>
        <w:color w:val="808080" w:themeColor="background1" w:themeShade="80"/>
        <w:sz w:val="16"/>
        <w:szCs w:val="16"/>
      </w:rPr>
      <w:t xml:space="preserve">Page | </w:t>
    </w:r>
    <w:r w:rsidR="00E81047" w:rsidRPr="00E81047">
      <w:rPr>
        <w:color w:val="808080" w:themeColor="background1" w:themeShade="80"/>
        <w:sz w:val="16"/>
        <w:szCs w:val="16"/>
      </w:rPr>
      <w:fldChar w:fldCharType="begin"/>
    </w:r>
    <w:r w:rsidR="00E81047" w:rsidRPr="00E81047">
      <w:rPr>
        <w:color w:val="808080" w:themeColor="background1" w:themeShade="80"/>
        <w:sz w:val="16"/>
        <w:szCs w:val="16"/>
      </w:rPr>
      <w:instrText xml:space="preserve"> PAGE   \* MERGEFORMAT </w:instrText>
    </w:r>
    <w:r w:rsidR="00E81047" w:rsidRPr="00E81047">
      <w:rPr>
        <w:color w:val="808080" w:themeColor="background1" w:themeShade="80"/>
        <w:sz w:val="16"/>
        <w:szCs w:val="16"/>
      </w:rPr>
      <w:fldChar w:fldCharType="separate"/>
    </w:r>
    <w:r w:rsidR="00BA5A20">
      <w:rPr>
        <w:noProof/>
        <w:color w:val="808080" w:themeColor="background1" w:themeShade="80"/>
        <w:sz w:val="16"/>
        <w:szCs w:val="16"/>
      </w:rPr>
      <w:t>2</w:t>
    </w:r>
    <w:r w:rsidR="00E81047" w:rsidRPr="00E81047">
      <w:rPr>
        <w:noProof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CEEB" w14:textId="51FF879A" w:rsidR="000F6A81" w:rsidRPr="00B538F5" w:rsidRDefault="00B538F5" w:rsidP="00297B2A">
    <w:pPr>
      <w:pStyle w:val="Footer"/>
      <w:jc w:val="right"/>
      <w:rPr>
        <w:i/>
        <w:color w:val="808080" w:themeColor="background1" w:themeShade="80"/>
        <w:sz w:val="16"/>
        <w:szCs w:val="16"/>
      </w:rPr>
    </w:pPr>
    <w:r w:rsidRPr="00B538F5">
      <w:rPr>
        <w:i/>
        <w:color w:val="808080" w:themeColor="background1" w:themeShade="80"/>
        <w:sz w:val="16"/>
        <w:szCs w:val="16"/>
      </w:rPr>
      <w:t xml:space="preserve">Last Updated: </w:t>
    </w:r>
    <w:r w:rsidR="00E0124A">
      <w:rPr>
        <w:i/>
        <w:color w:val="808080" w:themeColor="background1" w:themeShade="80"/>
        <w:sz w:val="16"/>
        <w:szCs w:val="16"/>
      </w:rPr>
      <w:t>9 February</w:t>
    </w:r>
    <w:r w:rsidR="006838CF" w:rsidRPr="00B538F5">
      <w:rPr>
        <w:i/>
        <w:color w:val="808080" w:themeColor="background1" w:themeShade="80"/>
        <w:sz w:val="16"/>
        <w:szCs w:val="16"/>
      </w:rPr>
      <w:t xml:space="preserve"> 20</w:t>
    </w:r>
    <w:r w:rsidR="006838CF">
      <w:rPr>
        <w:i/>
        <w:color w:val="808080" w:themeColor="background1" w:themeShade="80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244B" w14:textId="77777777" w:rsidR="009A6664" w:rsidRDefault="009A6664" w:rsidP="000F6A81">
      <w:r>
        <w:separator/>
      </w:r>
    </w:p>
  </w:footnote>
  <w:footnote w:type="continuationSeparator" w:id="0">
    <w:p w14:paraId="36119874" w14:textId="77777777" w:rsidR="009A6664" w:rsidRDefault="009A6664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BC08" w14:textId="7FDE56F9" w:rsidR="000F6A81" w:rsidRPr="00297B2A" w:rsidRDefault="00095824" w:rsidP="00297B2A">
    <w:pPr>
      <w:pStyle w:val="Heading3"/>
      <w:ind w:left="567" w:right="-142" w:hanging="567"/>
      <w:jc w:val="right"/>
      <w:rPr>
        <w:noProof/>
        <w:color w:val="004EA8"/>
        <w:sz w:val="44"/>
        <w:szCs w:val="44"/>
      </w:rPr>
    </w:pPr>
    <w:r w:rsidRPr="000F6A81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546FC585" wp14:editId="601FE3AD">
          <wp:simplePos x="0" y="0"/>
          <wp:positionH relativeFrom="margin">
            <wp:posOffset>-417830</wp:posOffset>
          </wp:positionH>
          <wp:positionV relativeFrom="paragraph">
            <wp:posOffset>-269240</wp:posOffset>
          </wp:positionV>
          <wp:extent cx="7019925" cy="871855"/>
          <wp:effectExtent l="0" t="0" r="9525" b="4445"/>
          <wp:wrapTight wrapText="bothSides">
            <wp:wrapPolygon edited="0">
              <wp:start x="0" y="0"/>
              <wp:lineTo x="0" y="21238"/>
              <wp:lineTo x="21571" y="21238"/>
              <wp:lineTo x="21571" y="0"/>
              <wp:lineTo x="0" y="0"/>
            </wp:wrapPolygon>
          </wp:wrapTight>
          <wp:docPr id="12" name="Picture 12" descr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92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B40">
      <w:t>Document title or form name goes here</w:t>
    </w:r>
    <w:r w:rsidR="00297B2A" w:rsidRPr="00297B2A">
      <w:rPr>
        <w:noProof/>
        <w:color w:val="004EA8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2783"/>
    <w:multiLevelType w:val="hybridMultilevel"/>
    <w:tmpl w:val="08DE76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54C2"/>
    <w:multiLevelType w:val="multilevel"/>
    <w:tmpl w:val="5F42D0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none"/>
      <w:isLgl/>
      <w:lvlText w:val="3.4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00535E"/>
    <w:multiLevelType w:val="hybridMultilevel"/>
    <w:tmpl w:val="E32CB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F3FD6"/>
    <w:multiLevelType w:val="hybridMultilevel"/>
    <w:tmpl w:val="75F2507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490AAC"/>
    <w:multiLevelType w:val="hybridMultilevel"/>
    <w:tmpl w:val="DD021598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67FD9"/>
    <w:multiLevelType w:val="hybridMultilevel"/>
    <w:tmpl w:val="024C8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81"/>
    <w:rsid w:val="00040DB9"/>
    <w:rsid w:val="00074488"/>
    <w:rsid w:val="00085FD5"/>
    <w:rsid w:val="00086B34"/>
    <w:rsid w:val="00087606"/>
    <w:rsid w:val="00093100"/>
    <w:rsid w:val="00095824"/>
    <w:rsid w:val="000D3A44"/>
    <w:rsid w:val="000F6A81"/>
    <w:rsid w:val="001019CC"/>
    <w:rsid w:val="00125041"/>
    <w:rsid w:val="001256F5"/>
    <w:rsid w:val="00141322"/>
    <w:rsid w:val="001B58A0"/>
    <w:rsid w:val="002166B4"/>
    <w:rsid w:val="0023206D"/>
    <w:rsid w:val="00250AFD"/>
    <w:rsid w:val="00297B2A"/>
    <w:rsid w:val="002D3DBA"/>
    <w:rsid w:val="002E320B"/>
    <w:rsid w:val="00312DBB"/>
    <w:rsid w:val="0031633D"/>
    <w:rsid w:val="00377794"/>
    <w:rsid w:val="003B19F3"/>
    <w:rsid w:val="003B4E58"/>
    <w:rsid w:val="003F0CF9"/>
    <w:rsid w:val="004204A3"/>
    <w:rsid w:val="00427058"/>
    <w:rsid w:val="00443357"/>
    <w:rsid w:val="0046369B"/>
    <w:rsid w:val="00471FA3"/>
    <w:rsid w:val="00497EBB"/>
    <w:rsid w:val="004B20B0"/>
    <w:rsid w:val="004E791D"/>
    <w:rsid w:val="004F4CE4"/>
    <w:rsid w:val="00564CFD"/>
    <w:rsid w:val="0056740E"/>
    <w:rsid w:val="0057699F"/>
    <w:rsid w:val="005810DD"/>
    <w:rsid w:val="00582B27"/>
    <w:rsid w:val="005A0462"/>
    <w:rsid w:val="005A6993"/>
    <w:rsid w:val="005C17FA"/>
    <w:rsid w:val="005D76F6"/>
    <w:rsid w:val="006073DB"/>
    <w:rsid w:val="00662460"/>
    <w:rsid w:val="00681702"/>
    <w:rsid w:val="006838CF"/>
    <w:rsid w:val="006A25CA"/>
    <w:rsid w:val="006B62E0"/>
    <w:rsid w:val="007417ED"/>
    <w:rsid w:val="00744D49"/>
    <w:rsid w:val="00765D79"/>
    <w:rsid w:val="007B1F71"/>
    <w:rsid w:val="007D28C7"/>
    <w:rsid w:val="00825979"/>
    <w:rsid w:val="008339D0"/>
    <w:rsid w:val="00834744"/>
    <w:rsid w:val="00845DEF"/>
    <w:rsid w:val="00853314"/>
    <w:rsid w:val="008757F5"/>
    <w:rsid w:val="008830EC"/>
    <w:rsid w:val="008B2CD7"/>
    <w:rsid w:val="008E0594"/>
    <w:rsid w:val="00912CAE"/>
    <w:rsid w:val="00925937"/>
    <w:rsid w:val="0095133B"/>
    <w:rsid w:val="0095584E"/>
    <w:rsid w:val="00962F40"/>
    <w:rsid w:val="00970625"/>
    <w:rsid w:val="00974FEB"/>
    <w:rsid w:val="009A3CE2"/>
    <w:rsid w:val="009A6664"/>
    <w:rsid w:val="009E6042"/>
    <w:rsid w:val="00A813B2"/>
    <w:rsid w:val="00AA1170"/>
    <w:rsid w:val="00AC0813"/>
    <w:rsid w:val="00B06177"/>
    <w:rsid w:val="00B538F5"/>
    <w:rsid w:val="00B713A5"/>
    <w:rsid w:val="00B840BE"/>
    <w:rsid w:val="00B93F26"/>
    <w:rsid w:val="00BA5A20"/>
    <w:rsid w:val="00BD2C36"/>
    <w:rsid w:val="00BE7620"/>
    <w:rsid w:val="00C0131D"/>
    <w:rsid w:val="00C61456"/>
    <w:rsid w:val="00C67463"/>
    <w:rsid w:val="00C745AA"/>
    <w:rsid w:val="00CA3CB6"/>
    <w:rsid w:val="00CB73A1"/>
    <w:rsid w:val="00D205BE"/>
    <w:rsid w:val="00D829D4"/>
    <w:rsid w:val="00DD396D"/>
    <w:rsid w:val="00E0124A"/>
    <w:rsid w:val="00E0554B"/>
    <w:rsid w:val="00E15B40"/>
    <w:rsid w:val="00E16378"/>
    <w:rsid w:val="00E44C50"/>
    <w:rsid w:val="00E521BF"/>
    <w:rsid w:val="00E81047"/>
    <w:rsid w:val="00EA12A1"/>
    <w:rsid w:val="00EC201B"/>
    <w:rsid w:val="00EE1BC8"/>
    <w:rsid w:val="00F945FB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F1390"/>
  <w15:chartTrackingRefBased/>
  <w15:docId w15:val="{CE37C83E-1B9F-4ADC-81FC-EBD0D71A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81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7B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7B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OHSAdvtext">
    <w:name w:val="OHS Adv text"/>
    <w:basedOn w:val="Normal"/>
    <w:rsid w:val="00297B2A"/>
    <w:pPr>
      <w:spacing w:before="120"/>
      <w:jc w:val="both"/>
    </w:pPr>
    <w:rPr>
      <w:rFonts w:eastAsia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29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BC8"/>
    <w:pPr>
      <w:ind w:left="720"/>
      <w:contextualSpacing/>
    </w:pPr>
  </w:style>
  <w:style w:type="character" w:customStyle="1" w:styleId="rpl-text-label">
    <w:name w:val="rpl-text-label"/>
    <w:basedOn w:val="DefaultParagraphFont"/>
    <w:rsid w:val="00662460"/>
  </w:style>
  <w:style w:type="character" w:customStyle="1" w:styleId="rpl-text-icongroup">
    <w:name w:val="rpl-text-icon__group"/>
    <w:basedOn w:val="DefaultParagraphFont"/>
    <w:rsid w:val="00662460"/>
  </w:style>
  <w:style w:type="character" w:styleId="CommentReference">
    <w:name w:val="annotation reference"/>
    <w:basedOn w:val="DefaultParagraphFont"/>
    <w:uiPriority w:val="99"/>
    <w:semiHidden/>
    <w:unhideWhenUsed/>
    <w:rsid w:val="00662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4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46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460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6246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A1170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hrweb/Documents/OHS/smartliftingposter.docx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education.vic.gov.au/hrweb/Documents/OHS/ohsmanualhandlingtraining.ppt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yperlink" Target="https://www.education.vic.gov.au/hrweb/Documents/OHS/smartliftingposter.docx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s://edupay.eduweb.vic.gov.au/psc/EDUPPRD1/EMPLOYEE/HRMS/c/PT_FLDASHBOARD.PT_FLDASHBOARD.GBL?Page=PT_LANDINGPAGE&amp;DB=DOE_ESS_LEARNING" TargetMode="External"/><Relationship Id="rId19" Type="http://schemas.openxmlformats.org/officeDocument/2006/relationships/hyperlink" Target="https://edupay.eduweb.vic.gov.au/psc/EDUPPRD1/EMPLOYEE/HRMS/c/PT_FLDASHBOARD.PT_FLDASHBOARD.GBL?Page=PT_LANDINGPAGE&amp;DB=DOE_ESS_LEARN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101</Value>
      <Value>120</Value>
    </TaxCatchAll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safe work procedure, template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Description xmlns="http://schemas.microsoft.com/sharepoint/v3">Safe work procedure template</DEECD_Description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6D0DD-04E4-469A-A185-F1FD317D4AEC}"/>
</file>

<file path=customXml/itemProps2.xml><?xml version="1.0" encoding="utf-8"?>
<ds:datastoreItem xmlns:ds="http://schemas.openxmlformats.org/officeDocument/2006/customXml" ds:itemID="{67552ED5-68EE-49B8-B482-26162AAB9FCE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84571637-c7f9-44a1-95b1-d459eb7afb4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28DAE4-B21F-43CF-A3A5-E4482D448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</vt:lpstr>
    </vt:vector>
  </TitlesOfParts>
  <Company>Department of Education and Training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</dc:title>
  <dc:subject/>
  <dc:creator>hrweb@edumail.vic.gov.au</dc:creator>
  <cp:keywords/>
  <dc:description/>
  <cp:lastModifiedBy>Grace Algefski</cp:lastModifiedBy>
  <cp:revision>4</cp:revision>
  <cp:lastPrinted>2017-07-05T04:07:00Z</cp:lastPrinted>
  <dcterms:created xsi:type="dcterms:W3CDTF">2022-02-09T04:03:00Z</dcterms:created>
  <dcterms:modified xsi:type="dcterms:W3CDTF">2022-02-09T04:05:00Z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120;#HRWeb|4e014723-a4da-42a2-b679-c90ea77e3371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>118;#Principals|a4f56333-bce8-49bd-95df-bc27ddd10ec3</vt:lpwstr>
  </property>
  <property fmtid="{D5CDD505-2E9C-101B-9397-08002B2CF9AE}" pid="20" name="MSIP_Label_38f1469a-2c2a-4aee-b92b-090d4c5468ff_Enabled">
    <vt:lpwstr>true</vt:lpwstr>
  </property>
  <property fmtid="{D5CDD505-2E9C-101B-9397-08002B2CF9AE}" pid="21" name="MSIP_Label_38f1469a-2c2a-4aee-b92b-090d4c5468ff_SetDate">
    <vt:lpwstr>2022-01-14T00:06:07Z</vt:lpwstr>
  </property>
  <property fmtid="{D5CDD505-2E9C-101B-9397-08002B2CF9AE}" pid="22" name="MSIP_Label_38f1469a-2c2a-4aee-b92b-090d4c5468ff_Method">
    <vt:lpwstr>Standard</vt:lpwstr>
  </property>
  <property fmtid="{D5CDD505-2E9C-101B-9397-08002B2CF9AE}" pid="23" name="MSIP_Label_38f1469a-2c2a-4aee-b92b-090d4c5468ff_Name">
    <vt:lpwstr>Confidential - Unmarked</vt:lpwstr>
  </property>
  <property fmtid="{D5CDD505-2E9C-101B-9397-08002B2CF9AE}" pid="24" name="MSIP_Label_38f1469a-2c2a-4aee-b92b-090d4c5468ff_SiteId">
    <vt:lpwstr>2a6e6092-73e4-4752-b1a5-477a17f5056d</vt:lpwstr>
  </property>
  <property fmtid="{D5CDD505-2E9C-101B-9397-08002B2CF9AE}" pid="25" name="MSIP_Label_38f1469a-2c2a-4aee-b92b-090d4c5468ff_ActionId">
    <vt:lpwstr>c9ca7131-f2fd-4fc6-8d7b-d9538bb62fb9</vt:lpwstr>
  </property>
  <property fmtid="{D5CDD505-2E9C-101B-9397-08002B2CF9AE}" pid="26" name="MSIP_Label_38f1469a-2c2a-4aee-b92b-090d4c5468ff_ContentBits">
    <vt:lpwstr>0</vt:lpwstr>
  </property>
</Properties>
</file>