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412B0" w14:textId="60BE6986" w:rsidR="00963535" w:rsidRPr="00D240FA" w:rsidRDefault="000D2573" w:rsidP="00DA4F67">
      <w:pPr>
        <w:pStyle w:val="Title"/>
        <w:ind w:left="5103"/>
        <w:rPr>
          <w:rFonts w:asciiTheme="minorHAnsi" w:hAnsiTheme="minorHAnsi" w:cstheme="minorHAnsi"/>
        </w:rPr>
      </w:pPr>
      <w:r w:rsidRPr="00D240FA">
        <w:rPr>
          <w:rFonts w:asciiTheme="minorHAnsi" w:hAnsiTheme="minorHAnsi" w:cstheme="minorHAnsi"/>
        </w:rPr>
        <w:t xml:space="preserve">Mental Health and Wellbeing </w:t>
      </w:r>
      <w:r w:rsidR="00706ADC" w:rsidRPr="00D240FA">
        <w:rPr>
          <w:rFonts w:asciiTheme="minorHAnsi" w:hAnsiTheme="minorHAnsi" w:cstheme="minorHAnsi"/>
        </w:rPr>
        <w:t xml:space="preserve">(MHW) </w:t>
      </w:r>
      <w:r w:rsidRPr="00D240FA">
        <w:rPr>
          <w:rFonts w:asciiTheme="minorHAnsi" w:hAnsiTheme="minorHAnsi" w:cstheme="minorHAnsi"/>
        </w:rPr>
        <w:t xml:space="preserve">Charter </w:t>
      </w:r>
    </w:p>
    <w:p w14:paraId="7AFAA3DC" w14:textId="77777777" w:rsidR="009015EC" w:rsidRPr="009015EC" w:rsidRDefault="009015EC" w:rsidP="009015EC"/>
    <w:p w14:paraId="45837BEC" w14:textId="23F604C9" w:rsidR="00432690" w:rsidRPr="009015EC" w:rsidRDefault="000D2573" w:rsidP="00432690">
      <w:pPr>
        <w:pStyle w:val="Subtitle"/>
        <w:rPr>
          <w:b/>
        </w:rPr>
      </w:pPr>
      <w:bookmarkStart w:id="0" w:name="_Toc477773457"/>
      <w:bookmarkStart w:id="1" w:name="_Toc477853215"/>
      <w:r w:rsidRPr="009015EC">
        <w:rPr>
          <w:b/>
        </w:rPr>
        <w:t>Toolkit</w:t>
      </w:r>
      <w:bookmarkEnd w:id="0"/>
      <w:bookmarkEnd w:id="1"/>
    </w:p>
    <w:p w14:paraId="288B37CC" w14:textId="6035E90B" w:rsidR="00963535" w:rsidRDefault="00963535" w:rsidP="00432690">
      <w:pPr>
        <w:pStyle w:val="Subtitle"/>
      </w:pPr>
      <w:r>
        <w:br w:type="page"/>
      </w:r>
    </w:p>
    <w:p w14:paraId="0C0F2833" w14:textId="38A01EA3" w:rsidR="005C42AF" w:rsidRPr="00D240FA" w:rsidRDefault="000D2573" w:rsidP="00DE026F">
      <w:pPr>
        <w:pStyle w:val="Heading1"/>
        <w:rPr>
          <w:rFonts w:asciiTheme="minorHAnsi" w:hAnsiTheme="minorHAnsi" w:cstheme="minorHAnsi"/>
        </w:rPr>
      </w:pPr>
      <w:bookmarkStart w:id="2" w:name="_Toc477853216"/>
      <w:r w:rsidRPr="00D240FA">
        <w:rPr>
          <w:rFonts w:asciiTheme="minorHAnsi" w:hAnsiTheme="minorHAnsi" w:cstheme="minorHAnsi"/>
        </w:rPr>
        <w:lastRenderedPageBreak/>
        <w:t>Mental Health and Wellbeing Charter and Toolkit</w:t>
      </w:r>
      <w:bookmarkEnd w:id="2"/>
    </w:p>
    <w:p w14:paraId="71C426FB" w14:textId="0810863F" w:rsidR="00BC3B6C" w:rsidRDefault="00BC3B6C" w:rsidP="00BC3B6C"/>
    <w:p w14:paraId="7CFAE085" w14:textId="77777777" w:rsidR="00BC3B6C" w:rsidRPr="00BC3B6C" w:rsidRDefault="00BC3B6C" w:rsidP="00BC3B6C"/>
    <w:sdt>
      <w:sdtPr>
        <w:rPr>
          <w:rFonts w:asciiTheme="minorHAnsi" w:eastAsiaTheme="minorHAnsi" w:hAnsiTheme="minorHAnsi" w:cstheme="minorBidi"/>
          <w:color w:val="44546A" w:themeColor="text2"/>
          <w:sz w:val="24"/>
          <w:szCs w:val="24"/>
          <w:lang w:val="en-AU"/>
        </w:rPr>
        <w:id w:val="290951298"/>
        <w:docPartObj>
          <w:docPartGallery w:val="Table of Contents"/>
          <w:docPartUnique/>
        </w:docPartObj>
      </w:sdtPr>
      <w:sdtEndPr>
        <w:rPr>
          <w:b/>
          <w:bCs/>
          <w:noProof/>
        </w:rPr>
      </w:sdtEndPr>
      <w:sdtContent>
        <w:p w14:paraId="3AD0163C" w14:textId="77777777" w:rsidR="00BC3B6C" w:rsidRDefault="00BC3B6C" w:rsidP="00BC3B6C">
          <w:pPr>
            <w:pStyle w:val="TOCHeading"/>
            <w:rPr>
              <w:rFonts w:ascii="Arial Black" w:hAnsi="Arial Black"/>
              <w:color w:val="5F979F" w:themeColor="text1"/>
              <w:sz w:val="28"/>
              <w:szCs w:val="28"/>
            </w:rPr>
          </w:pPr>
          <w:r w:rsidRPr="00BC3B6C">
            <w:rPr>
              <w:rFonts w:ascii="Arial Black" w:hAnsi="Arial Black"/>
              <w:color w:val="5F979F" w:themeColor="text1"/>
              <w:sz w:val="28"/>
              <w:szCs w:val="28"/>
            </w:rPr>
            <w:t>Contents</w:t>
          </w:r>
        </w:p>
        <w:p w14:paraId="2A1C6B76" w14:textId="04A49284" w:rsidR="00003C2C" w:rsidRDefault="00BC3B6C">
          <w:pPr>
            <w:pStyle w:val="TOC2"/>
            <w:tabs>
              <w:tab w:val="right" w:leader="dot" w:pos="9010"/>
            </w:tabs>
            <w:rPr>
              <w:rFonts w:eastAsiaTheme="minorEastAsia"/>
              <w:noProof/>
              <w:color w:val="auto"/>
              <w:sz w:val="22"/>
              <w:szCs w:val="22"/>
              <w:lang w:eastAsia="en-AU"/>
            </w:rPr>
          </w:pPr>
          <w:r>
            <w:rPr>
              <w:rFonts w:asciiTheme="majorHAnsi" w:eastAsiaTheme="majorEastAsia" w:hAnsiTheme="majorHAnsi" w:cstheme="majorBidi"/>
              <w:color w:val="FF4824" w:themeColor="accent1" w:themeShade="BF"/>
              <w:sz w:val="32"/>
              <w:szCs w:val="32"/>
            </w:rPr>
            <w:fldChar w:fldCharType="begin"/>
          </w:r>
          <w:r>
            <w:instrText xml:space="preserve"> TOC \o "1-3" \h \z \u </w:instrText>
          </w:r>
          <w:r>
            <w:rPr>
              <w:rFonts w:asciiTheme="majorHAnsi" w:eastAsiaTheme="majorEastAsia" w:hAnsiTheme="majorHAnsi" w:cstheme="majorBidi"/>
              <w:color w:val="FF4824" w:themeColor="accent1" w:themeShade="BF"/>
              <w:sz w:val="32"/>
              <w:szCs w:val="32"/>
            </w:rPr>
            <w:fldChar w:fldCharType="separate"/>
          </w:r>
          <w:hyperlink w:anchor="_Toc477853215" w:history="1">
            <w:r w:rsidR="00003C2C" w:rsidRPr="00351567">
              <w:rPr>
                <w:rStyle w:val="Hyperlink"/>
                <w:noProof/>
              </w:rPr>
              <w:t>Toolkit</w:t>
            </w:r>
            <w:r w:rsidR="00003C2C">
              <w:rPr>
                <w:noProof/>
                <w:webHidden/>
              </w:rPr>
              <w:tab/>
            </w:r>
            <w:r w:rsidR="00003C2C">
              <w:rPr>
                <w:noProof/>
                <w:webHidden/>
              </w:rPr>
              <w:fldChar w:fldCharType="begin"/>
            </w:r>
            <w:r w:rsidR="00003C2C">
              <w:rPr>
                <w:noProof/>
                <w:webHidden/>
              </w:rPr>
              <w:instrText xml:space="preserve"> PAGEREF _Toc477853215 \h </w:instrText>
            </w:r>
            <w:r w:rsidR="00003C2C">
              <w:rPr>
                <w:noProof/>
                <w:webHidden/>
              </w:rPr>
            </w:r>
            <w:r w:rsidR="00003C2C">
              <w:rPr>
                <w:noProof/>
                <w:webHidden/>
              </w:rPr>
              <w:fldChar w:fldCharType="separate"/>
            </w:r>
            <w:r w:rsidR="00C05D1A">
              <w:rPr>
                <w:noProof/>
                <w:webHidden/>
              </w:rPr>
              <w:t>1</w:t>
            </w:r>
            <w:r w:rsidR="00003C2C">
              <w:rPr>
                <w:noProof/>
                <w:webHidden/>
              </w:rPr>
              <w:fldChar w:fldCharType="end"/>
            </w:r>
          </w:hyperlink>
        </w:p>
        <w:p w14:paraId="1F534B89" w14:textId="0677EF26" w:rsidR="00003C2C" w:rsidRDefault="00D03886">
          <w:pPr>
            <w:pStyle w:val="TOC1"/>
            <w:tabs>
              <w:tab w:val="right" w:leader="dot" w:pos="9010"/>
            </w:tabs>
            <w:rPr>
              <w:rFonts w:eastAsiaTheme="minorEastAsia"/>
              <w:noProof/>
              <w:color w:val="auto"/>
              <w:sz w:val="22"/>
              <w:szCs w:val="22"/>
              <w:lang w:eastAsia="en-AU"/>
            </w:rPr>
          </w:pPr>
          <w:hyperlink w:anchor="_Toc477853216" w:history="1">
            <w:r w:rsidR="00003C2C" w:rsidRPr="00351567">
              <w:rPr>
                <w:rStyle w:val="Hyperlink"/>
                <w:noProof/>
              </w:rPr>
              <w:t>Mental Health and Wellbeing Charter and Toolkit</w:t>
            </w:r>
            <w:r w:rsidR="00003C2C">
              <w:rPr>
                <w:noProof/>
                <w:webHidden/>
              </w:rPr>
              <w:tab/>
            </w:r>
            <w:r w:rsidR="00003C2C">
              <w:rPr>
                <w:noProof/>
                <w:webHidden/>
              </w:rPr>
              <w:fldChar w:fldCharType="begin"/>
            </w:r>
            <w:r w:rsidR="00003C2C">
              <w:rPr>
                <w:noProof/>
                <w:webHidden/>
              </w:rPr>
              <w:instrText xml:space="preserve"> PAGEREF _Toc477853216 \h </w:instrText>
            </w:r>
            <w:r w:rsidR="00003C2C">
              <w:rPr>
                <w:noProof/>
                <w:webHidden/>
              </w:rPr>
            </w:r>
            <w:r w:rsidR="00003C2C">
              <w:rPr>
                <w:noProof/>
                <w:webHidden/>
              </w:rPr>
              <w:fldChar w:fldCharType="separate"/>
            </w:r>
            <w:r w:rsidR="00C05D1A">
              <w:rPr>
                <w:noProof/>
                <w:webHidden/>
              </w:rPr>
              <w:t>2</w:t>
            </w:r>
            <w:r w:rsidR="00003C2C">
              <w:rPr>
                <w:noProof/>
                <w:webHidden/>
              </w:rPr>
              <w:fldChar w:fldCharType="end"/>
            </w:r>
          </w:hyperlink>
        </w:p>
        <w:p w14:paraId="59858D0D" w14:textId="1E0B60B1" w:rsidR="00003C2C" w:rsidRDefault="00D03886">
          <w:pPr>
            <w:pStyle w:val="TOC2"/>
            <w:tabs>
              <w:tab w:val="right" w:leader="dot" w:pos="9010"/>
            </w:tabs>
            <w:rPr>
              <w:rFonts w:eastAsiaTheme="minorEastAsia"/>
              <w:noProof/>
              <w:color w:val="auto"/>
              <w:sz w:val="22"/>
              <w:szCs w:val="22"/>
              <w:lang w:eastAsia="en-AU"/>
            </w:rPr>
          </w:pPr>
          <w:hyperlink w:anchor="_Toc477853217" w:history="1">
            <w:r w:rsidR="00003C2C" w:rsidRPr="00351567">
              <w:rPr>
                <w:rStyle w:val="Hyperlink"/>
                <w:noProof/>
              </w:rPr>
              <w:t>Introduction</w:t>
            </w:r>
            <w:r w:rsidR="00003C2C">
              <w:rPr>
                <w:noProof/>
                <w:webHidden/>
              </w:rPr>
              <w:tab/>
            </w:r>
            <w:r w:rsidR="00003C2C">
              <w:rPr>
                <w:noProof/>
                <w:webHidden/>
              </w:rPr>
              <w:fldChar w:fldCharType="begin"/>
            </w:r>
            <w:r w:rsidR="00003C2C">
              <w:rPr>
                <w:noProof/>
                <w:webHidden/>
              </w:rPr>
              <w:instrText xml:space="preserve"> PAGEREF _Toc477853217 \h </w:instrText>
            </w:r>
            <w:r w:rsidR="00003C2C">
              <w:rPr>
                <w:noProof/>
                <w:webHidden/>
              </w:rPr>
            </w:r>
            <w:r w:rsidR="00003C2C">
              <w:rPr>
                <w:noProof/>
                <w:webHidden/>
              </w:rPr>
              <w:fldChar w:fldCharType="separate"/>
            </w:r>
            <w:r w:rsidR="00C05D1A">
              <w:rPr>
                <w:noProof/>
                <w:webHidden/>
              </w:rPr>
              <w:t>3</w:t>
            </w:r>
            <w:r w:rsidR="00003C2C">
              <w:rPr>
                <w:noProof/>
                <w:webHidden/>
              </w:rPr>
              <w:fldChar w:fldCharType="end"/>
            </w:r>
          </w:hyperlink>
        </w:p>
        <w:p w14:paraId="73811418" w14:textId="6832F304" w:rsidR="00003C2C" w:rsidRDefault="00D03886">
          <w:pPr>
            <w:pStyle w:val="TOC2"/>
            <w:tabs>
              <w:tab w:val="right" w:leader="dot" w:pos="9010"/>
            </w:tabs>
            <w:rPr>
              <w:rFonts w:eastAsiaTheme="minorEastAsia"/>
              <w:noProof/>
              <w:color w:val="auto"/>
              <w:sz w:val="22"/>
              <w:szCs w:val="22"/>
              <w:lang w:eastAsia="en-AU"/>
            </w:rPr>
          </w:pPr>
          <w:hyperlink w:anchor="_Toc477853218" w:history="1">
            <w:r w:rsidR="00003C2C" w:rsidRPr="00351567">
              <w:rPr>
                <w:rStyle w:val="Hyperlink"/>
                <w:noProof/>
              </w:rPr>
              <w:t>The Mental Health and Wellbeing Charter</w:t>
            </w:r>
            <w:r w:rsidR="00003C2C">
              <w:rPr>
                <w:noProof/>
                <w:webHidden/>
              </w:rPr>
              <w:tab/>
            </w:r>
            <w:r w:rsidR="00003C2C">
              <w:rPr>
                <w:noProof/>
                <w:webHidden/>
              </w:rPr>
              <w:fldChar w:fldCharType="begin"/>
            </w:r>
            <w:r w:rsidR="00003C2C">
              <w:rPr>
                <w:noProof/>
                <w:webHidden/>
              </w:rPr>
              <w:instrText xml:space="preserve"> PAGEREF _Toc477853218 \h </w:instrText>
            </w:r>
            <w:r w:rsidR="00003C2C">
              <w:rPr>
                <w:noProof/>
                <w:webHidden/>
              </w:rPr>
            </w:r>
            <w:r w:rsidR="00003C2C">
              <w:rPr>
                <w:noProof/>
                <w:webHidden/>
              </w:rPr>
              <w:fldChar w:fldCharType="separate"/>
            </w:r>
            <w:r w:rsidR="00C05D1A">
              <w:rPr>
                <w:noProof/>
                <w:webHidden/>
              </w:rPr>
              <w:t>4</w:t>
            </w:r>
            <w:r w:rsidR="00003C2C">
              <w:rPr>
                <w:noProof/>
                <w:webHidden/>
              </w:rPr>
              <w:fldChar w:fldCharType="end"/>
            </w:r>
          </w:hyperlink>
        </w:p>
        <w:p w14:paraId="39ECDDE5" w14:textId="28B99DD1" w:rsidR="00003C2C" w:rsidRDefault="00D03886">
          <w:pPr>
            <w:pStyle w:val="TOC2"/>
            <w:tabs>
              <w:tab w:val="right" w:leader="dot" w:pos="9010"/>
            </w:tabs>
            <w:rPr>
              <w:rFonts w:eastAsiaTheme="minorEastAsia"/>
              <w:noProof/>
              <w:color w:val="auto"/>
              <w:sz w:val="22"/>
              <w:szCs w:val="22"/>
              <w:lang w:eastAsia="en-AU"/>
            </w:rPr>
          </w:pPr>
          <w:hyperlink w:anchor="_Toc477853219" w:history="1">
            <w:r w:rsidR="00003C2C" w:rsidRPr="00351567">
              <w:rPr>
                <w:rStyle w:val="Hyperlink"/>
                <w:noProof/>
              </w:rPr>
              <w:t>The manager’s role in creating a positive MHW workplace</w:t>
            </w:r>
            <w:r w:rsidR="00003C2C">
              <w:rPr>
                <w:noProof/>
                <w:webHidden/>
              </w:rPr>
              <w:tab/>
            </w:r>
            <w:r w:rsidR="00003C2C">
              <w:rPr>
                <w:noProof/>
                <w:webHidden/>
              </w:rPr>
              <w:fldChar w:fldCharType="begin"/>
            </w:r>
            <w:r w:rsidR="00003C2C">
              <w:rPr>
                <w:noProof/>
                <w:webHidden/>
              </w:rPr>
              <w:instrText xml:space="preserve"> PAGEREF _Toc477853219 \h </w:instrText>
            </w:r>
            <w:r w:rsidR="00003C2C">
              <w:rPr>
                <w:noProof/>
                <w:webHidden/>
              </w:rPr>
            </w:r>
            <w:r w:rsidR="00003C2C">
              <w:rPr>
                <w:noProof/>
                <w:webHidden/>
              </w:rPr>
              <w:fldChar w:fldCharType="separate"/>
            </w:r>
            <w:r w:rsidR="00C05D1A">
              <w:rPr>
                <w:noProof/>
                <w:webHidden/>
              </w:rPr>
              <w:t>5</w:t>
            </w:r>
            <w:r w:rsidR="00003C2C">
              <w:rPr>
                <w:noProof/>
                <w:webHidden/>
              </w:rPr>
              <w:fldChar w:fldCharType="end"/>
            </w:r>
          </w:hyperlink>
        </w:p>
        <w:p w14:paraId="4F0979B9" w14:textId="2AD8FBEF" w:rsidR="00003C2C" w:rsidRDefault="00D03886">
          <w:pPr>
            <w:pStyle w:val="TOC2"/>
            <w:tabs>
              <w:tab w:val="right" w:leader="dot" w:pos="9010"/>
            </w:tabs>
            <w:rPr>
              <w:rFonts w:eastAsiaTheme="minorEastAsia"/>
              <w:noProof/>
              <w:color w:val="auto"/>
              <w:sz w:val="22"/>
              <w:szCs w:val="22"/>
              <w:lang w:eastAsia="en-AU"/>
            </w:rPr>
          </w:pPr>
          <w:hyperlink w:anchor="_Toc477853220" w:history="1">
            <w:r w:rsidR="00003C2C" w:rsidRPr="00351567">
              <w:rPr>
                <w:rStyle w:val="Hyperlink"/>
                <w:noProof/>
              </w:rPr>
              <w:t>Embedding the MHW Charter</w:t>
            </w:r>
            <w:r w:rsidR="00003C2C">
              <w:rPr>
                <w:noProof/>
                <w:webHidden/>
              </w:rPr>
              <w:tab/>
            </w:r>
            <w:r w:rsidR="00003C2C">
              <w:rPr>
                <w:noProof/>
                <w:webHidden/>
              </w:rPr>
              <w:fldChar w:fldCharType="begin"/>
            </w:r>
            <w:r w:rsidR="00003C2C">
              <w:rPr>
                <w:noProof/>
                <w:webHidden/>
              </w:rPr>
              <w:instrText xml:space="preserve"> PAGEREF _Toc477853220 \h </w:instrText>
            </w:r>
            <w:r w:rsidR="00003C2C">
              <w:rPr>
                <w:noProof/>
                <w:webHidden/>
              </w:rPr>
            </w:r>
            <w:r w:rsidR="00003C2C">
              <w:rPr>
                <w:noProof/>
                <w:webHidden/>
              </w:rPr>
              <w:fldChar w:fldCharType="separate"/>
            </w:r>
            <w:r w:rsidR="00C05D1A">
              <w:rPr>
                <w:noProof/>
                <w:webHidden/>
              </w:rPr>
              <w:t>6</w:t>
            </w:r>
            <w:r w:rsidR="00003C2C">
              <w:rPr>
                <w:noProof/>
                <w:webHidden/>
              </w:rPr>
              <w:fldChar w:fldCharType="end"/>
            </w:r>
          </w:hyperlink>
        </w:p>
        <w:p w14:paraId="398F9EC0" w14:textId="4C74C631" w:rsidR="00003C2C" w:rsidRDefault="00D03886">
          <w:pPr>
            <w:pStyle w:val="TOC2"/>
            <w:tabs>
              <w:tab w:val="right" w:leader="dot" w:pos="9010"/>
            </w:tabs>
            <w:rPr>
              <w:rFonts w:eastAsiaTheme="minorEastAsia"/>
              <w:noProof/>
              <w:color w:val="auto"/>
              <w:sz w:val="22"/>
              <w:szCs w:val="22"/>
              <w:lang w:eastAsia="en-AU"/>
            </w:rPr>
          </w:pPr>
          <w:hyperlink w:anchor="_Toc477853221" w:history="1">
            <w:r w:rsidR="00003C2C" w:rsidRPr="00351567">
              <w:rPr>
                <w:rStyle w:val="Hyperlink"/>
                <w:noProof/>
              </w:rPr>
              <w:t>Ideas and support tools available to people managers to implement the MHW Charter</w:t>
            </w:r>
            <w:r w:rsidR="00003C2C">
              <w:rPr>
                <w:noProof/>
                <w:webHidden/>
              </w:rPr>
              <w:tab/>
            </w:r>
            <w:r w:rsidR="00003C2C">
              <w:rPr>
                <w:noProof/>
                <w:webHidden/>
              </w:rPr>
              <w:fldChar w:fldCharType="begin"/>
            </w:r>
            <w:r w:rsidR="00003C2C">
              <w:rPr>
                <w:noProof/>
                <w:webHidden/>
              </w:rPr>
              <w:instrText xml:space="preserve"> PAGEREF _Toc477853221 \h </w:instrText>
            </w:r>
            <w:r w:rsidR="00003C2C">
              <w:rPr>
                <w:noProof/>
                <w:webHidden/>
              </w:rPr>
            </w:r>
            <w:r w:rsidR="00003C2C">
              <w:rPr>
                <w:noProof/>
                <w:webHidden/>
              </w:rPr>
              <w:fldChar w:fldCharType="separate"/>
            </w:r>
            <w:r w:rsidR="00C05D1A">
              <w:rPr>
                <w:noProof/>
                <w:webHidden/>
              </w:rPr>
              <w:t>6</w:t>
            </w:r>
            <w:r w:rsidR="00003C2C">
              <w:rPr>
                <w:noProof/>
                <w:webHidden/>
              </w:rPr>
              <w:fldChar w:fldCharType="end"/>
            </w:r>
          </w:hyperlink>
        </w:p>
        <w:p w14:paraId="55C9FED8" w14:textId="6AA9D0B6" w:rsidR="00003C2C" w:rsidRDefault="00D03886">
          <w:pPr>
            <w:pStyle w:val="TOC2"/>
            <w:tabs>
              <w:tab w:val="right" w:leader="dot" w:pos="9010"/>
            </w:tabs>
            <w:rPr>
              <w:rFonts w:eastAsiaTheme="minorEastAsia"/>
              <w:noProof/>
              <w:color w:val="auto"/>
              <w:sz w:val="22"/>
              <w:szCs w:val="22"/>
              <w:lang w:eastAsia="en-AU"/>
            </w:rPr>
          </w:pPr>
          <w:hyperlink w:anchor="_Toc477853222" w:history="1">
            <w:r w:rsidR="00003C2C" w:rsidRPr="00351567">
              <w:rPr>
                <w:rStyle w:val="Hyperlink"/>
                <w:noProof/>
              </w:rPr>
              <w:t>Taking care of yourself and your colleagues at work</w:t>
            </w:r>
            <w:r w:rsidR="00003C2C">
              <w:rPr>
                <w:noProof/>
                <w:webHidden/>
              </w:rPr>
              <w:tab/>
            </w:r>
            <w:r w:rsidR="00003C2C">
              <w:rPr>
                <w:noProof/>
                <w:webHidden/>
              </w:rPr>
              <w:fldChar w:fldCharType="begin"/>
            </w:r>
            <w:r w:rsidR="00003C2C">
              <w:rPr>
                <w:noProof/>
                <w:webHidden/>
              </w:rPr>
              <w:instrText xml:space="preserve"> PAGEREF _Toc477853222 \h </w:instrText>
            </w:r>
            <w:r w:rsidR="00003C2C">
              <w:rPr>
                <w:noProof/>
                <w:webHidden/>
              </w:rPr>
            </w:r>
            <w:r w:rsidR="00003C2C">
              <w:rPr>
                <w:noProof/>
                <w:webHidden/>
              </w:rPr>
              <w:fldChar w:fldCharType="separate"/>
            </w:r>
            <w:r w:rsidR="00C05D1A">
              <w:rPr>
                <w:noProof/>
                <w:webHidden/>
              </w:rPr>
              <w:t>7</w:t>
            </w:r>
            <w:r w:rsidR="00003C2C">
              <w:rPr>
                <w:noProof/>
                <w:webHidden/>
              </w:rPr>
              <w:fldChar w:fldCharType="end"/>
            </w:r>
          </w:hyperlink>
        </w:p>
        <w:p w14:paraId="41428F2B" w14:textId="3DC6FEB5" w:rsidR="00003C2C" w:rsidRDefault="00D03886">
          <w:pPr>
            <w:pStyle w:val="TOC2"/>
            <w:tabs>
              <w:tab w:val="right" w:leader="dot" w:pos="9010"/>
            </w:tabs>
            <w:rPr>
              <w:rFonts w:eastAsiaTheme="minorEastAsia"/>
              <w:noProof/>
              <w:color w:val="auto"/>
              <w:sz w:val="22"/>
              <w:szCs w:val="22"/>
              <w:lang w:eastAsia="en-AU"/>
            </w:rPr>
          </w:pPr>
          <w:hyperlink w:anchor="_Toc477853223" w:history="1">
            <w:r w:rsidR="00003C2C" w:rsidRPr="00351567">
              <w:rPr>
                <w:rStyle w:val="Hyperlink"/>
                <w:noProof/>
              </w:rPr>
              <w:t>Where to go for additional support</w:t>
            </w:r>
            <w:r w:rsidR="00003C2C">
              <w:rPr>
                <w:noProof/>
                <w:webHidden/>
              </w:rPr>
              <w:tab/>
            </w:r>
            <w:r w:rsidR="00003C2C">
              <w:rPr>
                <w:noProof/>
                <w:webHidden/>
              </w:rPr>
              <w:fldChar w:fldCharType="begin"/>
            </w:r>
            <w:r w:rsidR="00003C2C">
              <w:rPr>
                <w:noProof/>
                <w:webHidden/>
              </w:rPr>
              <w:instrText xml:space="preserve"> PAGEREF _Toc477853223 \h </w:instrText>
            </w:r>
            <w:r w:rsidR="00003C2C">
              <w:rPr>
                <w:noProof/>
                <w:webHidden/>
              </w:rPr>
            </w:r>
            <w:r w:rsidR="00003C2C">
              <w:rPr>
                <w:noProof/>
                <w:webHidden/>
              </w:rPr>
              <w:fldChar w:fldCharType="separate"/>
            </w:r>
            <w:r w:rsidR="00C05D1A">
              <w:rPr>
                <w:noProof/>
                <w:webHidden/>
              </w:rPr>
              <w:t>9</w:t>
            </w:r>
            <w:r w:rsidR="00003C2C">
              <w:rPr>
                <w:noProof/>
                <w:webHidden/>
              </w:rPr>
              <w:fldChar w:fldCharType="end"/>
            </w:r>
          </w:hyperlink>
        </w:p>
        <w:p w14:paraId="317B3146" w14:textId="53F540CE" w:rsidR="00003C2C" w:rsidRDefault="00D03886">
          <w:pPr>
            <w:pStyle w:val="TOC3"/>
            <w:tabs>
              <w:tab w:val="right" w:leader="dot" w:pos="9010"/>
            </w:tabs>
            <w:rPr>
              <w:rFonts w:eastAsiaTheme="minorEastAsia"/>
              <w:noProof/>
              <w:color w:val="auto"/>
              <w:sz w:val="22"/>
              <w:szCs w:val="22"/>
              <w:lang w:eastAsia="en-AU"/>
            </w:rPr>
          </w:pPr>
          <w:hyperlink w:anchor="_Toc477853224" w:history="1">
            <w:r w:rsidR="00003C2C" w:rsidRPr="00351567">
              <w:rPr>
                <w:rStyle w:val="Hyperlink"/>
                <w:noProof/>
              </w:rPr>
              <w:t>Additional MHW support resources outside of the Department:</w:t>
            </w:r>
            <w:r w:rsidR="00003C2C">
              <w:rPr>
                <w:noProof/>
                <w:webHidden/>
              </w:rPr>
              <w:tab/>
            </w:r>
            <w:r w:rsidR="00003C2C">
              <w:rPr>
                <w:noProof/>
                <w:webHidden/>
              </w:rPr>
              <w:fldChar w:fldCharType="begin"/>
            </w:r>
            <w:r w:rsidR="00003C2C">
              <w:rPr>
                <w:noProof/>
                <w:webHidden/>
              </w:rPr>
              <w:instrText xml:space="preserve"> PAGEREF _Toc477853224 \h </w:instrText>
            </w:r>
            <w:r w:rsidR="00003C2C">
              <w:rPr>
                <w:noProof/>
                <w:webHidden/>
              </w:rPr>
            </w:r>
            <w:r w:rsidR="00003C2C">
              <w:rPr>
                <w:noProof/>
                <w:webHidden/>
              </w:rPr>
              <w:fldChar w:fldCharType="separate"/>
            </w:r>
            <w:r w:rsidR="00C05D1A">
              <w:rPr>
                <w:noProof/>
                <w:webHidden/>
              </w:rPr>
              <w:t>9</w:t>
            </w:r>
            <w:r w:rsidR="00003C2C">
              <w:rPr>
                <w:noProof/>
                <w:webHidden/>
              </w:rPr>
              <w:fldChar w:fldCharType="end"/>
            </w:r>
          </w:hyperlink>
        </w:p>
        <w:p w14:paraId="07C9E422" w14:textId="379D56EC" w:rsidR="00BC3B6C" w:rsidRDefault="00BC3B6C">
          <w:r>
            <w:rPr>
              <w:b/>
              <w:bCs/>
              <w:noProof/>
            </w:rPr>
            <w:fldChar w:fldCharType="end"/>
          </w:r>
        </w:p>
      </w:sdtContent>
    </w:sdt>
    <w:p w14:paraId="16DBE806" w14:textId="418AEA6B" w:rsidR="00BC3B6C" w:rsidRDefault="00BC3B6C">
      <w:pPr>
        <w:rPr>
          <w:caps/>
          <w:color w:val="5F979F" w:themeColor="text1"/>
          <w:sz w:val="28"/>
          <w:szCs w:val="28"/>
        </w:rPr>
      </w:pPr>
      <w:r>
        <w:br w:type="page"/>
      </w:r>
    </w:p>
    <w:p w14:paraId="10A51524" w14:textId="15C738D4" w:rsidR="000D2573" w:rsidRPr="000D2573" w:rsidRDefault="000D2573" w:rsidP="000D2573">
      <w:pPr>
        <w:pStyle w:val="Heading2"/>
      </w:pPr>
      <w:bookmarkStart w:id="3" w:name="_Toc477853217"/>
      <w:r>
        <w:t>Introduction</w:t>
      </w:r>
      <w:bookmarkEnd w:id="3"/>
    </w:p>
    <w:p w14:paraId="308772CE" w14:textId="15CBF226" w:rsidR="000D2573" w:rsidRDefault="000D2573" w:rsidP="005E3093">
      <w:pPr>
        <w:pStyle w:val="ListNumber2"/>
        <w:numPr>
          <w:ilvl w:val="0"/>
          <w:numId w:val="0"/>
        </w:numPr>
      </w:pPr>
      <w:r>
        <w:t>The Departm</w:t>
      </w:r>
      <w:r w:rsidR="00003C2C">
        <w:t>ent of Education and Training (the Department</w:t>
      </w:r>
      <w:r>
        <w:t>) employs around 3,000 Victorian Public Service (VPS) staff in the</w:t>
      </w:r>
      <w:r w:rsidRPr="00A054EE">
        <w:t xml:space="preserve"> centre</w:t>
      </w:r>
      <w:r>
        <w:t xml:space="preserve"> and regions, who make up our corporate workforce. The mental health and wellbeing of our corporate workforce is crucial in the delivery of high quality education, health and wellbeing programs to those who use our services and to ensuring that the</w:t>
      </w:r>
      <w:r w:rsidR="00003C2C">
        <w:t xml:space="preserve"> Department’s</w:t>
      </w:r>
      <w:r>
        <w:t xml:space="preserve"> Strategic Plan objectives are achieved. </w:t>
      </w:r>
    </w:p>
    <w:p w14:paraId="3AD6A57E" w14:textId="3F1489F9" w:rsidR="005E3093" w:rsidRDefault="009015EC" w:rsidP="005E3093">
      <w:pPr>
        <w:pStyle w:val="ListNumber2"/>
        <w:numPr>
          <w:ilvl w:val="0"/>
          <w:numId w:val="0"/>
        </w:numPr>
      </w:pPr>
      <w:r w:rsidRPr="00003C2C">
        <w:rPr>
          <w:b/>
          <w:noProof/>
          <w:lang w:eastAsia="en-AU"/>
        </w:rPr>
        <w:drawing>
          <wp:anchor distT="0" distB="0" distL="114300" distR="114300" simplePos="0" relativeHeight="251658240" behindDoc="0" locked="0" layoutInCell="1" allowOverlap="1" wp14:anchorId="62C0A346" wp14:editId="3FFC834D">
            <wp:simplePos x="0" y="0"/>
            <wp:positionH relativeFrom="column">
              <wp:posOffset>3419475</wp:posOffset>
            </wp:positionH>
            <wp:positionV relativeFrom="paragraph">
              <wp:posOffset>99060</wp:posOffset>
            </wp:positionV>
            <wp:extent cx="2495550" cy="2652395"/>
            <wp:effectExtent l="0" t="0" r="0" b="0"/>
            <wp:wrapSquare wrapText="bothSides"/>
            <wp:docPr id="5" name="Picture 5" descr="The Figure diplays the Investing in Our People diagram with objective four , Safe and Inclusive Workplaces, enlarged and highlighted" title="Figure 1.  Investing in Our Peop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35D.3199A4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95550" cy="2652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C1D21" w14:textId="3FABDB9A" w:rsidR="000D2573" w:rsidRDefault="00003C2C" w:rsidP="005E3093">
      <w:pPr>
        <w:pStyle w:val="ListNumber2"/>
        <w:numPr>
          <w:ilvl w:val="0"/>
          <w:numId w:val="0"/>
        </w:numPr>
      </w:pPr>
      <w:r>
        <w:t>The Department</w:t>
      </w:r>
      <w:r w:rsidR="000D2573">
        <w:t xml:space="preserve"> is committed to supporting safe and inclusive workplaces with a focus on wellbeing. This Mental Health and Wellbeing Charter (MHW Charter) is aligned to Objective 4 in the </w:t>
      </w:r>
      <w:r>
        <w:t xml:space="preserve">Department’s </w:t>
      </w:r>
      <w:r w:rsidR="000D2573">
        <w:t xml:space="preserve">VPS </w:t>
      </w:r>
      <w:r w:rsidR="000D2573" w:rsidRPr="005E3093">
        <w:t xml:space="preserve">Investing in Our People Strategy 2016-2020 </w:t>
      </w:r>
      <w:r w:rsidR="000D2573">
        <w:t>(</w:t>
      </w:r>
      <w:proofErr w:type="spellStart"/>
      <w:r w:rsidR="000D2573">
        <w:t>IiOP</w:t>
      </w:r>
      <w:proofErr w:type="spellEnd"/>
      <w:r w:rsidR="000D2573">
        <w:t>)</w:t>
      </w:r>
      <w:r w:rsidR="000D2573" w:rsidRPr="005E3093">
        <w:t xml:space="preserve">, </w:t>
      </w:r>
      <w:r w:rsidR="000D2573">
        <w:t>which sets out the way in which we can all support the establishment of safe and inclusive workplaces, including ensuring a supportive psychological environment.</w:t>
      </w:r>
    </w:p>
    <w:p w14:paraId="0C24507B" w14:textId="3D62BF66" w:rsidR="000D2573" w:rsidRPr="009015EC" w:rsidRDefault="009015EC" w:rsidP="009015EC">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Mental health is a state of wellbeing in which an individual realises their own potential, can cope with the normal stresses of life, can work productively and fruitfully, and is able to make a contribution to their community (World Health Organization 2014). Mental health and wellbeing in a work context contributes to high performance, effective professional relationships and positive personal motivation. </w:t>
      </w:r>
    </w:p>
    <w:p w14:paraId="4A379B7E" w14:textId="6D532A7E" w:rsidR="009015EC" w:rsidRPr="009015EC" w:rsidRDefault="009015EC" w:rsidP="009015EC">
      <w:pPr>
        <w:pStyle w:val="DHHSbody"/>
        <w:tabs>
          <w:tab w:val="left" w:pos="6855"/>
          <w:tab w:val="right" w:pos="9020"/>
        </w:tabs>
        <w:rPr>
          <w:rFonts w:asciiTheme="minorHAnsi" w:eastAsiaTheme="minorHAnsi" w:hAnsiTheme="minorHAnsi" w:cstheme="minorBidi"/>
          <w:b/>
          <w:i/>
          <w:color w:val="5F979F" w:themeColor="text1"/>
          <w:sz w:val="18"/>
          <w:lang w:val="en-US"/>
        </w:rPr>
      </w:pPr>
      <w:r>
        <w:rPr>
          <w:rFonts w:asciiTheme="minorHAnsi" w:eastAsiaTheme="minorHAnsi" w:hAnsiTheme="minorHAnsi" w:cstheme="minorBidi"/>
          <w:b/>
          <w:i/>
          <w:color w:val="5F979F" w:themeColor="text1"/>
          <w:sz w:val="18"/>
          <w:lang w:val="en-US"/>
        </w:rPr>
        <w:tab/>
      </w:r>
      <w:r>
        <w:rPr>
          <w:rFonts w:asciiTheme="minorHAnsi" w:eastAsiaTheme="minorHAnsi" w:hAnsiTheme="minorHAnsi" w:cstheme="minorBidi"/>
          <w:b/>
          <w:i/>
          <w:color w:val="5F979F" w:themeColor="text1"/>
          <w:sz w:val="18"/>
          <w:lang w:val="en-US"/>
        </w:rPr>
        <w:tab/>
      </w:r>
      <w:r w:rsidRPr="009015EC">
        <w:rPr>
          <w:rFonts w:asciiTheme="minorHAnsi" w:eastAsiaTheme="minorHAnsi" w:hAnsiTheme="minorHAnsi" w:cstheme="minorBidi"/>
          <w:b/>
          <w:i/>
          <w:color w:val="5F979F" w:themeColor="text1"/>
          <w:sz w:val="18"/>
          <w:lang w:val="en-US"/>
        </w:rPr>
        <w:t>F</w:t>
      </w:r>
      <w:r>
        <w:rPr>
          <w:rFonts w:asciiTheme="minorHAnsi" w:eastAsiaTheme="minorHAnsi" w:hAnsiTheme="minorHAnsi" w:cstheme="minorBidi"/>
          <w:b/>
          <w:i/>
          <w:color w:val="5F979F" w:themeColor="text1"/>
          <w:sz w:val="18"/>
          <w:lang w:val="en-US"/>
        </w:rPr>
        <w:t>igure 1 -</w:t>
      </w:r>
    </w:p>
    <w:p w14:paraId="52550ECF" w14:textId="77777777" w:rsidR="009015EC" w:rsidRPr="009015EC" w:rsidRDefault="009015EC" w:rsidP="009015EC">
      <w:pPr>
        <w:pStyle w:val="DHHSbody"/>
        <w:jc w:val="right"/>
        <w:rPr>
          <w:rFonts w:asciiTheme="minorHAnsi" w:eastAsiaTheme="minorHAnsi" w:hAnsiTheme="minorHAnsi" w:cstheme="minorBidi"/>
          <w:i/>
          <w:color w:val="5F979F" w:themeColor="text1"/>
          <w:sz w:val="18"/>
          <w:lang w:val="en-US"/>
        </w:rPr>
      </w:pPr>
      <w:proofErr w:type="spellStart"/>
      <w:r w:rsidRPr="009015EC">
        <w:rPr>
          <w:rFonts w:asciiTheme="minorHAnsi" w:eastAsiaTheme="minorHAnsi" w:hAnsiTheme="minorHAnsi" w:cstheme="minorBidi"/>
          <w:i/>
          <w:color w:val="5F979F" w:themeColor="text1"/>
          <w:sz w:val="18"/>
          <w:lang w:val="en-US"/>
        </w:rPr>
        <w:t>IiOP</w:t>
      </w:r>
      <w:proofErr w:type="spellEnd"/>
      <w:r w:rsidRPr="009015EC">
        <w:rPr>
          <w:rFonts w:asciiTheme="minorHAnsi" w:eastAsiaTheme="minorHAnsi" w:hAnsiTheme="minorHAnsi" w:cstheme="minorBidi"/>
          <w:i/>
          <w:color w:val="5F979F" w:themeColor="text1"/>
          <w:sz w:val="18"/>
          <w:lang w:val="en-US"/>
        </w:rPr>
        <w:t xml:space="preserve"> Strategy: Objective 4</w:t>
      </w:r>
    </w:p>
    <w:p w14:paraId="7B7B255F" w14:textId="04EFAB44" w:rsidR="000D2573" w:rsidRPr="009015EC" w:rsidRDefault="009015EC" w:rsidP="009015EC">
      <w:pPr>
        <w:pStyle w:val="DHHSbody"/>
        <w:jc w:val="right"/>
        <w:rPr>
          <w:rFonts w:asciiTheme="minorHAnsi" w:eastAsiaTheme="minorHAnsi" w:hAnsiTheme="minorHAnsi" w:cstheme="minorBidi"/>
          <w:color w:val="44546A" w:themeColor="text2"/>
          <w:lang w:val="en-US"/>
        </w:rPr>
      </w:pPr>
      <w:r w:rsidRPr="009015EC">
        <w:rPr>
          <w:rFonts w:asciiTheme="minorHAnsi" w:eastAsiaTheme="minorHAnsi" w:hAnsiTheme="minorHAnsi" w:cstheme="minorBidi"/>
          <w:i/>
          <w:color w:val="5F979F" w:themeColor="text1"/>
          <w:sz w:val="18"/>
          <w:lang w:val="en-US"/>
        </w:rPr>
        <w:t>Safe and Inclusive Workplaces</w:t>
      </w:r>
    </w:p>
    <w:p w14:paraId="7C29AECE" w14:textId="5F40EC45"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Mental health is a state of wellbeing in which an individual realises their own potential, can cope with the normal stresses of life, can work productively and fruitfully, and is able to make a contribution to their community (World Health Organization 2014). Mental health and wellbeing in a work context contributes to high performance, effective professional relationships and positive personal motivation. </w:t>
      </w:r>
    </w:p>
    <w:p w14:paraId="66242239" w14:textId="3C5D21DB"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Conversely</w:t>
      </w:r>
      <w:r w:rsidR="009015EC">
        <w:rPr>
          <w:rFonts w:asciiTheme="minorHAnsi" w:eastAsiaTheme="minorHAnsi" w:hAnsiTheme="minorHAnsi" w:cstheme="minorBidi"/>
          <w:color w:val="44546A" w:themeColor="text2"/>
          <w:lang w:val="en-US"/>
        </w:rPr>
        <w:t xml:space="preserve">, mental ill health can affect </w:t>
      </w:r>
      <w:r w:rsidRPr="005E3093">
        <w:rPr>
          <w:rFonts w:asciiTheme="minorHAnsi" w:eastAsiaTheme="minorHAnsi" w:hAnsiTheme="minorHAnsi" w:cstheme="minorBidi"/>
          <w:color w:val="44546A" w:themeColor="text2"/>
          <w:lang w:val="en-US"/>
        </w:rPr>
        <w:t xml:space="preserve">a person’s wellbeing and ability to work productively. We will all be affected at some stage of our lives by mental ill health – either personally or in the workplace. Nearly 45 per cent of Victorians will experience mental illness in their lifetime. Mental health is one of the largest occupational health and safety (OHS) risks and causes of injury, illness and disease in the Victorian Public Sector (VPS) and in </w:t>
      </w:r>
      <w:r w:rsidR="00003C2C">
        <w:rPr>
          <w:rFonts w:asciiTheme="minorHAnsi" w:eastAsiaTheme="minorHAnsi" w:hAnsiTheme="minorHAnsi" w:cstheme="minorBidi"/>
          <w:color w:val="44546A" w:themeColor="text2"/>
          <w:lang w:val="en-US"/>
        </w:rPr>
        <w:t>the Department</w:t>
      </w:r>
      <w:r w:rsidRPr="005E3093">
        <w:rPr>
          <w:rFonts w:asciiTheme="minorHAnsi" w:eastAsiaTheme="minorHAnsi" w:hAnsiTheme="minorHAnsi" w:cstheme="minorBidi"/>
          <w:color w:val="44546A" w:themeColor="text2"/>
          <w:lang w:val="en-US"/>
        </w:rPr>
        <w:t>.</w:t>
      </w:r>
    </w:p>
    <w:p w14:paraId="1341DB9F" w14:textId="33D2C161" w:rsidR="000D2573" w:rsidRPr="00E20858" w:rsidRDefault="009015EC" w:rsidP="00E20858">
      <w:pPr>
        <w:pStyle w:val="Caption"/>
        <w:rPr>
          <w:rFonts w:ascii="Arial" w:hAnsi="Arial" w:cs="Arial"/>
          <w:color w:val="00B0F0"/>
        </w:rPr>
      </w:pPr>
      <w:r w:rsidRPr="009015EC">
        <w:rPr>
          <w:b/>
          <w:i w:val="0"/>
          <w:noProof/>
          <w:color w:val="5F979F" w:themeColor="text1"/>
          <w:lang w:eastAsia="en-AU"/>
        </w:rPr>
        <w:drawing>
          <wp:anchor distT="0" distB="0" distL="114300" distR="114300" simplePos="0" relativeHeight="251658241" behindDoc="1" locked="0" layoutInCell="1" allowOverlap="1" wp14:anchorId="64426867" wp14:editId="5E9BD9AC">
            <wp:simplePos x="0" y="0"/>
            <wp:positionH relativeFrom="column">
              <wp:posOffset>0</wp:posOffset>
            </wp:positionH>
            <wp:positionV relativeFrom="paragraph">
              <wp:posOffset>0</wp:posOffset>
            </wp:positionV>
            <wp:extent cx="5727700" cy="3038475"/>
            <wp:effectExtent l="0" t="0" r="6350" b="9525"/>
            <wp:wrapSquare wrapText="bothSides"/>
            <wp:docPr id="1" name="Picture 1" descr="The  Figure displays the prevalence of mental illness in the adult population." title="Figure 2. Prevalence of mental illness in the adul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27700" cy="3038475"/>
                    </a:xfrm>
                    <a:prstGeom prst="rect">
                      <a:avLst/>
                    </a:prstGeom>
                  </pic:spPr>
                </pic:pic>
              </a:graphicData>
            </a:graphic>
          </wp:anchor>
        </w:drawing>
      </w:r>
      <w:r w:rsidRPr="009015EC">
        <w:rPr>
          <w:b/>
          <w:i w:val="0"/>
          <w:color w:val="5F979F" w:themeColor="text1"/>
          <w:lang w:val="en-US"/>
        </w:rPr>
        <w:t xml:space="preserve">Figure 2: </w:t>
      </w:r>
      <w:r w:rsidRPr="009015EC">
        <w:rPr>
          <w:i w:val="0"/>
          <w:color w:val="5F979F" w:themeColor="text1"/>
          <w:lang w:val="en-US"/>
        </w:rPr>
        <w:t>Prevalence of mental illness in the adult population. Source</w:t>
      </w:r>
      <w:r w:rsidR="00946B7B">
        <w:rPr>
          <w:i w:val="0"/>
          <w:color w:val="5F979F" w:themeColor="text1"/>
          <w:lang w:val="en-US"/>
        </w:rPr>
        <w:t>: Beyond Blue</w:t>
      </w:r>
    </w:p>
    <w:p w14:paraId="34C0A976" w14:textId="5F65D97B" w:rsidR="000D257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Regardless of the cause, there are steps that we can all take to support ourselves, our colleagues and employees we manage to prevent or effectively manage mental health or injury in the workplace. Where mental injury and illness does occur, we can ensure action is taken to support sustainable recovery.</w:t>
      </w:r>
    </w:p>
    <w:p w14:paraId="61553B1E" w14:textId="77777777" w:rsidR="00003C2C" w:rsidRPr="005E3093" w:rsidRDefault="00003C2C" w:rsidP="000D2573">
      <w:pPr>
        <w:pStyle w:val="DHHSbody"/>
        <w:rPr>
          <w:rFonts w:asciiTheme="minorHAnsi" w:eastAsiaTheme="minorHAnsi" w:hAnsiTheme="minorHAnsi" w:cstheme="minorBidi"/>
          <w:color w:val="44546A" w:themeColor="text2"/>
          <w:lang w:val="en-US"/>
        </w:rPr>
      </w:pPr>
    </w:p>
    <w:p w14:paraId="69500FDC" w14:textId="7E7C7C4F" w:rsidR="000D2573" w:rsidRPr="000D2573" w:rsidRDefault="000D2573" w:rsidP="000D2573">
      <w:pPr>
        <w:pStyle w:val="Heading2"/>
      </w:pPr>
      <w:bookmarkStart w:id="4" w:name="_Toc476226626"/>
      <w:bookmarkStart w:id="5" w:name="_Toc477853218"/>
      <w:r w:rsidRPr="000D2573">
        <w:t>The Mental Health and Wellbeing Charter</w:t>
      </w:r>
      <w:bookmarkEnd w:id="4"/>
      <w:bookmarkEnd w:id="5"/>
    </w:p>
    <w:p w14:paraId="3948E39A" w14:textId="43FD56FD"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The MHW Charter demonstrates the commitment of the VPS, including </w:t>
      </w:r>
      <w:r w:rsidR="00003C2C">
        <w:rPr>
          <w:rFonts w:asciiTheme="minorHAnsi" w:eastAsiaTheme="minorHAnsi" w:hAnsiTheme="minorHAnsi" w:cstheme="minorBidi"/>
          <w:color w:val="44546A" w:themeColor="text2"/>
          <w:lang w:val="en-US"/>
        </w:rPr>
        <w:t>the Department</w:t>
      </w:r>
      <w:r w:rsidRPr="005E3093">
        <w:rPr>
          <w:rFonts w:asciiTheme="minorHAnsi" w:eastAsiaTheme="minorHAnsi" w:hAnsiTheme="minorHAnsi" w:cstheme="minorBidi"/>
          <w:color w:val="44546A" w:themeColor="text2"/>
          <w:lang w:val="en-US"/>
        </w:rPr>
        <w:t xml:space="preserve">, to having an engaged workforce that is physically and mentally safe and healthy. </w:t>
      </w:r>
    </w:p>
    <w:p w14:paraId="3C506A41" w14:textId="77777777"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The VPS is committed to achieving our vision by taking a holistic and inclusive approach to supporting mental health at work; promoting positive mental wellbeing, preventing mental injury and illness and where mental injury and illness occurs, taking action to support recovery.</w:t>
      </w:r>
    </w:p>
    <w:p w14:paraId="74091B3F" w14:textId="77777777"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As outlined in the MHW Charter, the VPS commits to achieving this through: </w:t>
      </w:r>
    </w:p>
    <w:p w14:paraId="1C6745B6" w14:textId="77777777" w:rsidR="000D2573" w:rsidRPr="005E3093" w:rsidRDefault="000D2573" w:rsidP="00794692">
      <w:pPr>
        <w:pStyle w:val="ListBullet2"/>
        <w:tabs>
          <w:tab w:val="left" w:pos="567"/>
        </w:tabs>
        <w:ind w:left="567" w:hanging="284"/>
      </w:pPr>
      <w:r w:rsidRPr="005E3093">
        <w:t>identifying, measuring and treating MHW risks through our OHS system (OHSMS) in the same way as we do physical OHS risks</w:t>
      </w:r>
    </w:p>
    <w:p w14:paraId="40EA1A7A" w14:textId="77777777" w:rsidR="000D2573" w:rsidRPr="005E3093" w:rsidRDefault="000D2573" w:rsidP="00794692">
      <w:pPr>
        <w:pStyle w:val="ListBullet2"/>
        <w:tabs>
          <w:tab w:val="left" w:pos="567"/>
        </w:tabs>
        <w:ind w:left="567" w:hanging="284"/>
      </w:pPr>
      <w:r w:rsidRPr="005E3093">
        <w:t xml:space="preserve">leaders actively championing MHW initiatives </w:t>
      </w:r>
    </w:p>
    <w:p w14:paraId="70069F79" w14:textId="77777777" w:rsidR="000D2573" w:rsidRPr="005E3093" w:rsidRDefault="000D2573" w:rsidP="00794692">
      <w:pPr>
        <w:pStyle w:val="ListBullet2"/>
        <w:tabs>
          <w:tab w:val="left" w:pos="567"/>
        </w:tabs>
        <w:ind w:left="567" w:hanging="284"/>
      </w:pPr>
      <w:r w:rsidRPr="005E3093">
        <w:t>developing a culture, skills and environment that empower workers to recognise and raise MHW issues in order to assist themselves and their colleagues</w:t>
      </w:r>
    </w:p>
    <w:p w14:paraId="4920C70A" w14:textId="77777777" w:rsidR="000D2573" w:rsidRPr="005E3093" w:rsidRDefault="000D2573" w:rsidP="00794692">
      <w:pPr>
        <w:pStyle w:val="ListBullet2"/>
        <w:tabs>
          <w:tab w:val="left" w:pos="567"/>
        </w:tabs>
        <w:ind w:left="567" w:hanging="284"/>
      </w:pPr>
      <w:r w:rsidRPr="005E3093">
        <w:t>the establishment of minimum data sets to enable reporting that improves our understanding of MHW in the VPS to inform continuous improvement in the programs and services offered to employees</w:t>
      </w:r>
    </w:p>
    <w:p w14:paraId="09809BA2" w14:textId="77777777" w:rsidR="000D2573" w:rsidRPr="005E3093" w:rsidRDefault="000D2573" w:rsidP="00794692">
      <w:pPr>
        <w:pStyle w:val="ListBullet2"/>
        <w:tabs>
          <w:tab w:val="left" w:pos="567"/>
        </w:tabs>
        <w:ind w:left="567" w:hanging="284"/>
      </w:pPr>
      <w:r w:rsidRPr="005E3093">
        <w:t>delivering evidence-based training programs that support the capability of managers and workers (including Health and Safety Representatives) in identifying, preventing, protecting and addressing mental injury and illness, as well as promoting positive MHW, and</w:t>
      </w:r>
    </w:p>
    <w:p w14:paraId="25DF56E4" w14:textId="77777777" w:rsidR="000D2573" w:rsidRPr="005E3093" w:rsidRDefault="000D2573" w:rsidP="00794692">
      <w:pPr>
        <w:pStyle w:val="ListBullet2"/>
        <w:tabs>
          <w:tab w:val="left" w:pos="567"/>
        </w:tabs>
        <w:ind w:left="567" w:hanging="284"/>
      </w:pPr>
      <w:proofErr w:type="gramStart"/>
      <w:r w:rsidRPr="005E3093">
        <w:t>consulting</w:t>
      </w:r>
      <w:proofErr w:type="gramEnd"/>
      <w:r w:rsidRPr="005E3093">
        <w:t xml:space="preserve">, communicating and providing services that support MHW that can be accessed and used by all employees. </w:t>
      </w:r>
    </w:p>
    <w:p w14:paraId="6537FCFE" w14:textId="0A4CD2BA"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The MHW Charter was developed by representatives from the VPS and relevant unions, using the Canadian Standard for Psychological Health and Safety in the workplace as a starting point. The MHW Charter was endorsed by the Public Sector Occupational Health and Safety (OHS) Leadership Group on 18 October 2016.</w:t>
      </w:r>
    </w:p>
    <w:p w14:paraId="403CE1D7" w14:textId="77777777" w:rsidR="000D2573" w:rsidRDefault="000D2573" w:rsidP="000D2573">
      <w:pPr>
        <w:pStyle w:val="DHHSbody"/>
      </w:pPr>
    </w:p>
    <w:p w14:paraId="08B12ADD" w14:textId="77777777" w:rsidR="000D2573" w:rsidRPr="000D2573" w:rsidRDefault="000D2573" w:rsidP="000D2573">
      <w:pPr>
        <w:pStyle w:val="Heading2"/>
        <w:rPr>
          <w:b/>
          <w:caps w:val="0"/>
          <w:color w:val="44546A" w:themeColor="text2"/>
          <w:sz w:val="20"/>
          <w:szCs w:val="24"/>
          <w:lang w:val="en-US"/>
        </w:rPr>
      </w:pPr>
      <w:bookmarkStart w:id="6" w:name="_Toc476226627"/>
      <w:bookmarkStart w:id="7" w:name="_Toc477853219"/>
      <w:r w:rsidRPr="000D2573">
        <w:t>The manager’s role in creating a positive MHW workplace</w:t>
      </w:r>
      <w:bookmarkEnd w:id="6"/>
      <w:bookmarkEnd w:id="7"/>
    </w:p>
    <w:p w14:paraId="47823D1B" w14:textId="77777777" w:rsidR="000D2573" w:rsidRPr="005E3093" w:rsidRDefault="000D2573" w:rsidP="000D2573">
      <w:pPr>
        <w:pStyle w:val="DHHSbody"/>
        <w:rPr>
          <w:rFonts w:asciiTheme="minorHAnsi" w:eastAsiaTheme="minorHAnsi" w:hAnsiTheme="minorHAnsi" w:cstheme="minorBidi"/>
          <w:b/>
          <w:color w:val="44546A" w:themeColor="text2"/>
          <w:szCs w:val="24"/>
          <w:lang w:val="en-US"/>
        </w:rPr>
      </w:pPr>
      <w:r w:rsidRPr="005E3093">
        <w:rPr>
          <w:rFonts w:asciiTheme="minorHAnsi" w:eastAsiaTheme="minorHAnsi" w:hAnsiTheme="minorHAnsi" w:cstheme="minorBidi"/>
          <w:b/>
          <w:color w:val="44546A" w:themeColor="text2"/>
          <w:szCs w:val="24"/>
          <w:lang w:val="en-US"/>
        </w:rPr>
        <w:t>As leaders in the organisation, Executives and managers play a critical role in championing the MHW Charter. The Charter has three key MHW related pillars:</w:t>
      </w:r>
    </w:p>
    <w:p w14:paraId="6A6F1218" w14:textId="77777777" w:rsidR="000D2573" w:rsidRPr="001A086A" w:rsidRDefault="000D2573" w:rsidP="00794692">
      <w:pPr>
        <w:pStyle w:val="ListBullet2"/>
        <w:tabs>
          <w:tab w:val="left" w:pos="567"/>
        </w:tabs>
        <w:ind w:left="567" w:hanging="284"/>
      </w:pPr>
      <w:r w:rsidRPr="001A086A">
        <w:t>protecting against poor MHW</w:t>
      </w:r>
    </w:p>
    <w:p w14:paraId="42160207" w14:textId="77777777" w:rsidR="000D2573" w:rsidRPr="001A086A" w:rsidRDefault="000D2573" w:rsidP="00794692">
      <w:pPr>
        <w:pStyle w:val="ListBullet2"/>
        <w:tabs>
          <w:tab w:val="left" w:pos="567"/>
        </w:tabs>
        <w:ind w:left="567" w:hanging="284"/>
      </w:pPr>
      <w:r w:rsidRPr="001A086A">
        <w:t>promoting positive MHW</w:t>
      </w:r>
    </w:p>
    <w:p w14:paraId="6158A22E" w14:textId="0B69B15A" w:rsidR="000D2573" w:rsidRDefault="000D2573" w:rsidP="00794692">
      <w:pPr>
        <w:pStyle w:val="ListBullet2"/>
        <w:tabs>
          <w:tab w:val="left" w:pos="567"/>
        </w:tabs>
        <w:ind w:left="567" w:hanging="284"/>
      </w:pPr>
      <w:proofErr w:type="gramStart"/>
      <w:r w:rsidRPr="001A086A">
        <w:t>addressing</w:t>
      </w:r>
      <w:proofErr w:type="gramEnd"/>
      <w:r w:rsidRPr="001A086A">
        <w:t xml:space="preserve"> where mental injury and illness is occurring, taking appropriate action to support recovery and effective and sustainable return to work (RTW) rehabilitation.</w:t>
      </w:r>
    </w:p>
    <w:p w14:paraId="70C58D0E" w14:textId="77777777" w:rsidR="00003C2C" w:rsidRPr="001A086A" w:rsidRDefault="00003C2C" w:rsidP="00003C2C">
      <w:pPr>
        <w:pStyle w:val="ListBullet2"/>
        <w:numPr>
          <w:ilvl w:val="0"/>
          <w:numId w:val="0"/>
        </w:numPr>
        <w:tabs>
          <w:tab w:val="left" w:pos="567"/>
        </w:tabs>
        <w:ind w:left="567"/>
      </w:pPr>
    </w:p>
    <w:p w14:paraId="20529E2C" w14:textId="77777777" w:rsidR="000D2573" w:rsidRPr="001A086A" w:rsidRDefault="000D2573" w:rsidP="005E3093">
      <w:pPr>
        <w:pStyle w:val="Heading4"/>
      </w:pPr>
      <w:r w:rsidRPr="001A086A">
        <w:t>Leaders at all levels are critical in creating a supportive culture of positive MHW. Pro-active leadership can be demonstrated through:</w:t>
      </w:r>
    </w:p>
    <w:p w14:paraId="1C8AC133" w14:textId="77777777" w:rsidR="000D2573" w:rsidRPr="00950B6D" w:rsidRDefault="000D2573" w:rsidP="00794692">
      <w:pPr>
        <w:pStyle w:val="ListBullet2"/>
        <w:tabs>
          <w:tab w:val="left" w:pos="567"/>
        </w:tabs>
        <w:ind w:left="567" w:hanging="284"/>
      </w:pPr>
      <w:r>
        <w:t>r</w:t>
      </w:r>
      <w:r w:rsidRPr="00950B6D">
        <w:t>aising awareness in your workpl</w:t>
      </w:r>
      <w:r>
        <w:t>ace to eliminate discrimination</w:t>
      </w:r>
      <w:r w:rsidRPr="00950B6D">
        <w:t>, reduce stigma and help people recognise early warning signs and know</w:t>
      </w:r>
      <w:r>
        <w:t>ing</w:t>
      </w:r>
      <w:r w:rsidRPr="00950B6D">
        <w:t xml:space="preserve"> </w:t>
      </w:r>
      <w:r>
        <w:t>how</w:t>
      </w:r>
      <w:r w:rsidRPr="00950B6D">
        <w:t xml:space="preserve"> to respond to </w:t>
      </w:r>
      <w:r>
        <w:t>risks associated with MHW</w:t>
      </w:r>
    </w:p>
    <w:p w14:paraId="12227262" w14:textId="77777777" w:rsidR="000D2573" w:rsidRPr="00950B6D" w:rsidRDefault="000D2573" w:rsidP="00794692">
      <w:pPr>
        <w:pStyle w:val="ListBullet2"/>
        <w:tabs>
          <w:tab w:val="left" w:pos="567"/>
        </w:tabs>
        <w:ind w:left="567" w:hanging="284"/>
      </w:pPr>
      <w:r>
        <w:t>p</w:t>
      </w:r>
      <w:r w:rsidRPr="00950B6D">
        <w:t>romot</w:t>
      </w:r>
      <w:r>
        <w:t>ing</w:t>
      </w:r>
      <w:r w:rsidRPr="00950B6D">
        <w:t xml:space="preserve"> a culture of support</w:t>
      </w:r>
      <w:r>
        <w:t>, empathy and respect</w:t>
      </w:r>
    </w:p>
    <w:p w14:paraId="4E8ADD90" w14:textId="6DC7D932" w:rsidR="000D2573" w:rsidRDefault="00D51333" w:rsidP="00794692">
      <w:pPr>
        <w:pStyle w:val="ListBullet2"/>
        <w:tabs>
          <w:tab w:val="left" w:pos="567"/>
        </w:tabs>
        <w:ind w:left="567" w:hanging="284"/>
      </w:pPr>
      <w:proofErr w:type="gramStart"/>
      <w:r>
        <w:t>c</w:t>
      </w:r>
      <w:r w:rsidR="000D2573">
        <w:t>onsulting</w:t>
      </w:r>
      <w:proofErr w:type="gramEnd"/>
      <w:r w:rsidR="000D2573">
        <w:t xml:space="preserve"> with people o</w:t>
      </w:r>
      <w:r w:rsidR="000D2573" w:rsidRPr="00950B6D">
        <w:t xml:space="preserve">n decisions </w:t>
      </w:r>
      <w:r w:rsidR="000D2573">
        <w:t>about</w:t>
      </w:r>
      <w:r w:rsidR="000D2573" w:rsidRPr="00950B6D">
        <w:t xml:space="preserve"> how their work is undertaken, including when changes happen that affect their </w:t>
      </w:r>
      <w:r w:rsidR="000D2573">
        <w:t xml:space="preserve">system of work, which may result in </w:t>
      </w:r>
      <w:r>
        <w:t>concerns or</w:t>
      </w:r>
      <w:r w:rsidR="005E3093">
        <w:t xml:space="preserve"> uncertainty.</w:t>
      </w:r>
    </w:p>
    <w:p w14:paraId="5DCC4212" w14:textId="77777777" w:rsidR="00003C2C" w:rsidRPr="00950B6D" w:rsidRDefault="00003C2C" w:rsidP="00003C2C">
      <w:pPr>
        <w:pStyle w:val="ListBullet2"/>
        <w:numPr>
          <w:ilvl w:val="0"/>
          <w:numId w:val="0"/>
        </w:numPr>
        <w:tabs>
          <w:tab w:val="left" w:pos="567"/>
        </w:tabs>
        <w:ind w:left="567"/>
      </w:pPr>
    </w:p>
    <w:p w14:paraId="4062AD7C" w14:textId="77777777" w:rsidR="000D2573" w:rsidRDefault="000D2573" w:rsidP="000D2573">
      <w:pPr>
        <w:pStyle w:val="Heading4"/>
      </w:pPr>
      <w:r>
        <w:t>MHW in the workplace can be promoted through meaningful work, engagement and participation. The workplace can also negatively impact MHW through poor job design and exposure to work hazards. Managers can help by:</w:t>
      </w:r>
    </w:p>
    <w:p w14:paraId="24A65586" w14:textId="77777777" w:rsidR="000D2573" w:rsidRDefault="000D2573" w:rsidP="00794692">
      <w:pPr>
        <w:pStyle w:val="ListBullet2"/>
        <w:tabs>
          <w:tab w:val="left" w:pos="567"/>
        </w:tabs>
        <w:ind w:left="567" w:hanging="284"/>
      </w:pPr>
      <w:r>
        <w:t>managing work demands and resources</w:t>
      </w:r>
    </w:p>
    <w:p w14:paraId="1C2BC99A" w14:textId="77777777" w:rsidR="000D2573" w:rsidRDefault="000D2573" w:rsidP="00794692">
      <w:pPr>
        <w:pStyle w:val="ListBullet2"/>
        <w:tabs>
          <w:tab w:val="left" w:pos="567"/>
        </w:tabs>
        <w:ind w:left="567" w:hanging="284"/>
      </w:pPr>
      <w:r>
        <w:t>matching employee capability with job design/requirements</w:t>
      </w:r>
    </w:p>
    <w:p w14:paraId="56E1DD34" w14:textId="77777777" w:rsidR="000D2573" w:rsidRDefault="000D2573" w:rsidP="00794692">
      <w:pPr>
        <w:pStyle w:val="ListBullet2"/>
        <w:tabs>
          <w:tab w:val="left" w:pos="567"/>
        </w:tabs>
        <w:ind w:left="567" w:hanging="284"/>
      </w:pPr>
      <w:r>
        <w:t>building supportive and rewarding working relationships</w:t>
      </w:r>
    </w:p>
    <w:p w14:paraId="31EFFFF0" w14:textId="77777777" w:rsidR="000D2573" w:rsidRDefault="000D2573" w:rsidP="00794692">
      <w:pPr>
        <w:pStyle w:val="ListBullet2"/>
        <w:tabs>
          <w:tab w:val="left" w:pos="567"/>
        </w:tabs>
        <w:ind w:left="567" w:hanging="284"/>
      </w:pPr>
      <w:r>
        <w:t>promoting a healthy, positive work-life balance</w:t>
      </w:r>
    </w:p>
    <w:p w14:paraId="5F3A712D" w14:textId="064A228E" w:rsidR="000D2573" w:rsidRDefault="000D2573" w:rsidP="00794692">
      <w:pPr>
        <w:pStyle w:val="ListBullet2"/>
        <w:tabs>
          <w:tab w:val="left" w:pos="567"/>
        </w:tabs>
        <w:ind w:left="567" w:hanging="284"/>
      </w:pPr>
      <w:proofErr w:type="gramStart"/>
      <w:r>
        <w:t>understanding</w:t>
      </w:r>
      <w:proofErr w:type="gramEnd"/>
      <w:r>
        <w:t xml:space="preserve"> and communicating </w:t>
      </w:r>
      <w:r w:rsidR="00387AF8">
        <w:t>relevant</w:t>
      </w:r>
      <w:r>
        <w:t xml:space="preserve"> matters such as reasonable adjustment, flexible working and performance management to assist with employee understanding and to support a transparent and open process.</w:t>
      </w:r>
    </w:p>
    <w:p w14:paraId="167B2AF5" w14:textId="77777777" w:rsidR="00003C2C" w:rsidRDefault="00003C2C" w:rsidP="00003C2C">
      <w:pPr>
        <w:pStyle w:val="ListBullet2"/>
        <w:numPr>
          <w:ilvl w:val="0"/>
          <w:numId w:val="0"/>
        </w:numPr>
        <w:tabs>
          <w:tab w:val="left" w:pos="567"/>
        </w:tabs>
        <w:ind w:left="567"/>
      </w:pPr>
    </w:p>
    <w:p w14:paraId="6014C721" w14:textId="2E5F89A5" w:rsidR="000D2573" w:rsidRDefault="000D2573" w:rsidP="000D2573">
      <w:pPr>
        <w:pStyle w:val="Heading4"/>
      </w:pPr>
      <w:r>
        <w:t>Mental health, like physical health</w:t>
      </w:r>
      <w:r w:rsidR="00184F70">
        <w:t>,</w:t>
      </w:r>
      <w:r>
        <w:t xml:space="preserve"> is a continuum. Sometimes people will display early warning signs of mental ill health or distress. Regardless of whether this is due to personal or work circumstances</w:t>
      </w:r>
      <w:r w:rsidR="00184F70">
        <w:t>, where possible,</w:t>
      </w:r>
      <w:r>
        <w:t xml:space="preserve"> the manager’s role is to recognise and respond to early warning signs of mental ill health. </w:t>
      </w:r>
    </w:p>
    <w:p w14:paraId="7D80EEA8" w14:textId="77777777" w:rsidR="00003C2C" w:rsidRPr="00003C2C" w:rsidRDefault="00003C2C" w:rsidP="00003C2C"/>
    <w:p w14:paraId="18281987" w14:textId="77777777" w:rsidR="000D2573" w:rsidRDefault="000D2573" w:rsidP="005E3093">
      <w:pPr>
        <w:pStyle w:val="Heading4"/>
      </w:pPr>
      <w:r>
        <w:t>This could include:</w:t>
      </w:r>
    </w:p>
    <w:p w14:paraId="55681008" w14:textId="77777777" w:rsidR="000D2573" w:rsidRDefault="000D2573" w:rsidP="00794692">
      <w:pPr>
        <w:pStyle w:val="ListBullet2"/>
        <w:tabs>
          <w:tab w:val="left" w:pos="567"/>
        </w:tabs>
        <w:ind w:left="567" w:hanging="284"/>
      </w:pPr>
      <w:r>
        <w:t>pro-actively identifying changes in behaviour, including mood and physical presentation</w:t>
      </w:r>
    </w:p>
    <w:p w14:paraId="143BE165" w14:textId="77777777" w:rsidR="000D2573" w:rsidRDefault="000D2573" w:rsidP="00794692">
      <w:pPr>
        <w:pStyle w:val="ListBullet2"/>
        <w:tabs>
          <w:tab w:val="left" w:pos="567"/>
        </w:tabs>
        <w:ind w:left="567" w:hanging="284"/>
      </w:pPr>
      <w:r>
        <w:t>identifying increases in absenteeism, the existence of presentism, or a decline in work performance</w:t>
      </w:r>
    </w:p>
    <w:p w14:paraId="5842950A" w14:textId="77777777" w:rsidR="000D2573" w:rsidRDefault="000D2573" w:rsidP="00794692">
      <w:pPr>
        <w:pStyle w:val="ListBullet2"/>
        <w:tabs>
          <w:tab w:val="left" w:pos="567"/>
        </w:tabs>
        <w:ind w:left="567" w:hanging="284"/>
      </w:pPr>
      <w:r>
        <w:t>getting to know your team and individual behaviours so it is easier to identify when things are not going well</w:t>
      </w:r>
    </w:p>
    <w:p w14:paraId="0D5C8710" w14:textId="77777777" w:rsidR="000D2573" w:rsidRDefault="000D2573" w:rsidP="00794692">
      <w:pPr>
        <w:pStyle w:val="ListBullet2"/>
        <w:tabs>
          <w:tab w:val="left" w:pos="567"/>
        </w:tabs>
        <w:ind w:left="567" w:hanging="284"/>
      </w:pPr>
      <w:proofErr w:type="gramStart"/>
      <w:r>
        <w:t>having</w:t>
      </w:r>
      <w:proofErr w:type="gramEnd"/>
      <w:r>
        <w:t xml:space="preserve"> an RUOK? conversation with employees who may be showing signs of vulnerability</w:t>
      </w:r>
    </w:p>
    <w:p w14:paraId="31B62FE7" w14:textId="38D7FB16" w:rsidR="000D2573" w:rsidRDefault="000D2573" w:rsidP="00794692">
      <w:pPr>
        <w:pStyle w:val="ListBullet2"/>
        <w:tabs>
          <w:tab w:val="left" w:pos="567"/>
        </w:tabs>
        <w:ind w:left="567" w:hanging="284"/>
      </w:pPr>
      <w:r>
        <w:t xml:space="preserve">providing support to employees, including in facilitating a referral to a professional service advisor such as the </w:t>
      </w:r>
      <w:hyperlink r:id="rId14" w:anchor="/app/content/3106/support_and_service_(schools)%252Fhuman_resources%252Femployee_health,_safety_and_wellbeing%252Femployee_health,_safety_and_wellbeing_services" w:history="1">
        <w:r w:rsidRPr="00DA53F8">
          <w:rPr>
            <w:rStyle w:val="Hyperlink"/>
          </w:rPr>
          <w:t>Employee Assistance Program (EAP)</w:t>
        </w:r>
      </w:hyperlink>
      <w:r>
        <w:t xml:space="preserve"> and manager Assist and the </w:t>
      </w:r>
      <w:hyperlink r:id="rId15" w:anchor="/app/content/3106/support_and_service_(schools)%252Fhuman_resources%252Femployee_health,_safety_and_wellbeing%252Femployee_health,_safety_and_wellbeing_services" w:history="1">
        <w:r w:rsidR="00797E20" w:rsidRPr="00D240FA">
          <w:rPr>
            <w:rStyle w:val="Hyperlink"/>
          </w:rPr>
          <w:t xml:space="preserve">LifeWorks Health and </w:t>
        </w:r>
        <w:r w:rsidR="00DA53F8" w:rsidRPr="00D240FA">
          <w:rPr>
            <w:rStyle w:val="Hyperlink"/>
          </w:rPr>
          <w:t>Wellbeing Online P</w:t>
        </w:r>
        <w:r w:rsidR="00797E20" w:rsidRPr="00D240FA">
          <w:rPr>
            <w:rStyle w:val="Hyperlink"/>
          </w:rPr>
          <w:t>latform</w:t>
        </w:r>
        <w:r w:rsidRPr="00D240FA">
          <w:rPr>
            <w:rStyle w:val="Hyperlink"/>
          </w:rPr>
          <w:t>.</w:t>
        </w:r>
      </w:hyperlink>
    </w:p>
    <w:p w14:paraId="31CF8E11" w14:textId="7728CA25" w:rsidR="005415AB" w:rsidRDefault="000D2573" w:rsidP="005415AB">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Managers are important role models in demonstrating the values and behaviours set out in the MHW Charter with their work teams. The manager will assist in developing a culture, skills and environment that empower employees to raise MHW issues so that both the employee and work colleagues are supported to deal with the issue in the most appropriate way. Appropriate action will have a constructive effect on team morale, productivity and general employee mental health and wellbeing.</w:t>
      </w:r>
      <w:bookmarkStart w:id="8" w:name="_Toc476226628"/>
    </w:p>
    <w:p w14:paraId="72DFF4E9" w14:textId="77777777" w:rsidR="00003C2C" w:rsidRDefault="00003C2C" w:rsidP="005415AB">
      <w:pPr>
        <w:pStyle w:val="DHHSbody"/>
      </w:pPr>
    </w:p>
    <w:p w14:paraId="1DD473BA" w14:textId="496A9D93" w:rsidR="000D2573" w:rsidRPr="005415AB" w:rsidRDefault="000D2573" w:rsidP="005415AB">
      <w:pPr>
        <w:pStyle w:val="Heading2"/>
      </w:pPr>
      <w:bookmarkStart w:id="9" w:name="_Toc477853220"/>
      <w:r w:rsidRPr="000D2573">
        <w:t>Embedding the MHW Charter</w:t>
      </w:r>
      <w:bookmarkEnd w:id="8"/>
      <w:bookmarkEnd w:id="9"/>
      <w:r w:rsidRPr="000D2573">
        <w:t xml:space="preserve"> </w:t>
      </w:r>
    </w:p>
    <w:p w14:paraId="2CA278C5" w14:textId="77777777"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To support the effective implementation of the Charter, the Public Sector OHS Leadership Group has endorsed the following actions:</w:t>
      </w:r>
    </w:p>
    <w:p w14:paraId="6FFFDA7B" w14:textId="77777777" w:rsidR="000D2573" w:rsidRPr="003C3220" w:rsidRDefault="000D2573" w:rsidP="00794692">
      <w:pPr>
        <w:pStyle w:val="ListBullet2"/>
        <w:ind w:left="567" w:hanging="283"/>
      </w:pPr>
      <w:r w:rsidRPr="005E3093">
        <w:rPr>
          <w:b/>
        </w:rPr>
        <w:t>a minimum data set (MDS)</w:t>
      </w:r>
      <w:r w:rsidRPr="003C3220">
        <w:t xml:space="preserve">: performance indicators relating to </w:t>
      </w:r>
      <w:r>
        <w:t>MHW</w:t>
      </w:r>
      <w:r w:rsidRPr="003C3220">
        <w:t xml:space="preserve"> to be </w:t>
      </w:r>
      <w:r>
        <w:t xml:space="preserve">determined for each department, including baseline and improvement measures, allowing for </w:t>
      </w:r>
      <w:r w:rsidRPr="003C3220">
        <w:t>benchmarking ac</w:t>
      </w:r>
      <w:r>
        <w:t>ross similar organisations</w:t>
      </w:r>
    </w:p>
    <w:p w14:paraId="456D945F" w14:textId="77777777" w:rsidR="000D2573" w:rsidRDefault="000D2573" w:rsidP="00794692">
      <w:pPr>
        <w:pStyle w:val="ListBullet2"/>
        <w:ind w:left="567" w:hanging="283"/>
      </w:pPr>
      <w:r w:rsidRPr="005E3093">
        <w:rPr>
          <w:b/>
        </w:rPr>
        <w:t>an education and training framework</w:t>
      </w:r>
      <w:r w:rsidRPr="003C3220">
        <w:t xml:space="preserve">: </w:t>
      </w:r>
      <w:r>
        <w:t xml:space="preserve">we will provide training for all VPS employees at every level on MHW, including recognising MHW risks and issues, creating healthy and safe workplaces, and responding to MHW related hazards in the workplace  </w:t>
      </w:r>
    </w:p>
    <w:p w14:paraId="17E1EBBD" w14:textId="77777777" w:rsidR="000D2573" w:rsidRPr="005E3093" w:rsidRDefault="000D2573" w:rsidP="00794692">
      <w:pPr>
        <w:pStyle w:val="ListBullet2"/>
        <w:ind w:left="567" w:hanging="283"/>
      </w:pPr>
      <w:r w:rsidRPr="005E3093">
        <w:rPr>
          <w:b/>
        </w:rPr>
        <w:t>leading the way:</w:t>
      </w:r>
      <w:r w:rsidRPr="004B3EEE">
        <w:t xml:space="preserve"> </w:t>
      </w:r>
      <w:r>
        <w:t xml:space="preserve">updating our </w:t>
      </w:r>
      <w:proofErr w:type="spellStart"/>
      <w:r>
        <w:t>WoVG</w:t>
      </w:r>
      <w:proofErr w:type="spellEnd"/>
      <w:r>
        <w:t xml:space="preserve"> OHS framework to incorporate MHW on an equal level with other OHS issues</w:t>
      </w:r>
    </w:p>
    <w:p w14:paraId="511D625D" w14:textId="24074533" w:rsidR="000D2573" w:rsidRDefault="000D2573" w:rsidP="00794692">
      <w:pPr>
        <w:pStyle w:val="ListBullet2"/>
        <w:ind w:left="567" w:hanging="283"/>
      </w:pPr>
      <w:proofErr w:type="gramStart"/>
      <w:r w:rsidRPr="005E3093">
        <w:rPr>
          <w:b/>
        </w:rPr>
        <w:t>occupational</w:t>
      </w:r>
      <w:proofErr w:type="gramEnd"/>
      <w:r w:rsidRPr="005E3093">
        <w:rPr>
          <w:b/>
        </w:rPr>
        <w:t xml:space="preserve"> violence (OV):</w:t>
      </w:r>
      <w:r w:rsidRPr="004B3EEE">
        <w:t xml:space="preserve">  </w:t>
      </w:r>
      <w:r>
        <w:t>working together across Departments and government bodies affected by OV and related challenging behaviours to identify and implement best practice approaches to MHW.</w:t>
      </w:r>
    </w:p>
    <w:p w14:paraId="45F68B78" w14:textId="77777777" w:rsidR="00003C2C" w:rsidRPr="00A408D3" w:rsidRDefault="00003C2C" w:rsidP="00003C2C">
      <w:pPr>
        <w:pStyle w:val="ListBullet2"/>
        <w:numPr>
          <w:ilvl w:val="0"/>
          <w:numId w:val="0"/>
        </w:numPr>
        <w:ind w:left="567"/>
      </w:pPr>
    </w:p>
    <w:p w14:paraId="46B14AE2" w14:textId="50E0AF69" w:rsidR="000D2573" w:rsidRPr="000D2573" w:rsidRDefault="000D2573" w:rsidP="000D2573">
      <w:pPr>
        <w:pStyle w:val="Heading2"/>
      </w:pPr>
      <w:bookmarkStart w:id="10" w:name="_Toc476226629"/>
      <w:bookmarkStart w:id="11" w:name="_Toc477853221"/>
      <w:r w:rsidRPr="000D2573">
        <w:t>Ideas and support tools available to people managers to implement the MHW Charter</w:t>
      </w:r>
      <w:bookmarkEnd w:id="10"/>
      <w:bookmarkEnd w:id="11"/>
    </w:p>
    <w:p w14:paraId="5F340990" w14:textId="77777777"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The aim of the MHW Charter is to provide a consistent and positive approach to MHW in all </w:t>
      </w:r>
      <w:proofErr w:type="spellStart"/>
      <w:r w:rsidRPr="005E3093">
        <w:rPr>
          <w:rFonts w:asciiTheme="minorHAnsi" w:eastAsiaTheme="minorHAnsi" w:hAnsiTheme="minorHAnsi" w:cstheme="minorBidi"/>
          <w:color w:val="44546A" w:themeColor="text2"/>
          <w:lang w:val="en-US"/>
        </w:rPr>
        <w:t>WoVG</w:t>
      </w:r>
      <w:proofErr w:type="spellEnd"/>
      <w:r w:rsidRPr="005E3093">
        <w:rPr>
          <w:rFonts w:asciiTheme="minorHAnsi" w:eastAsiaTheme="minorHAnsi" w:hAnsiTheme="minorHAnsi" w:cstheme="minorBidi"/>
          <w:color w:val="44546A" w:themeColor="text2"/>
          <w:lang w:val="en-US"/>
        </w:rPr>
        <w:t xml:space="preserve"> workplaces.  Mental health is everyone’s business and as a leader in the organisation, managers play a critical role in championing the Charter.</w:t>
      </w:r>
    </w:p>
    <w:p w14:paraId="6A5FD3AB" w14:textId="77777777" w:rsidR="000D2573" w:rsidRPr="00F6503B" w:rsidRDefault="000D2573" w:rsidP="000D2573">
      <w:pPr>
        <w:pStyle w:val="DHHSbody"/>
      </w:pPr>
      <w:r w:rsidRPr="00F6503B">
        <w:t>H</w:t>
      </w:r>
      <w:proofErr w:type="spellStart"/>
      <w:r w:rsidRPr="005E3093">
        <w:rPr>
          <w:rFonts w:asciiTheme="minorHAnsi" w:eastAsiaTheme="minorHAnsi" w:hAnsiTheme="minorHAnsi" w:cstheme="minorBidi"/>
          <w:color w:val="44546A" w:themeColor="text2"/>
          <w:lang w:val="en-US"/>
        </w:rPr>
        <w:t>ere</w:t>
      </w:r>
      <w:proofErr w:type="spellEnd"/>
      <w:r w:rsidRPr="005E3093">
        <w:rPr>
          <w:rFonts w:asciiTheme="minorHAnsi" w:eastAsiaTheme="minorHAnsi" w:hAnsiTheme="minorHAnsi" w:cstheme="minorBidi"/>
          <w:color w:val="44546A" w:themeColor="text2"/>
          <w:lang w:val="en-US"/>
        </w:rPr>
        <w:t xml:space="preserve"> are some suggestions of ways managers can support the implementation of the Charter:</w:t>
      </w:r>
    </w:p>
    <w:p w14:paraId="794838B6" w14:textId="77777777" w:rsidR="000D2573" w:rsidRPr="005E3093" w:rsidRDefault="000D2573" w:rsidP="00794692">
      <w:pPr>
        <w:pStyle w:val="ListBullet2"/>
        <w:ind w:left="567" w:hanging="283"/>
      </w:pPr>
      <w:r w:rsidRPr="005E3093">
        <w:rPr>
          <w:b/>
        </w:rPr>
        <w:t>display</w:t>
      </w:r>
      <w:r w:rsidRPr="005E3093">
        <w:t xml:space="preserve"> the Charter within your workplace</w:t>
      </w:r>
    </w:p>
    <w:p w14:paraId="62B4860A" w14:textId="77777777" w:rsidR="000D2573" w:rsidRPr="005E3093" w:rsidRDefault="000D2573" w:rsidP="00794692">
      <w:pPr>
        <w:pStyle w:val="ListBullet2"/>
        <w:ind w:left="567" w:hanging="283"/>
      </w:pPr>
      <w:r w:rsidRPr="005E3093">
        <w:rPr>
          <w:b/>
        </w:rPr>
        <w:t>discuss</w:t>
      </w:r>
      <w:r w:rsidRPr="005E3093">
        <w:t xml:space="preserve"> the Charter with all staff members within your team</w:t>
      </w:r>
    </w:p>
    <w:p w14:paraId="42872B70" w14:textId="77777777" w:rsidR="000D2573" w:rsidRPr="005E3093" w:rsidRDefault="000D2573" w:rsidP="00794692">
      <w:pPr>
        <w:pStyle w:val="ListBullet2"/>
        <w:ind w:left="567" w:hanging="283"/>
      </w:pPr>
      <w:r w:rsidRPr="005E3093">
        <w:rPr>
          <w:b/>
        </w:rPr>
        <w:t>distribute</w:t>
      </w:r>
      <w:r w:rsidRPr="005E3093">
        <w:t xml:space="preserve"> the Charter to your team</w:t>
      </w:r>
    </w:p>
    <w:p w14:paraId="569A408D" w14:textId="77777777" w:rsidR="000D2573" w:rsidRPr="005E3093" w:rsidRDefault="000D2573" w:rsidP="00794692">
      <w:pPr>
        <w:pStyle w:val="ListBullet2"/>
        <w:ind w:left="567" w:hanging="283"/>
      </w:pPr>
      <w:r w:rsidRPr="005E3093">
        <w:rPr>
          <w:b/>
        </w:rPr>
        <w:t xml:space="preserve">demonstrate </w:t>
      </w:r>
      <w:r w:rsidRPr="005E3093">
        <w:t>the Charter’s commitment to lead and support positive MHW in the workplace</w:t>
      </w:r>
    </w:p>
    <w:p w14:paraId="76AB4B65" w14:textId="77777777" w:rsidR="000D2573" w:rsidRPr="005E3093" w:rsidRDefault="000D2573" w:rsidP="00794692">
      <w:pPr>
        <w:pStyle w:val="ListBullet2"/>
        <w:ind w:left="567" w:hanging="283"/>
      </w:pPr>
      <w:r w:rsidRPr="005E3093">
        <w:rPr>
          <w:b/>
        </w:rPr>
        <w:t>enrol</w:t>
      </w:r>
      <w:r w:rsidRPr="005E3093">
        <w:t xml:space="preserve"> employees in related Charter/MHW training when available </w:t>
      </w:r>
    </w:p>
    <w:p w14:paraId="24784A4B" w14:textId="1A101677" w:rsidR="000D2573" w:rsidRDefault="000D2573" w:rsidP="00794692">
      <w:pPr>
        <w:pStyle w:val="ListBullet2"/>
        <w:ind w:left="567" w:hanging="283"/>
      </w:pPr>
      <w:proofErr w:type="gramStart"/>
      <w:r w:rsidRPr="005E3093">
        <w:rPr>
          <w:b/>
        </w:rPr>
        <w:t>make</w:t>
      </w:r>
      <w:proofErr w:type="gramEnd"/>
      <w:r w:rsidRPr="005E3093">
        <w:t xml:space="preserve"> employees aware of the MHW calendar.</w:t>
      </w:r>
    </w:p>
    <w:p w14:paraId="763AA247" w14:textId="77777777" w:rsidR="00003C2C" w:rsidRPr="005E3093" w:rsidRDefault="00003C2C" w:rsidP="00003C2C">
      <w:pPr>
        <w:pStyle w:val="ListBullet2"/>
        <w:numPr>
          <w:ilvl w:val="0"/>
          <w:numId w:val="0"/>
        </w:numPr>
        <w:ind w:left="567"/>
      </w:pPr>
    </w:p>
    <w:p w14:paraId="67D59CDC" w14:textId="1A9341BA" w:rsidR="000D2573" w:rsidRPr="000D2573" w:rsidRDefault="00794692" w:rsidP="000D2573">
      <w:pPr>
        <w:pStyle w:val="Heading4"/>
      </w:pPr>
      <w:bookmarkStart w:id="12" w:name="_Toc476226630"/>
      <w:r w:rsidRPr="000D2573">
        <w:t>TIPS FOR COMMUNICATING WITH EMPLOYEES</w:t>
      </w:r>
      <w:bookmarkEnd w:id="12"/>
    </w:p>
    <w:p w14:paraId="057BC7D3" w14:textId="77777777" w:rsidR="000D2573" w:rsidRPr="005E3093" w:rsidRDefault="000D2573" w:rsidP="00794692">
      <w:pPr>
        <w:pStyle w:val="ListBullet2"/>
        <w:tabs>
          <w:tab w:val="left" w:pos="567"/>
        </w:tabs>
        <w:ind w:left="567" w:hanging="284"/>
      </w:pPr>
      <w:r w:rsidRPr="005E3093">
        <w:t>promote the Charter in your workplace and encourage your team to have an open conversation about what the Charter means to them and what the team can do to support people experiencing poor MHW</w:t>
      </w:r>
    </w:p>
    <w:p w14:paraId="78AD8EBD" w14:textId="77777777" w:rsidR="000D2573" w:rsidRPr="005E3093" w:rsidRDefault="000D2573" w:rsidP="00794692">
      <w:pPr>
        <w:pStyle w:val="ListBullet2"/>
        <w:tabs>
          <w:tab w:val="left" w:pos="567"/>
        </w:tabs>
        <w:ind w:left="567" w:hanging="284"/>
      </w:pPr>
      <w:r w:rsidRPr="005E3093">
        <w:t>hold a morning tea or team meeting to discuss MHW and promote awareness</w:t>
      </w:r>
    </w:p>
    <w:p w14:paraId="3549E57E" w14:textId="04A89A37" w:rsidR="000D2573" w:rsidRPr="005E3093" w:rsidRDefault="000D2573" w:rsidP="00794692">
      <w:pPr>
        <w:pStyle w:val="ListBullet2"/>
        <w:tabs>
          <w:tab w:val="left" w:pos="567"/>
        </w:tabs>
        <w:ind w:left="567" w:hanging="284"/>
      </w:pPr>
      <w:r w:rsidRPr="005E3093">
        <w:t xml:space="preserve">provide handouts </w:t>
      </w:r>
      <w:r w:rsidR="00387AF8">
        <w:t>or links to</w:t>
      </w:r>
      <w:r w:rsidRPr="005E3093">
        <w:t xml:space="preserve"> the MHW information kit to your team and refer them to the Charter </w:t>
      </w:r>
      <w:r w:rsidR="00387AF8">
        <w:t>HR A-Z web page</w:t>
      </w:r>
      <w:r w:rsidRPr="005E3093">
        <w:t xml:space="preserve"> for additional information</w:t>
      </w:r>
    </w:p>
    <w:p w14:paraId="6EF5DDED" w14:textId="50C85DBF" w:rsidR="000D2573" w:rsidRDefault="000D2573" w:rsidP="00794692">
      <w:pPr>
        <w:pStyle w:val="ListBullet2"/>
        <w:tabs>
          <w:tab w:val="left" w:pos="567"/>
        </w:tabs>
        <w:ind w:left="567" w:hanging="284"/>
      </w:pPr>
      <w:proofErr w:type="gramStart"/>
      <w:r w:rsidRPr="005E3093">
        <w:t>remind</w:t>
      </w:r>
      <w:proofErr w:type="gramEnd"/>
      <w:r w:rsidRPr="005E3093">
        <w:t xml:space="preserve"> employees of any existing supports to assist them with MHW, for example EAP services, the </w:t>
      </w:r>
      <w:r w:rsidR="00797E20" w:rsidRPr="00797E20">
        <w:rPr>
          <w:highlight w:val="yellow"/>
        </w:rPr>
        <w:t>LifeWorks Health and W</w:t>
      </w:r>
      <w:r w:rsidRPr="00797E20">
        <w:rPr>
          <w:highlight w:val="yellow"/>
        </w:rPr>
        <w:t xml:space="preserve">ellbeing </w:t>
      </w:r>
      <w:r w:rsidR="00DA53F8">
        <w:rPr>
          <w:highlight w:val="yellow"/>
        </w:rPr>
        <w:t>Online Platform</w:t>
      </w:r>
      <w:r w:rsidRPr="005E3093">
        <w:t xml:space="preserve"> and external resources listed on the supporting MHW Factsheet for staff.</w:t>
      </w:r>
    </w:p>
    <w:p w14:paraId="59F76B16" w14:textId="77777777" w:rsidR="00E20858" w:rsidRPr="005E3093" w:rsidRDefault="00E20858" w:rsidP="00E20858">
      <w:pPr>
        <w:pStyle w:val="ListBullet2"/>
        <w:numPr>
          <w:ilvl w:val="0"/>
          <w:numId w:val="0"/>
        </w:numPr>
        <w:tabs>
          <w:tab w:val="left" w:pos="567"/>
        </w:tabs>
        <w:ind w:left="567"/>
      </w:pPr>
    </w:p>
    <w:p w14:paraId="18FDFAB5" w14:textId="34F3993F" w:rsidR="000D2573" w:rsidRPr="000D2573" w:rsidRDefault="00794692" w:rsidP="00003C2C">
      <w:bookmarkStart w:id="13" w:name="_Toc476226631"/>
      <w:r w:rsidRPr="000D2573">
        <w:t>FURTHER IDEAS</w:t>
      </w:r>
      <w:bookmarkEnd w:id="13"/>
    </w:p>
    <w:p w14:paraId="23F7AD19" w14:textId="77777777" w:rsidR="000D2573" w:rsidRPr="00377DC3" w:rsidRDefault="000D2573" w:rsidP="00794692">
      <w:pPr>
        <w:pStyle w:val="ListBullet2"/>
        <w:tabs>
          <w:tab w:val="left" w:pos="567"/>
        </w:tabs>
        <w:ind w:left="567" w:hanging="284"/>
      </w:pPr>
      <w:proofErr w:type="gramStart"/>
      <w:r>
        <w:t>t</w:t>
      </w:r>
      <w:r w:rsidRPr="00377DC3">
        <w:t>o</w:t>
      </w:r>
      <w:proofErr w:type="gramEnd"/>
      <w:r w:rsidRPr="00377DC3">
        <w:t xml:space="preserve"> reinforce the </w:t>
      </w:r>
      <w:r>
        <w:t>Charter</w:t>
      </w:r>
      <w:r w:rsidRPr="00377DC3">
        <w:t xml:space="preserve">, display the </w:t>
      </w:r>
      <w:r>
        <w:t>Charter</w:t>
      </w:r>
      <w:r w:rsidRPr="00377DC3">
        <w:t xml:space="preserve"> poster in places frequently attended by employees. For example, tea rooms, lunch rooms, high traffic areas and </w:t>
      </w:r>
      <w:r>
        <w:t>any other informal meeting areas</w:t>
      </w:r>
      <w:r w:rsidRPr="00377DC3">
        <w:t xml:space="preserve"> </w:t>
      </w:r>
    </w:p>
    <w:p w14:paraId="6FB85D17" w14:textId="77777777" w:rsidR="000D2573" w:rsidRPr="00377DC3" w:rsidRDefault="000D2573" w:rsidP="00794692">
      <w:pPr>
        <w:pStyle w:val="ListBullet2"/>
        <w:tabs>
          <w:tab w:val="left" w:pos="567"/>
        </w:tabs>
        <w:ind w:left="567" w:hanging="284"/>
      </w:pPr>
      <w:r>
        <w:t>s</w:t>
      </w:r>
      <w:r w:rsidRPr="00377DC3">
        <w:t>end regular emails to your team highlighting examples of</w:t>
      </w:r>
      <w:r>
        <w:t xml:space="preserve"> positive behaviours in line with the Charter to encourage similar behaviours</w:t>
      </w:r>
    </w:p>
    <w:p w14:paraId="0ED8205D" w14:textId="77777777" w:rsidR="000D2573" w:rsidRPr="00377DC3" w:rsidRDefault="000D2573" w:rsidP="00794692">
      <w:pPr>
        <w:pStyle w:val="ListBullet2"/>
        <w:tabs>
          <w:tab w:val="left" w:pos="567"/>
        </w:tabs>
        <w:ind w:left="567" w:hanging="284"/>
      </w:pPr>
      <w:proofErr w:type="gramStart"/>
      <w:r>
        <w:t>u</w:t>
      </w:r>
      <w:r w:rsidRPr="00377DC3">
        <w:t>se</w:t>
      </w:r>
      <w:proofErr w:type="gramEnd"/>
      <w:r w:rsidRPr="00377DC3">
        <w:t xml:space="preserve"> team meetings to reinforce the </w:t>
      </w:r>
      <w:r>
        <w:t>Charter</w:t>
      </w:r>
      <w:r w:rsidRPr="00377DC3">
        <w:t xml:space="preserve">, </w:t>
      </w:r>
      <w:r>
        <w:t>its</w:t>
      </w:r>
      <w:r w:rsidRPr="00377DC3">
        <w:t xml:space="preserve"> </w:t>
      </w:r>
      <w:r>
        <w:t>purpose</w:t>
      </w:r>
      <w:r w:rsidRPr="00377DC3">
        <w:t xml:space="preserve"> and </w:t>
      </w:r>
      <w:r>
        <w:t>its</w:t>
      </w:r>
      <w:r w:rsidRPr="00377DC3">
        <w:t xml:space="preserve"> use. Discuss how you can incorporate </w:t>
      </w:r>
      <w:r>
        <w:t>elements of the Charter into everyday work</w:t>
      </w:r>
    </w:p>
    <w:p w14:paraId="145E3D92" w14:textId="1274738E" w:rsidR="000D2573" w:rsidRPr="00377DC3" w:rsidRDefault="00387AF8" w:rsidP="00794692">
      <w:pPr>
        <w:pStyle w:val="ListBullet2"/>
        <w:tabs>
          <w:tab w:val="left" w:pos="567"/>
        </w:tabs>
        <w:ind w:left="567" w:hanging="284"/>
      </w:pPr>
      <w:r>
        <w:t xml:space="preserve">consider </w:t>
      </w:r>
      <w:r w:rsidR="000D2573">
        <w:t>i</w:t>
      </w:r>
      <w:r w:rsidR="000D2573" w:rsidRPr="00377DC3">
        <w:t>nclud</w:t>
      </w:r>
      <w:r>
        <w:t>ing</w:t>
      </w:r>
      <w:r w:rsidR="000D2573" w:rsidRPr="00377DC3">
        <w:t xml:space="preserve"> </w:t>
      </w:r>
      <w:r w:rsidR="000D2573">
        <w:t>MHW along with OHS</w:t>
      </w:r>
      <w:r w:rsidR="000D2573" w:rsidRPr="00377DC3">
        <w:t xml:space="preserve"> as a standing agenda item at your meetings to highlight sit</w:t>
      </w:r>
      <w:r w:rsidR="000D2573">
        <w:t>uations, or projects, where positive behaviours have been demonstrated</w:t>
      </w:r>
    </w:p>
    <w:p w14:paraId="7E6CBCD6" w14:textId="77777777" w:rsidR="000D2573" w:rsidRPr="00377DC3" w:rsidRDefault="000D2573" w:rsidP="00794692">
      <w:pPr>
        <w:pStyle w:val="ListBullet2"/>
        <w:tabs>
          <w:tab w:val="left" w:pos="567"/>
        </w:tabs>
        <w:ind w:left="567" w:hanging="284"/>
      </w:pPr>
      <w:r>
        <w:t>i</w:t>
      </w:r>
      <w:r w:rsidRPr="00377DC3">
        <w:t>nvite guest speakers to present at forums or team meetings on the importance of</w:t>
      </w:r>
      <w:r>
        <w:t xml:space="preserve"> taking action to promote positive MHW in the workplace</w:t>
      </w:r>
    </w:p>
    <w:p w14:paraId="2C9563CA" w14:textId="77777777" w:rsidR="000D2573" w:rsidRPr="00377DC3" w:rsidRDefault="000D2573" w:rsidP="00794692">
      <w:pPr>
        <w:pStyle w:val="ListBullet2"/>
        <w:tabs>
          <w:tab w:val="left" w:pos="567"/>
        </w:tabs>
        <w:ind w:left="567" w:hanging="284"/>
      </w:pPr>
      <w:r>
        <w:t>e</w:t>
      </w:r>
      <w:r w:rsidRPr="00377DC3">
        <w:t>nsure regular recognition of employees occurs at meetings, even for ‘minor miracles’, ra</w:t>
      </w:r>
      <w:r>
        <w:t>ther than ‘superhuman’ efforts</w:t>
      </w:r>
    </w:p>
    <w:p w14:paraId="7A221492" w14:textId="5FD7A852" w:rsidR="000D2573" w:rsidRPr="00377DC3" w:rsidRDefault="000D2573" w:rsidP="00794692">
      <w:pPr>
        <w:pStyle w:val="ListBullet2"/>
        <w:tabs>
          <w:tab w:val="left" w:pos="567"/>
        </w:tabs>
        <w:ind w:left="567" w:hanging="284"/>
      </w:pPr>
      <w:proofErr w:type="gramStart"/>
      <w:r>
        <w:t>p</w:t>
      </w:r>
      <w:r w:rsidRPr="00377DC3">
        <w:t>rovide</w:t>
      </w:r>
      <w:proofErr w:type="gramEnd"/>
      <w:r w:rsidRPr="00377DC3">
        <w:t xml:space="preserve"> new team members with the </w:t>
      </w:r>
      <w:r>
        <w:t>Charter</w:t>
      </w:r>
      <w:r w:rsidRPr="00377DC3">
        <w:t xml:space="preserve"> handout and direct them to the </w:t>
      </w:r>
      <w:r>
        <w:t>Charter</w:t>
      </w:r>
      <w:r w:rsidRPr="00377DC3">
        <w:t xml:space="preserve"> websit</w:t>
      </w:r>
      <w:r>
        <w:t xml:space="preserve">e and </w:t>
      </w:r>
      <w:hyperlink r:id="rId16" w:anchor="/app/content/3106/support_and_service_(schools)%252Fhuman_resources%252Femployee_health,_safety_and_wellbeing%252Femployee_health,_safety_and_wellbeing_services" w:history="1">
        <w:r w:rsidR="00797E20" w:rsidRPr="00D240FA">
          <w:rPr>
            <w:rStyle w:val="Hyperlink"/>
          </w:rPr>
          <w:t xml:space="preserve">LifeWorks Health and Wellbeing </w:t>
        </w:r>
        <w:r w:rsidR="00DA53F8" w:rsidRPr="00D240FA">
          <w:rPr>
            <w:rStyle w:val="Hyperlink"/>
          </w:rPr>
          <w:t>O</w:t>
        </w:r>
        <w:r w:rsidR="00797E20" w:rsidRPr="00D240FA">
          <w:rPr>
            <w:rStyle w:val="Hyperlink"/>
          </w:rPr>
          <w:t xml:space="preserve">nline </w:t>
        </w:r>
        <w:r w:rsidR="00DA53F8" w:rsidRPr="00D240FA">
          <w:rPr>
            <w:rStyle w:val="Hyperlink"/>
          </w:rPr>
          <w:t>P</w:t>
        </w:r>
        <w:r w:rsidR="00797E20" w:rsidRPr="00D240FA">
          <w:rPr>
            <w:rStyle w:val="Hyperlink"/>
          </w:rPr>
          <w:t>latform</w:t>
        </w:r>
        <w:r w:rsidR="00DA53F8" w:rsidRPr="00D240FA">
          <w:rPr>
            <w:rStyle w:val="Hyperlink"/>
          </w:rPr>
          <w:t>.</w:t>
        </w:r>
      </w:hyperlink>
    </w:p>
    <w:p w14:paraId="087C1D3A" w14:textId="0A8621E5" w:rsidR="000D2573" w:rsidRPr="00377DC3" w:rsidRDefault="00DA53F8" w:rsidP="00794692">
      <w:pPr>
        <w:pStyle w:val="ListBullet2"/>
        <w:tabs>
          <w:tab w:val="left" w:pos="567"/>
        </w:tabs>
        <w:ind w:left="567" w:hanging="284"/>
      </w:pPr>
      <w:r>
        <w:t>t</w:t>
      </w:r>
      <w:r w:rsidR="001B352D">
        <w:t xml:space="preserve">he Employee </w:t>
      </w:r>
      <w:r>
        <w:t>Health, Safety and Wellbeing Division</w:t>
      </w:r>
      <w:r w:rsidR="001B352D">
        <w:t xml:space="preserve"> is the </w:t>
      </w:r>
      <w:r w:rsidR="00684B00">
        <w:t>appropriate</w:t>
      </w:r>
      <w:r w:rsidR="000D2573" w:rsidRPr="00377DC3">
        <w:t xml:space="preserve"> point of contact for new employees if they want to discuss the </w:t>
      </w:r>
      <w:r w:rsidR="000D2573">
        <w:t>Charter</w:t>
      </w:r>
      <w:r w:rsidR="000D2573" w:rsidRPr="00377DC3">
        <w:t xml:space="preserve"> with </w:t>
      </w:r>
      <w:r w:rsidR="000D2573">
        <w:t>someone on a confidential basis</w:t>
      </w:r>
    </w:p>
    <w:p w14:paraId="1C79FB09" w14:textId="5A8BE007" w:rsidR="000D2573" w:rsidRDefault="000D2573" w:rsidP="00794692">
      <w:pPr>
        <w:pStyle w:val="ListBullet2"/>
        <w:tabs>
          <w:tab w:val="left" w:pos="567"/>
        </w:tabs>
        <w:ind w:left="567" w:hanging="284"/>
      </w:pPr>
      <w:r>
        <w:t>e</w:t>
      </w:r>
      <w:r w:rsidRPr="00377DC3">
        <w:t xml:space="preserve">ncourage your team to come up with interesting and innovative ways to bring the </w:t>
      </w:r>
      <w:r>
        <w:t>Charter</w:t>
      </w:r>
      <w:r w:rsidRPr="00377DC3">
        <w:t xml:space="preserve"> to life</w:t>
      </w:r>
      <w:r>
        <w:t xml:space="preserve"> and promote positive MHW in the workplace (examples being: group MHW case studies focus, walking team meetings, charity related activities to encourage positive MHW and team bonding</w:t>
      </w:r>
      <w:r w:rsidR="001B352D">
        <w:t>)</w:t>
      </w:r>
      <w:r>
        <w:t>.</w:t>
      </w:r>
      <w:r w:rsidRPr="00377DC3">
        <w:t xml:space="preserve"> </w:t>
      </w:r>
    </w:p>
    <w:p w14:paraId="65F23A7B" w14:textId="77777777" w:rsidR="00003C2C" w:rsidRDefault="00003C2C" w:rsidP="00003C2C">
      <w:pPr>
        <w:pStyle w:val="ListBullet2"/>
        <w:numPr>
          <w:ilvl w:val="0"/>
          <w:numId w:val="0"/>
        </w:numPr>
        <w:tabs>
          <w:tab w:val="left" w:pos="567"/>
        </w:tabs>
        <w:ind w:left="567"/>
      </w:pPr>
    </w:p>
    <w:p w14:paraId="0413D231" w14:textId="77777777" w:rsidR="000D2573" w:rsidRPr="000D2573" w:rsidRDefault="000D2573" w:rsidP="000D2573">
      <w:pPr>
        <w:pStyle w:val="Heading2"/>
      </w:pPr>
      <w:bookmarkStart w:id="14" w:name="_Toc476226632"/>
      <w:bookmarkStart w:id="15" w:name="_Toc477853222"/>
      <w:r w:rsidRPr="000D2573">
        <w:t>Taking care of yourself and your colleagues at work</w:t>
      </w:r>
      <w:bookmarkEnd w:id="14"/>
      <w:bookmarkEnd w:id="15"/>
    </w:p>
    <w:p w14:paraId="49DCA707" w14:textId="25D6D6D3" w:rsidR="000D2573" w:rsidRPr="000D2573" w:rsidRDefault="000D2573" w:rsidP="000D2573">
      <w:pPr>
        <w:pStyle w:val="Heading4"/>
      </w:pPr>
      <w:bookmarkStart w:id="16" w:name="_Toc476226633"/>
      <w:r w:rsidRPr="000D2573">
        <w:t>S</w:t>
      </w:r>
      <w:bookmarkEnd w:id="16"/>
      <w:r>
        <w:t>TRESS</w:t>
      </w:r>
    </w:p>
    <w:p w14:paraId="3815CF2F" w14:textId="77777777"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Stress is a normal response and can be beneficial in short bursts (known as eustress). Stress initially can help us to stay alert and perform optimally. However, prolonged or excessive distress can be damaging to mental health and wellbeing creating a risk of injury, fatigue and burnout. </w:t>
      </w:r>
    </w:p>
    <w:p w14:paraId="37BA149E" w14:textId="3F5BFD93" w:rsidR="000D257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It is important to recognise the signs of stress/negative MHW so that appropriate actions can be taken to respond to, and alleviate stress before it has a negative impact on your MHW. </w:t>
      </w:r>
    </w:p>
    <w:p w14:paraId="471BC05A" w14:textId="77777777" w:rsidR="00003C2C" w:rsidRPr="005E3093" w:rsidRDefault="00003C2C" w:rsidP="000D2573">
      <w:pPr>
        <w:pStyle w:val="DHHSbody"/>
        <w:rPr>
          <w:rFonts w:asciiTheme="minorHAnsi" w:eastAsiaTheme="minorHAnsi" w:hAnsiTheme="minorHAnsi" w:cstheme="minorBidi"/>
          <w:color w:val="44546A" w:themeColor="text2"/>
          <w:lang w:val="en-US"/>
        </w:rPr>
      </w:pPr>
    </w:p>
    <w:p w14:paraId="78B5C35E" w14:textId="77777777" w:rsidR="000D2573" w:rsidRPr="00FD4CD2" w:rsidRDefault="000D2573" w:rsidP="000D2573">
      <w:pPr>
        <w:pStyle w:val="Heading4"/>
        <w:rPr>
          <w:b w:val="0"/>
        </w:rPr>
      </w:pPr>
      <w:r w:rsidRPr="00FD4CD2">
        <w:t>Signs and symptoms</w:t>
      </w:r>
      <w:r w:rsidRPr="00FD4CD2">
        <w:rPr>
          <w:b w:val="0"/>
        </w:rPr>
        <w:t xml:space="preserve"> of excessive workplace stress</w:t>
      </w:r>
      <w:r>
        <w:rPr>
          <w:b w:val="0"/>
        </w:rPr>
        <w:t>/MHW distress</w:t>
      </w:r>
      <w:r w:rsidRPr="00FD4CD2">
        <w:rPr>
          <w:b w:val="0"/>
        </w:rPr>
        <w:t xml:space="preserve"> can include</w:t>
      </w:r>
      <w:r>
        <w:rPr>
          <w:b w:val="0"/>
        </w:rPr>
        <w:t xml:space="preserve"> but are limited to</w:t>
      </w:r>
      <w:r w:rsidRPr="00FD4CD2">
        <w:rPr>
          <w:b w:val="0"/>
        </w:rPr>
        <w:t>:</w:t>
      </w:r>
    </w:p>
    <w:tbl>
      <w:tblPr>
        <w:tblStyle w:val="TableGrid"/>
        <w:tblW w:w="1009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showing examples of signs and symptoms of excessive workplace stress"/>
        <w:tblDescription w:val="Table showing examples of signs and symptoms of excessive workplace stress"/>
      </w:tblPr>
      <w:tblGrid>
        <w:gridCol w:w="5028"/>
        <w:gridCol w:w="5068"/>
      </w:tblGrid>
      <w:tr w:rsidR="000D2573" w14:paraId="000D4EE2" w14:textId="77777777" w:rsidTr="000D2573">
        <w:tc>
          <w:tcPr>
            <w:tcW w:w="5028" w:type="dxa"/>
          </w:tcPr>
          <w:p w14:paraId="7014E269"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bookmarkStart w:id="17" w:name="_GoBack"/>
            <w:r w:rsidRPr="005E3093">
              <w:rPr>
                <w:rFonts w:asciiTheme="minorHAnsi" w:eastAsiaTheme="minorHAnsi" w:hAnsiTheme="minorHAnsi" w:cstheme="minorBidi"/>
                <w:color w:val="44546A" w:themeColor="text2"/>
                <w:lang w:val="en-US" w:eastAsia="en-US"/>
              </w:rPr>
              <w:t>feeling anxious, irritable, or depressed</w:t>
            </w:r>
          </w:p>
          <w:p w14:paraId="6C3EBA52"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apathy, loss of interest in work</w:t>
            </w:r>
          </w:p>
          <w:p w14:paraId="3D7ED672"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problems sleeping</w:t>
            </w:r>
          </w:p>
          <w:p w14:paraId="45F5BA97"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fatigue</w:t>
            </w:r>
          </w:p>
          <w:p w14:paraId="7F041143"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absenteeism</w:t>
            </w:r>
          </w:p>
          <w:p w14:paraId="5A173272"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loss of confidence</w:t>
            </w:r>
          </w:p>
          <w:p w14:paraId="46F72A09"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depression</w:t>
            </w:r>
          </w:p>
          <w:p w14:paraId="13148752"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aggression/violent challenging behaviours</w:t>
            </w:r>
          </w:p>
          <w:p w14:paraId="1598056C"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frustration</w:t>
            </w:r>
          </w:p>
          <w:p w14:paraId="0414AF4B"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you against the world mentality</w:t>
            </w:r>
          </w:p>
          <w:p w14:paraId="2895866C"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persistent negativity/everything is too hard</w:t>
            </w:r>
          </w:p>
        </w:tc>
        <w:tc>
          <w:tcPr>
            <w:tcW w:w="5068" w:type="dxa"/>
          </w:tcPr>
          <w:p w14:paraId="0B529D3A"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trouble concentrating</w:t>
            </w:r>
          </w:p>
          <w:p w14:paraId="7B667230"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muscle tension or headaches</w:t>
            </w:r>
          </w:p>
          <w:p w14:paraId="24379D84"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stomach problems and nausea</w:t>
            </w:r>
          </w:p>
          <w:p w14:paraId="04A29105"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social withdrawal/disengagement</w:t>
            </w:r>
          </w:p>
          <w:p w14:paraId="6BA22BE7"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presentism</w:t>
            </w:r>
          </w:p>
          <w:p w14:paraId="477B3ADF"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tardiness/poor time management</w:t>
            </w:r>
          </w:p>
          <w:p w14:paraId="5D8E63E3"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mood swings</w:t>
            </w:r>
          </w:p>
          <w:p w14:paraId="3A9AE45D"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increased intake or reliance on artificial stimulants</w:t>
            </w:r>
          </w:p>
          <w:p w14:paraId="6337A903"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lack of direction/purpose</w:t>
            </w:r>
          </w:p>
          <w:p w14:paraId="695BC123" w14:textId="77777777" w:rsidR="000D2573" w:rsidRPr="005E3093" w:rsidRDefault="000D2573" w:rsidP="000D2573">
            <w:pPr>
              <w:pStyle w:val="DHHSbody"/>
              <w:numPr>
                <w:ilvl w:val="0"/>
                <w:numId w:val="22"/>
              </w:numPr>
              <w:spacing w:after="40"/>
              <w:rPr>
                <w:rFonts w:asciiTheme="minorHAnsi" w:eastAsiaTheme="minorHAnsi" w:hAnsiTheme="minorHAnsi" w:cstheme="minorBidi"/>
                <w:color w:val="44546A" w:themeColor="text2"/>
                <w:lang w:val="en-US" w:eastAsia="en-US"/>
              </w:rPr>
            </w:pPr>
            <w:r w:rsidRPr="005E3093">
              <w:rPr>
                <w:rFonts w:asciiTheme="minorHAnsi" w:eastAsiaTheme="minorHAnsi" w:hAnsiTheme="minorHAnsi" w:cstheme="minorBidi"/>
                <w:color w:val="44546A" w:themeColor="text2"/>
                <w:lang w:val="en-US" w:eastAsia="en-US"/>
              </w:rPr>
              <w:t>closed/blinkered approach to decision making</w:t>
            </w:r>
          </w:p>
        </w:tc>
      </w:tr>
    </w:tbl>
    <w:bookmarkEnd w:id="17"/>
    <w:p w14:paraId="1997EE8C" w14:textId="77777777" w:rsidR="000D2573" w:rsidRPr="005E3093" w:rsidRDefault="000D2573" w:rsidP="005E3093">
      <w:pPr>
        <w:pStyle w:val="DHHSbody"/>
        <w:spacing w:before="120"/>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If you experience an increase in stress/poor MHW distress at work, there are a number of things you can do to get yourself back on track:</w:t>
      </w:r>
    </w:p>
    <w:p w14:paraId="74A73E69" w14:textId="22DF8808" w:rsidR="000D2573" w:rsidRDefault="000D2573" w:rsidP="00794692">
      <w:pPr>
        <w:pStyle w:val="ListBullet2"/>
        <w:tabs>
          <w:tab w:val="left" w:pos="567"/>
        </w:tabs>
        <w:ind w:left="567" w:hanging="284"/>
      </w:pPr>
      <w:proofErr w:type="gramStart"/>
      <w:r>
        <w:t>find</w:t>
      </w:r>
      <w:proofErr w:type="gramEnd"/>
      <w:r>
        <w:t xml:space="preserve"> someone to talk to – either a close friend, a trusted colleague, family member or contact </w:t>
      </w:r>
      <w:r w:rsidR="00003C2C">
        <w:t>the Department</w:t>
      </w:r>
      <w:r>
        <w:t xml:space="preserve">’s Employee Assistance Program (EAP) 24/7 service provider, </w:t>
      </w:r>
      <w:r w:rsidR="00797E20" w:rsidRPr="00D240FA">
        <w:t>LifeWorks</w:t>
      </w:r>
      <w:r w:rsidR="00DA53F8">
        <w:t xml:space="preserve"> by Morneau Shepell,</w:t>
      </w:r>
      <w:r>
        <w:t xml:space="preserve"> on</w:t>
      </w:r>
      <w:r w:rsidR="00DA53F8">
        <w:t xml:space="preserve"> </w:t>
      </w:r>
      <w:r w:rsidRPr="00D240FA">
        <w:rPr>
          <w:b/>
        </w:rPr>
        <w:t>1300 361 008</w:t>
      </w:r>
      <w:r>
        <w:t xml:space="preserve">. Also consider utilising the </w:t>
      </w:r>
      <w:r w:rsidR="00DA53F8" w:rsidRPr="00D240FA">
        <w:t>LifeWorks Health and Wellbeing Online Platform</w:t>
      </w:r>
      <w:r w:rsidRPr="00D240FA">
        <w:t xml:space="preserve"> </w:t>
      </w:r>
      <w:r>
        <w:t>for self-help guidance</w:t>
      </w:r>
      <w:r w:rsidR="00DA53F8">
        <w:t xml:space="preserve">. Login details are available on the </w:t>
      </w:r>
      <w:hyperlink r:id="rId17" w:anchor="/app/content/3106/support_and_service_(schools)%252Fhuman_resources%252Femployee_health,_safety_and_wellbeing%252Femployee_health,_safety_and_wellbeing_services" w:history="1">
        <w:r w:rsidR="00DA53F8" w:rsidRPr="00DA53F8">
          <w:rPr>
            <w:rStyle w:val="Hyperlink"/>
          </w:rPr>
          <w:t>Employee Health, Safety and Wellbein</w:t>
        </w:r>
        <w:r w:rsidR="00DA53F8" w:rsidRPr="00D240FA">
          <w:rPr>
            <w:rStyle w:val="Hyperlink"/>
          </w:rPr>
          <w:t>g Services</w:t>
        </w:r>
      </w:hyperlink>
      <w:r w:rsidR="00DA53F8">
        <w:t xml:space="preserve"> intranet page. </w:t>
      </w:r>
    </w:p>
    <w:p w14:paraId="4F122990" w14:textId="3723DCF5" w:rsidR="000D2573" w:rsidRDefault="000D2573" w:rsidP="00794692">
      <w:pPr>
        <w:pStyle w:val="ListBullet2"/>
        <w:tabs>
          <w:tab w:val="left" w:pos="567"/>
        </w:tabs>
        <w:ind w:left="567" w:hanging="284"/>
      </w:pPr>
      <w:r>
        <w:t xml:space="preserve">have a conversation with your manager to assist in identifying </w:t>
      </w:r>
      <w:r w:rsidR="00684B00">
        <w:t>any contributing factors towards stress</w:t>
      </w:r>
      <w:r>
        <w:t>/MHW distress such as lack of direction, unclear parameters, job design, work schedule etc. and develop a plan to manage and address the concern/s in a mutually agreed timeframe</w:t>
      </w:r>
    </w:p>
    <w:p w14:paraId="06D164D7" w14:textId="77777777" w:rsidR="000D2573" w:rsidRDefault="000D2573" w:rsidP="00794692">
      <w:pPr>
        <w:pStyle w:val="ListBullet2"/>
        <w:tabs>
          <w:tab w:val="left" w:pos="567"/>
        </w:tabs>
        <w:ind w:left="567" w:hanging="284"/>
      </w:pPr>
      <w:proofErr w:type="gramStart"/>
      <w:r>
        <w:t>prioritise</w:t>
      </w:r>
      <w:proofErr w:type="gramEnd"/>
      <w:r>
        <w:t xml:space="preserve"> and organise – create a balanced schedule, plan regular breaks, prioritise tasks, break projects into small steps and be willing to compromise, and delegate if possible.</w:t>
      </w:r>
    </w:p>
    <w:p w14:paraId="2A163252" w14:textId="77777777" w:rsidR="000D2573" w:rsidRDefault="000D2573" w:rsidP="00794692">
      <w:pPr>
        <w:pStyle w:val="ListBullet2"/>
        <w:tabs>
          <w:tab w:val="left" w:pos="567"/>
        </w:tabs>
        <w:ind w:left="567" w:hanging="284"/>
      </w:pPr>
      <w:r>
        <w:t>employ self-care activities for example: mindfulness, resilience, emotional intelligence, take lunch breaks, go for a walk, and set aside time for activities you enjoy</w:t>
      </w:r>
    </w:p>
    <w:p w14:paraId="30953FB1" w14:textId="77777777" w:rsidR="000D2573" w:rsidRDefault="000D2573" w:rsidP="00794692">
      <w:pPr>
        <w:pStyle w:val="ListBullet2"/>
        <w:tabs>
          <w:tab w:val="left" w:pos="567"/>
        </w:tabs>
        <w:ind w:left="567" w:hanging="284"/>
      </w:pPr>
      <w:r>
        <w:t>learn to separate work and personal/home life issues</w:t>
      </w:r>
    </w:p>
    <w:p w14:paraId="68B94336" w14:textId="77777777" w:rsidR="000D2573" w:rsidRDefault="000D2573" w:rsidP="00794692">
      <w:pPr>
        <w:pStyle w:val="ListBullet2"/>
        <w:tabs>
          <w:tab w:val="left" w:pos="567"/>
        </w:tabs>
        <w:ind w:left="567" w:hanging="284"/>
      </w:pPr>
      <w:proofErr w:type="gramStart"/>
      <w:r>
        <w:t>log</w:t>
      </w:r>
      <w:proofErr w:type="gramEnd"/>
      <w:r>
        <w:t xml:space="preserve"> an injury/illness/incident report on eduSafe to formalise the issue and initiate an incident investigation process to seek rectification and to help prevent a re-occurrence of the issue.</w:t>
      </w:r>
    </w:p>
    <w:p w14:paraId="26546D9F" w14:textId="74726947" w:rsidR="000D2573" w:rsidRPr="005E3093" w:rsidRDefault="000D2573" w:rsidP="000D2573">
      <w:pPr>
        <w:pStyle w:val="DHHSbody"/>
        <w:spacing w:before="120" w:after="40"/>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If you notice any change in your thoughts, feelings or </w:t>
      </w:r>
      <w:r w:rsidR="00D240FA" w:rsidRPr="005E3093">
        <w:rPr>
          <w:rFonts w:asciiTheme="minorHAnsi" w:eastAsiaTheme="minorHAnsi" w:hAnsiTheme="minorHAnsi" w:cstheme="minorBidi"/>
          <w:color w:val="44546A" w:themeColor="text2"/>
          <w:lang w:val="en-US"/>
        </w:rPr>
        <w:t>behavior</w:t>
      </w:r>
      <w:r w:rsidRPr="005E3093">
        <w:rPr>
          <w:rFonts w:asciiTheme="minorHAnsi" w:eastAsiaTheme="minorHAnsi" w:hAnsiTheme="minorHAnsi" w:cstheme="minorBidi"/>
          <w:color w:val="44546A" w:themeColor="text2"/>
          <w:lang w:val="en-US"/>
        </w:rPr>
        <w:t>, or your experience of stress/MHW distress is persistent, see your GP or health professional to ensure you receive early and appropriate intervention to safeguard your MHW.</w:t>
      </w:r>
    </w:p>
    <w:p w14:paraId="3C495DF2" w14:textId="77777777" w:rsidR="000D2573" w:rsidRDefault="000D2573" w:rsidP="000D2573">
      <w:pPr>
        <w:pStyle w:val="Heading4"/>
      </w:pPr>
      <w:bookmarkStart w:id="18" w:name="_Toc476226634"/>
    </w:p>
    <w:p w14:paraId="6074F325" w14:textId="0DF7EA93" w:rsidR="000D2573" w:rsidRPr="000D2573" w:rsidRDefault="00794692" w:rsidP="000D2573">
      <w:pPr>
        <w:pStyle w:val="Heading4"/>
      </w:pPr>
      <w:r w:rsidRPr="000D2573">
        <w:t>LOOKING OUT FOR YOUR COLLEAGUES</w:t>
      </w:r>
      <w:bookmarkEnd w:id="18"/>
      <w:r w:rsidRPr="000D2573">
        <w:t xml:space="preserve"> </w:t>
      </w:r>
    </w:p>
    <w:p w14:paraId="0FFA7231" w14:textId="77777777" w:rsidR="000D2573" w:rsidRPr="005E3093" w:rsidRDefault="000D2573" w:rsidP="005E3093">
      <w:pPr>
        <w:pStyle w:val="DHHSbody"/>
        <w:spacing w:before="120" w:after="40"/>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If you’re concerned that someone you work with doesn’t seem themselves, having an open conversation and checking they’re okay can make a real difference to you both. You may notice your colleague is:</w:t>
      </w:r>
    </w:p>
    <w:p w14:paraId="15FB8889" w14:textId="77777777" w:rsidR="000D2573" w:rsidRDefault="000D2573" w:rsidP="00794692">
      <w:pPr>
        <w:pStyle w:val="ListBullet2"/>
        <w:tabs>
          <w:tab w:val="left" w:pos="567"/>
        </w:tabs>
        <w:ind w:left="567" w:hanging="284"/>
      </w:pPr>
      <w:r>
        <w:t>turning up late to work, often off sick or taking unexplained days off</w:t>
      </w:r>
    </w:p>
    <w:p w14:paraId="6DB1B53A" w14:textId="77777777" w:rsidR="000D2573" w:rsidRDefault="000D2573" w:rsidP="00794692">
      <w:pPr>
        <w:pStyle w:val="ListBullet2"/>
        <w:tabs>
          <w:tab w:val="left" w:pos="567"/>
        </w:tabs>
        <w:ind w:left="567" w:hanging="284"/>
      </w:pPr>
      <w:r>
        <w:t>finding it hard to make decisions, manage multiple tasks or meet deadlines</w:t>
      </w:r>
    </w:p>
    <w:p w14:paraId="55825A85" w14:textId="77777777" w:rsidR="000D2573" w:rsidRDefault="000D2573" w:rsidP="00794692">
      <w:pPr>
        <w:pStyle w:val="ListBullet2"/>
        <w:tabs>
          <w:tab w:val="left" w:pos="567"/>
        </w:tabs>
        <w:ind w:left="567" w:hanging="284"/>
      </w:pPr>
      <w:r>
        <w:t>losing confidence and having negative thought patterns</w:t>
      </w:r>
    </w:p>
    <w:p w14:paraId="04D78240" w14:textId="77777777" w:rsidR="000D2573" w:rsidRDefault="000D2573" w:rsidP="00794692">
      <w:pPr>
        <w:pStyle w:val="ListBullet2"/>
        <w:tabs>
          <w:tab w:val="left" w:pos="567"/>
        </w:tabs>
        <w:ind w:left="567" w:hanging="284"/>
      </w:pPr>
      <w:r>
        <w:t>struggling to concentrate</w:t>
      </w:r>
    </w:p>
    <w:p w14:paraId="5AAC943C" w14:textId="77777777" w:rsidR="000D2573" w:rsidRDefault="000D2573" w:rsidP="00794692">
      <w:pPr>
        <w:pStyle w:val="ListBullet2"/>
        <w:tabs>
          <w:tab w:val="left" w:pos="567"/>
        </w:tabs>
        <w:ind w:left="567" w:hanging="284"/>
      </w:pPr>
      <w:r>
        <w:t>avoiding colleagues – either socially or in a group situation such as meetings</w:t>
      </w:r>
    </w:p>
    <w:p w14:paraId="29BFAA79" w14:textId="2C7D16CE" w:rsidR="000D2573" w:rsidRDefault="000D2573" w:rsidP="00794692">
      <w:pPr>
        <w:pStyle w:val="ListBullet2"/>
        <w:tabs>
          <w:tab w:val="left" w:pos="567"/>
        </w:tabs>
        <w:ind w:left="567" w:hanging="284"/>
      </w:pPr>
      <w:proofErr w:type="gramStart"/>
      <w:r>
        <w:t>acting</w:t>
      </w:r>
      <w:proofErr w:type="gramEnd"/>
      <w:r>
        <w:t xml:space="preserve"> differently including a change in their mood and/or physical presentation.</w:t>
      </w:r>
    </w:p>
    <w:p w14:paraId="55E0B207" w14:textId="77777777" w:rsidR="00003C2C" w:rsidRPr="00C01FBD" w:rsidRDefault="00003C2C" w:rsidP="00003C2C">
      <w:pPr>
        <w:pStyle w:val="ListBullet2"/>
        <w:numPr>
          <w:ilvl w:val="0"/>
          <w:numId w:val="0"/>
        </w:numPr>
        <w:tabs>
          <w:tab w:val="left" w:pos="567"/>
        </w:tabs>
        <w:ind w:left="567"/>
      </w:pPr>
    </w:p>
    <w:p w14:paraId="58E5C46E" w14:textId="3B4A2468" w:rsidR="000D2573" w:rsidRPr="000D2573" w:rsidRDefault="00794692" w:rsidP="000D2573">
      <w:pPr>
        <w:pStyle w:val="Heading4"/>
      </w:pPr>
      <w:bookmarkStart w:id="19" w:name="_Toc476226635"/>
      <w:r w:rsidRPr="000D2573">
        <w:t>SELF-CARE</w:t>
      </w:r>
      <w:bookmarkEnd w:id="19"/>
      <w:r w:rsidRPr="000D2573">
        <w:t xml:space="preserve"> </w:t>
      </w:r>
    </w:p>
    <w:p w14:paraId="01AD87A2" w14:textId="77777777" w:rsidR="000D2573" w:rsidRPr="005E3093" w:rsidRDefault="000D2573" w:rsidP="000D257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Caring for oneself is just as important as caring for others and doing so can put you in the best position to ensure your positive MHW is maintained. Some suggested self-care activities include:</w:t>
      </w:r>
    </w:p>
    <w:p w14:paraId="7938F2E4" w14:textId="77777777" w:rsidR="000D2573" w:rsidRDefault="000D2573" w:rsidP="00794692">
      <w:pPr>
        <w:pStyle w:val="ListBullet2"/>
        <w:tabs>
          <w:tab w:val="left" w:pos="567"/>
        </w:tabs>
        <w:ind w:left="567" w:hanging="284"/>
      </w:pPr>
      <w:proofErr w:type="gramStart"/>
      <w:r>
        <w:t>take</w:t>
      </w:r>
      <w:proofErr w:type="gramEnd"/>
      <w:r>
        <w:t xml:space="preserve"> your annual leave each year and make sure you have a proper break from work.</w:t>
      </w:r>
    </w:p>
    <w:p w14:paraId="18CB1902" w14:textId="77777777" w:rsidR="000D2573" w:rsidRDefault="000D2573" w:rsidP="00794692">
      <w:pPr>
        <w:pStyle w:val="ListBullet2"/>
        <w:tabs>
          <w:tab w:val="left" w:pos="567"/>
        </w:tabs>
        <w:ind w:left="567" w:hanging="284"/>
      </w:pPr>
      <w:proofErr w:type="gramStart"/>
      <w:r>
        <w:t>set</w:t>
      </w:r>
      <w:proofErr w:type="gramEnd"/>
      <w:r>
        <w:t xml:space="preserve"> aside time for things you enjoy, such as exercising, meditation, reading, walking and patting your dog, gardening or listening to music etc.</w:t>
      </w:r>
    </w:p>
    <w:p w14:paraId="428B15CD" w14:textId="77777777" w:rsidR="000D2573" w:rsidRDefault="000D2573" w:rsidP="00794692">
      <w:pPr>
        <w:pStyle w:val="ListBullet2"/>
        <w:tabs>
          <w:tab w:val="left" w:pos="567"/>
        </w:tabs>
        <w:ind w:left="567" w:hanging="284"/>
      </w:pPr>
      <w:r>
        <w:t xml:space="preserve">get out of the workplace for lunch – even if it’s just for a 10-minute walk </w:t>
      </w:r>
    </w:p>
    <w:p w14:paraId="6CD03C87" w14:textId="77777777" w:rsidR="000D2573" w:rsidRDefault="000D2573" w:rsidP="00794692">
      <w:pPr>
        <w:pStyle w:val="ListBullet2"/>
        <w:tabs>
          <w:tab w:val="left" w:pos="567"/>
        </w:tabs>
        <w:ind w:left="567" w:hanging="284"/>
      </w:pPr>
      <w:r>
        <w:t>resist the temptation to have your lunch at your workstation</w:t>
      </w:r>
    </w:p>
    <w:p w14:paraId="0BAEE5D5" w14:textId="77777777" w:rsidR="000D2573" w:rsidRDefault="000D2573" w:rsidP="00794692">
      <w:pPr>
        <w:pStyle w:val="ListBullet2"/>
        <w:tabs>
          <w:tab w:val="left" w:pos="567"/>
        </w:tabs>
        <w:ind w:left="567" w:hanging="284"/>
      </w:pPr>
      <w:r>
        <w:t>initiate positive, healthy and rewarding relationships</w:t>
      </w:r>
    </w:p>
    <w:p w14:paraId="4FB3C750" w14:textId="77777777" w:rsidR="000D2573" w:rsidRDefault="000D2573" w:rsidP="00794692">
      <w:pPr>
        <w:pStyle w:val="ListBullet2"/>
        <w:tabs>
          <w:tab w:val="left" w:pos="567"/>
        </w:tabs>
        <w:ind w:left="567" w:hanging="284"/>
      </w:pPr>
      <w:r>
        <w:t>think of positive activities that make you smile</w:t>
      </w:r>
    </w:p>
    <w:p w14:paraId="3EF224F9" w14:textId="77777777" w:rsidR="000D2573" w:rsidRDefault="000D2573" w:rsidP="00794692">
      <w:pPr>
        <w:pStyle w:val="ListBullet2"/>
        <w:tabs>
          <w:tab w:val="left" w:pos="567"/>
        </w:tabs>
        <w:ind w:left="567" w:hanging="284"/>
      </w:pPr>
      <w:r>
        <w:t>learn not to fixate on life’s hiccups and hurdles but have a resilient approach and focus on behaviours and outcomes that you can help control to assist with positive personal outcomes</w:t>
      </w:r>
    </w:p>
    <w:p w14:paraId="6A814749" w14:textId="77777777" w:rsidR="000D2573" w:rsidRDefault="000D2573" w:rsidP="00794692">
      <w:pPr>
        <w:pStyle w:val="ListBullet2"/>
        <w:tabs>
          <w:tab w:val="left" w:pos="567"/>
        </w:tabs>
        <w:ind w:left="567" w:hanging="284"/>
      </w:pPr>
      <w:r>
        <w:t>never forget the added value and positive impact you bring to your workplace, family and friends</w:t>
      </w:r>
    </w:p>
    <w:p w14:paraId="7C98ABC2" w14:textId="77777777" w:rsidR="000D2573" w:rsidRDefault="000D2573" w:rsidP="00794692">
      <w:pPr>
        <w:pStyle w:val="ListBullet2"/>
        <w:tabs>
          <w:tab w:val="left" w:pos="567"/>
        </w:tabs>
        <w:ind w:left="567" w:hanging="284"/>
      </w:pPr>
      <w:r>
        <w:t xml:space="preserve">get moving, regular exercise is a powerful stress reliever, related endorphins are beneficial to one’s MHW </w:t>
      </w:r>
    </w:p>
    <w:p w14:paraId="0802356E" w14:textId="77777777" w:rsidR="000D2573" w:rsidRDefault="000D2573" w:rsidP="00794692">
      <w:pPr>
        <w:pStyle w:val="ListBullet2"/>
        <w:tabs>
          <w:tab w:val="left" w:pos="567"/>
        </w:tabs>
        <w:ind w:left="567" w:hanging="284"/>
      </w:pPr>
      <w:r>
        <w:t>eat well/healthily and get enough sleep</w:t>
      </w:r>
    </w:p>
    <w:p w14:paraId="57C86B7E" w14:textId="763B5AF3" w:rsidR="000D2573" w:rsidRDefault="000D2573" w:rsidP="00794692">
      <w:pPr>
        <w:pStyle w:val="ListBullet2"/>
        <w:tabs>
          <w:tab w:val="left" w:pos="567"/>
        </w:tabs>
        <w:ind w:left="567" w:hanging="284"/>
      </w:pPr>
      <w:proofErr w:type="gramStart"/>
      <w:r>
        <w:t>balance</w:t>
      </w:r>
      <w:proofErr w:type="gramEnd"/>
      <w:r>
        <w:t xml:space="preserve"> your schedule and prioritise tasks.</w:t>
      </w:r>
    </w:p>
    <w:p w14:paraId="5E1D1058" w14:textId="77777777" w:rsidR="00003C2C" w:rsidRDefault="00003C2C" w:rsidP="00003C2C">
      <w:pPr>
        <w:pStyle w:val="ListBullet2"/>
        <w:numPr>
          <w:ilvl w:val="0"/>
          <w:numId w:val="0"/>
        </w:numPr>
        <w:tabs>
          <w:tab w:val="left" w:pos="567"/>
        </w:tabs>
        <w:ind w:left="567"/>
      </w:pPr>
    </w:p>
    <w:p w14:paraId="4FABBD32" w14:textId="0B9B9D17" w:rsidR="000D2573" w:rsidRPr="000D2573" w:rsidRDefault="000D2573" w:rsidP="000D2573">
      <w:pPr>
        <w:pStyle w:val="Heading2"/>
      </w:pPr>
      <w:bookmarkStart w:id="20" w:name="_Toc476226636"/>
      <w:bookmarkStart w:id="21" w:name="_Toc477853223"/>
      <w:r w:rsidRPr="000D2573">
        <w:t>Where to go for additional support</w:t>
      </w:r>
      <w:bookmarkEnd w:id="20"/>
      <w:bookmarkEnd w:id="21"/>
    </w:p>
    <w:p w14:paraId="41E1DD9F" w14:textId="51A1CDBA" w:rsidR="005E3093" w:rsidRPr="005E3093" w:rsidRDefault="005E3093" w:rsidP="005E309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For guidance and support on how to integrate the MHW Charter into your work area and for further advice in relation to staff MHW refer to the MHW Charter web page or contact the Employ</w:t>
      </w:r>
      <w:r w:rsidR="00003C2C">
        <w:rPr>
          <w:rFonts w:asciiTheme="minorHAnsi" w:eastAsiaTheme="minorHAnsi" w:hAnsiTheme="minorHAnsi" w:cstheme="minorBidi"/>
          <w:color w:val="44546A" w:themeColor="text2"/>
          <w:lang w:val="en-US"/>
        </w:rPr>
        <w:t xml:space="preserve">ee Safety Wellbeing Unit (ESWU) at employeehealth@edumail.vic.gov.au. </w:t>
      </w:r>
    </w:p>
    <w:p w14:paraId="10FFE60B" w14:textId="4604DF5A" w:rsidR="005E3093" w:rsidRPr="005E3093" w:rsidRDefault="005E3093" w:rsidP="005E309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A MHW Stakeholder Committee and a MHW Calendar are in the process of being introduced </w:t>
      </w:r>
      <w:r w:rsidR="00003C2C">
        <w:rPr>
          <w:rFonts w:asciiTheme="minorHAnsi" w:eastAsiaTheme="minorHAnsi" w:hAnsiTheme="minorHAnsi" w:cstheme="minorBidi"/>
          <w:color w:val="44546A" w:themeColor="text2"/>
          <w:lang w:val="en-US"/>
        </w:rPr>
        <w:t xml:space="preserve">in the Department </w:t>
      </w:r>
      <w:r w:rsidRPr="005E3093">
        <w:rPr>
          <w:rFonts w:asciiTheme="minorHAnsi" w:eastAsiaTheme="minorHAnsi" w:hAnsiTheme="minorHAnsi" w:cstheme="minorBidi"/>
          <w:color w:val="44546A" w:themeColor="text2"/>
          <w:lang w:val="en-US"/>
        </w:rPr>
        <w:t>to help ensure the effectiveness and sustainability of the Charter and to assist with obtaining optimal MHW outcomes for the department and its employees.</w:t>
      </w:r>
    </w:p>
    <w:p w14:paraId="44290033" w14:textId="2EB98073" w:rsidR="005E3093" w:rsidRPr="005E3093" w:rsidRDefault="005E3093" w:rsidP="005E3093">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For a free, confidential support service, including critical incident debriefing, the department’s Employee Assistance Program (EAP) can be accessed 24/7 by contacting </w:t>
      </w:r>
      <w:r w:rsidR="00797E20" w:rsidRPr="00D240FA">
        <w:rPr>
          <w:rFonts w:asciiTheme="minorHAnsi" w:eastAsiaTheme="minorHAnsi" w:hAnsiTheme="minorHAnsi" w:cstheme="minorBidi"/>
          <w:color w:val="44546A" w:themeColor="text2"/>
          <w:lang w:val="en-US"/>
        </w:rPr>
        <w:t>LifeWorks</w:t>
      </w:r>
      <w:r w:rsidR="00DA53F8">
        <w:rPr>
          <w:rFonts w:asciiTheme="minorHAnsi" w:eastAsiaTheme="minorHAnsi" w:hAnsiTheme="minorHAnsi" w:cstheme="minorBidi"/>
          <w:color w:val="44546A" w:themeColor="text2"/>
          <w:lang w:val="en-US"/>
        </w:rPr>
        <w:t xml:space="preserve"> by Morneau Shepell</w:t>
      </w:r>
      <w:r w:rsidRPr="005E3093">
        <w:rPr>
          <w:rFonts w:asciiTheme="minorHAnsi" w:eastAsiaTheme="minorHAnsi" w:hAnsiTheme="minorHAnsi" w:cstheme="minorBidi"/>
          <w:color w:val="44546A" w:themeColor="text2"/>
          <w:lang w:val="en-US"/>
        </w:rPr>
        <w:t xml:space="preserve"> on </w:t>
      </w:r>
      <w:r w:rsidRPr="00D240FA">
        <w:rPr>
          <w:rFonts w:asciiTheme="minorHAnsi" w:eastAsiaTheme="minorHAnsi" w:hAnsiTheme="minorHAnsi" w:cstheme="minorBidi"/>
          <w:b/>
          <w:color w:val="44546A" w:themeColor="text2"/>
          <w:lang w:val="en-US"/>
        </w:rPr>
        <w:t>1300 361 008</w:t>
      </w:r>
      <w:r w:rsidRPr="005E3093">
        <w:rPr>
          <w:rFonts w:asciiTheme="minorHAnsi" w:eastAsiaTheme="minorHAnsi" w:hAnsiTheme="minorHAnsi" w:cstheme="minorBidi"/>
          <w:color w:val="44546A" w:themeColor="text2"/>
          <w:lang w:val="en-US"/>
        </w:rPr>
        <w:t>.</w:t>
      </w:r>
    </w:p>
    <w:p w14:paraId="3595553A" w14:textId="0726E435" w:rsidR="005E3093" w:rsidRDefault="005E3093" w:rsidP="00003C2C">
      <w:pPr>
        <w:pStyle w:val="DHHSbody"/>
        <w:rPr>
          <w:rFonts w:asciiTheme="minorHAnsi" w:eastAsiaTheme="minorHAnsi" w:hAnsiTheme="minorHAnsi" w:cstheme="minorBidi"/>
          <w:color w:val="44546A" w:themeColor="text2"/>
          <w:lang w:val="en-US"/>
        </w:rPr>
      </w:pPr>
      <w:r w:rsidRPr="005E3093">
        <w:rPr>
          <w:rFonts w:asciiTheme="minorHAnsi" w:eastAsiaTheme="minorHAnsi" w:hAnsiTheme="minorHAnsi" w:cstheme="minorBidi"/>
          <w:color w:val="44546A" w:themeColor="text2"/>
          <w:lang w:val="en-US"/>
        </w:rPr>
        <w:t xml:space="preserve">Please also refer to the attached information sheet outlining external MHW related resources. </w:t>
      </w:r>
      <w:bookmarkStart w:id="22" w:name="_Toc476226637"/>
    </w:p>
    <w:p w14:paraId="7A0D8145" w14:textId="77777777" w:rsidR="00003C2C" w:rsidRPr="00003C2C" w:rsidRDefault="00003C2C" w:rsidP="00003C2C">
      <w:pPr>
        <w:pStyle w:val="DHHSbody"/>
        <w:rPr>
          <w:rFonts w:asciiTheme="minorHAnsi" w:eastAsiaTheme="minorHAnsi" w:hAnsiTheme="minorHAnsi" w:cstheme="minorBidi"/>
          <w:color w:val="44546A" w:themeColor="text2"/>
          <w:lang w:val="en-US"/>
        </w:rPr>
      </w:pPr>
    </w:p>
    <w:p w14:paraId="14C2A896" w14:textId="23E8B685" w:rsidR="005E3093" w:rsidRPr="005E3093" w:rsidRDefault="005E3093" w:rsidP="005E3093">
      <w:pPr>
        <w:pStyle w:val="Heading3"/>
      </w:pPr>
      <w:bookmarkStart w:id="23" w:name="_Toc477853224"/>
      <w:r w:rsidRPr="005E3093">
        <w:t xml:space="preserve">Additional MHW support resources outside of </w:t>
      </w:r>
      <w:r w:rsidR="00003C2C">
        <w:t>the Department</w:t>
      </w:r>
      <w:r w:rsidRPr="005E3093">
        <w:t>:</w:t>
      </w:r>
      <w:bookmarkEnd w:id="22"/>
      <w:bookmarkEnd w:id="23"/>
    </w:p>
    <w:p w14:paraId="1F0176BF" w14:textId="77777777" w:rsidR="000D2573" w:rsidRDefault="000D2573" w:rsidP="000D2573">
      <w:pPr>
        <w:pStyle w:val="DHHSbody"/>
      </w:pPr>
    </w:p>
    <w:tbl>
      <w:tblPr>
        <w:tblW w:w="5000" w:type="pct"/>
        <w:tblLook w:val="04A0" w:firstRow="1" w:lastRow="0" w:firstColumn="1" w:lastColumn="0" w:noHBand="0" w:noVBand="1"/>
      </w:tblPr>
      <w:tblGrid>
        <w:gridCol w:w="2472"/>
        <w:gridCol w:w="2964"/>
        <w:gridCol w:w="3574"/>
      </w:tblGrid>
      <w:tr w:rsidR="005E3093" w:rsidRPr="005E3093" w14:paraId="34EC9699" w14:textId="77777777" w:rsidTr="005415A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6ECEB2"/>
            <w:vAlign w:val="center"/>
            <w:hideMark/>
          </w:tcPr>
          <w:p w14:paraId="5CFEC586" w14:textId="7A15178D" w:rsidR="005415AB" w:rsidRPr="00003C2C" w:rsidRDefault="005415AB" w:rsidP="00003C2C">
            <w:pPr>
              <w:pStyle w:val="Heading4"/>
              <w:jc w:val="center"/>
              <w:rPr>
                <w:rFonts w:ascii="Arial" w:eastAsia="Times New Roman" w:hAnsi="Arial" w:cs="Arial"/>
                <w:bCs/>
                <w:color w:val="002060"/>
                <w:lang w:eastAsia="en-AU"/>
              </w:rPr>
            </w:pPr>
            <w:r w:rsidRPr="005E3093">
              <w:t>MHW EXTERNAL SUPPORT RESOURCES</w:t>
            </w:r>
          </w:p>
        </w:tc>
      </w:tr>
      <w:tr w:rsidR="005E3093" w:rsidRPr="005E3093" w14:paraId="70DB1FB9" w14:textId="77777777" w:rsidTr="005415A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735A3B27" w14:textId="77777777" w:rsidR="005E3093" w:rsidRPr="005E3093" w:rsidRDefault="005E3093" w:rsidP="005E3093">
            <w:pPr>
              <w:rPr>
                <w:b/>
                <w:sz w:val="20"/>
                <w:szCs w:val="20"/>
              </w:rPr>
            </w:pPr>
            <w:r w:rsidRPr="005E3093">
              <w:rPr>
                <w:b/>
                <w:sz w:val="20"/>
                <w:szCs w:val="20"/>
              </w:rPr>
              <w:t>Heads up: </w:t>
            </w:r>
          </w:p>
        </w:tc>
        <w:tc>
          <w:tcPr>
            <w:tcW w:w="1983" w:type="pct"/>
            <w:tcBorders>
              <w:top w:val="nil"/>
              <w:left w:val="nil"/>
              <w:bottom w:val="nil"/>
              <w:right w:val="single" w:sz="4" w:space="0" w:color="auto"/>
            </w:tcBorders>
            <w:shd w:val="clear" w:color="auto" w:fill="auto"/>
            <w:vAlign w:val="bottom"/>
            <w:hideMark/>
          </w:tcPr>
          <w:p w14:paraId="679C439F" w14:textId="77777777" w:rsidR="005E3093" w:rsidRPr="005E3093" w:rsidRDefault="00D03886" w:rsidP="005E3093">
            <w:pPr>
              <w:rPr>
                <w:b/>
                <w:sz w:val="20"/>
                <w:szCs w:val="20"/>
              </w:rPr>
            </w:pPr>
            <w:hyperlink r:id="rId18" w:history="1">
              <w:r w:rsidR="005E3093" w:rsidRPr="005E3093">
                <w:rPr>
                  <w:b/>
                  <w:sz w:val="20"/>
                  <w:szCs w:val="20"/>
                </w:rPr>
                <w:t>www.headsup.org.au</w:t>
              </w:r>
            </w:hyperlink>
            <w:r w:rsidR="005E3093" w:rsidRPr="005E3093">
              <w:rPr>
                <w:b/>
                <w:sz w:val="20"/>
                <w:szCs w:val="20"/>
              </w:rPr>
              <w:t xml:space="preserve"> </w:t>
            </w:r>
          </w:p>
        </w:tc>
      </w:tr>
      <w:tr w:rsidR="005E3093" w:rsidRPr="005E3093" w14:paraId="04A89836" w14:textId="77777777" w:rsidTr="00B95D5F">
        <w:trPr>
          <w:trHeight w:val="30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215CEACE" w14:textId="77777777" w:rsidR="005E3093" w:rsidRPr="005E3093" w:rsidRDefault="005E3093" w:rsidP="005E3093">
            <w:pPr>
              <w:rPr>
                <w:sz w:val="20"/>
                <w:szCs w:val="20"/>
              </w:rPr>
            </w:pPr>
            <w:r w:rsidRPr="005E3093">
              <w:rPr>
                <w:sz w:val="20"/>
                <w:szCs w:val="20"/>
              </w:rPr>
              <w:t xml:space="preserve">Heads up provides tools and resources to create mentally healthy workplace </w:t>
            </w:r>
          </w:p>
        </w:tc>
      </w:tr>
      <w:tr w:rsidR="005E3093" w:rsidRPr="005E3093" w14:paraId="4AC6EBB5" w14:textId="77777777" w:rsidTr="00003C2C">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52E40C02" w14:textId="77777777" w:rsidR="005E3093" w:rsidRPr="005E3093" w:rsidRDefault="005E3093" w:rsidP="005E3093">
            <w:pPr>
              <w:rPr>
                <w:b/>
                <w:sz w:val="20"/>
                <w:szCs w:val="20"/>
              </w:rPr>
            </w:pPr>
            <w:proofErr w:type="spellStart"/>
            <w:r w:rsidRPr="005E3093">
              <w:rPr>
                <w:b/>
                <w:sz w:val="20"/>
                <w:szCs w:val="20"/>
              </w:rPr>
              <w:t>SuperFriend</w:t>
            </w:r>
            <w:proofErr w:type="spellEnd"/>
            <w:r w:rsidRPr="005E3093">
              <w:rPr>
                <w:b/>
                <w:sz w:val="20"/>
                <w:szCs w:val="20"/>
              </w:rPr>
              <w:t xml:space="preserve">: </w:t>
            </w:r>
          </w:p>
        </w:tc>
        <w:tc>
          <w:tcPr>
            <w:tcW w:w="1983" w:type="pct"/>
            <w:tcBorders>
              <w:top w:val="nil"/>
              <w:left w:val="nil"/>
              <w:bottom w:val="nil"/>
              <w:right w:val="single" w:sz="4" w:space="0" w:color="auto"/>
            </w:tcBorders>
            <w:shd w:val="clear" w:color="auto" w:fill="auto"/>
            <w:vAlign w:val="bottom"/>
            <w:hideMark/>
          </w:tcPr>
          <w:p w14:paraId="11AD9201" w14:textId="77777777" w:rsidR="005E3093" w:rsidRPr="005E3093" w:rsidRDefault="005E3093" w:rsidP="005E3093">
            <w:pPr>
              <w:rPr>
                <w:b/>
                <w:sz w:val="20"/>
                <w:szCs w:val="20"/>
              </w:rPr>
            </w:pPr>
            <w:r w:rsidRPr="005E3093">
              <w:rPr>
                <w:b/>
                <w:sz w:val="20"/>
                <w:szCs w:val="20"/>
              </w:rPr>
              <w:t>http://www.superfriend.com.au/</w:t>
            </w:r>
          </w:p>
        </w:tc>
      </w:tr>
      <w:tr w:rsidR="005E3093" w:rsidRPr="005E3093" w14:paraId="4D7D9A34" w14:textId="77777777" w:rsidTr="00003C2C">
        <w:trPr>
          <w:trHeight w:val="51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4C4D5333" w14:textId="77777777" w:rsidR="005E3093" w:rsidRPr="005E3093" w:rsidRDefault="005E3093" w:rsidP="005E3093">
            <w:pPr>
              <w:rPr>
                <w:rFonts w:ascii="Arial" w:eastAsia="Times New Roman" w:hAnsi="Arial" w:cs="Arial"/>
                <w:color w:val="0070C0"/>
                <w:sz w:val="18"/>
                <w:szCs w:val="18"/>
                <w:lang w:eastAsia="en-AU"/>
              </w:rPr>
            </w:pPr>
            <w:proofErr w:type="spellStart"/>
            <w:r w:rsidRPr="005E3093">
              <w:rPr>
                <w:sz w:val="20"/>
                <w:szCs w:val="20"/>
              </w:rPr>
              <w:t>SuperFriend</w:t>
            </w:r>
            <w:proofErr w:type="spellEnd"/>
            <w:r w:rsidRPr="005E3093">
              <w:rPr>
                <w:sz w:val="20"/>
                <w:szCs w:val="20"/>
              </w:rPr>
              <w:t xml:space="preserve"> is a national mental health promotion foundation focused on creating mentally healthy workplaces to reduce the incidence of suicide and the impact of mental illness on individuals and organisations.</w:t>
            </w:r>
          </w:p>
        </w:tc>
      </w:tr>
      <w:tr w:rsidR="005E3093" w:rsidRPr="005E3093" w14:paraId="4BE23839" w14:textId="77777777" w:rsidTr="005415A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66918C16" w14:textId="77777777" w:rsidR="005E3093" w:rsidRPr="005E3093" w:rsidRDefault="005E3093" w:rsidP="005E3093">
            <w:pPr>
              <w:rPr>
                <w:b/>
                <w:sz w:val="20"/>
                <w:szCs w:val="20"/>
              </w:rPr>
            </w:pPr>
            <w:r w:rsidRPr="005E3093">
              <w:rPr>
                <w:b/>
                <w:sz w:val="20"/>
                <w:szCs w:val="20"/>
              </w:rPr>
              <w:t>Sane:</w:t>
            </w:r>
          </w:p>
        </w:tc>
        <w:tc>
          <w:tcPr>
            <w:tcW w:w="1983" w:type="pct"/>
            <w:tcBorders>
              <w:top w:val="nil"/>
              <w:left w:val="nil"/>
              <w:bottom w:val="nil"/>
              <w:right w:val="single" w:sz="4" w:space="0" w:color="auto"/>
            </w:tcBorders>
            <w:shd w:val="clear" w:color="auto" w:fill="auto"/>
            <w:vAlign w:val="bottom"/>
            <w:hideMark/>
          </w:tcPr>
          <w:p w14:paraId="78B827F7" w14:textId="77777777" w:rsidR="005E3093" w:rsidRPr="005E3093" w:rsidRDefault="005E3093" w:rsidP="005E3093">
            <w:pPr>
              <w:rPr>
                <w:b/>
                <w:sz w:val="20"/>
                <w:szCs w:val="20"/>
              </w:rPr>
            </w:pPr>
            <w:r w:rsidRPr="005E3093">
              <w:rPr>
                <w:b/>
                <w:sz w:val="20"/>
                <w:szCs w:val="20"/>
              </w:rPr>
              <w:t>www.sane.org/employers</w:t>
            </w:r>
          </w:p>
        </w:tc>
      </w:tr>
      <w:tr w:rsidR="005E3093" w:rsidRPr="005E3093" w14:paraId="008103D8" w14:textId="77777777" w:rsidTr="00B95D5F">
        <w:trPr>
          <w:trHeight w:val="268"/>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4093C889" w14:textId="77777777" w:rsidR="005E3093" w:rsidRPr="005E3093" w:rsidRDefault="005E3093" w:rsidP="005E3093">
            <w:pPr>
              <w:rPr>
                <w:sz w:val="20"/>
                <w:szCs w:val="20"/>
              </w:rPr>
            </w:pPr>
            <w:r w:rsidRPr="005E3093">
              <w:rPr>
                <w:sz w:val="20"/>
                <w:szCs w:val="20"/>
              </w:rPr>
              <w:t>Resources and information for better mental health at work.</w:t>
            </w:r>
          </w:p>
        </w:tc>
      </w:tr>
      <w:tr w:rsidR="005E3093" w:rsidRPr="005E3093" w14:paraId="65D43792" w14:textId="77777777" w:rsidTr="00003C2C">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707D214D" w14:textId="77777777" w:rsidR="005E3093" w:rsidRPr="005E3093" w:rsidRDefault="005E3093" w:rsidP="005E3093">
            <w:pPr>
              <w:rPr>
                <w:b/>
                <w:sz w:val="20"/>
                <w:szCs w:val="20"/>
              </w:rPr>
            </w:pPr>
            <w:proofErr w:type="spellStart"/>
            <w:r w:rsidRPr="005E3093">
              <w:rPr>
                <w:b/>
                <w:sz w:val="20"/>
                <w:szCs w:val="20"/>
              </w:rPr>
              <w:t>MindHealthConnect</w:t>
            </w:r>
            <w:proofErr w:type="spellEnd"/>
            <w:r w:rsidRPr="005E3093">
              <w:rPr>
                <w:b/>
                <w:sz w:val="20"/>
                <w:szCs w:val="20"/>
              </w:rPr>
              <w:t>: </w:t>
            </w:r>
          </w:p>
        </w:tc>
        <w:tc>
          <w:tcPr>
            <w:tcW w:w="1983" w:type="pct"/>
            <w:tcBorders>
              <w:top w:val="nil"/>
              <w:left w:val="nil"/>
              <w:bottom w:val="nil"/>
              <w:right w:val="single" w:sz="4" w:space="0" w:color="auto"/>
            </w:tcBorders>
            <w:shd w:val="clear" w:color="auto" w:fill="auto"/>
            <w:vAlign w:val="bottom"/>
            <w:hideMark/>
          </w:tcPr>
          <w:p w14:paraId="0B736AC8" w14:textId="77777777" w:rsidR="005E3093" w:rsidRPr="005E3093" w:rsidRDefault="00D03886" w:rsidP="005E3093">
            <w:pPr>
              <w:rPr>
                <w:b/>
                <w:sz w:val="20"/>
                <w:szCs w:val="20"/>
              </w:rPr>
            </w:pPr>
            <w:hyperlink r:id="rId19" w:tgtFrame="_blank" w:history="1">
              <w:r w:rsidR="005E3093" w:rsidRPr="005E3093">
                <w:rPr>
                  <w:b/>
                  <w:sz w:val="20"/>
                  <w:szCs w:val="20"/>
                </w:rPr>
                <w:t>www.mindhealthconnect.org.au</w:t>
              </w:r>
            </w:hyperlink>
          </w:p>
        </w:tc>
      </w:tr>
      <w:tr w:rsidR="005E3093" w:rsidRPr="005E3093" w14:paraId="4B81FDCB" w14:textId="77777777" w:rsidTr="00003C2C">
        <w:trPr>
          <w:trHeight w:val="503"/>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1964CFBB" w14:textId="77777777" w:rsidR="005E3093" w:rsidRPr="005E3093" w:rsidRDefault="005E3093" w:rsidP="005E3093">
            <w:pPr>
              <w:rPr>
                <w:sz w:val="20"/>
                <w:szCs w:val="20"/>
              </w:rPr>
            </w:pPr>
            <w:proofErr w:type="spellStart"/>
            <w:r w:rsidRPr="005E3093">
              <w:rPr>
                <w:sz w:val="20"/>
                <w:szCs w:val="20"/>
              </w:rPr>
              <w:t>MindHealthConnect</w:t>
            </w:r>
            <w:proofErr w:type="spellEnd"/>
            <w:r w:rsidRPr="005E3093">
              <w:rPr>
                <w:sz w:val="20"/>
                <w:szCs w:val="20"/>
              </w:rPr>
              <w:t xml:space="preserve"> features mental health resources, information and online programs provided by a range of organisations, including a guided search tool which helps users to navigate their way to appropriate support. </w:t>
            </w:r>
          </w:p>
        </w:tc>
      </w:tr>
      <w:tr w:rsidR="005E3093" w:rsidRPr="005E3093" w14:paraId="26E7BD08" w14:textId="77777777" w:rsidTr="005415A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141C90B2" w14:textId="5B679A5F" w:rsidR="005E3093" w:rsidRPr="00003C2C" w:rsidRDefault="005415AB" w:rsidP="00003C2C">
            <w:pPr>
              <w:pStyle w:val="Heading4"/>
              <w:jc w:val="center"/>
            </w:pPr>
            <w:r w:rsidRPr="005E3093">
              <w:t>HELPLINES</w:t>
            </w:r>
          </w:p>
        </w:tc>
      </w:tr>
      <w:tr w:rsidR="005E3093" w:rsidRPr="005E3093" w14:paraId="05EA4B8F" w14:textId="77777777" w:rsidTr="00003C2C">
        <w:trPr>
          <w:trHeight w:val="300"/>
        </w:trPr>
        <w:tc>
          <w:tcPr>
            <w:tcW w:w="1372" w:type="pct"/>
            <w:tcBorders>
              <w:top w:val="nil"/>
              <w:left w:val="single" w:sz="4" w:space="0" w:color="auto"/>
              <w:bottom w:val="nil"/>
              <w:right w:val="nil"/>
            </w:tcBorders>
            <w:shd w:val="clear" w:color="auto" w:fill="auto"/>
            <w:vAlign w:val="bottom"/>
            <w:hideMark/>
          </w:tcPr>
          <w:p w14:paraId="234B9082" w14:textId="77777777" w:rsidR="005E3093" w:rsidRPr="005E3093" w:rsidRDefault="005E3093" w:rsidP="005E3093">
            <w:pPr>
              <w:rPr>
                <w:b/>
                <w:sz w:val="20"/>
                <w:szCs w:val="20"/>
              </w:rPr>
            </w:pPr>
            <w:r w:rsidRPr="005E3093">
              <w:rPr>
                <w:b/>
                <w:sz w:val="20"/>
                <w:szCs w:val="20"/>
              </w:rPr>
              <w:t>Lifeline: </w:t>
            </w:r>
          </w:p>
        </w:tc>
        <w:tc>
          <w:tcPr>
            <w:tcW w:w="1645" w:type="pct"/>
            <w:tcBorders>
              <w:top w:val="nil"/>
              <w:left w:val="nil"/>
              <w:bottom w:val="nil"/>
              <w:right w:val="nil"/>
            </w:tcBorders>
            <w:shd w:val="clear" w:color="auto" w:fill="auto"/>
            <w:vAlign w:val="bottom"/>
            <w:hideMark/>
          </w:tcPr>
          <w:p w14:paraId="24F39256" w14:textId="77777777" w:rsidR="005E3093" w:rsidRPr="005E3093" w:rsidRDefault="005E3093" w:rsidP="005E3093">
            <w:pPr>
              <w:rPr>
                <w:b/>
                <w:sz w:val="20"/>
                <w:szCs w:val="20"/>
              </w:rPr>
            </w:pPr>
            <w:r w:rsidRPr="005E3093">
              <w:rPr>
                <w:b/>
                <w:sz w:val="20"/>
                <w:szCs w:val="20"/>
              </w:rPr>
              <w:t>Ph: 13 11 14</w:t>
            </w:r>
          </w:p>
        </w:tc>
        <w:tc>
          <w:tcPr>
            <w:tcW w:w="1983" w:type="pct"/>
            <w:tcBorders>
              <w:top w:val="nil"/>
              <w:left w:val="nil"/>
              <w:bottom w:val="nil"/>
              <w:right w:val="single" w:sz="4" w:space="0" w:color="auto"/>
            </w:tcBorders>
            <w:shd w:val="clear" w:color="auto" w:fill="auto"/>
            <w:vAlign w:val="bottom"/>
            <w:hideMark/>
          </w:tcPr>
          <w:p w14:paraId="2F41AF2E" w14:textId="77777777" w:rsidR="005E3093" w:rsidRPr="005E3093" w:rsidRDefault="00D03886" w:rsidP="005E3093">
            <w:pPr>
              <w:rPr>
                <w:b/>
                <w:sz w:val="20"/>
                <w:szCs w:val="20"/>
              </w:rPr>
            </w:pPr>
            <w:hyperlink r:id="rId20" w:tgtFrame="_blank" w:history="1">
              <w:r w:rsidR="005E3093" w:rsidRPr="005E3093">
                <w:rPr>
                  <w:b/>
                  <w:sz w:val="20"/>
                  <w:szCs w:val="20"/>
                </w:rPr>
                <w:t>www.lifeline.org.au</w:t>
              </w:r>
            </w:hyperlink>
          </w:p>
        </w:tc>
      </w:tr>
      <w:tr w:rsidR="005E3093" w:rsidRPr="005E3093" w14:paraId="1C359655" w14:textId="77777777" w:rsidTr="00B95D5F">
        <w:trPr>
          <w:trHeight w:val="30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08616A3F" w14:textId="77777777" w:rsidR="005E3093" w:rsidRPr="005E3093" w:rsidRDefault="005E3093" w:rsidP="005E3093">
            <w:pPr>
              <w:rPr>
                <w:sz w:val="20"/>
                <w:szCs w:val="20"/>
              </w:rPr>
            </w:pPr>
            <w:r w:rsidRPr="005E3093">
              <w:rPr>
                <w:sz w:val="20"/>
                <w:szCs w:val="20"/>
              </w:rPr>
              <w:t>A national 24-hour telephone and online counselling service for all ages, featuring an online chat service.</w:t>
            </w:r>
          </w:p>
        </w:tc>
      </w:tr>
      <w:tr w:rsidR="005E3093" w:rsidRPr="005E3093" w14:paraId="65BC82A8" w14:textId="77777777" w:rsidTr="00003C2C">
        <w:trPr>
          <w:trHeight w:val="300"/>
        </w:trPr>
        <w:tc>
          <w:tcPr>
            <w:tcW w:w="1372" w:type="pct"/>
            <w:tcBorders>
              <w:top w:val="nil"/>
              <w:left w:val="single" w:sz="4" w:space="0" w:color="auto"/>
              <w:bottom w:val="nil"/>
              <w:right w:val="nil"/>
            </w:tcBorders>
            <w:shd w:val="clear" w:color="auto" w:fill="auto"/>
            <w:vAlign w:val="bottom"/>
            <w:hideMark/>
          </w:tcPr>
          <w:p w14:paraId="4ED4EB22" w14:textId="77777777" w:rsidR="005E3093" w:rsidRPr="005E3093" w:rsidRDefault="005E3093" w:rsidP="005E3093">
            <w:pPr>
              <w:rPr>
                <w:b/>
                <w:sz w:val="20"/>
                <w:szCs w:val="20"/>
              </w:rPr>
            </w:pPr>
            <w:proofErr w:type="spellStart"/>
            <w:r w:rsidRPr="005E3093">
              <w:rPr>
                <w:b/>
                <w:sz w:val="20"/>
                <w:szCs w:val="20"/>
              </w:rPr>
              <w:t>Mensline</w:t>
            </w:r>
            <w:proofErr w:type="spellEnd"/>
            <w:r w:rsidRPr="005E3093">
              <w:rPr>
                <w:b/>
                <w:sz w:val="20"/>
                <w:szCs w:val="20"/>
              </w:rPr>
              <w:t xml:space="preserve"> Australia: </w:t>
            </w:r>
          </w:p>
        </w:tc>
        <w:tc>
          <w:tcPr>
            <w:tcW w:w="1645" w:type="pct"/>
            <w:tcBorders>
              <w:top w:val="nil"/>
              <w:left w:val="nil"/>
              <w:bottom w:val="nil"/>
              <w:right w:val="nil"/>
            </w:tcBorders>
            <w:shd w:val="clear" w:color="auto" w:fill="auto"/>
            <w:vAlign w:val="bottom"/>
            <w:hideMark/>
          </w:tcPr>
          <w:p w14:paraId="594D504A" w14:textId="77777777" w:rsidR="005E3093" w:rsidRPr="005E3093" w:rsidRDefault="005E3093" w:rsidP="005E3093">
            <w:pPr>
              <w:rPr>
                <w:b/>
                <w:sz w:val="20"/>
                <w:szCs w:val="20"/>
              </w:rPr>
            </w:pPr>
            <w:r w:rsidRPr="005E3093">
              <w:rPr>
                <w:b/>
                <w:sz w:val="20"/>
                <w:szCs w:val="20"/>
              </w:rPr>
              <w:t>Ph: 1300 789 978</w:t>
            </w:r>
          </w:p>
        </w:tc>
        <w:tc>
          <w:tcPr>
            <w:tcW w:w="1983" w:type="pct"/>
            <w:tcBorders>
              <w:top w:val="nil"/>
              <w:left w:val="nil"/>
              <w:bottom w:val="nil"/>
              <w:right w:val="single" w:sz="4" w:space="0" w:color="auto"/>
            </w:tcBorders>
            <w:shd w:val="clear" w:color="auto" w:fill="auto"/>
            <w:vAlign w:val="bottom"/>
            <w:hideMark/>
          </w:tcPr>
          <w:p w14:paraId="060E1807" w14:textId="77777777" w:rsidR="005E3093" w:rsidRPr="005E3093" w:rsidRDefault="00D03886" w:rsidP="005E3093">
            <w:pPr>
              <w:rPr>
                <w:b/>
                <w:sz w:val="20"/>
                <w:szCs w:val="20"/>
              </w:rPr>
            </w:pPr>
            <w:hyperlink r:id="rId21" w:tgtFrame="_blank" w:history="1">
              <w:r w:rsidR="005E3093" w:rsidRPr="005E3093">
                <w:rPr>
                  <w:b/>
                  <w:sz w:val="20"/>
                  <w:szCs w:val="20"/>
                </w:rPr>
                <w:t>www.mensline.org.au</w:t>
              </w:r>
            </w:hyperlink>
          </w:p>
        </w:tc>
      </w:tr>
      <w:tr w:rsidR="005E3093" w:rsidRPr="005E3093" w14:paraId="2B343646" w14:textId="77777777" w:rsidTr="00003C2C">
        <w:trPr>
          <w:trHeight w:val="30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0BED5721"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A national 24-hour telephone and online counselling service for men.</w:t>
            </w:r>
            <w:r w:rsidRPr="005E3093">
              <w:rPr>
                <w:rFonts w:ascii="Arial" w:eastAsia="Times New Roman" w:hAnsi="Arial" w:cs="Arial"/>
                <w:color w:val="0070C0"/>
                <w:sz w:val="18"/>
                <w:szCs w:val="18"/>
                <w:lang w:eastAsia="en-AU"/>
              </w:rPr>
              <w:t xml:space="preserve">  </w:t>
            </w:r>
          </w:p>
        </w:tc>
      </w:tr>
      <w:tr w:rsidR="005E3093" w:rsidRPr="005E3093" w14:paraId="58DA66AA" w14:textId="77777777" w:rsidTr="00003C2C">
        <w:trPr>
          <w:trHeight w:val="300"/>
        </w:trPr>
        <w:tc>
          <w:tcPr>
            <w:tcW w:w="1372" w:type="pct"/>
            <w:tcBorders>
              <w:top w:val="nil"/>
              <w:left w:val="single" w:sz="4" w:space="0" w:color="auto"/>
              <w:bottom w:val="nil"/>
              <w:right w:val="nil"/>
            </w:tcBorders>
            <w:shd w:val="clear" w:color="auto" w:fill="auto"/>
            <w:vAlign w:val="bottom"/>
            <w:hideMark/>
          </w:tcPr>
          <w:p w14:paraId="0D12F87E" w14:textId="77777777" w:rsidR="005E3093" w:rsidRPr="005E3093" w:rsidRDefault="005E3093" w:rsidP="005E3093">
            <w:pPr>
              <w:rPr>
                <w:b/>
                <w:sz w:val="20"/>
                <w:szCs w:val="20"/>
              </w:rPr>
            </w:pPr>
            <w:r w:rsidRPr="005E3093">
              <w:rPr>
                <w:b/>
                <w:sz w:val="20"/>
                <w:szCs w:val="20"/>
              </w:rPr>
              <w:t>Suicide Call Back Service: </w:t>
            </w:r>
          </w:p>
        </w:tc>
        <w:tc>
          <w:tcPr>
            <w:tcW w:w="1645" w:type="pct"/>
            <w:tcBorders>
              <w:top w:val="nil"/>
              <w:left w:val="nil"/>
              <w:bottom w:val="nil"/>
              <w:right w:val="nil"/>
            </w:tcBorders>
            <w:shd w:val="clear" w:color="auto" w:fill="auto"/>
            <w:vAlign w:val="bottom"/>
            <w:hideMark/>
          </w:tcPr>
          <w:p w14:paraId="2BD3C42E" w14:textId="77777777" w:rsidR="005E3093" w:rsidRPr="005E3093" w:rsidRDefault="005E3093" w:rsidP="005E3093">
            <w:pPr>
              <w:rPr>
                <w:b/>
                <w:sz w:val="20"/>
                <w:szCs w:val="20"/>
              </w:rPr>
            </w:pPr>
            <w:r w:rsidRPr="005E3093">
              <w:rPr>
                <w:b/>
                <w:sz w:val="20"/>
                <w:szCs w:val="20"/>
              </w:rPr>
              <w:t>Ph: 1300 659 467</w:t>
            </w:r>
          </w:p>
        </w:tc>
        <w:tc>
          <w:tcPr>
            <w:tcW w:w="1983" w:type="pct"/>
            <w:tcBorders>
              <w:top w:val="nil"/>
              <w:left w:val="nil"/>
              <w:bottom w:val="nil"/>
              <w:right w:val="single" w:sz="4" w:space="0" w:color="auto"/>
            </w:tcBorders>
            <w:shd w:val="clear" w:color="auto" w:fill="auto"/>
            <w:vAlign w:val="bottom"/>
            <w:hideMark/>
          </w:tcPr>
          <w:p w14:paraId="7619DA58" w14:textId="77777777" w:rsidR="005E3093" w:rsidRPr="005E3093" w:rsidRDefault="005E3093" w:rsidP="005E3093">
            <w:pPr>
              <w:rPr>
                <w:b/>
                <w:sz w:val="20"/>
                <w:szCs w:val="20"/>
              </w:rPr>
            </w:pPr>
            <w:r w:rsidRPr="005E3093">
              <w:rPr>
                <w:b/>
                <w:sz w:val="20"/>
                <w:szCs w:val="20"/>
              </w:rPr>
              <w:t>www.suicidecallbackservice.org.au</w:t>
            </w:r>
          </w:p>
        </w:tc>
      </w:tr>
      <w:tr w:rsidR="005E3093" w:rsidRPr="005E3093" w14:paraId="471DCEBB" w14:textId="77777777" w:rsidTr="00B95D5F">
        <w:trPr>
          <w:trHeight w:val="395"/>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4DA17BF9" w14:textId="77777777" w:rsidR="005E3093" w:rsidRPr="005E3093" w:rsidRDefault="005E3093" w:rsidP="005E3093">
            <w:pPr>
              <w:rPr>
                <w:sz w:val="20"/>
                <w:szCs w:val="20"/>
              </w:rPr>
            </w:pPr>
            <w:r w:rsidRPr="005E3093">
              <w:rPr>
                <w:sz w:val="20"/>
                <w:szCs w:val="20"/>
              </w:rPr>
              <w:t>A national 24-hour telephone and online counselling service for those feeling suicidal and those caring from someone who is suicidal, or those affected by suicide. </w:t>
            </w:r>
          </w:p>
        </w:tc>
      </w:tr>
      <w:tr w:rsidR="005E3093" w:rsidRPr="005E3093" w14:paraId="7B09AAB7" w14:textId="77777777" w:rsidTr="005415A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6421AD7E" w14:textId="4BED070C" w:rsidR="005415AB" w:rsidRPr="005415AB" w:rsidRDefault="005415AB" w:rsidP="00003C2C">
            <w:pPr>
              <w:pStyle w:val="Heading4"/>
              <w:jc w:val="center"/>
            </w:pPr>
            <w:r>
              <w:br w:type="page"/>
            </w:r>
            <w:r w:rsidRPr="005E3093">
              <w:t>ANXIETY AND DEPRESSION</w:t>
            </w:r>
          </w:p>
        </w:tc>
      </w:tr>
      <w:tr w:rsidR="005E3093" w:rsidRPr="005E3093" w14:paraId="5FD2165A" w14:textId="77777777" w:rsidTr="005415A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3CE7168E" w14:textId="77777777" w:rsidR="005E3093" w:rsidRPr="005E3093" w:rsidRDefault="005E3093" w:rsidP="005E3093">
            <w:pPr>
              <w:rPr>
                <w:b/>
                <w:sz w:val="20"/>
                <w:szCs w:val="20"/>
              </w:rPr>
            </w:pPr>
            <w:proofErr w:type="spellStart"/>
            <w:r w:rsidRPr="005E3093">
              <w:rPr>
                <w:b/>
                <w:sz w:val="20"/>
                <w:szCs w:val="20"/>
              </w:rPr>
              <w:t>beyondblue</w:t>
            </w:r>
            <w:proofErr w:type="spellEnd"/>
            <w:r w:rsidRPr="005E3093">
              <w:rPr>
                <w:b/>
                <w:sz w:val="20"/>
                <w:szCs w:val="20"/>
              </w:rPr>
              <w:t>:                                Ph: 1300 224 636</w:t>
            </w:r>
          </w:p>
        </w:tc>
        <w:tc>
          <w:tcPr>
            <w:tcW w:w="1983" w:type="pct"/>
            <w:tcBorders>
              <w:top w:val="nil"/>
              <w:left w:val="nil"/>
              <w:bottom w:val="nil"/>
              <w:right w:val="single" w:sz="4" w:space="0" w:color="auto"/>
            </w:tcBorders>
            <w:shd w:val="clear" w:color="auto" w:fill="auto"/>
            <w:vAlign w:val="bottom"/>
            <w:hideMark/>
          </w:tcPr>
          <w:p w14:paraId="08592AF8" w14:textId="77777777" w:rsidR="005E3093" w:rsidRPr="005E3093" w:rsidRDefault="00D03886" w:rsidP="005E3093">
            <w:pPr>
              <w:rPr>
                <w:b/>
                <w:sz w:val="20"/>
                <w:szCs w:val="20"/>
              </w:rPr>
            </w:pPr>
            <w:hyperlink r:id="rId22" w:tgtFrame="_blank" w:history="1">
              <w:r w:rsidR="005E3093" w:rsidRPr="005E3093">
                <w:rPr>
                  <w:b/>
                  <w:sz w:val="20"/>
                  <w:szCs w:val="20"/>
                </w:rPr>
                <w:t>www.beyondblue.org.au</w:t>
              </w:r>
            </w:hyperlink>
          </w:p>
        </w:tc>
      </w:tr>
      <w:tr w:rsidR="005E3093" w:rsidRPr="005E3093" w14:paraId="1F373FF5" w14:textId="77777777" w:rsidTr="00B95D5F">
        <w:trPr>
          <w:trHeight w:val="483"/>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19B0659F" w14:textId="77777777" w:rsidR="005E3093" w:rsidRPr="005E3093" w:rsidRDefault="005E3093" w:rsidP="005E3093">
            <w:pPr>
              <w:rPr>
                <w:sz w:val="20"/>
                <w:szCs w:val="20"/>
              </w:rPr>
            </w:pPr>
            <w:r w:rsidRPr="005E3093">
              <w:rPr>
                <w:sz w:val="20"/>
                <w:szCs w:val="20"/>
              </w:rPr>
              <w:t>A national organisation which aims to reduce the prevalence of anxiety and depression in Australia and the stigma surrounding the issues.</w:t>
            </w:r>
          </w:p>
        </w:tc>
      </w:tr>
    </w:tbl>
    <w:p w14:paraId="5D36311F" w14:textId="77777777" w:rsidR="00E20858" w:rsidRDefault="00E20858"/>
    <w:tbl>
      <w:tblPr>
        <w:tblW w:w="5000" w:type="pct"/>
        <w:tblLook w:val="04A0" w:firstRow="1" w:lastRow="0" w:firstColumn="1" w:lastColumn="0" w:noHBand="0" w:noVBand="1"/>
      </w:tblPr>
      <w:tblGrid>
        <w:gridCol w:w="5436"/>
        <w:gridCol w:w="34"/>
        <w:gridCol w:w="3540"/>
      </w:tblGrid>
      <w:tr w:rsidR="005E3093" w:rsidRPr="005E3093" w14:paraId="202C41AE" w14:textId="77777777" w:rsidTr="00E20858">
        <w:trPr>
          <w:trHeight w:val="300"/>
        </w:trPr>
        <w:tc>
          <w:tcPr>
            <w:tcW w:w="3017" w:type="pct"/>
            <w:tcBorders>
              <w:top w:val="single" w:sz="4" w:space="0" w:color="auto"/>
              <w:left w:val="single" w:sz="4" w:space="0" w:color="auto"/>
              <w:bottom w:val="nil"/>
              <w:right w:val="nil"/>
            </w:tcBorders>
            <w:shd w:val="clear" w:color="auto" w:fill="auto"/>
            <w:vAlign w:val="bottom"/>
            <w:hideMark/>
          </w:tcPr>
          <w:p w14:paraId="259D6083" w14:textId="77777777" w:rsidR="005E3093" w:rsidRPr="005E3093" w:rsidRDefault="005E3093" w:rsidP="005E3093">
            <w:pPr>
              <w:rPr>
                <w:b/>
                <w:sz w:val="20"/>
                <w:szCs w:val="20"/>
              </w:rPr>
            </w:pPr>
            <w:r w:rsidRPr="005E3093">
              <w:rPr>
                <w:b/>
                <w:sz w:val="20"/>
                <w:szCs w:val="20"/>
              </w:rPr>
              <w:t>Black Dog Institute: </w:t>
            </w:r>
          </w:p>
        </w:tc>
        <w:tc>
          <w:tcPr>
            <w:tcW w:w="1983" w:type="pct"/>
            <w:gridSpan w:val="2"/>
            <w:tcBorders>
              <w:top w:val="single" w:sz="4" w:space="0" w:color="auto"/>
              <w:left w:val="nil"/>
              <w:bottom w:val="nil"/>
              <w:right w:val="single" w:sz="4" w:space="0" w:color="auto"/>
            </w:tcBorders>
            <w:shd w:val="clear" w:color="auto" w:fill="auto"/>
            <w:vAlign w:val="bottom"/>
            <w:hideMark/>
          </w:tcPr>
          <w:p w14:paraId="218C5882" w14:textId="77777777" w:rsidR="005E3093" w:rsidRPr="005E3093" w:rsidRDefault="00D03886" w:rsidP="005E3093">
            <w:pPr>
              <w:rPr>
                <w:b/>
                <w:sz w:val="20"/>
                <w:szCs w:val="20"/>
              </w:rPr>
            </w:pPr>
            <w:hyperlink r:id="rId23" w:tgtFrame="_blank" w:history="1">
              <w:r w:rsidR="005E3093" w:rsidRPr="005E3093">
                <w:rPr>
                  <w:b/>
                  <w:sz w:val="20"/>
                  <w:szCs w:val="20"/>
                </w:rPr>
                <w:t>www.blackdoginstitute.org.au</w:t>
              </w:r>
            </w:hyperlink>
          </w:p>
        </w:tc>
      </w:tr>
      <w:tr w:rsidR="005E3093" w:rsidRPr="005E3093" w14:paraId="2862BCD8" w14:textId="77777777" w:rsidTr="00003C2C">
        <w:trPr>
          <w:trHeight w:val="424"/>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CE06A81"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Expert information on depression and bipolar disorder for the public and professionals, including information on getting help for mood disorders and suggestions on ways of staying well.</w:t>
            </w:r>
          </w:p>
        </w:tc>
      </w:tr>
      <w:tr w:rsidR="005E3093" w:rsidRPr="005E3093" w14:paraId="64CE1009" w14:textId="77777777" w:rsidTr="00003C2C">
        <w:trPr>
          <w:trHeight w:val="300"/>
        </w:trPr>
        <w:tc>
          <w:tcPr>
            <w:tcW w:w="3017" w:type="pct"/>
            <w:tcBorders>
              <w:top w:val="single" w:sz="4" w:space="0" w:color="auto"/>
              <w:left w:val="single" w:sz="4" w:space="0" w:color="auto"/>
              <w:bottom w:val="nil"/>
              <w:right w:val="nil"/>
            </w:tcBorders>
            <w:shd w:val="clear" w:color="auto" w:fill="auto"/>
            <w:vAlign w:val="bottom"/>
            <w:hideMark/>
          </w:tcPr>
          <w:p w14:paraId="6EF3661C" w14:textId="77777777" w:rsidR="005E3093" w:rsidRPr="005E3093" w:rsidRDefault="005E3093" w:rsidP="005E3093">
            <w:pPr>
              <w:rPr>
                <w:b/>
                <w:sz w:val="20"/>
                <w:szCs w:val="20"/>
              </w:rPr>
            </w:pPr>
            <w:proofErr w:type="spellStart"/>
            <w:r w:rsidRPr="005E3093">
              <w:rPr>
                <w:b/>
                <w:sz w:val="20"/>
                <w:szCs w:val="20"/>
              </w:rPr>
              <w:t>BlueBoard</w:t>
            </w:r>
            <w:proofErr w:type="spellEnd"/>
            <w:r w:rsidRPr="005E3093">
              <w:rPr>
                <w:b/>
                <w:sz w:val="20"/>
                <w:szCs w:val="20"/>
              </w:rPr>
              <w:t>: </w:t>
            </w:r>
          </w:p>
        </w:tc>
        <w:tc>
          <w:tcPr>
            <w:tcW w:w="1983" w:type="pct"/>
            <w:gridSpan w:val="2"/>
            <w:tcBorders>
              <w:top w:val="single" w:sz="4" w:space="0" w:color="auto"/>
              <w:left w:val="nil"/>
              <w:right w:val="single" w:sz="4" w:space="0" w:color="auto"/>
            </w:tcBorders>
            <w:shd w:val="clear" w:color="auto" w:fill="auto"/>
            <w:vAlign w:val="bottom"/>
            <w:hideMark/>
          </w:tcPr>
          <w:p w14:paraId="0AA1307E" w14:textId="77777777" w:rsidR="005E3093" w:rsidRPr="005E3093" w:rsidRDefault="00D03886" w:rsidP="005E3093">
            <w:pPr>
              <w:rPr>
                <w:b/>
                <w:sz w:val="20"/>
                <w:szCs w:val="20"/>
              </w:rPr>
            </w:pPr>
            <w:hyperlink r:id="rId24" w:tgtFrame="_blank" w:history="1">
              <w:r w:rsidR="005E3093" w:rsidRPr="005E3093">
                <w:rPr>
                  <w:b/>
                  <w:sz w:val="20"/>
                  <w:szCs w:val="20"/>
                </w:rPr>
                <w:t>www.blueboard.anu.edu.au</w:t>
              </w:r>
            </w:hyperlink>
          </w:p>
        </w:tc>
      </w:tr>
      <w:tr w:rsidR="005E3093" w:rsidRPr="005E3093" w14:paraId="47D27C61" w14:textId="77777777" w:rsidTr="00B95D5F">
        <w:trPr>
          <w:trHeight w:val="564"/>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04A274C" w14:textId="77777777" w:rsidR="005E3093" w:rsidRPr="005E3093" w:rsidRDefault="005E3093" w:rsidP="005E3093">
            <w:pPr>
              <w:rPr>
                <w:sz w:val="20"/>
                <w:szCs w:val="20"/>
              </w:rPr>
            </w:pPr>
            <w:r w:rsidRPr="005E3093">
              <w:rPr>
                <w:sz w:val="20"/>
                <w:szCs w:val="20"/>
              </w:rPr>
              <w:t>An online support group for people affected by depression, bipolar disorder and anxiety disorders. It aims to reduce stigma, and to provide support, hope and opportunities for sharing successful coping strategies. The group is run as a moderated bulletin board with strict protocols to protect safety and privacy.</w:t>
            </w:r>
          </w:p>
        </w:tc>
      </w:tr>
      <w:tr w:rsidR="005E3093" w:rsidRPr="005E3093" w14:paraId="06F773DC" w14:textId="77777777" w:rsidTr="00003C2C">
        <w:trPr>
          <w:trHeight w:val="300"/>
        </w:trPr>
        <w:tc>
          <w:tcPr>
            <w:tcW w:w="3017" w:type="pct"/>
            <w:tcBorders>
              <w:top w:val="single" w:sz="4" w:space="0" w:color="auto"/>
              <w:left w:val="single" w:sz="4" w:space="0" w:color="auto"/>
              <w:bottom w:val="nil"/>
              <w:right w:val="nil"/>
            </w:tcBorders>
            <w:shd w:val="clear" w:color="auto" w:fill="auto"/>
            <w:vAlign w:val="bottom"/>
            <w:hideMark/>
          </w:tcPr>
          <w:p w14:paraId="70FA730C" w14:textId="77777777" w:rsidR="005E3093" w:rsidRPr="005E3093" w:rsidRDefault="005E3093" w:rsidP="005E3093">
            <w:pPr>
              <w:rPr>
                <w:b/>
                <w:sz w:val="20"/>
                <w:szCs w:val="20"/>
              </w:rPr>
            </w:pPr>
            <w:r w:rsidRPr="005E3093">
              <w:rPr>
                <w:b/>
                <w:sz w:val="20"/>
                <w:szCs w:val="20"/>
              </w:rPr>
              <w:t>e-couch: </w:t>
            </w:r>
          </w:p>
        </w:tc>
        <w:tc>
          <w:tcPr>
            <w:tcW w:w="1983" w:type="pct"/>
            <w:gridSpan w:val="2"/>
            <w:tcBorders>
              <w:top w:val="nil"/>
              <w:left w:val="nil"/>
              <w:bottom w:val="nil"/>
              <w:right w:val="single" w:sz="4" w:space="0" w:color="auto"/>
            </w:tcBorders>
            <w:shd w:val="clear" w:color="auto" w:fill="auto"/>
            <w:vAlign w:val="bottom"/>
            <w:hideMark/>
          </w:tcPr>
          <w:p w14:paraId="531C7D15" w14:textId="77777777" w:rsidR="005E3093" w:rsidRPr="005E3093" w:rsidRDefault="00D03886" w:rsidP="005E3093">
            <w:pPr>
              <w:rPr>
                <w:b/>
                <w:sz w:val="20"/>
                <w:szCs w:val="20"/>
              </w:rPr>
            </w:pPr>
            <w:hyperlink r:id="rId25" w:tgtFrame="_blank" w:history="1">
              <w:r w:rsidR="005E3093" w:rsidRPr="005E3093">
                <w:rPr>
                  <w:b/>
                  <w:sz w:val="20"/>
                  <w:szCs w:val="20"/>
                </w:rPr>
                <w:t>www.ecouch.anu.edu.au</w:t>
              </w:r>
            </w:hyperlink>
          </w:p>
        </w:tc>
      </w:tr>
      <w:tr w:rsidR="005E3093" w:rsidRPr="005E3093" w14:paraId="398D0A79" w14:textId="77777777" w:rsidTr="00003C2C">
        <w:trPr>
          <w:trHeight w:val="58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E24819B" w14:textId="77777777" w:rsidR="005E3093" w:rsidRPr="005E3093" w:rsidRDefault="005E3093" w:rsidP="005E3093">
            <w:pPr>
              <w:rPr>
                <w:sz w:val="20"/>
                <w:szCs w:val="20"/>
              </w:rPr>
            </w:pPr>
            <w:r w:rsidRPr="005E3093">
              <w:rPr>
                <w:sz w:val="20"/>
                <w:szCs w:val="20"/>
              </w:rPr>
              <w:t>A self-help interactive program with modules for depression, generalised anxiety and worry, social anxiety, relationship breakdown, and loss and grief. It provides self-help interventions drawn from cognitive, behavioural and interpersonal therapies as well as relaxation and physical activity.</w:t>
            </w:r>
          </w:p>
        </w:tc>
      </w:tr>
      <w:tr w:rsidR="005E3093" w:rsidRPr="005E3093" w14:paraId="776785F3" w14:textId="77777777" w:rsidTr="005415A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72D7A4C3" w14:textId="77777777" w:rsidR="005E3093" w:rsidRPr="005E3093" w:rsidRDefault="005E3093" w:rsidP="005E3093">
            <w:pPr>
              <w:rPr>
                <w:b/>
                <w:sz w:val="20"/>
                <w:szCs w:val="20"/>
              </w:rPr>
            </w:pPr>
            <w:r w:rsidRPr="005E3093">
              <w:rPr>
                <w:b/>
                <w:sz w:val="20"/>
                <w:szCs w:val="20"/>
              </w:rPr>
              <w:t>headspace: </w:t>
            </w:r>
          </w:p>
        </w:tc>
        <w:tc>
          <w:tcPr>
            <w:tcW w:w="1964" w:type="pct"/>
            <w:tcBorders>
              <w:top w:val="single" w:sz="4" w:space="0" w:color="auto"/>
              <w:left w:val="nil"/>
              <w:bottom w:val="nil"/>
              <w:right w:val="single" w:sz="4" w:space="0" w:color="auto"/>
            </w:tcBorders>
            <w:shd w:val="clear" w:color="auto" w:fill="auto"/>
            <w:vAlign w:val="bottom"/>
            <w:hideMark/>
          </w:tcPr>
          <w:p w14:paraId="55D8C0C1" w14:textId="77777777" w:rsidR="005E3093" w:rsidRPr="005E3093" w:rsidRDefault="00D03886" w:rsidP="005E3093">
            <w:pPr>
              <w:rPr>
                <w:b/>
                <w:sz w:val="20"/>
                <w:szCs w:val="20"/>
              </w:rPr>
            </w:pPr>
            <w:hyperlink r:id="rId26" w:tgtFrame="_blank" w:history="1">
              <w:r w:rsidR="005E3093" w:rsidRPr="005E3093">
                <w:rPr>
                  <w:b/>
                  <w:sz w:val="20"/>
                  <w:szCs w:val="20"/>
                </w:rPr>
                <w:t>www.headspace.org.au</w:t>
              </w:r>
            </w:hyperlink>
          </w:p>
        </w:tc>
      </w:tr>
      <w:tr w:rsidR="005E3093" w:rsidRPr="005E3093" w14:paraId="390DDD9A" w14:textId="77777777" w:rsidTr="00B95D5F">
        <w:trPr>
          <w:trHeight w:val="61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98AB350" w14:textId="77777777" w:rsidR="005E3093" w:rsidRPr="005E3093" w:rsidRDefault="005E3093" w:rsidP="005E3093">
            <w:pPr>
              <w:rPr>
                <w:sz w:val="20"/>
                <w:szCs w:val="20"/>
              </w:rPr>
            </w:pPr>
            <w:r w:rsidRPr="005E3093">
              <w:rPr>
                <w:sz w:val="20"/>
                <w:szCs w:val="20"/>
              </w:rPr>
              <w:t>Information, support and advice for young people 12-25, and their families, on general health; mental health and wellbeing; alcohol and other drugs; education, employment and other services. Centres around Australia provide with access to youth-friendly health professionals.</w:t>
            </w:r>
          </w:p>
        </w:tc>
      </w:tr>
      <w:tr w:rsidR="005E3093" w:rsidRPr="005E3093" w14:paraId="7502C84C" w14:textId="77777777" w:rsidTr="00003C2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63FB391B" w14:textId="77777777" w:rsidR="005E3093" w:rsidRPr="005E3093" w:rsidRDefault="005E3093" w:rsidP="005E3093">
            <w:pPr>
              <w:rPr>
                <w:b/>
                <w:sz w:val="20"/>
                <w:szCs w:val="20"/>
              </w:rPr>
            </w:pPr>
            <w:proofErr w:type="spellStart"/>
            <w:r w:rsidRPr="005E3093">
              <w:rPr>
                <w:b/>
                <w:sz w:val="20"/>
                <w:szCs w:val="20"/>
              </w:rPr>
              <w:t>mentalhealthonline</w:t>
            </w:r>
            <w:proofErr w:type="spellEnd"/>
            <w:r w:rsidRPr="005E3093">
              <w:rPr>
                <w:b/>
                <w:sz w:val="20"/>
                <w:szCs w:val="20"/>
              </w:rPr>
              <w:t>: </w:t>
            </w:r>
          </w:p>
        </w:tc>
        <w:tc>
          <w:tcPr>
            <w:tcW w:w="1964" w:type="pct"/>
            <w:tcBorders>
              <w:top w:val="nil"/>
              <w:left w:val="nil"/>
              <w:bottom w:val="nil"/>
              <w:right w:val="single" w:sz="4" w:space="0" w:color="auto"/>
            </w:tcBorders>
            <w:shd w:val="clear" w:color="auto" w:fill="auto"/>
            <w:vAlign w:val="bottom"/>
            <w:hideMark/>
          </w:tcPr>
          <w:p w14:paraId="37CAAAAF" w14:textId="77777777" w:rsidR="005E3093" w:rsidRPr="005E3093" w:rsidRDefault="00D03886" w:rsidP="005E3093">
            <w:pPr>
              <w:rPr>
                <w:b/>
                <w:sz w:val="20"/>
                <w:szCs w:val="20"/>
              </w:rPr>
            </w:pPr>
            <w:hyperlink r:id="rId27" w:tgtFrame="_blank" w:history="1">
              <w:r w:rsidR="005E3093" w:rsidRPr="005E3093">
                <w:rPr>
                  <w:b/>
                  <w:sz w:val="20"/>
                  <w:szCs w:val="20"/>
                </w:rPr>
                <w:t>www.mentalhealthonline.org.au</w:t>
              </w:r>
            </w:hyperlink>
          </w:p>
        </w:tc>
      </w:tr>
      <w:tr w:rsidR="005E3093" w:rsidRPr="005E3093" w14:paraId="732C430E" w14:textId="77777777" w:rsidTr="00003C2C">
        <w:trPr>
          <w:trHeight w:val="343"/>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690FC4F" w14:textId="665B7575" w:rsidR="005E3093" w:rsidRPr="005E3093" w:rsidRDefault="005E3093" w:rsidP="005E3093">
            <w:pPr>
              <w:rPr>
                <w:sz w:val="20"/>
                <w:szCs w:val="20"/>
              </w:rPr>
            </w:pPr>
            <w:r w:rsidRPr="005E3093">
              <w:rPr>
                <w:sz w:val="20"/>
                <w:szCs w:val="20"/>
              </w:rPr>
              <w:t>Information about anxiety disorders, free automated psychological assessment and self-help treatment programs, plus low-cost therapist-assisted programs over 12 weeks.</w:t>
            </w:r>
          </w:p>
        </w:tc>
      </w:tr>
      <w:tr w:rsidR="005E3093" w:rsidRPr="005E3093" w14:paraId="22065BCF" w14:textId="77777777" w:rsidTr="005415A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0415608F" w14:textId="77777777" w:rsidR="005E3093" w:rsidRPr="005E3093" w:rsidRDefault="005E3093" w:rsidP="005E3093">
            <w:pPr>
              <w:rPr>
                <w:b/>
                <w:sz w:val="20"/>
                <w:szCs w:val="20"/>
              </w:rPr>
            </w:pPr>
            <w:proofErr w:type="spellStart"/>
            <w:r w:rsidRPr="005E3093">
              <w:rPr>
                <w:b/>
                <w:sz w:val="20"/>
                <w:szCs w:val="20"/>
              </w:rPr>
              <w:t>MoodGYM</w:t>
            </w:r>
            <w:proofErr w:type="spellEnd"/>
            <w:r w:rsidRPr="005E3093">
              <w:rPr>
                <w:b/>
                <w:sz w:val="20"/>
                <w:szCs w:val="20"/>
              </w:rPr>
              <w:t>:</w:t>
            </w:r>
          </w:p>
        </w:tc>
        <w:tc>
          <w:tcPr>
            <w:tcW w:w="1964" w:type="pct"/>
            <w:tcBorders>
              <w:top w:val="single" w:sz="4" w:space="0" w:color="auto"/>
              <w:left w:val="nil"/>
              <w:bottom w:val="nil"/>
              <w:right w:val="single" w:sz="4" w:space="0" w:color="auto"/>
            </w:tcBorders>
            <w:shd w:val="clear" w:color="auto" w:fill="auto"/>
            <w:vAlign w:val="bottom"/>
            <w:hideMark/>
          </w:tcPr>
          <w:p w14:paraId="4325F3CA" w14:textId="77777777" w:rsidR="005E3093" w:rsidRPr="005E3093" w:rsidRDefault="00D03886" w:rsidP="005E3093">
            <w:pPr>
              <w:rPr>
                <w:b/>
                <w:sz w:val="20"/>
                <w:szCs w:val="20"/>
              </w:rPr>
            </w:pPr>
            <w:hyperlink r:id="rId28" w:tgtFrame="_blank" w:history="1">
              <w:r w:rsidR="005E3093" w:rsidRPr="005E3093">
                <w:rPr>
                  <w:b/>
                  <w:sz w:val="20"/>
                  <w:szCs w:val="20"/>
                </w:rPr>
                <w:t>www.moodgym.anu.edu.au</w:t>
              </w:r>
            </w:hyperlink>
          </w:p>
        </w:tc>
      </w:tr>
      <w:tr w:rsidR="005E3093" w:rsidRPr="005E3093" w14:paraId="479E65D3" w14:textId="77777777" w:rsidTr="00B95D5F">
        <w:trPr>
          <w:trHeight w:val="396"/>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68FCDC5A" w14:textId="77777777" w:rsidR="005E3093" w:rsidRPr="005E3093" w:rsidRDefault="005E3093" w:rsidP="005E3093">
            <w:pPr>
              <w:rPr>
                <w:sz w:val="20"/>
                <w:szCs w:val="20"/>
              </w:rPr>
            </w:pPr>
            <w:r w:rsidRPr="005E3093">
              <w:rPr>
                <w:sz w:val="20"/>
                <w:szCs w:val="20"/>
              </w:rPr>
              <w:t xml:space="preserve">A popular interactive program which incorporates cognitive-behaviour therapy for depression. </w:t>
            </w:r>
            <w:proofErr w:type="spellStart"/>
            <w:r w:rsidRPr="005E3093">
              <w:rPr>
                <w:sz w:val="20"/>
                <w:szCs w:val="20"/>
              </w:rPr>
              <w:t>MoodGYM</w:t>
            </w:r>
            <w:proofErr w:type="spellEnd"/>
            <w:r w:rsidRPr="005E3093">
              <w:rPr>
                <w:sz w:val="20"/>
                <w:szCs w:val="20"/>
              </w:rPr>
              <w:t xml:space="preserve"> has been extensively researched and its effectiveness has been demonstrated in randomised controlled trials.</w:t>
            </w:r>
          </w:p>
        </w:tc>
      </w:tr>
      <w:tr w:rsidR="005E3093" w:rsidRPr="005E3093" w14:paraId="34921FC8" w14:textId="77777777" w:rsidTr="00003C2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22B53688" w14:textId="77777777" w:rsidR="005E3093" w:rsidRPr="005E3093" w:rsidRDefault="005E3093" w:rsidP="005E3093">
            <w:pPr>
              <w:rPr>
                <w:b/>
                <w:sz w:val="20"/>
                <w:szCs w:val="20"/>
              </w:rPr>
            </w:pPr>
            <w:r w:rsidRPr="005E3093">
              <w:rPr>
                <w:b/>
                <w:sz w:val="20"/>
                <w:szCs w:val="20"/>
              </w:rPr>
              <w:t>Partners In Depression: </w:t>
            </w:r>
          </w:p>
        </w:tc>
        <w:tc>
          <w:tcPr>
            <w:tcW w:w="1964" w:type="pct"/>
            <w:tcBorders>
              <w:top w:val="nil"/>
              <w:left w:val="nil"/>
              <w:bottom w:val="nil"/>
              <w:right w:val="single" w:sz="4" w:space="0" w:color="auto"/>
            </w:tcBorders>
            <w:shd w:val="clear" w:color="auto" w:fill="auto"/>
            <w:vAlign w:val="bottom"/>
            <w:hideMark/>
          </w:tcPr>
          <w:p w14:paraId="1CF9C1F2" w14:textId="77777777" w:rsidR="005E3093" w:rsidRPr="005E3093" w:rsidRDefault="00D03886" w:rsidP="005E3093">
            <w:pPr>
              <w:rPr>
                <w:b/>
                <w:sz w:val="20"/>
                <w:szCs w:val="20"/>
              </w:rPr>
            </w:pPr>
            <w:hyperlink r:id="rId29" w:tgtFrame="_blank" w:history="1">
              <w:r w:rsidR="005E3093" w:rsidRPr="005E3093">
                <w:rPr>
                  <w:b/>
                  <w:sz w:val="20"/>
                  <w:szCs w:val="20"/>
                </w:rPr>
                <w:t>www.partnersindepression.com.au</w:t>
              </w:r>
            </w:hyperlink>
          </w:p>
        </w:tc>
      </w:tr>
      <w:tr w:rsidR="005E3093" w:rsidRPr="005E3093" w14:paraId="19FF42C6" w14:textId="77777777" w:rsidTr="00003C2C">
        <w:trPr>
          <w:trHeight w:val="338"/>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64D9FE57"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An innovative information and support group program for people who love, live with or support someone experiencing depression.</w:t>
            </w:r>
            <w:r w:rsidRPr="005E3093">
              <w:rPr>
                <w:rFonts w:ascii="Arial" w:eastAsia="Times New Roman" w:hAnsi="Arial" w:cs="Arial"/>
                <w:color w:val="0070C0"/>
                <w:sz w:val="18"/>
                <w:szCs w:val="18"/>
                <w:lang w:eastAsia="en-AU"/>
              </w:rPr>
              <w:t> </w:t>
            </w:r>
          </w:p>
        </w:tc>
      </w:tr>
      <w:tr w:rsidR="005E3093" w:rsidRPr="005E3093" w14:paraId="5AF13D5C" w14:textId="77777777" w:rsidTr="005415A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0C41FF71" w14:textId="334A4E52" w:rsidR="005E3093" w:rsidRPr="00003C2C" w:rsidRDefault="005415AB" w:rsidP="00003C2C">
            <w:pPr>
              <w:pStyle w:val="Heading4"/>
              <w:jc w:val="center"/>
            </w:pPr>
            <w:r w:rsidRPr="005E3093">
              <w:t>DRUGS AND SUBSTANCE USE</w:t>
            </w:r>
          </w:p>
        </w:tc>
      </w:tr>
      <w:tr w:rsidR="005E3093" w:rsidRPr="005E3093" w14:paraId="55FBE922" w14:textId="77777777" w:rsidTr="005415A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73CBCBCF" w14:textId="77777777" w:rsidR="005E3093" w:rsidRPr="005E3093" w:rsidRDefault="005E3093" w:rsidP="005E3093">
            <w:pPr>
              <w:rPr>
                <w:b/>
                <w:sz w:val="20"/>
                <w:szCs w:val="20"/>
              </w:rPr>
            </w:pPr>
            <w:r w:rsidRPr="005E3093">
              <w:rPr>
                <w:b/>
                <w:sz w:val="20"/>
                <w:szCs w:val="20"/>
              </w:rPr>
              <w:t>Australian Drug Information Network: </w:t>
            </w:r>
          </w:p>
        </w:tc>
        <w:tc>
          <w:tcPr>
            <w:tcW w:w="1964" w:type="pct"/>
            <w:tcBorders>
              <w:top w:val="nil"/>
              <w:left w:val="nil"/>
              <w:bottom w:val="nil"/>
              <w:right w:val="single" w:sz="4" w:space="0" w:color="auto"/>
            </w:tcBorders>
            <w:shd w:val="clear" w:color="auto" w:fill="auto"/>
            <w:vAlign w:val="bottom"/>
            <w:hideMark/>
          </w:tcPr>
          <w:p w14:paraId="6C56B8C9" w14:textId="77777777" w:rsidR="005E3093" w:rsidRPr="005E3093" w:rsidRDefault="00D03886" w:rsidP="005E3093">
            <w:pPr>
              <w:rPr>
                <w:b/>
                <w:sz w:val="20"/>
                <w:szCs w:val="20"/>
              </w:rPr>
            </w:pPr>
            <w:hyperlink r:id="rId30" w:tgtFrame="_blank" w:history="1">
              <w:r w:rsidR="005E3093" w:rsidRPr="005E3093">
                <w:rPr>
                  <w:b/>
                  <w:sz w:val="20"/>
                  <w:szCs w:val="20"/>
                </w:rPr>
                <w:t>www.adin.com.au</w:t>
              </w:r>
            </w:hyperlink>
          </w:p>
        </w:tc>
      </w:tr>
      <w:tr w:rsidR="005E3093" w:rsidRPr="005E3093" w14:paraId="7302DA0D" w14:textId="77777777" w:rsidTr="00B95D5F">
        <w:trPr>
          <w:trHeight w:val="452"/>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C2BAFC5"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A central point of access to quality internet-based alcohol and drug information provided by prominent organisations in Australia and overseas.</w:t>
            </w:r>
          </w:p>
        </w:tc>
      </w:tr>
      <w:tr w:rsidR="005E3093" w:rsidRPr="005E3093" w14:paraId="45441EE5" w14:textId="77777777" w:rsidTr="00003C2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344F3A24" w14:textId="77777777" w:rsidR="005E3093" w:rsidRPr="005E3093" w:rsidRDefault="005E3093" w:rsidP="005E3093">
            <w:pPr>
              <w:rPr>
                <w:b/>
                <w:sz w:val="20"/>
                <w:szCs w:val="20"/>
              </w:rPr>
            </w:pPr>
            <w:r w:rsidRPr="005E3093">
              <w:rPr>
                <w:b/>
                <w:sz w:val="20"/>
                <w:szCs w:val="20"/>
              </w:rPr>
              <w:t>headspace: </w:t>
            </w:r>
          </w:p>
        </w:tc>
        <w:tc>
          <w:tcPr>
            <w:tcW w:w="1964" w:type="pct"/>
            <w:tcBorders>
              <w:top w:val="nil"/>
              <w:left w:val="nil"/>
              <w:bottom w:val="nil"/>
              <w:right w:val="single" w:sz="4" w:space="0" w:color="auto"/>
            </w:tcBorders>
            <w:shd w:val="clear" w:color="auto" w:fill="auto"/>
            <w:vAlign w:val="bottom"/>
            <w:hideMark/>
          </w:tcPr>
          <w:p w14:paraId="7A590C91" w14:textId="77777777" w:rsidR="005E3093" w:rsidRPr="005E3093" w:rsidRDefault="00D03886" w:rsidP="005E3093">
            <w:pPr>
              <w:rPr>
                <w:b/>
                <w:sz w:val="20"/>
                <w:szCs w:val="20"/>
              </w:rPr>
            </w:pPr>
            <w:hyperlink r:id="rId31" w:tgtFrame="_blank" w:history="1">
              <w:r w:rsidR="005E3093" w:rsidRPr="005E3093">
                <w:rPr>
                  <w:b/>
                  <w:sz w:val="20"/>
                  <w:szCs w:val="20"/>
                </w:rPr>
                <w:t>www.headspace.org.au</w:t>
              </w:r>
            </w:hyperlink>
          </w:p>
        </w:tc>
      </w:tr>
      <w:tr w:rsidR="005E3093" w:rsidRPr="005E3093" w14:paraId="0B81A294" w14:textId="77777777" w:rsidTr="00003C2C">
        <w:trPr>
          <w:trHeight w:val="551"/>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616219B8" w14:textId="77777777" w:rsidR="005E3093" w:rsidRPr="005E3093" w:rsidRDefault="005E3093" w:rsidP="005E3093">
            <w:pPr>
              <w:rPr>
                <w:sz w:val="20"/>
                <w:szCs w:val="20"/>
              </w:rPr>
            </w:pPr>
            <w:r w:rsidRPr="005E3093">
              <w:rPr>
                <w:sz w:val="20"/>
                <w:szCs w:val="20"/>
              </w:rPr>
              <w:t>Information, support and advice for young people 12-25, and their families, on general health; mental health and wellbeing; alcohol and other drugs; education, employment and other services. Centres around Australia provide access to youth-friendly health professionals.</w:t>
            </w:r>
          </w:p>
        </w:tc>
      </w:tr>
      <w:tr w:rsidR="005E3093" w:rsidRPr="005E3093" w14:paraId="736DEA8E" w14:textId="77777777" w:rsidTr="00003C2C">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7C200507" w14:textId="63228EFB" w:rsidR="00E20858" w:rsidRPr="00003C2C" w:rsidRDefault="005415AB" w:rsidP="00E20858">
            <w:pPr>
              <w:jc w:val="center"/>
              <w:rPr>
                <w:b/>
                <w:sz w:val="20"/>
              </w:rPr>
            </w:pPr>
            <w:r w:rsidRPr="005E3093">
              <w:rPr>
                <w:b/>
                <w:sz w:val="20"/>
              </w:rPr>
              <w:t>SUICIDE</w:t>
            </w:r>
          </w:p>
        </w:tc>
      </w:tr>
      <w:tr w:rsidR="005E3093" w:rsidRPr="005E3093" w14:paraId="35860EA8" w14:textId="77777777" w:rsidTr="005415A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5ACC4418" w14:textId="77777777" w:rsidR="005E3093" w:rsidRPr="005E3093" w:rsidRDefault="005E3093" w:rsidP="005E3093">
            <w:pPr>
              <w:rPr>
                <w:b/>
                <w:sz w:val="20"/>
                <w:szCs w:val="20"/>
              </w:rPr>
            </w:pPr>
            <w:r w:rsidRPr="005E3093">
              <w:rPr>
                <w:b/>
                <w:sz w:val="20"/>
                <w:szCs w:val="20"/>
              </w:rPr>
              <w:t>Living Is For Everyone: </w:t>
            </w:r>
          </w:p>
        </w:tc>
        <w:tc>
          <w:tcPr>
            <w:tcW w:w="1964" w:type="pct"/>
            <w:tcBorders>
              <w:top w:val="nil"/>
              <w:left w:val="nil"/>
              <w:bottom w:val="nil"/>
              <w:right w:val="single" w:sz="4" w:space="0" w:color="auto"/>
            </w:tcBorders>
            <w:shd w:val="clear" w:color="auto" w:fill="auto"/>
            <w:vAlign w:val="bottom"/>
            <w:hideMark/>
          </w:tcPr>
          <w:p w14:paraId="695D25F5" w14:textId="77777777" w:rsidR="005E3093" w:rsidRPr="005E3093" w:rsidRDefault="00D03886" w:rsidP="005E3093">
            <w:pPr>
              <w:rPr>
                <w:b/>
                <w:sz w:val="20"/>
                <w:szCs w:val="20"/>
              </w:rPr>
            </w:pPr>
            <w:hyperlink r:id="rId32" w:tgtFrame="_blank" w:history="1">
              <w:r w:rsidR="005E3093" w:rsidRPr="005E3093">
                <w:rPr>
                  <w:b/>
                  <w:sz w:val="20"/>
                  <w:szCs w:val="20"/>
                </w:rPr>
                <w:t>www.livingisforeveryone.com.au</w:t>
              </w:r>
            </w:hyperlink>
          </w:p>
        </w:tc>
      </w:tr>
      <w:tr w:rsidR="005E3093" w:rsidRPr="005E3093" w14:paraId="0C9932C6" w14:textId="77777777" w:rsidTr="00B95D5F">
        <w:trPr>
          <w:trHeight w:val="401"/>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72ED1706"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A world-class suicide and self-harm prevention resource, dedicated to providing the best available evidence and resources. The LIFE website is designed for people across the community who are involved in suicide and self-harm prevention activities.</w:t>
            </w:r>
          </w:p>
        </w:tc>
      </w:tr>
      <w:tr w:rsidR="005E3093" w:rsidRPr="005E3093" w14:paraId="48E4FB20" w14:textId="77777777" w:rsidTr="00003C2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6C3D977D" w14:textId="77777777" w:rsidR="005E3093" w:rsidRPr="005E3093" w:rsidRDefault="005E3093" w:rsidP="005E3093">
            <w:pPr>
              <w:rPr>
                <w:b/>
                <w:sz w:val="20"/>
                <w:szCs w:val="20"/>
              </w:rPr>
            </w:pPr>
            <w:r w:rsidRPr="005E3093">
              <w:rPr>
                <w:b/>
                <w:sz w:val="20"/>
                <w:szCs w:val="20"/>
              </w:rPr>
              <w:t>Reach Out: </w:t>
            </w:r>
          </w:p>
        </w:tc>
        <w:tc>
          <w:tcPr>
            <w:tcW w:w="1964" w:type="pct"/>
            <w:tcBorders>
              <w:top w:val="single" w:sz="4" w:space="0" w:color="auto"/>
              <w:left w:val="nil"/>
              <w:bottom w:val="nil"/>
              <w:right w:val="single" w:sz="4" w:space="0" w:color="auto"/>
            </w:tcBorders>
            <w:shd w:val="clear" w:color="auto" w:fill="auto"/>
            <w:vAlign w:val="bottom"/>
            <w:hideMark/>
          </w:tcPr>
          <w:p w14:paraId="11E99425" w14:textId="77777777" w:rsidR="005E3093" w:rsidRPr="005E3093" w:rsidRDefault="00D03886" w:rsidP="005E3093">
            <w:pPr>
              <w:rPr>
                <w:b/>
                <w:sz w:val="20"/>
                <w:szCs w:val="20"/>
              </w:rPr>
            </w:pPr>
            <w:hyperlink r:id="rId33" w:tgtFrame="_blank" w:history="1">
              <w:r w:rsidR="005E3093" w:rsidRPr="005E3093">
                <w:rPr>
                  <w:b/>
                  <w:sz w:val="20"/>
                  <w:szCs w:val="20"/>
                </w:rPr>
                <w:t>www.au.reachout.com</w:t>
              </w:r>
            </w:hyperlink>
          </w:p>
        </w:tc>
      </w:tr>
      <w:tr w:rsidR="005E3093" w:rsidRPr="005E3093" w14:paraId="1C8551C2" w14:textId="77777777" w:rsidTr="00003C2C">
        <w:trPr>
          <w:trHeight w:val="161"/>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1382D07F" w14:textId="77777777" w:rsidR="005E3093" w:rsidRPr="005E3093" w:rsidRDefault="005E3093" w:rsidP="005E3093">
            <w:pPr>
              <w:rPr>
                <w:sz w:val="20"/>
                <w:szCs w:val="20"/>
              </w:rPr>
            </w:pPr>
            <w:r w:rsidRPr="005E3093">
              <w:rPr>
                <w:sz w:val="20"/>
                <w:szCs w:val="20"/>
              </w:rPr>
              <w:t>A national online youth suicide prevention program, featuring information and resources.</w:t>
            </w:r>
          </w:p>
        </w:tc>
      </w:tr>
      <w:tr w:rsidR="005E3093" w:rsidRPr="005E3093" w14:paraId="44B30E4B" w14:textId="77777777" w:rsidTr="005415A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419E4D1A" w14:textId="77777777" w:rsidR="005E3093" w:rsidRPr="005E3093" w:rsidRDefault="005E3093" w:rsidP="005E3093">
            <w:pPr>
              <w:rPr>
                <w:b/>
                <w:sz w:val="20"/>
                <w:szCs w:val="20"/>
              </w:rPr>
            </w:pPr>
            <w:proofErr w:type="spellStart"/>
            <w:r w:rsidRPr="005E3093">
              <w:rPr>
                <w:b/>
                <w:sz w:val="20"/>
                <w:szCs w:val="20"/>
              </w:rPr>
              <w:t>Mindframe</w:t>
            </w:r>
            <w:proofErr w:type="spellEnd"/>
            <w:r w:rsidRPr="005E3093">
              <w:rPr>
                <w:b/>
                <w:sz w:val="20"/>
                <w:szCs w:val="20"/>
              </w:rPr>
              <w:t>: </w:t>
            </w:r>
          </w:p>
        </w:tc>
        <w:tc>
          <w:tcPr>
            <w:tcW w:w="1964" w:type="pct"/>
            <w:tcBorders>
              <w:top w:val="nil"/>
              <w:left w:val="nil"/>
              <w:bottom w:val="nil"/>
              <w:right w:val="single" w:sz="4" w:space="0" w:color="auto"/>
            </w:tcBorders>
            <w:shd w:val="clear" w:color="auto" w:fill="auto"/>
            <w:vAlign w:val="bottom"/>
            <w:hideMark/>
          </w:tcPr>
          <w:p w14:paraId="7100BF2D" w14:textId="77777777" w:rsidR="005E3093" w:rsidRPr="005E3093" w:rsidRDefault="00D03886" w:rsidP="005E3093">
            <w:pPr>
              <w:rPr>
                <w:b/>
                <w:sz w:val="20"/>
                <w:szCs w:val="20"/>
              </w:rPr>
            </w:pPr>
            <w:hyperlink r:id="rId34" w:tgtFrame="_blank" w:history="1">
              <w:r w:rsidR="005E3093" w:rsidRPr="005E3093">
                <w:rPr>
                  <w:b/>
                  <w:sz w:val="20"/>
                  <w:szCs w:val="20"/>
                </w:rPr>
                <w:t>www.mindframe-media.info</w:t>
              </w:r>
            </w:hyperlink>
          </w:p>
        </w:tc>
      </w:tr>
      <w:tr w:rsidR="005E3093" w:rsidRPr="005E3093" w14:paraId="1AC76F6D" w14:textId="77777777" w:rsidTr="00B95D5F">
        <w:trPr>
          <w:trHeight w:val="396"/>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24383148" w14:textId="77777777" w:rsidR="005E3093" w:rsidRPr="005E3093" w:rsidRDefault="005E3093" w:rsidP="005E3093">
            <w:pPr>
              <w:rPr>
                <w:sz w:val="20"/>
                <w:szCs w:val="20"/>
              </w:rPr>
            </w:pPr>
            <w:r w:rsidRPr="005E3093">
              <w:rPr>
                <w:sz w:val="20"/>
                <w:szCs w:val="20"/>
              </w:rPr>
              <w:t>National initiative to provide information and resources to help the media and entertainment industries report on suicide, mental health and mental illness.</w:t>
            </w:r>
          </w:p>
        </w:tc>
      </w:tr>
      <w:tr w:rsidR="005E3093" w:rsidRPr="005E3093" w14:paraId="37CC7D22" w14:textId="77777777" w:rsidTr="005415A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7D441452" w14:textId="22FA1E12" w:rsidR="005E3093" w:rsidRPr="00003C2C" w:rsidRDefault="005415AB" w:rsidP="00003C2C">
            <w:pPr>
              <w:jc w:val="center"/>
              <w:rPr>
                <w:b/>
                <w:sz w:val="20"/>
              </w:rPr>
            </w:pPr>
            <w:r w:rsidRPr="005E3093">
              <w:rPr>
                <w:b/>
                <w:sz w:val="20"/>
              </w:rPr>
              <w:t>TRAUMA AND GRIEF</w:t>
            </w:r>
          </w:p>
        </w:tc>
      </w:tr>
      <w:tr w:rsidR="005E3093" w:rsidRPr="005E3093" w14:paraId="22EEC7B9" w14:textId="77777777" w:rsidTr="005415A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3AE95832" w14:textId="77777777" w:rsidR="005E3093" w:rsidRPr="005E3093" w:rsidRDefault="005E3093" w:rsidP="005E3093">
            <w:pPr>
              <w:rPr>
                <w:b/>
                <w:sz w:val="20"/>
                <w:szCs w:val="20"/>
              </w:rPr>
            </w:pPr>
            <w:r w:rsidRPr="005E3093">
              <w:rPr>
                <w:b/>
                <w:sz w:val="20"/>
                <w:szCs w:val="20"/>
              </w:rPr>
              <w:t>Australian Centre for Posttraumatic Mental Health: </w:t>
            </w:r>
          </w:p>
        </w:tc>
        <w:tc>
          <w:tcPr>
            <w:tcW w:w="1964" w:type="pct"/>
            <w:tcBorders>
              <w:top w:val="nil"/>
              <w:left w:val="nil"/>
              <w:bottom w:val="nil"/>
              <w:right w:val="single" w:sz="4" w:space="0" w:color="auto"/>
            </w:tcBorders>
            <w:shd w:val="clear" w:color="auto" w:fill="auto"/>
            <w:vAlign w:val="bottom"/>
            <w:hideMark/>
          </w:tcPr>
          <w:p w14:paraId="24E93DA6" w14:textId="77777777" w:rsidR="005E3093" w:rsidRPr="005E3093" w:rsidRDefault="00D03886" w:rsidP="005E3093">
            <w:pPr>
              <w:rPr>
                <w:b/>
                <w:sz w:val="20"/>
                <w:szCs w:val="20"/>
              </w:rPr>
            </w:pPr>
            <w:hyperlink r:id="rId35" w:tgtFrame="_blank" w:history="1">
              <w:r w:rsidR="005E3093" w:rsidRPr="005E3093">
                <w:rPr>
                  <w:b/>
                  <w:sz w:val="20"/>
                  <w:szCs w:val="20"/>
                </w:rPr>
                <w:t>www.acpmh.unimelb.edu.au</w:t>
              </w:r>
            </w:hyperlink>
          </w:p>
        </w:tc>
      </w:tr>
      <w:tr w:rsidR="005E3093" w:rsidRPr="005E3093" w14:paraId="2A06D1F2" w14:textId="77777777" w:rsidTr="00B95D5F">
        <w:trPr>
          <w:trHeight w:val="355"/>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D70C372" w14:textId="77777777" w:rsidR="005E3093" w:rsidRPr="005E3093" w:rsidRDefault="005E3093" w:rsidP="005E3093">
            <w:pPr>
              <w:rPr>
                <w:sz w:val="20"/>
                <w:szCs w:val="20"/>
              </w:rPr>
            </w:pPr>
            <w:r w:rsidRPr="005E3093">
              <w:rPr>
                <w:sz w:val="20"/>
                <w:szCs w:val="20"/>
              </w:rPr>
              <w:t>World-class trauma-related research, policy advice, service development and education. The centre's services help organisations and health professionals who work with people affected by traumatic events.</w:t>
            </w:r>
          </w:p>
        </w:tc>
      </w:tr>
      <w:tr w:rsidR="005E3093" w:rsidRPr="005E3093" w14:paraId="6945C280" w14:textId="77777777" w:rsidTr="00003C2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62B0E91C" w14:textId="77777777" w:rsidR="005E3093" w:rsidRPr="005E3093" w:rsidRDefault="005E3093" w:rsidP="005E3093">
            <w:pPr>
              <w:rPr>
                <w:b/>
                <w:sz w:val="20"/>
                <w:szCs w:val="20"/>
              </w:rPr>
            </w:pPr>
            <w:r w:rsidRPr="005E3093">
              <w:rPr>
                <w:b/>
                <w:sz w:val="20"/>
                <w:szCs w:val="20"/>
              </w:rPr>
              <w:t>Australian Child &amp; Adolescent Trauma, Loss &amp; Grief Network:</w:t>
            </w:r>
          </w:p>
        </w:tc>
        <w:tc>
          <w:tcPr>
            <w:tcW w:w="1964" w:type="pct"/>
            <w:tcBorders>
              <w:top w:val="nil"/>
              <w:left w:val="nil"/>
              <w:bottom w:val="nil"/>
              <w:right w:val="single" w:sz="4" w:space="0" w:color="auto"/>
            </w:tcBorders>
            <w:shd w:val="clear" w:color="auto" w:fill="auto"/>
            <w:vAlign w:val="bottom"/>
            <w:hideMark/>
          </w:tcPr>
          <w:p w14:paraId="37EBB9DA" w14:textId="43BA5B52" w:rsidR="005E3093" w:rsidRPr="005E3093" w:rsidRDefault="00D03886" w:rsidP="005E3093">
            <w:pPr>
              <w:rPr>
                <w:b/>
                <w:sz w:val="20"/>
                <w:szCs w:val="20"/>
              </w:rPr>
            </w:pPr>
            <w:hyperlink r:id="rId36" w:history="1">
              <w:r w:rsidR="00794692" w:rsidRPr="00824BB3">
                <w:rPr>
                  <w:rStyle w:val="Hyperlink"/>
                  <w:b/>
                  <w:sz w:val="20"/>
                  <w:szCs w:val="20"/>
                </w:rPr>
                <w:t>www.earlytraumagrief.anu.edu.au</w:t>
              </w:r>
            </w:hyperlink>
          </w:p>
        </w:tc>
      </w:tr>
      <w:tr w:rsidR="005E3093" w:rsidRPr="005E3093" w14:paraId="1EB80096" w14:textId="77777777" w:rsidTr="00003C2C">
        <w:trPr>
          <w:trHeight w:val="336"/>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4438E54"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Resources and information for anyone involved in the care of children and youth and interested in the potential impact of trauma, loss and grief experiences.</w:t>
            </w:r>
          </w:p>
        </w:tc>
      </w:tr>
    </w:tbl>
    <w:p w14:paraId="70BD529C" w14:textId="0105FABB" w:rsidR="00003C2C" w:rsidRDefault="00003C2C"/>
    <w:tbl>
      <w:tblPr>
        <w:tblW w:w="5000" w:type="pct"/>
        <w:tblLook w:val="04A0" w:firstRow="1" w:lastRow="0" w:firstColumn="1" w:lastColumn="0" w:noHBand="0" w:noVBand="1"/>
      </w:tblPr>
      <w:tblGrid>
        <w:gridCol w:w="5521"/>
        <w:gridCol w:w="3489"/>
      </w:tblGrid>
      <w:tr w:rsidR="005E3093" w:rsidRPr="005E3093" w14:paraId="419F5494" w14:textId="77777777" w:rsidTr="005415AB">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6ECEB2"/>
            <w:vAlign w:val="center"/>
            <w:hideMark/>
          </w:tcPr>
          <w:p w14:paraId="37C953C4" w14:textId="2582C756" w:rsidR="005E3093" w:rsidRPr="00003C2C" w:rsidRDefault="005415AB" w:rsidP="00003C2C">
            <w:pPr>
              <w:jc w:val="center"/>
              <w:rPr>
                <w:b/>
                <w:sz w:val="20"/>
              </w:rPr>
            </w:pPr>
            <w:r w:rsidRPr="005E3093">
              <w:rPr>
                <w:b/>
                <w:sz w:val="20"/>
              </w:rPr>
              <w:t>OTHER RESOURCES</w:t>
            </w:r>
          </w:p>
        </w:tc>
      </w:tr>
      <w:tr w:rsidR="005E3093" w:rsidRPr="005E3093" w14:paraId="55C7C4CA" w14:textId="77777777" w:rsidTr="00003C2C">
        <w:trPr>
          <w:trHeight w:val="300"/>
        </w:trPr>
        <w:tc>
          <w:tcPr>
            <w:tcW w:w="3064" w:type="pct"/>
            <w:tcBorders>
              <w:top w:val="single" w:sz="4" w:space="0" w:color="auto"/>
              <w:left w:val="single" w:sz="4" w:space="0" w:color="auto"/>
              <w:bottom w:val="nil"/>
              <w:right w:val="nil"/>
            </w:tcBorders>
            <w:shd w:val="clear" w:color="auto" w:fill="auto"/>
            <w:vAlign w:val="bottom"/>
            <w:hideMark/>
          </w:tcPr>
          <w:p w14:paraId="187C8B75" w14:textId="77777777" w:rsidR="005E3093" w:rsidRPr="005E3093" w:rsidRDefault="005E3093" w:rsidP="005E3093">
            <w:pPr>
              <w:rPr>
                <w:b/>
                <w:sz w:val="20"/>
                <w:szCs w:val="20"/>
              </w:rPr>
            </w:pPr>
            <w:r w:rsidRPr="005E3093">
              <w:rPr>
                <w:b/>
                <w:sz w:val="20"/>
                <w:szCs w:val="20"/>
              </w:rPr>
              <w:t>Australian Pain Society </w:t>
            </w:r>
          </w:p>
        </w:tc>
        <w:tc>
          <w:tcPr>
            <w:tcW w:w="1936" w:type="pct"/>
            <w:tcBorders>
              <w:top w:val="nil"/>
              <w:left w:val="nil"/>
              <w:bottom w:val="nil"/>
              <w:right w:val="single" w:sz="4" w:space="0" w:color="auto"/>
            </w:tcBorders>
            <w:shd w:val="clear" w:color="auto" w:fill="auto"/>
            <w:vAlign w:val="bottom"/>
            <w:hideMark/>
          </w:tcPr>
          <w:p w14:paraId="7CFECB3C" w14:textId="77777777" w:rsidR="005E3093" w:rsidRPr="005E3093" w:rsidRDefault="00D03886" w:rsidP="005E3093">
            <w:pPr>
              <w:rPr>
                <w:b/>
                <w:sz w:val="20"/>
                <w:szCs w:val="20"/>
              </w:rPr>
            </w:pPr>
            <w:hyperlink r:id="rId37" w:tgtFrame="_blank" w:history="1">
              <w:r w:rsidR="005E3093" w:rsidRPr="005E3093">
                <w:rPr>
                  <w:b/>
                  <w:sz w:val="20"/>
                  <w:szCs w:val="20"/>
                </w:rPr>
                <w:t>www.apsoc.org.au</w:t>
              </w:r>
            </w:hyperlink>
          </w:p>
        </w:tc>
      </w:tr>
      <w:tr w:rsidR="005E3093" w:rsidRPr="005E3093" w14:paraId="75CED65F" w14:textId="77777777" w:rsidTr="00B95D5F">
        <w:trPr>
          <w:trHeight w:val="415"/>
        </w:trPr>
        <w:tc>
          <w:tcPr>
            <w:tcW w:w="5000" w:type="pct"/>
            <w:gridSpan w:val="2"/>
            <w:tcBorders>
              <w:top w:val="nil"/>
              <w:left w:val="single" w:sz="4" w:space="0" w:color="auto"/>
              <w:bottom w:val="single" w:sz="4" w:space="0" w:color="auto"/>
              <w:right w:val="single" w:sz="4" w:space="0" w:color="000000"/>
            </w:tcBorders>
            <w:shd w:val="clear" w:color="auto" w:fill="auto"/>
            <w:vAlign w:val="bottom"/>
            <w:hideMark/>
          </w:tcPr>
          <w:p w14:paraId="6BD56D4B"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An organisation featuring representatives of many medical specialties such as dentistry, psychology, nursing and general practice, the society aims to relieve pain and related suffering through education, research and public advocacy.</w:t>
            </w:r>
          </w:p>
        </w:tc>
      </w:tr>
      <w:tr w:rsidR="005E3093" w:rsidRPr="005E3093" w14:paraId="38CDA74C" w14:textId="77777777" w:rsidTr="00003C2C">
        <w:trPr>
          <w:trHeight w:val="300"/>
        </w:trPr>
        <w:tc>
          <w:tcPr>
            <w:tcW w:w="3064" w:type="pct"/>
            <w:tcBorders>
              <w:top w:val="single" w:sz="4" w:space="0" w:color="auto"/>
              <w:left w:val="single" w:sz="4" w:space="0" w:color="auto"/>
              <w:bottom w:val="nil"/>
              <w:right w:val="nil"/>
            </w:tcBorders>
            <w:shd w:val="clear" w:color="auto" w:fill="auto"/>
            <w:vAlign w:val="bottom"/>
            <w:hideMark/>
          </w:tcPr>
          <w:p w14:paraId="1B02EBBB" w14:textId="77777777" w:rsidR="005E3093" w:rsidRPr="005E3093" w:rsidRDefault="005E3093" w:rsidP="005E3093">
            <w:pPr>
              <w:rPr>
                <w:b/>
                <w:sz w:val="20"/>
                <w:szCs w:val="20"/>
              </w:rPr>
            </w:pPr>
            <w:r w:rsidRPr="005E3093">
              <w:rPr>
                <w:b/>
                <w:sz w:val="20"/>
                <w:szCs w:val="20"/>
              </w:rPr>
              <w:t>Beacon: </w:t>
            </w:r>
          </w:p>
        </w:tc>
        <w:tc>
          <w:tcPr>
            <w:tcW w:w="1936" w:type="pct"/>
            <w:tcBorders>
              <w:top w:val="nil"/>
              <w:left w:val="nil"/>
              <w:bottom w:val="nil"/>
              <w:right w:val="single" w:sz="4" w:space="0" w:color="auto"/>
            </w:tcBorders>
            <w:shd w:val="clear" w:color="auto" w:fill="auto"/>
            <w:vAlign w:val="bottom"/>
            <w:hideMark/>
          </w:tcPr>
          <w:p w14:paraId="5A1A2A17" w14:textId="77777777" w:rsidR="005E3093" w:rsidRPr="005E3093" w:rsidRDefault="00D03886" w:rsidP="005E3093">
            <w:pPr>
              <w:rPr>
                <w:b/>
                <w:sz w:val="20"/>
                <w:szCs w:val="20"/>
              </w:rPr>
            </w:pPr>
            <w:hyperlink r:id="rId38" w:tgtFrame="_blank" w:history="1">
              <w:r w:rsidR="005E3093" w:rsidRPr="005E3093">
                <w:rPr>
                  <w:b/>
                  <w:sz w:val="20"/>
                  <w:szCs w:val="20"/>
                </w:rPr>
                <w:t>www.beacon.anu.edu.au</w:t>
              </w:r>
            </w:hyperlink>
          </w:p>
        </w:tc>
      </w:tr>
      <w:tr w:rsidR="005E3093" w:rsidRPr="005E3093" w14:paraId="10A6AD82" w14:textId="77777777" w:rsidTr="00003C2C">
        <w:trPr>
          <w:trHeight w:val="431"/>
        </w:trPr>
        <w:tc>
          <w:tcPr>
            <w:tcW w:w="5000" w:type="pct"/>
            <w:gridSpan w:val="2"/>
            <w:tcBorders>
              <w:top w:val="nil"/>
              <w:left w:val="single" w:sz="4" w:space="0" w:color="auto"/>
              <w:bottom w:val="single" w:sz="4" w:space="0" w:color="auto"/>
              <w:right w:val="single" w:sz="4" w:space="0" w:color="000000"/>
            </w:tcBorders>
            <w:shd w:val="clear" w:color="auto" w:fill="auto"/>
            <w:vAlign w:val="bottom"/>
            <w:hideMark/>
          </w:tcPr>
          <w:p w14:paraId="4497DA83" w14:textId="77777777" w:rsidR="005E3093" w:rsidRPr="005E3093" w:rsidRDefault="005E3093" w:rsidP="005E3093">
            <w:pPr>
              <w:rPr>
                <w:rFonts w:ascii="Arial" w:eastAsia="Times New Roman" w:hAnsi="Arial" w:cs="Arial"/>
                <w:color w:val="0070C0"/>
                <w:sz w:val="18"/>
                <w:szCs w:val="18"/>
                <w:lang w:eastAsia="en-AU"/>
              </w:rPr>
            </w:pPr>
            <w:r w:rsidRPr="005E3093">
              <w:rPr>
                <w:sz w:val="20"/>
                <w:szCs w:val="20"/>
              </w:rPr>
              <w:t>Provides consumers and professionals with information about e-health online programs for mental health and physical health disorders. Websites throughout the world are reviewed and ranked by a panel of health experts and by consumers.</w:t>
            </w:r>
          </w:p>
        </w:tc>
      </w:tr>
      <w:tr w:rsidR="005E3093" w:rsidRPr="005E3093" w14:paraId="7DE2DEF3" w14:textId="77777777" w:rsidTr="00003C2C">
        <w:trPr>
          <w:trHeight w:val="300"/>
        </w:trPr>
        <w:tc>
          <w:tcPr>
            <w:tcW w:w="3064" w:type="pct"/>
            <w:tcBorders>
              <w:top w:val="single" w:sz="4" w:space="0" w:color="auto"/>
              <w:left w:val="single" w:sz="4" w:space="0" w:color="auto"/>
              <w:bottom w:val="nil"/>
              <w:right w:val="nil"/>
            </w:tcBorders>
            <w:shd w:val="clear" w:color="auto" w:fill="auto"/>
            <w:vAlign w:val="bottom"/>
            <w:hideMark/>
          </w:tcPr>
          <w:p w14:paraId="655B0680" w14:textId="77777777" w:rsidR="005E3093" w:rsidRPr="005E3093" w:rsidRDefault="005E3093" w:rsidP="005E3093">
            <w:pPr>
              <w:rPr>
                <w:b/>
                <w:sz w:val="20"/>
                <w:szCs w:val="20"/>
              </w:rPr>
            </w:pPr>
            <w:r w:rsidRPr="005E3093">
              <w:rPr>
                <w:b/>
                <w:sz w:val="20"/>
                <w:szCs w:val="20"/>
              </w:rPr>
              <w:t>Mental Health in Multicultural Australia: </w:t>
            </w:r>
          </w:p>
        </w:tc>
        <w:tc>
          <w:tcPr>
            <w:tcW w:w="1936" w:type="pct"/>
            <w:tcBorders>
              <w:top w:val="nil"/>
              <w:left w:val="nil"/>
              <w:bottom w:val="nil"/>
              <w:right w:val="single" w:sz="4" w:space="0" w:color="auto"/>
            </w:tcBorders>
            <w:shd w:val="clear" w:color="auto" w:fill="auto"/>
            <w:vAlign w:val="bottom"/>
            <w:hideMark/>
          </w:tcPr>
          <w:p w14:paraId="70155821" w14:textId="77777777" w:rsidR="005E3093" w:rsidRPr="005E3093" w:rsidRDefault="00D03886" w:rsidP="005E3093">
            <w:pPr>
              <w:rPr>
                <w:b/>
                <w:sz w:val="20"/>
                <w:szCs w:val="20"/>
              </w:rPr>
            </w:pPr>
            <w:hyperlink r:id="rId39" w:tgtFrame="_blank" w:history="1">
              <w:r w:rsidR="005E3093" w:rsidRPr="005E3093">
                <w:rPr>
                  <w:b/>
                  <w:sz w:val="20"/>
                  <w:szCs w:val="20"/>
                </w:rPr>
                <w:t>www.mhima.org.au</w:t>
              </w:r>
            </w:hyperlink>
          </w:p>
        </w:tc>
      </w:tr>
      <w:tr w:rsidR="005E3093" w:rsidRPr="005E3093" w14:paraId="46346EB1" w14:textId="77777777" w:rsidTr="00B95D5F">
        <w:trPr>
          <w:trHeight w:val="347"/>
        </w:trPr>
        <w:tc>
          <w:tcPr>
            <w:tcW w:w="5000" w:type="pct"/>
            <w:gridSpan w:val="2"/>
            <w:tcBorders>
              <w:top w:val="nil"/>
              <w:left w:val="single" w:sz="4" w:space="0" w:color="auto"/>
              <w:bottom w:val="single" w:sz="4" w:space="0" w:color="auto"/>
              <w:right w:val="single" w:sz="4" w:space="0" w:color="000000"/>
            </w:tcBorders>
            <w:shd w:val="clear" w:color="auto" w:fill="auto"/>
            <w:vAlign w:val="bottom"/>
            <w:hideMark/>
          </w:tcPr>
          <w:p w14:paraId="038FFEF3" w14:textId="500EA158" w:rsidR="005E3093" w:rsidRPr="005E3093" w:rsidRDefault="005E3093" w:rsidP="005E3093">
            <w:pPr>
              <w:rPr>
                <w:rFonts w:ascii="Arial" w:eastAsia="Times New Roman" w:hAnsi="Arial" w:cs="Arial"/>
                <w:color w:val="0070C0"/>
                <w:sz w:val="18"/>
                <w:szCs w:val="18"/>
                <w:lang w:eastAsia="en-AU"/>
              </w:rPr>
            </w:pPr>
            <w:r w:rsidRPr="005E3093">
              <w:rPr>
                <w:sz w:val="20"/>
                <w:szCs w:val="20"/>
              </w:rPr>
              <w:t>An organisation linking a range of state and territory mental health specialists and services, advocacy groups and tertiary institutions to promote the mental health and wellbeing of Australia's diverse communities.</w:t>
            </w:r>
          </w:p>
        </w:tc>
      </w:tr>
      <w:tr w:rsidR="005E3093" w:rsidRPr="005E3093" w14:paraId="48BAB3F9" w14:textId="77777777" w:rsidTr="00003C2C">
        <w:trPr>
          <w:trHeight w:val="300"/>
        </w:trPr>
        <w:tc>
          <w:tcPr>
            <w:tcW w:w="3064" w:type="pct"/>
            <w:tcBorders>
              <w:top w:val="single" w:sz="4" w:space="0" w:color="auto"/>
              <w:left w:val="single" w:sz="4" w:space="0" w:color="auto"/>
              <w:bottom w:val="nil"/>
              <w:right w:val="nil"/>
            </w:tcBorders>
            <w:shd w:val="clear" w:color="auto" w:fill="auto"/>
            <w:vAlign w:val="bottom"/>
            <w:hideMark/>
          </w:tcPr>
          <w:p w14:paraId="648761E7" w14:textId="77777777" w:rsidR="005E3093" w:rsidRPr="005E3093" w:rsidRDefault="005E3093" w:rsidP="005E3093">
            <w:pPr>
              <w:rPr>
                <w:b/>
                <w:sz w:val="20"/>
                <w:szCs w:val="20"/>
              </w:rPr>
            </w:pPr>
            <w:r w:rsidRPr="005E3093">
              <w:rPr>
                <w:b/>
                <w:sz w:val="20"/>
                <w:szCs w:val="20"/>
              </w:rPr>
              <w:t>Carers Australia: </w:t>
            </w:r>
          </w:p>
        </w:tc>
        <w:tc>
          <w:tcPr>
            <w:tcW w:w="1936" w:type="pct"/>
            <w:tcBorders>
              <w:top w:val="nil"/>
              <w:left w:val="nil"/>
              <w:bottom w:val="nil"/>
              <w:right w:val="single" w:sz="4" w:space="0" w:color="auto"/>
            </w:tcBorders>
            <w:shd w:val="clear" w:color="auto" w:fill="auto"/>
            <w:vAlign w:val="bottom"/>
            <w:hideMark/>
          </w:tcPr>
          <w:p w14:paraId="38C3C072" w14:textId="77777777" w:rsidR="005E3093" w:rsidRPr="005E3093" w:rsidRDefault="00D03886" w:rsidP="005E3093">
            <w:pPr>
              <w:rPr>
                <w:b/>
                <w:sz w:val="20"/>
                <w:szCs w:val="20"/>
              </w:rPr>
            </w:pPr>
            <w:hyperlink r:id="rId40" w:tgtFrame="_blank" w:history="1">
              <w:r w:rsidR="005E3093" w:rsidRPr="005E3093">
                <w:rPr>
                  <w:b/>
                  <w:sz w:val="20"/>
                  <w:szCs w:val="20"/>
                </w:rPr>
                <w:t>www.carersaustralia.com.au</w:t>
              </w:r>
            </w:hyperlink>
          </w:p>
        </w:tc>
      </w:tr>
      <w:tr w:rsidR="005E3093" w:rsidRPr="005E3093" w14:paraId="6D9E3305" w14:textId="77777777" w:rsidTr="00003C2C">
        <w:trPr>
          <w:trHeight w:val="344"/>
        </w:trPr>
        <w:tc>
          <w:tcPr>
            <w:tcW w:w="5000" w:type="pct"/>
            <w:gridSpan w:val="2"/>
            <w:tcBorders>
              <w:top w:val="nil"/>
              <w:left w:val="single" w:sz="4" w:space="0" w:color="auto"/>
              <w:bottom w:val="single" w:sz="4" w:space="0" w:color="auto"/>
              <w:right w:val="single" w:sz="4" w:space="0" w:color="000000"/>
            </w:tcBorders>
            <w:shd w:val="clear" w:color="auto" w:fill="auto"/>
            <w:vAlign w:val="bottom"/>
            <w:hideMark/>
          </w:tcPr>
          <w:p w14:paraId="3D973A23" w14:textId="77777777" w:rsidR="005E3093" w:rsidRPr="005E3093" w:rsidRDefault="005E3093" w:rsidP="005E3093">
            <w:pPr>
              <w:rPr>
                <w:sz w:val="20"/>
                <w:szCs w:val="20"/>
              </w:rPr>
            </w:pPr>
            <w:r w:rsidRPr="005E3093">
              <w:rPr>
                <w:sz w:val="20"/>
                <w:szCs w:val="20"/>
              </w:rPr>
              <w:t>The national carer organisation that works to promote the recognition of the important role of carers and to empower carers so that they will be better informed and resourced.</w:t>
            </w:r>
          </w:p>
        </w:tc>
      </w:tr>
      <w:tr w:rsidR="005E3093" w:rsidRPr="005E3093" w14:paraId="3B3F4728" w14:textId="77777777" w:rsidTr="00003C2C">
        <w:trPr>
          <w:trHeight w:val="300"/>
        </w:trPr>
        <w:tc>
          <w:tcPr>
            <w:tcW w:w="3064" w:type="pct"/>
            <w:tcBorders>
              <w:top w:val="single" w:sz="4" w:space="0" w:color="auto"/>
              <w:left w:val="single" w:sz="4" w:space="0" w:color="auto"/>
              <w:bottom w:val="nil"/>
              <w:right w:val="nil"/>
            </w:tcBorders>
            <w:shd w:val="clear" w:color="auto" w:fill="auto"/>
            <w:vAlign w:val="bottom"/>
            <w:hideMark/>
          </w:tcPr>
          <w:p w14:paraId="69182CA4" w14:textId="77777777" w:rsidR="005E3093" w:rsidRPr="005E3093" w:rsidRDefault="005E3093" w:rsidP="005E3093">
            <w:pPr>
              <w:rPr>
                <w:b/>
                <w:sz w:val="20"/>
                <w:szCs w:val="20"/>
              </w:rPr>
            </w:pPr>
            <w:r w:rsidRPr="005E3093">
              <w:rPr>
                <w:b/>
                <w:sz w:val="20"/>
                <w:szCs w:val="20"/>
              </w:rPr>
              <w:t>National Rural Health Alliance: </w:t>
            </w:r>
          </w:p>
        </w:tc>
        <w:tc>
          <w:tcPr>
            <w:tcW w:w="1936" w:type="pct"/>
            <w:tcBorders>
              <w:top w:val="nil"/>
              <w:left w:val="nil"/>
              <w:bottom w:val="nil"/>
              <w:right w:val="single" w:sz="4" w:space="0" w:color="auto"/>
            </w:tcBorders>
            <w:shd w:val="clear" w:color="auto" w:fill="auto"/>
            <w:vAlign w:val="bottom"/>
            <w:hideMark/>
          </w:tcPr>
          <w:p w14:paraId="5F758A16" w14:textId="77777777" w:rsidR="005E3093" w:rsidRPr="005E3093" w:rsidRDefault="005E3093" w:rsidP="005E3093">
            <w:pPr>
              <w:rPr>
                <w:b/>
                <w:sz w:val="20"/>
                <w:szCs w:val="20"/>
              </w:rPr>
            </w:pPr>
            <w:r w:rsidRPr="005E3093">
              <w:rPr>
                <w:b/>
                <w:sz w:val="20"/>
                <w:szCs w:val="20"/>
              </w:rPr>
              <w:t>www.ruralhealth.org.au</w:t>
            </w:r>
          </w:p>
        </w:tc>
      </w:tr>
      <w:tr w:rsidR="005E3093" w:rsidRPr="005E3093" w14:paraId="72FD7B18" w14:textId="77777777" w:rsidTr="00B95D5F">
        <w:trPr>
          <w:trHeight w:val="75"/>
        </w:trPr>
        <w:tc>
          <w:tcPr>
            <w:tcW w:w="5000" w:type="pct"/>
            <w:gridSpan w:val="2"/>
            <w:tcBorders>
              <w:top w:val="nil"/>
              <w:left w:val="single" w:sz="4" w:space="0" w:color="auto"/>
              <w:bottom w:val="single" w:sz="4" w:space="0" w:color="auto"/>
              <w:right w:val="single" w:sz="4" w:space="0" w:color="000000"/>
            </w:tcBorders>
            <w:shd w:val="clear" w:color="auto" w:fill="auto"/>
            <w:vAlign w:val="bottom"/>
            <w:hideMark/>
          </w:tcPr>
          <w:p w14:paraId="0599A938" w14:textId="77777777" w:rsidR="005E3093" w:rsidRPr="005E3093" w:rsidRDefault="005E3093" w:rsidP="005E3093">
            <w:pPr>
              <w:rPr>
                <w:sz w:val="20"/>
                <w:szCs w:val="20"/>
              </w:rPr>
            </w:pPr>
            <w:r w:rsidRPr="005E3093">
              <w:rPr>
                <w:sz w:val="20"/>
                <w:szCs w:val="20"/>
              </w:rPr>
              <w:t>A national body working to improve the health of Australians living in rural and remote areas.</w:t>
            </w:r>
          </w:p>
        </w:tc>
      </w:tr>
    </w:tbl>
    <w:p w14:paraId="0A58EB96" w14:textId="77777777" w:rsidR="000D2573" w:rsidRPr="000D2573" w:rsidRDefault="000D2573" w:rsidP="000D2573"/>
    <w:p w14:paraId="2CCF7048" w14:textId="07BE3BD3" w:rsidR="00D93503" w:rsidRPr="009D7396" w:rsidRDefault="00D93503" w:rsidP="000768CB">
      <w:pPr>
        <w:pStyle w:val="ListNumber2"/>
        <w:numPr>
          <w:ilvl w:val="0"/>
          <w:numId w:val="0"/>
        </w:numPr>
      </w:pPr>
    </w:p>
    <w:sectPr w:rsidR="00D93503" w:rsidRPr="009D7396" w:rsidSect="009D7396">
      <w:headerReference w:type="default" r:id="rId41"/>
      <w:footerReference w:type="even" r:id="rId42"/>
      <w:footerReference w:type="default" r:id="rId43"/>
      <w:headerReference w:type="first" r:id="rId44"/>
      <w:pgSz w:w="11900"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3A99" w14:textId="77777777" w:rsidR="00D03886" w:rsidRDefault="00D03886" w:rsidP="00C24CFB">
      <w:r>
        <w:separator/>
      </w:r>
    </w:p>
  </w:endnote>
  <w:endnote w:type="continuationSeparator" w:id="0">
    <w:p w14:paraId="4AA3ACBA" w14:textId="77777777" w:rsidR="00D03886" w:rsidRDefault="00D03886" w:rsidP="00C24CFB">
      <w:r>
        <w:continuationSeparator/>
      </w:r>
    </w:p>
  </w:endnote>
  <w:endnote w:type="continuationNotice" w:id="1">
    <w:p w14:paraId="4B685176" w14:textId="77777777" w:rsidR="00D03886" w:rsidRDefault="00D03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B8EA" w14:textId="77777777" w:rsidR="00B95D5F" w:rsidRDefault="00B95D5F" w:rsidP="00B95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80A92" w14:textId="77777777" w:rsidR="00B95D5F" w:rsidRDefault="00B95D5F" w:rsidP="006D2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A94C" w14:textId="49F49868" w:rsidR="00B95D5F" w:rsidRPr="003A2089" w:rsidRDefault="00B95D5F" w:rsidP="00B95D5F">
    <w:pPr>
      <w:pStyle w:val="Footer"/>
      <w:framePr w:wrap="none" w:vAnchor="text" w:hAnchor="margin" w:xAlign="right" w:y="1"/>
      <w:rPr>
        <w:rStyle w:val="PageNumber"/>
      </w:rPr>
    </w:pPr>
    <w:r w:rsidRPr="003A2089">
      <w:rPr>
        <w:rStyle w:val="PageNumber"/>
      </w:rPr>
      <w:fldChar w:fldCharType="begin"/>
    </w:r>
    <w:r w:rsidRPr="003A2089">
      <w:rPr>
        <w:rStyle w:val="PageNumber"/>
      </w:rPr>
      <w:instrText xml:space="preserve">PAGE  </w:instrText>
    </w:r>
    <w:r w:rsidRPr="003A2089">
      <w:rPr>
        <w:rStyle w:val="PageNumber"/>
      </w:rPr>
      <w:fldChar w:fldCharType="separate"/>
    </w:r>
    <w:r w:rsidR="00DD78AE">
      <w:rPr>
        <w:rStyle w:val="PageNumber"/>
        <w:noProof/>
      </w:rPr>
      <w:t>11</w:t>
    </w:r>
    <w:r w:rsidRPr="003A2089">
      <w:rPr>
        <w:rStyle w:val="PageNumber"/>
      </w:rPr>
      <w:fldChar w:fldCharType="end"/>
    </w:r>
  </w:p>
  <w:p w14:paraId="2F3890D4" w14:textId="77777777" w:rsidR="00B95D5F" w:rsidRDefault="00B95D5F" w:rsidP="006D2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C9311" w14:textId="77777777" w:rsidR="00D03886" w:rsidRDefault="00D03886" w:rsidP="00C24CFB">
      <w:r>
        <w:separator/>
      </w:r>
    </w:p>
  </w:footnote>
  <w:footnote w:type="continuationSeparator" w:id="0">
    <w:p w14:paraId="1E5ACC46" w14:textId="77777777" w:rsidR="00D03886" w:rsidRDefault="00D03886" w:rsidP="00C24CFB">
      <w:r>
        <w:continuationSeparator/>
      </w:r>
    </w:p>
  </w:footnote>
  <w:footnote w:type="continuationNotice" w:id="1">
    <w:p w14:paraId="79FA9FE7" w14:textId="77777777" w:rsidR="00D03886" w:rsidRDefault="00D038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6935" w14:textId="77777777" w:rsidR="00B95D5F" w:rsidRPr="00E26AEC" w:rsidRDefault="00B95D5F" w:rsidP="00E26AEC">
    <w:pPr>
      <w:pStyle w:val="Header"/>
    </w:pPr>
    <w:r>
      <w:rPr>
        <w:noProof/>
        <w:lang w:eastAsia="en-AU"/>
      </w:rPr>
      <w:drawing>
        <wp:anchor distT="0" distB="0" distL="114300" distR="114300" simplePos="0" relativeHeight="251658241" behindDoc="1" locked="0" layoutInCell="1" allowOverlap="1" wp14:anchorId="42F25A13" wp14:editId="71690F06">
          <wp:simplePos x="0" y="0"/>
          <wp:positionH relativeFrom="page">
            <wp:align>center</wp:align>
          </wp:positionH>
          <wp:positionV relativeFrom="page">
            <wp:align>center</wp:align>
          </wp:positionV>
          <wp:extent cx="7555719" cy="10691999"/>
          <wp:effectExtent l="0" t="0" r="7620" b="0"/>
          <wp:wrapNone/>
          <wp:docPr id="2" name="Picture 2" descr="page logo design" title="page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71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07AE" w14:textId="4832168F" w:rsidR="00B95D5F" w:rsidRDefault="00B95D5F">
    <w:pPr>
      <w:pStyle w:val="Header"/>
    </w:pPr>
    <w:r>
      <w:rPr>
        <w:noProof/>
        <w:lang w:eastAsia="en-AU"/>
      </w:rPr>
      <w:drawing>
        <wp:anchor distT="0" distB="0" distL="114300" distR="114300" simplePos="0" relativeHeight="251658240" behindDoc="1" locked="0" layoutInCell="1" allowOverlap="1" wp14:anchorId="659C4EDC" wp14:editId="29B28F93">
          <wp:simplePos x="0" y="0"/>
          <wp:positionH relativeFrom="page">
            <wp:align>center</wp:align>
          </wp:positionH>
          <wp:positionV relativeFrom="page">
            <wp:align>center</wp:align>
          </wp:positionV>
          <wp:extent cx="7555865" cy="10691495"/>
          <wp:effectExtent l="0" t="0" r="6985" b="0"/>
          <wp:wrapNone/>
          <wp:docPr id="3" name="Picture 3" descr="page logo design" title="page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720"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765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8AC8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5EC0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D49BE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BC246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584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E405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DC2C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C62DE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467C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1E88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0D3D5E"/>
    <w:multiLevelType w:val="hybridMultilevel"/>
    <w:tmpl w:val="0DEA2E58"/>
    <w:lvl w:ilvl="0" w:tplc="6150D8DE">
      <w:start w:val="1"/>
      <w:numFmt w:val="bullet"/>
      <w:pStyle w:val="List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12" w15:restartNumberingAfterBreak="0">
    <w:nsid w:val="2E4B3E20"/>
    <w:multiLevelType w:val="hybridMultilevel"/>
    <w:tmpl w:val="2CCCF5FE"/>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943263"/>
    <w:multiLevelType w:val="hybridMultilevel"/>
    <w:tmpl w:val="94A86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976F9F"/>
    <w:multiLevelType w:val="hybridMultilevel"/>
    <w:tmpl w:val="E3445404"/>
    <w:lvl w:ilvl="0" w:tplc="8F289E76">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8D0090E"/>
    <w:multiLevelType w:val="hybridMultilevel"/>
    <w:tmpl w:val="5A6C3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8E16B3"/>
    <w:multiLevelType w:val="hybridMultilevel"/>
    <w:tmpl w:val="17DC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B0400E"/>
    <w:multiLevelType w:val="hybridMultilevel"/>
    <w:tmpl w:val="F17A725C"/>
    <w:lvl w:ilvl="0" w:tplc="C9764924">
      <w:start w:val="1"/>
      <w:numFmt w:val="decimal"/>
      <w:pStyle w:val="ListNumb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5C241FD8"/>
    <w:multiLevelType w:val="hybridMultilevel"/>
    <w:tmpl w:val="B238ADE4"/>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E6119B"/>
    <w:multiLevelType w:val="hybridMultilevel"/>
    <w:tmpl w:val="58DC89FE"/>
    <w:lvl w:ilvl="0" w:tplc="8F289E76">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4793ADF"/>
    <w:multiLevelType w:val="hybridMultilevel"/>
    <w:tmpl w:val="37D8E7B0"/>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B857FF"/>
    <w:multiLevelType w:val="hybridMultilevel"/>
    <w:tmpl w:val="12AC9A38"/>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53195E"/>
    <w:multiLevelType w:val="hybridMultilevel"/>
    <w:tmpl w:val="9E6C37E2"/>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4"/>
  </w:num>
  <w:num w:numId="15">
    <w:abstractNumId w:val="16"/>
  </w:num>
  <w:num w:numId="16">
    <w:abstractNumId w:val="12"/>
  </w:num>
  <w:num w:numId="17">
    <w:abstractNumId w:val="13"/>
  </w:num>
  <w:num w:numId="18">
    <w:abstractNumId w:val="23"/>
  </w:num>
  <w:num w:numId="19">
    <w:abstractNumId w:val="20"/>
  </w:num>
  <w:num w:numId="20">
    <w:abstractNumId w:val="15"/>
  </w:num>
  <w:num w:numId="21">
    <w:abstractNumId w:val="19"/>
  </w:num>
  <w:num w:numId="22">
    <w:abstractNumId w:val="21"/>
  </w:num>
  <w:num w:numId="23">
    <w:abstractNumId w:val="22"/>
  </w:num>
  <w:num w:numId="24">
    <w:abstractNumId w:val="18"/>
  </w:num>
  <w:num w:numId="25">
    <w:abstractNumId w:val="17"/>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7F"/>
    <w:rsid w:val="00003C2C"/>
    <w:rsid w:val="000528A8"/>
    <w:rsid w:val="000768CB"/>
    <w:rsid w:val="00080E89"/>
    <w:rsid w:val="00084AC1"/>
    <w:rsid w:val="000D2573"/>
    <w:rsid w:val="000E5C97"/>
    <w:rsid w:val="00184F70"/>
    <w:rsid w:val="001B352D"/>
    <w:rsid w:val="001F6ABE"/>
    <w:rsid w:val="00246094"/>
    <w:rsid w:val="002E55DB"/>
    <w:rsid w:val="00320A15"/>
    <w:rsid w:val="0033612A"/>
    <w:rsid w:val="00387AF8"/>
    <w:rsid w:val="003A2089"/>
    <w:rsid w:val="00432690"/>
    <w:rsid w:val="004D1C53"/>
    <w:rsid w:val="004D5C26"/>
    <w:rsid w:val="00533F70"/>
    <w:rsid w:val="005415AB"/>
    <w:rsid w:val="00572AC5"/>
    <w:rsid w:val="00573E57"/>
    <w:rsid w:val="005B4552"/>
    <w:rsid w:val="005C42AF"/>
    <w:rsid w:val="005D50DC"/>
    <w:rsid w:val="005E3093"/>
    <w:rsid w:val="006440C0"/>
    <w:rsid w:val="0065231D"/>
    <w:rsid w:val="00684B00"/>
    <w:rsid w:val="006D2467"/>
    <w:rsid w:val="006D7533"/>
    <w:rsid w:val="006E7FB6"/>
    <w:rsid w:val="00706ADC"/>
    <w:rsid w:val="00755A52"/>
    <w:rsid w:val="00781BD2"/>
    <w:rsid w:val="00794692"/>
    <w:rsid w:val="00797E20"/>
    <w:rsid w:val="007A00EC"/>
    <w:rsid w:val="007D3B27"/>
    <w:rsid w:val="008126DD"/>
    <w:rsid w:val="00870440"/>
    <w:rsid w:val="008C4D41"/>
    <w:rsid w:val="009015EC"/>
    <w:rsid w:val="00901C09"/>
    <w:rsid w:val="00926967"/>
    <w:rsid w:val="00946B7B"/>
    <w:rsid w:val="00963535"/>
    <w:rsid w:val="00963CE4"/>
    <w:rsid w:val="009A0FF7"/>
    <w:rsid w:val="009D7396"/>
    <w:rsid w:val="009E1B3D"/>
    <w:rsid w:val="00A03082"/>
    <w:rsid w:val="00A054EE"/>
    <w:rsid w:val="00A148A8"/>
    <w:rsid w:val="00A73B54"/>
    <w:rsid w:val="00A77401"/>
    <w:rsid w:val="00AE2879"/>
    <w:rsid w:val="00B17409"/>
    <w:rsid w:val="00B95D5F"/>
    <w:rsid w:val="00B97F56"/>
    <w:rsid w:val="00BC3B6C"/>
    <w:rsid w:val="00C05D1A"/>
    <w:rsid w:val="00C24CFB"/>
    <w:rsid w:val="00C334D2"/>
    <w:rsid w:val="00C46090"/>
    <w:rsid w:val="00C6735A"/>
    <w:rsid w:val="00C76D6C"/>
    <w:rsid w:val="00D03886"/>
    <w:rsid w:val="00D240FA"/>
    <w:rsid w:val="00D51333"/>
    <w:rsid w:val="00D754D3"/>
    <w:rsid w:val="00D93503"/>
    <w:rsid w:val="00D94D9D"/>
    <w:rsid w:val="00D96B3F"/>
    <w:rsid w:val="00DA4F67"/>
    <w:rsid w:val="00DA53F8"/>
    <w:rsid w:val="00DB169D"/>
    <w:rsid w:val="00DD78AE"/>
    <w:rsid w:val="00DE026F"/>
    <w:rsid w:val="00DF2E84"/>
    <w:rsid w:val="00E20858"/>
    <w:rsid w:val="00E26AEC"/>
    <w:rsid w:val="00E84DB5"/>
    <w:rsid w:val="00E95690"/>
    <w:rsid w:val="00F075A9"/>
    <w:rsid w:val="00FB3E1A"/>
    <w:rsid w:val="00FC0C7F"/>
    <w:rsid w:val="00FE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79F8"/>
  <w15:docId w15:val="{E33073A5-6CD0-4150-B733-734A4C41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BE"/>
    <w:rPr>
      <w:color w:val="44546A" w:themeColor="text2"/>
      <w:lang w:val="en-AU"/>
    </w:rPr>
  </w:style>
  <w:style w:type="paragraph" w:styleId="Heading1">
    <w:name w:val="heading 1"/>
    <w:basedOn w:val="Normal"/>
    <w:next w:val="Normal"/>
    <w:link w:val="Heading1Char"/>
    <w:uiPriority w:val="9"/>
    <w:qFormat/>
    <w:rsid w:val="0065231D"/>
    <w:pPr>
      <w:keepNext/>
      <w:keepLines/>
      <w:spacing w:before="240"/>
      <w:outlineLvl w:val="0"/>
    </w:pPr>
    <w:rPr>
      <w:rFonts w:asciiTheme="majorHAnsi" w:eastAsiaTheme="majorEastAsia" w:hAnsiTheme="majorHAnsi" w:cstheme="majorBidi"/>
      <w:color w:val="5F979F" w:themeColor="text1"/>
      <w:sz w:val="56"/>
      <w:szCs w:val="56"/>
    </w:rPr>
  </w:style>
  <w:style w:type="paragraph" w:styleId="Heading2">
    <w:name w:val="heading 2"/>
    <w:basedOn w:val="Normal"/>
    <w:next w:val="Normal"/>
    <w:link w:val="Heading2Char"/>
    <w:uiPriority w:val="9"/>
    <w:unhideWhenUsed/>
    <w:qFormat/>
    <w:rsid w:val="00A03082"/>
    <w:pPr>
      <w:spacing w:after="360"/>
      <w:outlineLvl w:val="1"/>
    </w:pPr>
    <w:rPr>
      <w:caps/>
      <w:color w:val="5F979F" w:themeColor="text1"/>
      <w:sz w:val="28"/>
      <w:szCs w:val="28"/>
    </w:rPr>
  </w:style>
  <w:style w:type="paragraph" w:styleId="Heading3">
    <w:name w:val="heading 3"/>
    <w:basedOn w:val="Normal"/>
    <w:next w:val="Normal"/>
    <w:link w:val="Heading3Char"/>
    <w:uiPriority w:val="9"/>
    <w:unhideWhenUsed/>
    <w:qFormat/>
    <w:rsid w:val="00D93503"/>
    <w:pPr>
      <w:keepNext/>
      <w:keepLines/>
      <w:spacing w:before="120" w:line="276" w:lineRule="auto"/>
      <w:outlineLvl w:val="2"/>
    </w:pPr>
    <w:rPr>
      <w:rFonts w:eastAsiaTheme="majorEastAsia" w:cstheme="minorHAnsi"/>
      <w:caps/>
      <w:color w:val="5F979F" w:themeColor="text1"/>
    </w:rPr>
  </w:style>
  <w:style w:type="paragraph" w:styleId="Heading4">
    <w:name w:val="heading 4"/>
    <w:basedOn w:val="BodyText"/>
    <w:next w:val="Normal"/>
    <w:link w:val="Heading4Char"/>
    <w:uiPriority w:val="9"/>
    <w:unhideWhenUsed/>
    <w:qFormat/>
    <w:rsid w:val="00D93503"/>
    <w:pPr>
      <w:outlineLvl w:val="3"/>
    </w:pPr>
    <w:rPr>
      <w:b/>
    </w:rPr>
  </w:style>
  <w:style w:type="paragraph" w:styleId="Heading5">
    <w:name w:val="heading 5"/>
    <w:basedOn w:val="Normal"/>
    <w:next w:val="Normal"/>
    <w:link w:val="Heading5Char"/>
    <w:uiPriority w:val="9"/>
    <w:unhideWhenUsed/>
    <w:qFormat/>
    <w:rsid w:val="0065231D"/>
    <w:pPr>
      <w:keepNext/>
      <w:keepLines/>
      <w:spacing w:before="40"/>
      <w:outlineLvl w:val="4"/>
    </w:pPr>
    <w:rPr>
      <w:rFonts w:asciiTheme="majorHAnsi" w:eastAsiaTheme="majorEastAsia" w:hAnsiTheme="majorHAnsi" w:cstheme="majorBidi"/>
      <w:color w:val="5F979F" w:themeColor="text1"/>
    </w:rPr>
  </w:style>
  <w:style w:type="paragraph" w:styleId="Heading6">
    <w:name w:val="heading 6"/>
    <w:basedOn w:val="Normal"/>
    <w:next w:val="Normal"/>
    <w:link w:val="Heading6Char"/>
    <w:uiPriority w:val="9"/>
    <w:semiHidden/>
    <w:unhideWhenUsed/>
    <w:qFormat/>
    <w:rsid w:val="001F6ABE"/>
    <w:pPr>
      <w:keepNext/>
      <w:keepLines/>
      <w:spacing w:before="40"/>
      <w:outlineLvl w:val="5"/>
    </w:pPr>
    <w:rPr>
      <w:rFonts w:asciiTheme="majorHAnsi" w:eastAsiaTheme="majorEastAsia" w:hAnsiTheme="majorHAnsi" w:cstheme="majorBidi"/>
      <w:color w:val="BA207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BE"/>
    <w:pPr>
      <w:tabs>
        <w:tab w:val="center" w:pos="4513"/>
        <w:tab w:val="right" w:pos="9026"/>
      </w:tabs>
    </w:pPr>
    <w:rPr>
      <w:sz w:val="20"/>
    </w:rPr>
  </w:style>
  <w:style w:type="character" w:customStyle="1" w:styleId="HeaderChar">
    <w:name w:val="Header Char"/>
    <w:basedOn w:val="DefaultParagraphFont"/>
    <w:link w:val="Header"/>
    <w:uiPriority w:val="99"/>
    <w:rsid w:val="001F6ABE"/>
    <w:rPr>
      <w:color w:val="44546A" w:themeColor="text2"/>
      <w:sz w:val="20"/>
    </w:rPr>
  </w:style>
  <w:style w:type="paragraph" w:styleId="Footer">
    <w:name w:val="footer"/>
    <w:basedOn w:val="Normal"/>
    <w:link w:val="FooterChar"/>
    <w:uiPriority w:val="99"/>
    <w:unhideWhenUsed/>
    <w:rsid w:val="001F6ABE"/>
    <w:pPr>
      <w:tabs>
        <w:tab w:val="center" w:pos="4513"/>
        <w:tab w:val="right" w:pos="9026"/>
      </w:tabs>
    </w:pPr>
    <w:rPr>
      <w:sz w:val="20"/>
    </w:rPr>
  </w:style>
  <w:style w:type="character" w:customStyle="1" w:styleId="FooterChar">
    <w:name w:val="Footer Char"/>
    <w:basedOn w:val="DefaultParagraphFont"/>
    <w:link w:val="Footer"/>
    <w:uiPriority w:val="99"/>
    <w:rsid w:val="001F6ABE"/>
    <w:rPr>
      <w:color w:val="44546A" w:themeColor="text2"/>
      <w:sz w:val="20"/>
    </w:rPr>
  </w:style>
  <w:style w:type="character" w:customStyle="1" w:styleId="Heading1Char">
    <w:name w:val="Heading 1 Char"/>
    <w:basedOn w:val="DefaultParagraphFont"/>
    <w:link w:val="Heading1"/>
    <w:uiPriority w:val="9"/>
    <w:rsid w:val="0065231D"/>
    <w:rPr>
      <w:rFonts w:asciiTheme="majorHAnsi" w:eastAsiaTheme="majorEastAsia" w:hAnsiTheme="majorHAnsi" w:cstheme="majorBidi"/>
      <w:color w:val="5F979F" w:themeColor="text1"/>
      <w:sz w:val="56"/>
      <w:szCs w:val="56"/>
      <w:lang w:val="en-AU"/>
    </w:rPr>
  </w:style>
  <w:style w:type="character" w:customStyle="1" w:styleId="Heading2Char">
    <w:name w:val="Heading 2 Char"/>
    <w:basedOn w:val="DefaultParagraphFont"/>
    <w:link w:val="Heading2"/>
    <w:uiPriority w:val="9"/>
    <w:rsid w:val="00A03082"/>
    <w:rPr>
      <w:caps/>
      <w:color w:val="5F979F" w:themeColor="text1"/>
      <w:sz w:val="28"/>
      <w:szCs w:val="28"/>
      <w:lang w:val="en-AU"/>
    </w:rPr>
  </w:style>
  <w:style w:type="paragraph" w:styleId="Subtitle">
    <w:name w:val="Subtitle"/>
    <w:basedOn w:val="Heading2"/>
    <w:next w:val="Normal"/>
    <w:link w:val="SubtitleChar"/>
    <w:uiPriority w:val="11"/>
    <w:qFormat/>
    <w:rsid w:val="00A03082"/>
    <w:pPr>
      <w:jc w:val="right"/>
    </w:pPr>
    <w:rPr>
      <w:caps w:val="0"/>
    </w:rPr>
  </w:style>
  <w:style w:type="character" w:customStyle="1" w:styleId="SubtitleChar">
    <w:name w:val="Subtitle Char"/>
    <w:basedOn w:val="DefaultParagraphFont"/>
    <w:link w:val="Subtitle"/>
    <w:uiPriority w:val="11"/>
    <w:rsid w:val="00A03082"/>
    <w:rPr>
      <w:caps/>
      <w:color w:val="5F979F" w:themeColor="text1"/>
      <w:sz w:val="28"/>
      <w:szCs w:val="28"/>
      <w:lang w:val="en-AU"/>
    </w:rPr>
  </w:style>
  <w:style w:type="paragraph" w:styleId="Title">
    <w:name w:val="Title"/>
    <w:basedOn w:val="Normal"/>
    <w:next w:val="Normal"/>
    <w:link w:val="TitleChar"/>
    <w:uiPriority w:val="10"/>
    <w:qFormat/>
    <w:rsid w:val="00A03082"/>
    <w:pPr>
      <w:spacing w:line="276" w:lineRule="auto"/>
      <w:contextualSpacing/>
      <w:jc w:val="right"/>
    </w:pPr>
    <w:rPr>
      <w:rFonts w:asciiTheme="majorHAnsi" w:eastAsiaTheme="majorEastAsia" w:hAnsiTheme="majorHAnsi" w:cstheme="majorBidi"/>
      <w:b/>
      <w:color w:val="5F979F" w:themeColor="text1"/>
      <w:spacing w:val="-10"/>
      <w:kern w:val="28"/>
      <w:sz w:val="56"/>
      <w:szCs w:val="56"/>
    </w:rPr>
  </w:style>
  <w:style w:type="character" w:customStyle="1" w:styleId="TitleChar">
    <w:name w:val="Title Char"/>
    <w:basedOn w:val="DefaultParagraphFont"/>
    <w:link w:val="Title"/>
    <w:uiPriority w:val="10"/>
    <w:rsid w:val="00A03082"/>
    <w:rPr>
      <w:rFonts w:asciiTheme="majorHAnsi" w:eastAsiaTheme="majorEastAsia" w:hAnsiTheme="majorHAnsi" w:cstheme="majorBidi"/>
      <w:b/>
      <w:color w:val="5F979F" w:themeColor="text1"/>
      <w:spacing w:val="-10"/>
      <w:kern w:val="28"/>
      <w:sz w:val="56"/>
      <w:szCs w:val="56"/>
    </w:rPr>
  </w:style>
  <w:style w:type="character" w:customStyle="1" w:styleId="Heading3Char">
    <w:name w:val="Heading 3 Char"/>
    <w:basedOn w:val="DefaultParagraphFont"/>
    <w:link w:val="Heading3"/>
    <w:uiPriority w:val="9"/>
    <w:rsid w:val="00D93503"/>
    <w:rPr>
      <w:rFonts w:eastAsiaTheme="majorEastAsia" w:cstheme="minorHAnsi"/>
      <w:caps/>
      <w:color w:val="5F979F" w:themeColor="text1"/>
    </w:rPr>
  </w:style>
  <w:style w:type="paragraph" w:styleId="ListParagraph">
    <w:name w:val="List Paragraph"/>
    <w:basedOn w:val="Normal"/>
    <w:uiPriority w:val="34"/>
    <w:qFormat/>
    <w:rsid w:val="001F6ABE"/>
    <w:pPr>
      <w:ind w:left="720"/>
      <w:contextualSpacing/>
    </w:pPr>
    <w:rPr>
      <w:sz w:val="20"/>
    </w:rPr>
  </w:style>
  <w:style w:type="paragraph" w:styleId="ListBullet">
    <w:name w:val="List Bullet"/>
    <w:basedOn w:val="ListParagraph"/>
    <w:uiPriority w:val="99"/>
    <w:unhideWhenUsed/>
    <w:rsid w:val="00C6735A"/>
    <w:pPr>
      <w:numPr>
        <w:numId w:val="1"/>
      </w:numPr>
      <w:spacing w:line="276" w:lineRule="auto"/>
      <w:ind w:left="284" w:hanging="284"/>
    </w:pPr>
    <w:rPr>
      <w:szCs w:val="20"/>
    </w:rPr>
  </w:style>
  <w:style w:type="paragraph" w:styleId="ListNumber">
    <w:name w:val="List Number"/>
    <w:basedOn w:val="ListParagraph"/>
    <w:uiPriority w:val="99"/>
    <w:unhideWhenUsed/>
    <w:rsid w:val="00C6735A"/>
    <w:pPr>
      <w:numPr>
        <w:numId w:val="2"/>
      </w:numPr>
      <w:spacing w:line="276" w:lineRule="auto"/>
      <w:ind w:left="284" w:hanging="284"/>
    </w:pPr>
    <w:rPr>
      <w:szCs w:val="20"/>
    </w:rPr>
  </w:style>
  <w:style w:type="paragraph" w:styleId="BodyText">
    <w:name w:val="Body Text"/>
    <w:basedOn w:val="Normal"/>
    <w:link w:val="BodyTextChar"/>
    <w:uiPriority w:val="99"/>
    <w:unhideWhenUsed/>
    <w:rsid w:val="00C6735A"/>
    <w:pPr>
      <w:spacing w:after="120"/>
    </w:pPr>
    <w:rPr>
      <w:sz w:val="20"/>
    </w:rPr>
  </w:style>
  <w:style w:type="character" w:customStyle="1" w:styleId="BodyTextChar">
    <w:name w:val="Body Text Char"/>
    <w:basedOn w:val="DefaultParagraphFont"/>
    <w:link w:val="BodyText"/>
    <w:uiPriority w:val="99"/>
    <w:rsid w:val="00C6735A"/>
    <w:rPr>
      <w:color w:val="44546A" w:themeColor="text2"/>
      <w:sz w:val="20"/>
    </w:rPr>
  </w:style>
  <w:style w:type="paragraph" w:styleId="ListBullet2">
    <w:name w:val="List Bullet 2"/>
    <w:basedOn w:val="ListBullet"/>
    <w:uiPriority w:val="99"/>
    <w:unhideWhenUsed/>
    <w:rsid w:val="00A73B54"/>
    <w:pPr>
      <w:spacing w:after="120"/>
      <w:ind w:left="4046" w:hanging="360"/>
    </w:pPr>
  </w:style>
  <w:style w:type="paragraph" w:styleId="ListNumber3">
    <w:name w:val="List Number 3"/>
    <w:basedOn w:val="Normal"/>
    <w:uiPriority w:val="99"/>
    <w:semiHidden/>
    <w:unhideWhenUsed/>
    <w:rsid w:val="00A73B54"/>
    <w:pPr>
      <w:numPr>
        <w:numId w:val="6"/>
      </w:numPr>
      <w:contextualSpacing/>
    </w:pPr>
  </w:style>
  <w:style w:type="paragraph" w:styleId="ListNumber2">
    <w:name w:val="List Number 2"/>
    <w:basedOn w:val="ListNumber"/>
    <w:uiPriority w:val="99"/>
    <w:unhideWhenUsed/>
    <w:rsid w:val="00A73B54"/>
    <w:pPr>
      <w:spacing w:after="120"/>
      <w:ind w:left="1004" w:hanging="360"/>
    </w:pPr>
  </w:style>
  <w:style w:type="character" w:styleId="SubtleEmphasis">
    <w:name w:val="Subtle Emphasis"/>
    <w:basedOn w:val="DefaultParagraphFont"/>
    <w:uiPriority w:val="19"/>
    <w:qFormat/>
    <w:rsid w:val="0065231D"/>
    <w:rPr>
      <w:i/>
      <w:iCs/>
      <w:color w:val="86B1B7" w:themeColor="text1" w:themeTint="BF"/>
    </w:rPr>
  </w:style>
  <w:style w:type="character" w:styleId="IntenseEmphasis">
    <w:name w:val="Intense Emphasis"/>
    <w:basedOn w:val="DefaultParagraphFont"/>
    <w:uiPriority w:val="21"/>
    <w:qFormat/>
    <w:rsid w:val="001F6ABE"/>
    <w:rPr>
      <w:i/>
      <w:iCs/>
      <w:color w:val="BA2074" w:themeColor="accent2"/>
    </w:rPr>
  </w:style>
  <w:style w:type="character" w:customStyle="1" w:styleId="Heading4Char">
    <w:name w:val="Heading 4 Char"/>
    <w:basedOn w:val="DefaultParagraphFont"/>
    <w:link w:val="Heading4"/>
    <w:uiPriority w:val="1"/>
    <w:rsid w:val="00D93503"/>
    <w:rPr>
      <w:b/>
      <w:color w:val="44546A" w:themeColor="text2"/>
      <w:sz w:val="20"/>
    </w:rPr>
  </w:style>
  <w:style w:type="character" w:customStyle="1" w:styleId="Heading5Char">
    <w:name w:val="Heading 5 Char"/>
    <w:basedOn w:val="DefaultParagraphFont"/>
    <w:link w:val="Heading5"/>
    <w:uiPriority w:val="9"/>
    <w:rsid w:val="0065231D"/>
    <w:rPr>
      <w:rFonts w:asciiTheme="majorHAnsi" w:eastAsiaTheme="majorEastAsia" w:hAnsiTheme="majorHAnsi" w:cstheme="majorBidi"/>
      <w:color w:val="5F979F" w:themeColor="text1"/>
    </w:rPr>
  </w:style>
  <w:style w:type="paragraph" w:customStyle="1" w:styleId="Introduction">
    <w:name w:val="Introduction"/>
    <w:qFormat/>
    <w:rsid w:val="00A03082"/>
    <w:pPr>
      <w:spacing w:after="240"/>
    </w:pPr>
    <w:rPr>
      <w:rFonts w:asciiTheme="majorHAnsi" w:hAnsiTheme="majorHAnsi"/>
      <w:color w:val="5F979F" w:themeColor="text1"/>
    </w:rPr>
  </w:style>
  <w:style w:type="character" w:customStyle="1" w:styleId="Heading6Char">
    <w:name w:val="Heading 6 Char"/>
    <w:basedOn w:val="DefaultParagraphFont"/>
    <w:link w:val="Heading6"/>
    <w:uiPriority w:val="9"/>
    <w:semiHidden/>
    <w:rsid w:val="001F6ABE"/>
    <w:rPr>
      <w:rFonts w:asciiTheme="majorHAnsi" w:eastAsiaTheme="majorEastAsia" w:hAnsiTheme="majorHAnsi" w:cstheme="majorBidi"/>
      <w:color w:val="BA2074" w:themeColor="accent2"/>
    </w:rPr>
  </w:style>
  <w:style w:type="character" w:styleId="Emphasis">
    <w:name w:val="Emphasis"/>
    <w:basedOn w:val="DefaultParagraphFont"/>
    <w:uiPriority w:val="20"/>
    <w:qFormat/>
    <w:rsid w:val="001F6ABE"/>
    <w:rPr>
      <w:i/>
      <w:iCs/>
      <w:color w:val="44546A" w:themeColor="text2"/>
    </w:rPr>
  </w:style>
  <w:style w:type="character" w:styleId="Strong">
    <w:name w:val="Strong"/>
    <w:basedOn w:val="DefaultParagraphFont"/>
    <w:uiPriority w:val="22"/>
    <w:qFormat/>
    <w:rsid w:val="001F6ABE"/>
    <w:rPr>
      <w:b/>
      <w:bCs/>
      <w:color w:val="44546A" w:themeColor="text2"/>
    </w:rPr>
  </w:style>
  <w:style w:type="paragraph" w:styleId="Quote">
    <w:name w:val="Quote"/>
    <w:basedOn w:val="Normal"/>
    <w:next w:val="Normal"/>
    <w:link w:val="QuoteChar"/>
    <w:uiPriority w:val="29"/>
    <w:qFormat/>
    <w:rsid w:val="001F6ABE"/>
    <w:pPr>
      <w:spacing w:before="200" w:after="160"/>
      <w:ind w:left="864" w:right="864"/>
      <w:jc w:val="center"/>
    </w:pPr>
    <w:rPr>
      <w:i/>
      <w:iCs/>
      <w:color w:val="5F979F" w:themeColor="text1"/>
    </w:rPr>
  </w:style>
  <w:style w:type="character" w:customStyle="1" w:styleId="QuoteChar">
    <w:name w:val="Quote Char"/>
    <w:basedOn w:val="DefaultParagraphFont"/>
    <w:link w:val="Quote"/>
    <w:uiPriority w:val="29"/>
    <w:rsid w:val="001F6ABE"/>
    <w:rPr>
      <w:i/>
      <w:iCs/>
      <w:color w:val="5F979F" w:themeColor="text1"/>
    </w:rPr>
  </w:style>
  <w:style w:type="paragraph" w:styleId="IntenseQuote">
    <w:name w:val="Intense Quote"/>
    <w:basedOn w:val="Normal"/>
    <w:next w:val="Normal"/>
    <w:link w:val="IntenseQuoteChar"/>
    <w:uiPriority w:val="30"/>
    <w:qFormat/>
    <w:rsid w:val="001F6ABE"/>
    <w:pPr>
      <w:pBdr>
        <w:top w:val="single" w:sz="4" w:space="10" w:color="BA2074" w:themeColor="accent2"/>
        <w:bottom w:val="single" w:sz="4" w:space="10" w:color="BA2074" w:themeColor="accent2"/>
      </w:pBdr>
      <w:spacing w:before="360" w:after="360"/>
      <w:ind w:left="864" w:right="864"/>
      <w:jc w:val="center"/>
    </w:pPr>
    <w:rPr>
      <w:i/>
      <w:iCs/>
      <w:sz w:val="20"/>
    </w:rPr>
  </w:style>
  <w:style w:type="character" w:customStyle="1" w:styleId="IntenseQuoteChar">
    <w:name w:val="Intense Quote Char"/>
    <w:basedOn w:val="DefaultParagraphFont"/>
    <w:link w:val="IntenseQuote"/>
    <w:uiPriority w:val="30"/>
    <w:rsid w:val="001F6ABE"/>
    <w:rPr>
      <w:i/>
      <w:iCs/>
      <w:color w:val="44546A" w:themeColor="text2"/>
      <w:sz w:val="20"/>
    </w:rPr>
  </w:style>
  <w:style w:type="character" w:styleId="BookTitle">
    <w:name w:val="Book Title"/>
    <w:basedOn w:val="DefaultParagraphFont"/>
    <w:uiPriority w:val="33"/>
    <w:qFormat/>
    <w:rsid w:val="001F6ABE"/>
    <w:rPr>
      <w:b/>
      <w:bCs/>
      <w:i/>
      <w:iCs/>
      <w:color w:val="44546A" w:themeColor="text2"/>
      <w:spacing w:val="5"/>
    </w:rPr>
  </w:style>
  <w:style w:type="character" w:styleId="PageNumber">
    <w:name w:val="page number"/>
    <w:basedOn w:val="DefaultParagraphFont"/>
    <w:uiPriority w:val="99"/>
    <w:semiHidden/>
    <w:unhideWhenUsed/>
    <w:rsid w:val="006D2467"/>
  </w:style>
  <w:style w:type="paragraph" w:customStyle="1" w:styleId="instructions">
    <w:name w:val="instructions"/>
    <w:basedOn w:val="Normal"/>
    <w:link w:val="instructionsChar"/>
    <w:qFormat/>
    <w:rsid w:val="00DE026F"/>
    <w:pPr>
      <w:spacing w:before="60" w:after="120"/>
    </w:pPr>
    <w:rPr>
      <w:rFonts w:ascii="Arial" w:eastAsia="Times New Roman" w:hAnsi="Arial" w:cs="Times New Roman"/>
      <w:color w:val="BA2074" w:themeColor="accent2"/>
      <w:sz w:val="18"/>
      <w:szCs w:val="20"/>
    </w:rPr>
  </w:style>
  <w:style w:type="character" w:customStyle="1" w:styleId="instructionsChar">
    <w:name w:val="instructions Char"/>
    <w:basedOn w:val="DefaultParagraphFont"/>
    <w:link w:val="instructions"/>
    <w:rsid w:val="00DE026F"/>
    <w:rPr>
      <w:rFonts w:ascii="Arial" w:eastAsia="Times New Roman" w:hAnsi="Arial" w:cs="Times New Roman"/>
      <w:color w:val="BA2074" w:themeColor="accent2"/>
      <w:sz w:val="18"/>
      <w:szCs w:val="20"/>
      <w:lang w:val="en-AU"/>
    </w:rPr>
  </w:style>
  <w:style w:type="paragraph" w:customStyle="1" w:styleId="DHHSbody">
    <w:name w:val="DHHS body"/>
    <w:qFormat/>
    <w:rsid w:val="000D2573"/>
    <w:pPr>
      <w:spacing w:after="120" w:line="270" w:lineRule="atLeast"/>
    </w:pPr>
    <w:rPr>
      <w:rFonts w:ascii="Arial" w:eastAsia="Times" w:hAnsi="Arial" w:cs="Times New Roman"/>
      <w:sz w:val="20"/>
      <w:szCs w:val="20"/>
      <w:lang w:val="en-AU"/>
    </w:rPr>
  </w:style>
  <w:style w:type="table" w:styleId="TableGrid">
    <w:name w:val="Table Grid"/>
    <w:basedOn w:val="TableNormal"/>
    <w:uiPriority w:val="59"/>
    <w:rsid w:val="000D2573"/>
    <w:rPr>
      <w:rFonts w:ascii="Times New Roman" w:eastAsia="Times New Roman" w:hAnsi="Times New Roman" w:cs="Times New Roman"/>
      <w:sz w:val="20"/>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692"/>
    <w:rPr>
      <w:color w:val="7DD5BF" w:themeColor="hyperlink"/>
      <w:u w:val="single"/>
    </w:rPr>
  </w:style>
  <w:style w:type="character" w:styleId="PlaceholderText">
    <w:name w:val="Placeholder Text"/>
    <w:basedOn w:val="DefaultParagraphFont"/>
    <w:uiPriority w:val="99"/>
    <w:semiHidden/>
    <w:rsid w:val="00BC3B6C"/>
    <w:rPr>
      <w:color w:val="808080"/>
    </w:rPr>
  </w:style>
  <w:style w:type="paragraph" w:styleId="TOCHeading">
    <w:name w:val="TOC Heading"/>
    <w:basedOn w:val="Heading1"/>
    <w:next w:val="Normal"/>
    <w:uiPriority w:val="39"/>
    <w:unhideWhenUsed/>
    <w:qFormat/>
    <w:rsid w:val="00BC3B6C"/>
    <w:pPr>
      <w:spacing w:line="259" w:lineRule="auto"/>
      <w:outlineLvl w:val="9"/>
    </w:pPr>
    <w:rPr>
      <w:color w:val="FF4824" w:themeColor="accent1" w:themeShade="BF"/>
      <w:sz w:val="32"/>
      <w:szCs w:val="32"/>
      <w:lang w:val="en-US"/>
    </w:rPr>
  </w:style>
  <w:style w:type="paragraph" w:styleId="TOC2">
    <w:name w:val="toc 2"/>
    <w:basedOn w:val="Normal"/>
    <w:next w:val="Normal"/>
    <w:autoRedefine/>
    <w:uiPriority w:val="39"/>
    <w:unhideWhenUsed/>
    <w:rsid w:val="00BC3B6C"/>
    <w:pPr>
      <w:spacing w:after="100"/>
      <w:ind w:left="240"/>
    </w:pPr>
  </w:style>
  <w:style w:type="paragraph" w:styleId="TOC1">
    <w:name w:val="toc 1"/>
    <w:basedOn w:val="Normal"/>
    <w:next w:val="Normal"/>
    <w:autoRedefine/>
    <w:uiPriority w:val="39"/>
    <w:unhideWhenUsed/>
    <w:rsid w:val="00BC3B6C"/>
    <w:pPr>
      <w:spacing w:after="100"/>
    </w:pPr>
  </w:style>
  <w:style w:type="paragraph" w:styleId="TOC3">
    <w:name w:val="toc 3"/>
    <w:basedOn w:val="Normal"/>
    <w:next w:val="Normal"/>
    <w:autoRedefine/>
    <w:uiPriority w:val="39"/>
    <w:unhideWhenUsed/>
    <w:rsid w:val="00BC3B6C"/>
    <w:pPr>
      <w:spacing w:after="100"/>
      <w:ind w:left="480"/>
    </w:pPr>
  </w:style>
  <w:style w:type="paragraph" w:styleId="BalloonText">
    <w:name w:val="Balloon Text"/>
    <w:basedOn w:val="Normal"/>
    <w:link w:val="BalloonTextChar"/>
    <w:uiPriority w:val="99"/>
    <w:semiHidden/>
    <w:unhideWhenUsed/>
    <w:rsid w:val="00781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D2"/>
    <w:rPr>
      <w:rFonts w:ascii="Segoe UI" w:hAnsi="Segoe UI" w:cs="Segoe UI"/>
      <w:color w:val="44546A" w:themeColor="text2"/>
      <w:sz w:val="18"/>
      <w:szCs w:val="18"/>
    </w:rPr>
  </w:style>
  <w:style w:type="paragraph" w:styleId="Caption">
    <w:name w:val="caption"/>
    <w:basedOn w:val="Normal"/>
    <w:next w:val="Normal"/>
    <w:uiPriority w:val="35"/>
    <w:unhideWhenUsed/>
    <w:qFormat/>
    <w:rsid w:val="009015EC"/>
    <w:pPr>
      <w:spacing w:after="200"/>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headsup.org.au" TargetMode="External"/><Relationship Id="rId26" Type="http://schemas.openxmlformats.org/officeDocument/2006/relationships/hyperlink" Target="http://www.headspace.org.au/" TargetMode="External"/><Relationship Id="rId39" Type="http://schemas.openxmlformats.org/officeDocument/2006/relationships/hyperlink" Target="http://www.mhima.org.au/" TargetMode="External"/><Relationship Id="rId3" Type="http://schemas.openxmlformats.org/officeDocument/2006/relationships/customXml" Target="../customXml/item3.xml"/><Relationship Id="rId21" Type="http://schemas.openxmlformats.org/officeDocument/2006/relationships/hyperlink" Target="http://www.mensline.org.au/" TargetMode="External"/><Relationship Id="rId34" Type="http://schemas.openxmlformats.org/officeDocument/2006/relationships/hyperlink" Target="http://www.mindframe-media.info/"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1.png@01D2935D.3199A480" TargetMode="External"/><Relationship Id="rId17" Type="http://schemas.openxmlformats.org/officeDocument/2006/relationships/hyperlink" Target="https://edugate.eduweb.vic.gov.au/sites/i/Pages/School.aspx" TargetMode="External"/><Relationship Id="rId25" Type="http://schemas.openxmlformats.org/officeDocument/2006/relationships/hyperlink" Target="http://www.ecouch.anu.edu.au/" TargetMode="External"/><Relationship Id="rId33" Type="http://schemas.openxmlformats.org/officeDocument/2006/relationships/hyperlink" Target="http://au.reachout.com/" TargetMode="External"/><Relationship Id="rId38" Type="http://schemas.openxmlformats.org/officeDocument/2006/relationships/hyperlink" Target="http://www.beacon.anu.edu.a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gate.eduweb.vic.gov.au/sites/i/Pages/School.aspx" TargetMode="External"/><Relationship Id="rId20" Type="http://schemas.openxmlformats.org/officeDocument/2006/relationships/hyperlink" Target="http://www.lifeline.org.au/" TargetMode="External"/><Relationship Id="rId29" Type="http://schemas.openxmlformats.org/officeDocument/2006/relationships/hyperlink" Target="http://www.partnersindepression.com.a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lueboard.anu.edu.au/" TargetMode="External"/><Relationship Id="rId32" Type="http://schemas.openxmlformats.org/officeDocument/2006/relationships/hyperlink" Target="http://www.livingisforeveryone.com.au/" TargetMode="External"/><Relationship Id="rId37" Type="http://schemas.openxmlformats.org/officeDocument/2006/relationships/hyperlink" Target="http://www.apsoc.org.au/" TargetMode="External"/><Relationship Id="rId40" Type="http://schemas.openxmlformats.org/officeDocument/2006/relationships/hyperlink" Target="http://www.carersaustralia.com.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gate.eduweb.vic.gov.au/sites/i/Pages/School.aspx" TargetMode="External"/><Relationship Id="rId23" Type="http://schemas.openxmlformats.org/officeDocument/2006/relationships/hyperlink" Target="http://www.blackdoginstitute.org.au/" TargetMode="External"/><Relationship Id="rId28" Type="http://schemas.openxmlformats.org/officeDocument/2006/relationships/hyperlink" Target="http://www.moodgym.anu.edu.au/" TargetMode="External"/><Relationship Id="rId36" Type="http://schemas.openxmlformats.org/officeDocument/2006/relationships/hyperlink" Target="http://www.earlytraumagrief.anu.edu.au" TargetMode="External"/><Relationship Id="rId10" Type="http://schemas.openxmlformats.org/officeDocument/2006/relationships/endnotes" Target="endnotes.xml"/><Relationship Id="rId19" Type="http://schemas.openxmlformats.org/officeDocument/2006/relationships/hyperlink" Target="http://www.mindhealthconnect.org.au/" TargetMode="External"/><Relationship Id="rId31" Type="http://schemas.openxmlformats.org/officeDocument/2006/relationships/hyperlink" Target="http://www.headspace.org.au/"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sites/i/Pages/School.aspx" TargetMode="External"/><Relationship Id="rId22" Type="http://schemas.openxmlformats.org/officeDocument/2006/relationships/hyperlink" Target="http://www.beyondblue.org.au/" TargetMode="External"/><Relationship Id="rId27" Type="http://schemas.openxmlformats.org/officeDocument/2006/relationships/hyperlink" Target="https://www.mentalhealthonline.org.au/default.aspx" TargetMode="External"/><Relationship Id="rId30" Type="http://schemas.openxmlformats.org/officeDocument/2006/relationships/hyperlink" Target="http://www.adin.com.au/" TargetMode="External"/><Relationship Id="rId35" Type="http://schemas.openxmlformats.org/officeDocument/2006/relationships/hyperlink" Target="http://www.acpmh.unimelb.edu.au/"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OVG_Variety">
      <a:dk1>
        <a:srgbClr val="5F979F"/>
      </a:dk1>
      <a:lt1>
        <a:srgbClr val="DDDDDF"/>
      </a:lt1>
      <a:dk2>
        <a:srgbClr val="44546A"/>
      </a:dk2>
      <a:lt2>
        <a:srgbClr val="DDDDDF"/>
      </a:lt2>
      <a:accent1>
        <a:srgbClr val="FF9A86"/>
      </a:accent1>
      <a:accent2>
        <a:srgbClr val="BA2074"/>
      </a:accent2>
      <a:accent3>
        <a:srgbClr val="00B7E6"/>
      </a:accent3>
      <a:accent4>
        <a:srgbClr val="F46493"/>
      </a:accent4>
      <a:accent5>
        <a:srgbClr val="00CA9A"/>
      </a:accent5>
      <a:accent6>
        <a:srgbClr val="85B562"/>
      </a:accent6>
      <a:hlink>
        <a:srgbClr val="7DD5BF"/>
      </a:hlink>
      <a:folHlink>
        <a:srgbClr val="00BCC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107</Value>
      <Value>120</Value>
    </TaxCatchAll>
    <DEECD_Expired xmlns="http://schemas.microsoft.com/sharepoint/v3">false</DEECD_Expired>
    <DEECD_Keywords xmlns="http://schemas.microsoft.com/sharepoint/v3">mental health and wellbeing, toolkit, MHW</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DEECD_Description xmlns="http://schemas.microsoft.com/sharepoint/v3">Mental health and wellbeing toolkit</DEECD_Description>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B27B84-B7C5-4AEC-8953-FBDDC0B821C1}"/>
</file>

<file path=customXml/itemProps2.xml><?xml version="1.0" encoding="utf-8"?>
<ds:datastoreItem xmlns:ds="http://schemas.openxmlformats.org/officeDocument/2006/customXml" ds:itemID="{7C48B3FD-F80C-422B-8DF6-DCEF112751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B4746D-E091-434A-A7C9-685F1F692993}">
  <ds:schemaRefs>
    <ds:schemaRef ds:uri="http://schemas.microsoft.com/sharepoint/v3/contenttype/forms"/>
  </ds:schemaRefs>
</ds:datastoreItem>
</file>

<file path=customXml/itemProps4.xml><?xml version="1.0" encoding="utf-8"?>
<ds:datastoreItem xmlns:ds="http://schemas.openxmlformats.org/officeDocument/2006/customXml" ds:itemID="{64D61025-19BE-4213-847D-8C8A1442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3984</Words>
  <Characters>22713</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MHW Toolkit</vt:lpstr>
      <vt:lpstr>    Toolkit</vt:lpstr>
      <vt:lpstr>    </vt:lpstr>
      <vt:lpstr>Mental Health and Wellbeing Charter and Toolkit</vt:lpstr>
      <vt:lpstr>    Introduction</vt:lpstr>
      <vt:lpstr>    The Mental Health and Wellbeing Charter</vt:lpstr>
      <vt:lpstr>    The manager’s role in creating a positive MHW workplace</vt:lpstr>
      <vt:lpstr>    Embedding the MHW Charter </vt:lpstr>
      <vt:lpstr>    Ideas and support tools available to people managers to implement the MHW Charte</vt:lpstr>
      <vt:lpstr>    Taking care of yourself and your colleagues at work</vt:lpstr>
      <vt:lpstr>    Where to go for additional support</vt:lpstr>
      <vt:lpstr>        Additional MHW support resources outside of the Department:</vt:lpstr>
    </vt:vector>
  </TitlesOfParts>
  <Company>DET</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MHW Toolkit</dc:title>
  <dc:subject>Mental Health and Wellbeing</dc:subject>
  <dc:creator>Employee Health</dc:creator>
  <cp:lastModifiedBy>Algefski, Grace G</cp:lastModifiedBy>
  <cp:revision>4</cp:revision>
  <cp:lastPrinted>2017-03-27T02:35:00Z</cp:lastPrinted>
  <dcterms:created xsi:type="dcterms:W3CDTF">2020-01-28T22:44:00Z</dcterms:created>
  <dcterms:modified xsi:type="dcterms:W3CDTF">2020-01-28T23:14:00Z</dcterms:modified>
  <cp:category>Gide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18;#1.7.1 Major Meeting - Strategic Meeting Papers|c71bceb4-83e1-4f1f-a34b-17e5c0aad8b7</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{c9f6323f-99ba-46ef-9dd3-31a81ad28297}</vt:lpwstr>
  </property>
  <property fmtid="{D5CDD505-2E9C-101B-9397-08002B2CF9AE}" pid="8" name="RecordPoint_ActiveItemUniqueId">
    <vt:lpwstr>{c1a32290-a131-4bf9-bd42-b5acc460a934}</vt:lpwstr>
  </property>
  <property fmtid="{D5CDD505-2E9C-101B-9397-08002B2CF9AE}" pid="9" name="RecordPoint_ActiveItemWebId">
    <vt:lpwstr>{a0ad64d4-f003-46df-ae49-727cfc12b64c}</vt:lpwstr>
  </property>
  <property fmtid="{D5CDD505-2E9C-101B-9397-08002B2CF9AE}" pid="10" name="RecordPoint_RecordNumberSubmitted">
    <vt:lpwstr>R0000747204</vt:lpwstr>
  </property>
  <property fmtid="{D5CDD505-2E9C-101B-9397-08002B2CF9AE}" pid="11" name="RecordPoint_SubmissionCompleted">
    <vt:lpwstr>2017-03-24T11:41:52.1366738+11:00</vt:lpwstr>
  </property>
  <property fmtid="{D5CDD505-2E9C-101B-9397-08002B2CF9AE}" pid="12" name="DEECD_Author">
    <vt:lpwstr>120;#HRWeb|4e014723-a4da-42a2-b679-c90ea77e3371</vt:lpwstr>
  </property>
  <property fmtid="{D5CDD505-2E9C-101B-9397-08002B2CF9AE}" pid="13" name="DEECD_SubjectCategory">
    <vt:lpwstr/>
  </property>
  <property fmtid="{D5CDD505-2E9C-101B-9397-08002B2CF9AE}" pid="14" name="TaxCatchAll">
    <vt:lpwstr>71;#Page|eb523acf-a821-456c-a76b-7607578309d7;#70;#HRWeb|4e014723-a4da-42a2-b679-c90ea77e3371</vt:lpwstr>
  </property>
  <property fmtid="{D5CDD505-2E9C-101B-9397-08002B2CF9AE}" pid="15" name="DEECD_ItemType">
    <vt:lpwstr>107;#Report|f1e22bdf-3d18-4ee3-a232-8974cf02f396</vt:lpwstr>
  </property>
  <property fmtid="{D5CDD505-2E9C-101B-9397-08002B2CF9AE}" pid="16" name="DEECD_Audience">
    <vt:lpwstr/>
  </property>
</Properties>
</file>