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507A0B" w:rsidRPr="00B72215" w14:paraId="20EEE45E" w14:textId="77777777" w:rsidTr="009962B8">
        <w:trPr>
          <w:tblHeader/>
        </w:trPr>
        <w:tc>
          <w:tcPr>
            <w:tcW w:w="9493" w:type="dxa"/>
            <w:gridSpan w:val="2"/>
            <w:shd w:val="clear" w:color="auto" w:fill="9CC2E5" w:themeFill="accent1" w:themeFillTint="99"/>
          </w:tcPr>
          <w:p w14:paraId="22EE097E" w14:textId="4A1217C7" w:rsidR="00507A0B" w:rsidRDefault="00507A0B" w:rsidP="00650775">
            <w:pPr>
              <w:spacing w:before="120" w:after="120" w:line="276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General Information:</w:t>
            </w:r>
          </w:p>
        </w:tc>
      </w:tr>
      <w:tr w:rsidR="00B72215" w:rsidRPr="00B72215" w14:paraId="1177A183" w14:textId="77777777" w:rsidTr="0092145D">
        <w:trPr>
          <w:tblHeader/>
        </w:trPr>
        <w:tc>
          <w:tcPr>
            <w:tcW w:w="3397" w:type="dxa"/>
            <w:shd w:val="clear" w:color="auto" w:fill="9CC2E5" w:themeFill="accent1" w:themeFillTint="99"/>
          </w:tcPr>
          <w:p w14:paraId="78FE712F" w14:textId="77E10235" w:rsidR="00B72215" w:rsidRPr="00B72215" w:rsidRDefault="00B72215" w:rsidP="00650775">
            <w:pPr>
              <w:pStyle w:val="ListParagraph"/>
              <w:spacing w:before="120" w:after="120" w:line="276" w:lineRule="auto"/>
              <w:ind w:left="0" w:firstLine="22"/>
              <w:contextualSpacing w:val="0"/>
              <w:rPr>
                <w:b/>
                <w:sz w:val="24"/>
              </w:rPr>
            </w:pPr>
            <w:r w:rsidRPr="00B72215">
              <w:rPr>
                <w:b/>
                <w:sz w:val="24"/>
              </w:rPr>
              <w:t>Topic</w:t>
            </w:r>
            <w:r w:rsidR="00FA15F6">
              <w:rPr>
                <w:b/>
                <w:sz w:val="24"/>
              </w:rPr>
              <w:t xml:space="preserve">: 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14:paraId="54490CA9" w14:textId="27DB4134" w:rsidR="00B72215" w:rsidRPr="00B72215" w:rsidRDefault="00887576" w:rsidP="00650775">
            <w:pPr>
              <w:spacing w:before="120" w:after="12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Response/</w:t>
            </w:r>
            <w:r w:rsidR="00B72215" w:rsidRPr="00B72215">
              <w:rPr>
                <w:b/>
                <w:sz w:val="24"/>
              </w:rPr>
              <w:t>Resource</w:t>
            </w:r>
          </w:p>
        </w:tc>
      </w:tr>
      <w:tr w:rsidR="001420A4" w14:paraId="29C34B78" w14:textId="77777777" w:rsidTr="0092145D">
        <w:tc>
          <w:tcPr>
            <w:tcW w:w="3397" w:type="dxa"/>
          </w:tcPr>
          <w:p w14:paraId="357BEA91" w14:textId="066528DA" w:rsidR="001420A4" w:rsidRPr="00051692" w:rsidRDefault="001D33A9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How does the</w:t>
            </w:r>
            <w:r w:rsidR="005A4CFC">
              <w:t xml:space="preserve"> </w:t>
            </w:r>
            <w:r w:rsidR="00FB6512">
              <w:t>Regulation change</w:t>
            </w:r>
            <w:r>
              <w:t xml:space="preserve"> impact on the school </w:t>
            </w:r>
            <w:r w:rsidR="00A6106C">
              <w:t>swimming pool, spa pool or interactive water feature</w:t>
            </w:r>
            <w:r w:rsidR="005A4CFC">
              <w:t>?</w:t>
            </w:r>
          </w:p>
        </w:tc>
        <w:tc>
          <w:tcPr>
            <w:tcW w:w="6096" w:type="dxa"/>
          </w:tcPr>
          <w:p w14:paraId="5E759DF9" w14:textId="5E9877E0" w:rsidR="00C47B7B" w:rsidRPr="000B52C2" w:rsidRDefault="00FB6512" w:rsidP="00650775">
            <w:pPr>
              <w:spacing w:before="120" w:after="120" w:line="276" w:lineRule="auto"/>
              <w:rPr>
                <w:rStyle w:val="Hyperlink"/>
                <w:color w:val="auto"/>
                <w:u w:val="none"/>
              </w:rPr>
            </w:pPr>
            <w:r w:rsidRPr="00C47B7B">
              <w:rPr>
                <w:rFonts w:cstheme="minorHAnsi"/>
              </w:rPr>
              <w:t xml:space="preserve">In line with the changes to the </w:t>
            </w:r>
            <w:hyperlink r:id="rId10" w:history="1">
              <w:r w:rsidR="00C47B7B" w:rsidRPr="0092342D">
                <w:rPr>
                  <w:rStyle w:val="Hyperlink"/>
                </w:rPr>
                <w:t>Public Health and Wellbeing Regulations 2019 (Vic)</w:t>
              </w:r>
            </w:hyperlink>
            <w:r w:rsidR="00C47B7B">
              <w:rPr>
                <w:rStyle w:val="Hyperlink"/>
              </w:rPr>
              <w:t xml:space="preserve"> </w:t>
            </w:r>
            <w:r w:rsidR="000B52C2" w:rsidRPr="000B52C2">
              <w:rPr>
                <w:rStyle w:val="Hyperlink"/>
                <w:color w:val="auto"/>
                <w:u w:val="none"/>
              </w:rPr>
              <w:t>principals</w:t>
            </w:r>
            <w:r w:rsidR="000B52C2">
              <w:rPr>
                <w:rStyle w:val="Hyperlink"/>
                <w:color w:val="auto"/>
                <w:u w:val="none"/>
              </w:rPr>
              <w:t xml:space="preserve"> are responsible for ensuring that</w:t>
            </w:r>
            <w:r w:rsidR="00F00D64">
              <w:rPr>
                <w:rStyle w:val="Hyperlink"/>
                <w:color w:val="auto"/>
                <w:u w:val="none"/>
              </w:rPr>
              <w:t xml:space="preserve"> the following processes are implemented</w:t>
            </w:r>
            <w:r w:rsidR="000B52C2">
              <w:rPr>
                <w:rStyle w:val="Hyperlink"/>
                <w:color w:val="auto"/>
                <w:u w:val="none"/>
              </w:rPr>
              <w:t xml:space="preserve">: </w:t>
            </w:r>
          </w:p>
          <w:p w14:paraId="1A3BB9A0" w14:textId="5378E40F" w:rsidR="00F00D64" w:rsidRPr="00A27932" w:rsidRDefault="00F00D64" w:rsidP="00650775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ind w:left="462" w:hanging="462"/>
              <w:contextualSpacing w:val="0"/>
              <w:rPr>
                <w:b/>
                <w:bCs/>
              </w:rPr>
            </w:pPr>
            <w:r>
              <w:t>Register the swimming pool, spa pool or interactive water features</w:t>
            </w:r>
            <w:r w:rsidR="00650775">
              <w:t xml:space="preserve">, </w:t>
            </w:r>
            <w:r w:rsidR="00A27932">
              <w:t>including the c</w:t>
            </w:r>
            <w:r w:rsidR="00A27932" w:rsidRPr="00A27932">
              <w:t>omplet</w:t>
            </w:r>
            <w:r w:rsidR="00A27932">
              <w:t>ion</w:t>
            </w:r>
            <w:r w:rsidR="00A27932" w:rsidRPr="00A27932">
              <w:t xml:space="preserve"> and </w:t>
            </w:r>
            <w:r w:rsidR="00A27932">
              <w:t>implementation of</w:t>
            </w:r>
            <w:r w:rsidR="00A27932" w:rsidRPr="00A27932">
              <w:t xml:space="preserve"> a Water Quality Risk Management Plan</w:t>
            </w:r>
            <w:r w:rsidR="00A27932">
              <w:t xml:space="preserve"> prior to operating the facility</w:t>
            </w:r>
          </w:p>
          <w:p w14:paraId="004CDC29" w14:textId="24C76DDF" w:rsidR="00F00D64" w:rsidRPr="00FD2EB0" w:rsidRDefault="00F00D64" w:rsidP="00650775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ind w:left="462" w:hanging="425"/>
              <w:contextualSpacing w:val="0"/>
            </w:pPr>
            <w:r>
              <w:t>M</w:t>
            </w:r>
            <w:r w:rsidRPr="003A1AF3">
              <w:rPr>
                <w:rFonts w:eastAsia="MS PGothic"/>
              </w:rPr>
              <w:t xml:space="preserve">anage the risks to human health arising from pathogenic microorganisms in the water in the aquatic facility in accordance with the </w:t>
            </w:r>
            <w:r>
              <w:rPr>
                <w:rFonts w:eastAsia="MS PGothic"/>
              </w:rPr>
              <w:t>r</w:t>
            </w:r>
            <w:r w:rsidRPr="003A1AF3">
              <w:rPr>
                <w:rFonts w:eastAsia="MS PGothic"/>
              </w:rPr>
              <w:t>egulations and the Water Quality Guidelines</w:t>
            </w:r>
            <w:r w:rsidR="001D33A9">
              <w:rPr>
                <w:rFonts w:eastAsia="MS PGothic"/>
              </w:rPr>
              <w:t>.</w:t>
            </w:r>
          </w:p>
          <w:p w14:paraId="1FA6CABE" w14:textId="2BD75F7B" w:rsidR="00F00D64" w:rsidRDefault="00F00D64" w:rsidP="00650775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ind w:left="462" w:hanging="425"/>
              <w:contextualSpacing w:val="0"/>
            </w:pPr>
            <w:r>
              <w:t xml:space="preserve">Ensure adequate training and competency of aquatic facility operators </w:t>
            </w:r>
          </w:p>
          <w:p w14:paraId="6F90E981" w14:textId="66D1EF46" w:rsidR="00F00D64" w:rsidRPr="001D33A9" w:rsidRDefault="000B1F56" w:rsidP="00650775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ind w:left="462" w:hanging="46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</w:t>
            </w:r>
            <w:r w:rsidR="00F00D64" w:rsidRPr="001D33A9">
              <w:rPr>
                <w:rFonts w:cstheme="minorHAnsi"/>
              </w:rPr>
              <w:t>manual daily key pool water parameter check</w:t>
            </w:r>
            <w:r w:rsidR="00A27932">
              <w:rPr>
                <w:rFonts w:cstheme="minorHAnsi"/>
              </w:rPr>
              <w:t>s</w:t>
            </w:r>
            <w:r w:rsidR="00F00D64" w:rsidRPr="001D33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are undertaken </w:t>
            </w:r>
            <w:r w:rsidR="00F00D64" w:rsidRPr="001D33A9">
              <w:rPr>
                <w:rFonts w:cstheme="minorHAnsi"/>
              </w:rPr>
              <w:t>before the pool opens and operational checks every four hours, and to close the pool if the key pool water parameters are not met</w:t>
            </w:r>
          </w:p>
          <w:p w14:paraId="255AED54" w14:textId="4BB113A7" w:rsidR="00F00D64" w:rsidRPr="001D33A9" w:rsidRDefault="000B1F56" w:rsidP="00650775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ind w:left="462" w:hanging="46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</w:t>
            </w:r>
            <w:r w:rsidR="00F00D64" w:rsidRPr="001D33A9">
              <w:rPr>
                <w:rFonts w:cstheme="minorHAnsi"/>
              </w:rPr>
              <w:t xml:space="preserve">periodic verification and monitoring of the microbiological quality of water at the aquatic facility </w:t>
            </w:r>
            <w:r>
              <w:rPr>
                <w:rFonts w:cstheme="minorHAnsi"/>
              </w:rPr>
              <w:t xml:space="preserve">is undertaken </w:t>
            </w:r>
            <w:r w:rsidR="00F00D64" w:rsidRPr="001D33A9">
              <w:rPr>
                <w:rFonts w:cstheme="minorHAnsi"/>
              </w:rPr>
              <w:t xml:space="preserve">and </w:t>
            </w:r>
            <w:proofErr w:type="gramStart"/>
            <w:r w:rsidR="00F00D64" w:rsidRPr="001D33A9">
              <w:rPr>
                <w:rFonts w:cstheme="minorHAnsi"/>
              </w:rPr>
              <w:t>take action</w:t>
            </w:r>
            <w:proofErr w:type="gramEnd"/>
            <w:r w:rsidR="00F00D64" w:rsidRPr="001D33A9">
              <w:rPr>
                <w:rFonts w:cstheme="minorHAnsi"/>
              </w:rPr>
              <w:t xml:space="preserve"> where the required parameters are not met</w:t>
            </w:r>
          </w:p>
          <w:p w14:paraId="6DE29D8E" w14:textId="46BB57C9" w:rsidR="001420A4" w:rsidRPr="001D33A9" w:rsidRDefault="00F00D64" w:rsidP="00650775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ind w:left="462" w:hanging="462"/>
              <w:contextualSpacing w:val="0"/>
              <w:rPr>
                <w:rFonts w:cstheme="minorHAnsi"/>
              </w:rPr>
            </w:pPr>
            <w:r w:rsidRPr="001D33A9">
              <w:rPr>
                <w:rFonts w:cstheme="minorHAnsi"/>
              </w:rPr>
              <w:t>keep records of testing for 12 months from the date the record was made</w:t>
            </w:r>
            <w:r w:rsidR="001D33A9">
              <w:rPr>
                <w:rFonts w:cstheme="minorHAnsi"/>
              </w:rPr>
              <w:t>.</w:t>
            </w:r>
          </w:p>
        </w:tc>
      </w:tr>
      <w:tr w:rsidR="005D6C3E" w14:paraId="705EB134" w14:textId="77777777" w:rsidTr="0092145D">
        <w:tc>
          <w:tcPr>
            <w:tcW w:w="3397" w:type="dxa"/>
          </w:tcPr>
          <w:p w14:paraId="0F882A9F" w14:textId="757927D3" w:rsidR="005D6C3E" w:rsidRDefault="005D6C3E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What is an Interactive Water Feature?</w:t>
            </w:r>
          </w:p>
        </w:tc>
        <w:tc>
          <w:tcPr>
            <w:tcW w:w="6096" w:type="dxa"/>
          </w:tcPr>
          <w:p w14:paraId="10F91F7E" w14:textId="77777777" w:rsidR="005D6C3E" w:rsidRPr="005D6C3E" w:rsidRDefault="005D6C3E" w:rsidP="00650775">
            <w:pPr>
              <w:spacing w:before="120" w:after="120" w:line="276" w:lineRule="auto"/>
              <w:rPr>
                <w:rFonts w:cstheme="minorHAnsi"/>
              </w:rPr>
            </w:pPr>
            <w:r w:rsidRPr="005D6C3E">
              <w:rPr>
                <w:rFonts w:cstheme="minorHAnsi"/>
              </w:rPr>
              <w:t>An interactive water feature means any of the following:</w:t>
            </w:r>
          </w:p>
          <w:p w14:paraId="4039EF54" w14:textId="305AB093" w:rsidR="005D6C3E" w:rsidRPr="00650775" w:rsidRDefault="005D6C3E" w:rsidP="00650775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left="462" w:hanging="425"/>
              <w:rPr>
                <w:rFonts w:cstheme="minorHAnsi"/>
              </w:rPr>
            </w:pPr>
            <w:r w:rsidRPr="00650775">
              <w:rPr>
                <w:rFonts w:cstheme="minorHAnsi"/>
              </w:rPr>
              <w:t>a water slide and its associated receiving pool that uses recirculating water</w:t>
            </w:r>
          </w:p>
          <w:p w14:paraId="099F3918" w14:textId="09EBA706" w:rsidR="005D6C3E" w:rsidRPr="00650775" w:rsidRDefault="005D6C3E" w:rsidP="00650775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left="462" w:hanging="425"/>
              <w:rPr>
                <w:rFonts w:cstheme="minorHAnsi"/>
              </w:rPr>
            </w:pPr>
            <w:r w:rsidRPr="00650775">
              <w:rPr>
                <w:rFonts w:cstheme="minorHAnsi"/>
              </w:rPr>
              <w:t>a wave pool or water play park that uses recirculating water</w:t>
            </w:r>
          </w:p>
          <w:p w14:paraId="75D7BC46" w14:textId="696C3422" w:rsidR="005D6C3E" w:rsidRPr="00650775" w:rsidRDefault="005D6C3E" w:rsidP="00650775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left="462" w:hanging="425"/>
              <w:rPr>
                <w:rFonts w:cstheme="minorHAnsi"/>
              </w:rPr>
            </w:pPr>
            <w:r w:rsidRPr="00650775">
              <w:rPr>
                <w:rFonts w:cstheme="minorHAnsi"/>
              </w:rPr>
              <w:t xml:space="preserve">any other artificially constructed water play feature where recirculating water may be inhaled or swallowed by a person or </w:t>
            </w:r>
            <w:proofErr w:type="gramStart"/>
            <w:r w:rsidRPr="00650775">
              <w:rPr>
                <w:rFonts w:cstheme="minorHAnsi"/>
              </w:rPr>
              <w:t>come into contact with</w:t>
            </w:r>
            <w:proofErr w:type="gramEnd"/>
            <w:r w:rsidRPr="00650775">
              <w:rPr>
                <w:rFonts w:cstheme="minorHAnsi"/>
              </w:rPr>
              <w:t xml:space="preserve"> a person's skin or mucous membranes</w:t>
            </w:r>
            <w:r w:rsidR="00650775" w:rsidRPr="00650775">
              <w:rPr>
                <w:rFonts w:cstheme="minorHAnsi"/>
              </w:rPr>
              <w:t>.</w:t>
            </w:r>
          </w:p>
        </w:tc>
      </w:tr>
      <w:tr w:rsidR="00500F3D" w14:paraId="3F41BD80" w14:textId="77777777" w:rsidTr="0092145D">
        <w:tc>
          <w:tcPr>
            <w:tcW w:w="3397" w:type="dxa"/>
          </w:tcPr>
          <w:p w14:paraId="04050325" w14:textId="46DD79C0" w:rsidR="00500F3D" w:rsidRDefault="005F7C0D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Where do I access the</w:t>
            </w:r>
            <w:r w:rsidR="00236E0D">
              <w:t xml:space="preserve"> Registration Form?</w:t>
            </w:r>
          </w:p>
        </w:tc>
        <w:tc>
          <w:tcPr>
            <w:tcW w:w="6096" w:type="dxa"/>
          </w:tcPr>
          <w:p w14:paraId="4F565D2F" w14:textId="7C064C47" w:rsidR="00500F3D" w:rsidRPr="00500F3D" w:rsidRDefault="00557C13" w:rsidP="00650775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Each council differs with how they register an aquatic facility. Please </w:t>
            </w:r>
            <w:r w:rsidR="008B1A64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>your local council</w:t>
            </w:r>
            <w:r w:rsidR="008B1A64">
              <w:rPr>
                <w:rFonts w:cstheme="minorHAnsi"/>
              </w:rPr>
              <w:t xml:space="preserve"> directly to determine how you register your pool with them. </w:t>
            </w:r>
          </w:p>
        </w:tc>
      </w:tr>
      <w:tr w:rsidR="005A4CFC" w14:paraId="52D61830" w14:textId="77777777" w:rsidTr="0092145D">
        <w:tc>
          <w:tcPr>
            <w:tcW w:w="3397" w:type="dxa"/>
          </w:tcPr>
          <w:p w14:paraId="29562394" w14:textId="107C9BF6" w:rsidR="005A4CFC" w:rsidRPr="00051692" w:rsidRDefault="00684874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lastRenderedPageBreak/>
              <w:t xml:space="preserve">How much </w:t>
            </w:r>
            <w:r w:rsidR="00F80743">
              <w:t>i</w:t>
            </w:r>
            <w:r>
              <w:t>s</w:t>
            </w:r>
            <w:r w:rsidR="00F80743">
              <w:t xml:space="preserve"> the</w:t>
            </w:r>
            <w:r>
              <w:t xml:space="preserve"> pool registration and </w:t>
            </w:r>
            <w:r w:rsidR="00F80743">
              <w:t>w</w:t>
            </w:r>
            <w:r w:rsidR="00236E0D">
              <w:t>ho pays for the Pool Registration?</w:t>
            </w:r>
          </w:p>
        </w:tc>
        <w:tc>
          <w:tcPr>
            <w:tcW w:w="6096" w:type="dxa"/>
          </w:tcPr>
          <w:p w14:paraId="65F72552" w14:textId="6D3D545C" w:rsidR="00500F3D" w:rsidRDefault="00F80743" w:rsidP="00650775">
            <w:pPr>
              <w:spacing w:before="120" w:after="120" w:line="276" w:lineRule="auto"/>
            </w:pPr>
            <w:r>
              <w:t>Most councils are charging a fee of $</w:t>
            </w:r>
            <w:r w:rsidR="00D81BD7">
              <w:t>7</w:t>
            </w:r>
            <w:r>
              <w:t>9</w:t>
            </w:r>
            <w:r w:rsidR="00D470F4">
              <w:t>, however some councils may differ slightly</w:t>
            </w:r>
            <w:r w:rsidR="00D81BD7">
              <w:t>.</w:t>
            </w:r>
          </w:p>
          <w:p w14:paraId="248C99EB" w14:textId="77777777" w:rsidR="00D470F4" w:rsidRDefault="00D470F4" w:rsidP="00650775">
            <w:pPr>
              <w:spacing w:before="120" w:after="120" w:line="276" w:lineRule="auto"/>
            </w:pPr>
            <w:r>
              <w:t>Schools are required to pay for their registration fees.</w:t>
            </w:r>
          </w:p>
          <w:p w14:paraId="689FBB02" w14:textId="20A40F0E" w:rsidR="00236676" w:rsidRPr="005A4CFC" w:rsidRDefault="00236676" w:rsidP="00650775">
            <w:pPr>
              <w:spacing w:before="120" w:after="120" w:line="276" w:lineRule="auto"/>
            </w:pPr>
            <w:r>
              <w:t xml:space="preserve">NOTE: some local Councils are offering free registration on existing aquatic facilities if you register before </w:t>
            </w:r>
            <w:r w:rsidR="0092145D">
              <w:t xml:space="preserve">31 </w:t>
            </w:r>
            <w:r>
              <w:t>December</w:t>
            </w:r>
            <w:r w:rsidR="0092145D">
              <w:t xml:space="preserve"> 2021</w:t>
            </w:r>
            <w:r>
              <w:t xml:space="preserve">. </w:t>
            </w:r>
          </w:p>
        </w:tc>
      </w:tr>
      <w:tr w:rsidR="00BA618C" w14:paraId="0AE75765" w14:textId="77777777" w:rsidTr="0092145D">
        <w:tc>
          <w:tcPr>
            <w:tcW w:w="3397" w:type="dxa"/>
          </w:tcPr>
          <w:p w14:paraId="42091C37" w14:textId="54154EA2" w:rsidR="00BA618C" w:rsidRDefault="00BA618C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 xml:space="preserve">What </w:t>
            </w:r>
            <w:r w:rsidR="00236E0D">
              <w:t>happens if I don’t register the pool with council?</w:t>
            </w:r>
          </w:p>
        </w:tc>
        <w:tc>
          <w:tcPr>
            <w:tcW w:w="6096" w:type="dxa"/>
          </w:tcPr>
          <w:p w14:paraId="451D115B" w14:textId="6C1CB0E6" w:rsidR="00D470F4" w:rsidRDefault="00D470F4" w:rsidP="00650775">
            <w:pPr>
              <w:spacing w:before="120" w:after="120" w:line="276" w:lineRule="auto"/>
            </w:pPr>
            <w:r>
              <w:t>As of 14 December 2020,</w:t>
            </w:r>
            <w:r w:rsidR="006E388D">
              <w:t xml:space="preserve"> category 1</w:t>
            </w:r>
            <w:r w:rsidR="00557C13">
              <w:t xml:space="preserve"> (i.e.</w:t>
            </w:r>
            <w:r w:rsidR="00650775">
              <w:t>,</w:t>
            </w:r>
            <w:r w:rsidR="00557C13">
              <w:t xml:space="preserve"> </w:t>
            </w:r>
            <w:r w:rsidR="00557C13" w:rsidRPr="00650775">
              <w:t xml:space="preserve">any swimming pool, spa pool or interactive water feature) </w:t>
            </w:r>
            <w:r w:rsidR="006E388D">
              <w:t xml:space="preserve">aquatic facilities need to be registered with local councils (they are now a prescribed business for the purposes of the Public Health and Wellbeing Act). </w:t>
            </w:r>
          </w:p>
          <w:p w14:paraId="728C495D" w14:textId="1D27CA8B" w:rsidR="00BA618C" w:rsidRPr="00BA618C" w:rsidRDefault="00D470F4" w:rsidP="00650775">
            <w:pPr>
              <w:spacing w:before="120" w:after="120" w:line="276" w:lineRule="auto"/>
            </w:pPr>
            <w:r>
              <w:t>If you don’t register your aquatic facility</w:t>
            </w:r>
            <w:r w:rsidR="006E388D">
              <w:t xml:space="preserve"> with local council, there are compliance implications under th</w:t>
            </w:r>
            <w:r>
              <w:t xml:space="preserve">e Public Health and Wellbeing </w:t>
            </w:r>
            <w:r w:rsidR="006E388D">
              <w:t>Act (i.e.</w:t>
            </w:r>
            <w:r w:rsidR="00650775">
              <w:t>,</w:t>
            </w:r>
            <w:r w:rsidR="006E388D">
              <w:t xml:space="preserve"> substantial penalties). </w:t>
            </w:r>
          </w:p>
        </w:tc>
      </w:tr>
      <w:tr w:rsidR="001655EE" w14:paraId="33FA422B" w14:textId="77777777" w:rsidTr="0092145D">
        <w:tc>
          <w:tcPr>
            <w:tcW w:w="3397" w:type="dxa"/>
          </w:tcPr>
          <w:p w14:paraId="17D903E8" w14:textId="348C96EC" w:rsidR="001655EE" w:rsidRDefault="001655EE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What is a Water Quality Risk Management Plan?</w:t>
            </w:r>
          </w:p>
        </w:tc>
        <w:tc>
          <w:tcPr>
            <w:tcW w:w="6096" w:type="dxa"/>
          </w:tcPr>
          <w:p w14:paraId="43A9D009" w14:textId="36384C52" w:rsidR="009B0CF8" w:rsidRDefault="00583D84" w:rsidP="00650775">
            <w:pPr>
              <w:spacing w:before="120" w:after="120" w:line="276" w:lineRule="auto"/>
            </w:pPr>
            <w:r>
              <w:t>A</w:t>
            </w:r>
            <w:r w:rsidR="009B0CF8">
              <w:t xml:space="preserve"> </w:t>
            </w:r>
            <w:r>
              <w:t>W</w:t>
            </w:r>
            <w:r w:rsidR="009B0CF8">
              <w:t xml:space="preserve">ater </w:t>
            </w:r>
            <w:r>
              <w:t>Q</w:t>
            </w:r>
            <w:r w:rsidR="009B0CF8">
              <w:t xml:space="preserve">uality </w:t>
            </w:r>
            <w:r>
              <w:t>R</w:t>
            </w:r>
            <w:r w:rsidR="009B0CF8">
              <w:t xml:space="preserve">isk </w:t>
            </w:r>
            <w:r>
              <w:t>M</w:t>
            </w:r>
            <w:r w:rsidR="009B0CF8">
              <w:t xml:space="preserve">anagement </w:t>
            </w:r>
            <w:r>
              <w:t>P</w:t>
            </w:r>
            <w:r w:rsidR="009B0CF8">
              <w:t>lan includes:</w:t>
            </w:r>
          </w:p>
          <w:p w14:paraId="649EC68E" w14:textId="20918D0C" w:rsidR="009B0CF8" w:rsidRDefault="009B0CF8" w:rsidP="00650775">
            <w:pPr>
              <w:pStyle w:val="ListParagraph"/>
              <w:numPr>
                <w:ilvl w:val="1"/>
                <w:numId w:val="33"/>
              </w:numPr>
              <w:spacing w:before="120" w:after="120" w:line="276" w:lineRule="auto"/>
              <w:ind w:left="462" w:hanging="425"/>
              <w:contextualSpacing w:val="0"/>
            </w:pPr>
            <w:r>
              <w:t xml:space="preserve">staff roles and responsibilities, </w:t>
            </w:r>
            <w:proofErr w:type="gramStart"/>
            <w:r>
              <w:t>competencies</w:t>
            </w:r>
            <w:proofErr w:type="gramEnd"/>
            <w:r>
              <w:t xml:space="preserve"> and training requirements</w:t>
            </w:r>
          </w:p>
          <w:p w14:paraId="3A3414E5" w14:textId="0ADCBDEF" w:rsidR="009B0CF8" w:rsidRDefault="009B0CF8" w:rsidP="00650775">
            <w:pPr>
              <w:pStyle w:val="ListParagraph"/>
              <w:numPr>
                <w:ilvl w:val="1"/>
                <w:numId w:val="33"/>
              </w:numPr>
              <w:spacing w:before="120" w:after="120" w:line="276" w:lineRule="auto"/>
              <w:ind w:left="462" w:hanging="425"/>
              <w:contextualSpacing w:val="0"/>
              <w:jc w:val="both"/>
            </w:pPr>
            <w:r>
              <w:t>a description of the facility, its source water, and its treatment systems</w:t>
            </w:r>
          </w:p>
          <w:p w14:paraId="7B1270D3" w14:textId="516F329E" w:rsidR="009B0CF8" w:rsidRDefault="009B0CF8" w:rsidP="00650775">
            <w:pPr>
              <w:pStyle w:val="ListParagraph"/>
              <w:numPr>
                <w:ilvl w:val="1"/>
                <w:numId w:val="33"/>
              </w:numPr>
              <w:spacing w:before="120" w:after="120" w:line="276" w:lineRule="auto"/>
              <w:ind w:left="462" w:hanging="425"/>
              <w:contextualSpacing w:val="0"/>
              <w:jc w:val="both"/>
            </w:pPr>
            <w:r>
              <w:t>water quality targets and treatment objectives</w:t>
            </w:r>
          </w:p>
          <w:p w14:paraId="0D7F547A" w14:textId="74044F45" w:rsidR="009B0CF8" w:rsidRDefault="009B0CF8" w:rsidP="00650775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ind w:left="462" w:hanging="425"/>
              <w:contextualSpacing w:val="0"/>
            </w:pPr>
            <w:r>
              <w:t>hazard identification, risk assessment and control measures</w:t>
            </w:r>
          </w:p>
          <w:p w14:paraId="68D88FAE" w14:textId="6462047F" w:rsidR="009B0CF8" w:rsidRDefault="009B0CF8" w:rsidP="00650775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ind w:left="462" w:hanging="425"/>
              <w:contextualSpacing w:val="0"/>
            </w:pPr>
            <w:r>
              <w:t>operational and verification monitoring</w:t>
            </w:r>
          </w:p>
          <w:p w14:paraId="570CEB5D" w14:textId="120FB1D4" w:rsidR="009B0CF8" w:rsidRDefault="009B0CF8" w:rsidP="00650775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ind w:left="462" w:hanging="425"/>
              <w:contextualSpacing w:val="0"/>
            </w:pPr>
            <w:r>
              <w:t>incident management and response procedures</w:t>
            </w:r>
          </w:p>
          <w:p w14:paraId="7B778A1C" w14:textId="4DEFCFFB" w:rsidR="001655EE" w:rsidRPr="00BA618C" w:rsidRDefault="009B0CF8" w:rsidP="00650775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ind w:left="462" w:hanging="425"/>
              <w:contextualSpacing w:val="0"/>
              <w:jc w:val="both"/>
            </w:pPr>
            <w:r>
              <w:t>data recording and reporting.</w:t>
            </w:r>
          </w:p>
        </w:tc>
      </w:tr>
      <w:tr w:rsidR="00607BFE" w14:paraId="626F6126" w14:textId="77777777" w:rsidTr="0092145D">
        <w:tc>
          <w:tcPr>
            <w:tcW w:w="3397" w:type="dxa"/>
          </w:tcPr>
          <w:p w14:paraId="4433103D" w14:textId="5E1806CF" w:rsidR="00607BFE" w:rsidRPr="00051692" w:rsidRDefault="004B6C15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 xml:space="preserve">Where can I </w:t>
            </w:r>
            <w:r w:rsidR="00C7799E">
              <w:t xml:space="preserve">download the </w:t>
            </w:r>
            <w:r w:rsidR="001655EE">
              <w:t>Water Quality Risk Management Plan Template?</w:t>
            </w:r>
          </w:p>
        </w:tc>
        <w:tc>
          <w:tcPr>
            <w:tcW w:w="6096" w:type="dxa"/>
          </w:tcPr>
          <w:p w14:paraId="7602BF3C" w14:textId="2DE24265" w:rsidR="00607BFE" w:rsidRPr="00051692" w:rsidRDefault="00A6106C" w:rsidP="00650775">
            <w:pPr>
              <w:spacing w:before="120" w:after="120" w:line="276" w:lineRule="auto"/>
            </w:pPr>
            <w:r w:rsidRPr="00650775">
              <w:rPr>
                <w:rFonts w:eastAsia="Times New Roman" w:cstheme="minorHAnsi"/>
                <w:lang w:eastAsia="en-AU"/>
              </w:rPr>
              <w:t xml:space="preserve">The </w:t>
            </w:r>
            <w:r w:rsidRPr="00A27932">
              <w:rPr>
                <w:rFonts w:eastAsia="Times New Roman" w:cstheme="minorHAnsi"/>
                <w:lang w:eastAsia="en-AU"/>
              </w:rPr>
              <w:t xml:space="preserve">recommended template </w:t>
            </w:r>
            <w:r w:rsidRPr="00650775">
              <w:rPr>
                <w:rFonts w:eastAsia="Times New Roman" w:cstheme="minorHAnsi"/>
                <w:lang w:eastAsia="en-AU"/>
              </w:rPr>
              <w:t xml:space="preserve">for use </w:t>
            </w:r>
            <w:r w:rsidRPr="00A27932">
              <w:rPr>
                <w:rFonts w:eastAsia="Times New Roman" w:cstheme="minorHAnsi"/>
                <w:lang w:eastAsia="en-AU"/>
              </w:rPr>
              <w:t>is available on D</w:t>
            </w:r>
            <w:r w:rsidRPr="00650775">
              <w:rPr>
                <w:rFonts w:eastAsia="Times New Roman" w:cstheme="minorHAnsi"/>
                <w:lang w:eastAsia="en-AU"/>
              </w:rPr>
              <w:t xml:space="preserve">epartment of </w:t>
            </w:r>
            <w:r w:rsidRPr="00A27932">
              <w:rPr>
                <w:rFonts w:eastAsia="Times New Roman" w:cstheme="minorHAnsi"/>
                <w:lang w:eastAsia="en-AU"/>
              </w:rPr>
              <w:t>H</w:t>
            </w:r>
            <w:r w:rsidRPr="00650775">
              <w:rPr>
                <w:rFonts w:eastAsia="Times New Roman" w:cstheme="minorHAnsi"/>
                <w:lang w:eastAsia="en-AU"/>
              </w:rPr>
              <w:t>ealth</w:t>
            </w:r>
            <w:r w:rsidRPr="00A27932">
              <w:rPr>
                <w:rFonts w:eastAsia="Times New Roman" w:cstheme="minorHAnsi"/>
                <w:lang w:eastAsia="en-AU"/>
              </w:rPr>
              <w:t xml:space="preserve"> website: </w:t>
            </w:r>
            <w:hyperlink r:id="rId11" w:history="1">
              <w:r w:rsidRPr="00650775">
                <w:rPr>
                  <w:rStyle w:val="Hyperlink"/>
                  <w:rFonts w:cstheme="minorHAnsi"/>
                </w:rPr>
                <w:t>Aquatic facilities (health.vic.gov.au)</w:t>
              </w:r>
            </w:hyperlink>
          </w:p>
        </w:tc>
      </w:tr>
      <w:tr w:rsidR="00607BFE" w14:paraId="2E012AE6" w14:textId="77777777" w:rsidTr="0092145D">
        <w:tc>
          <w:tcPr>
            <w:tcW w:w="3397" w:type="dxa"/>
          </w:tcPr>
          <w:p w14:paraId="65EECE7C" w14:textId="4AAC1047" w:rsidR="00607BFE" w:rsidRPr="00051692" w:rsidRDefault="00AB6E7C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Is there support in developing the Water Quality Risk Management Plan?</w:t>
            </w:r>
          </w:p>
        </w:tc>
        <w:tc>
          <w:tcPr>
            <w:tcW w:w="6096" w:type="dxa"/>
          </w:tcPr>
          <w:p w14:paraId="6A2BAE3D" w14:textId="77777777" w:rsidR="00650775" w:rsidRDefault="00477125" w:rsidP="00650775">
            <w:pPr>
              <w:spacing w:before="120" w:after="120" w:line="276" w:lineRule="auto"/>
            </w:pPr>
            <w:r>
              <w:t xml:space="preserve">Yes, there is </w:t>
            </w:r>
            <w:proofErr w:type="gramStart"/>
            <w:r>
              <w:t>support</w:t>
            </w:r>
            <w:proofErr w:type="gramEnd"/>
            <w:r>
              <w:t xml:space="preserve"> to help with completing the Water Quality Risk Management Plan</w:t>
            </w:r>
            <w:r w:rsidR="0050756E">
              <w:t xml:space="preserve"> </w:t>
            </w:r>
            <w:r w:rsidR="00C825A1">
              <w:t>t</w:t>
            </w:r>
            <w:r w:rsidR="0050756E">
              <w:t>emplate</w:t>
            </w:r>
            <w:r>
              <w:t xml:space="preserve">. </w:t>
            </w:r>
          </w:p>
          <w:p w14:paraId="15746987" w14:textId="1A91E5DA" w:rsidR="00BD6298" w:rsidRPr="00051692" w:rsidRDefault="00477125" w:rsidP="00650775">
            <w:pPr>
              <w:spacing w:before="120" w:after="120" w:line="276" w:lineRule="auto"/>
            </w:pPr>
            <w:r>
              <w:t>Please contact</w:t>
            </w:r>
            <w:r w:rsidR="0050756E">
              <w:t xml:space="preserve"> the OHS Advisory Service</w:t>
            </w:r>
            <w:r w:rsidR="00F52B6A">
              <w:t>:</w:t>
            </w:r>
            <w:r w:rsidR="00A6106C">
              <w:t xml:space="preserve"> </w:t>
            </w:r>
            <w:r w:rsidR="00F52B6A">
              <w:t xml:space="preserve">1300 074 715 </w:t>
            </w:r>
            <w:hyperlink r:id="rId12" w:history="1">
              <w:r w:rsidR="00F52B6A" w:rsidRPr="000A079C">
                <w:rPr>
                  <w:rStyle w:val="Hyperlink"/>
                </w:rPr>
                <w:t>safety@education.vic.gov.au</w:t>
              </w:r>
            </w:hyperlink>
            <w:r w:rsidR="00F52B6A">
              <w:t xml:space="preserve"> </w:t>
            </w:r>
          </w:p>
        </w:tc>
      </w:tr>
      <w:tr w:rsidR="00DA4176" w14:paraId="36B07E8B" w14:textId="77777777" w:rsidTr="0092145D">
        <w:tc>
          <w:tcPr>
            <w:tcW w:w="3397" w:type="dxa"/>
          </w:tcPr>
          <w:p w14:paraId="07D644ED" w14:textId="4F603A39" w:rsidR="00DA4176" w:rsidRDefault="00FB0F73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lastRenderedPageBreak/>
              <w:t>When do I have to complete the Water Quality Risk Management Plan by?</w:t>
            </w:r>
          </w:p>
        </w:tc>
        <w:tc>
          <w:tcPr>
            <w:tcW w:w="6096" w:type="dxa"/>
          </w:tcPr>
          <w:p w14:paraId="421EE7D4" w14:textId="28A71A50" w:rsidR="00A6106C" w:rsidRDefault="005D200F" w:rsidP="00650775">
            <w:pPr>
              <w:spacing w:before="120" w:after="120" w:line="276" w:lineRule="auto"/>
            </w:pPr>
            <w:r>
              <w:rPr>
                <w:rFonts w:cstheme="minorHAnsi"/>
              </w:rPr>
              <w:t xml:space="preserve">The </w:t>
            </w:r>
            <w:hyperlink r:id="rId13" w:history="1">
              <w:r w:rsidR="00A6106C" w:rsidRPr="0092342D">
                <w:rPr>
                  <w:rStyle w:val="Hyperlink"/>
                </w:rPr>
                <w:t>Public Health and Wellbeing Regulations 2019 (Vic)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were updated in late 2020. </w:t>
            </w:r>
            <w:r w:rsidR="00FB539F" w:rsidRPr="00650775">
              <w:rPr>
                <w:rStyle w:val="Hyperlink"/>
                <w:b/>
                <w:bCs/>
                <w:color w:val="auto"/>
                <w:u w:val="none"/>
              </w:rPr>
              <w:t>T</w:t>
            </w:r>
            <w:r w:rsidR="00FB7B13" w:rsidRPr="00650775">
              <w:rPr>
                <w:rStyle w:val="Hyperlink"/>
                <w:b/>
                <w:bCs/>
                <w:color w:val="auto"/>
                <w:u w:val="none"/>
              </w:rPr>
              <w:t>he Department</w:t>
            </w:r>
            <w:r w:rsidR="00FB539F" w:rsidRPr="00650775">
              <w:rPr>
                <w:rStyle w:val="Hyperlink"/>
                <w:b/>
                <w:bCs/>
                <w:color w:val="auto"/>
                <w:u w:val="none"/>
              </w:rPr>
              <w:t xml:space="preserve"> is</w:t>
            </w:r>
            <w:r w:rsidR="00FB7B13" w:rsidRPr="00650775">
              <w:rPr>
                <w:rStyle w:val="Hyperlink"/>
                <w:b/>
                <w:bCs/>
                <w:color w:val="auto"/>
                <w:u w:val="none"/>
              </w:rPr>
              <w:t xml:space="preserve"> requesting all schools </w:t>
            </w:r>
            <w:r w:rsidR="00FB539F" w:rsidRPr="00650775">
              <w:rPr>
                <w:rStyle w:val="Hyperlink"/>
                <w:b/>
                <w:bCs/>
                <w:color w:val="auto"/>
                <w:u w:val="none"/>
              </w:rPr>
              <w:t>to register their</w:t>
            </w:r>
            <w:r w:rsidR="00FB7B13" w:rsidRPr="00650775">
              <w:rPr>
                <w:rStyle w:val="Hyperlink"/>
                <w:b/>
                <w:bCs/>
                <w:color w:val="auto"/>
                <w:u w:val="none"/>
              </w:rPr>
              <w:t xml:space="preserve"> aquatic facilities </w:t>
            </w:r>
            <w:r w:rsidR="00FB539F" w:rsidRPr="00650775">
              <w:rPr>
                <w:rStyle w:val="Hyperlink"/>
                <w:b/>
                <w:bCs/>
                <w:color w:val="auto"/>
                <w:u w:val="none"/>
              </w:rPr>
              <w:t>prior to operating them in 2021 and beyond</w:t>
            </w:r>
            <w:r w:rsidR="00FB7B13" w:rsidRPr="00650775">
              <w:rPr>
                <w:rStyle w:val="Hyperlink"/>
                <w:b/>
                <w:bCs/>
                <w:color w:val="auto"/>
                <w:u w:val="none"/>
              </w:rPr>
              <w:t>.</w:t>
            </w:r>
            <w:r w:rsidR="00FB7B13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A6106C" w14:paraId="7B62B98B" w14:textId="77777777" w:rsidTr="0092145D">
        <w:tc>
          <w:tcPr>
            <w:tcW w:w="3397" w:type="dxa"/>
          </w:tcPr>
          <w:p w14:paraId="2E207CF2" w14:textId="65AD036F" w:rsidR="00A6106C" w:rsidRDefault="00A6106C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What if our school is currently using our aquatic facility</w:t>
            </w:r>
            <w:r w:rsidR="00D470F4">
              <w:t xml:space="preserve"> and it isn’t registered</w:t>
            </w:r>
            <w:r>
              <w:t xml:space="preserve">? </w:t>
            </w:r>
          </w:p>
        </w:tc>
        <w:tc>
          <w:tcPr>
            <w:tcW w:w="6096" w:type="dxa"/>
          </w:tcPr>
          <w:p w14:paraId="26A0917F" w14:textId="3914DFD7" w:rsidR="00A6106C" w:rsidRDefault="00A6106C" w:rsidP="00650775">
            <w:pPr>
              <w:spacing w:before="120" w:after="120" w:line="276" w:lineRule="auto"/>
            </w:pPr>
            <w:r>
              <w:t>If your school has not yet register</w:t>
            </w:r>
            <w:r w:rsidR="00D470F4">
              <w:t>ed the aquatic facility, it is highly recommended that you do not operate the facility for the below reasons.</w:t>
            </w:r>
          </w:p>
          <w:p w14:paraId="2F661C91" w14:textId="64D744FB" w:rsidR="00D470F4" w:rsidRDefault="00D470F4" w:rsidP="00650775">
            <w:pPr>
              <w:spacing w:before="120" w:after="120" w:line="276" w:lineRule="auto"/>
            </w:pPr>
            <w:r>
              <w:t>If you don’t register your aquatic facility with local council, there are compliance implications under the Public Health and Wellbeing Act (</w:t>
            </w:r>
            <w:r w:rsidR="005D6C3E">
              <w:t>i.e.,</w:t>
            </w:r>
            <w:r>
              <w:t xml:space="preserve"> substantial penalties).  </w:t>
            </w:r>
          </w:p>
        </w:tc>
      </w:tr>
      <w:tr w:rsidR="00A6106C" w14:paraId="06468CB0" w14:textId="77777777" w:rsidTr="0092145D">
        <w:tc>
          <w:tcPr>
            <w:tcW w:w="3397" w:type="dxa"/>
          </w:tcPr>
          <w:p w14:paraId="6EAD7C08" w14:textId="71486DC2" w:rsidR="00A6106C" w:rsidRDefault="00A6106C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How do I check if our school pool is registered?</w:t>
            </w:r>
          </w:p>
        </w:tc>
        <w:tc>
          <w:tcPr>
            <w:tcW w:w="6096" w:type="dxa"/>
          </w:tcPr>
          <w:p w14:paraId="107C293C" w14:textId="2A52D627" w:rsidR="00A6106C" w:rsidRDefault="002200D0" w:rsidP="00650775">
            <w:pPr>
              <w:spacing w:before="120" w:after="120" w:line="276" w:lineRule="auto"/>
            </w:pPr>
            <w:r>
              <w:t>By contacting your local council</w:t>
            </w:r>
          </w:p>
        </w:tc>
      </w:tr>
      <w:tr w:rsidR="00D470F4" w14:paraId="07DE48CF" w14:textId="77777777" w:rsidTr="0092145D">
        <w:tc>
          <w:tcPr>
            <w:tcW w:w="3397" w:type="dxa"/>
          </w:tcPr>
          <w:p w14:paraId="4B04F70F" w14:textId="142160C5" w:rsidR="00D470F4" w:rsidRDefault="00D470F4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How long will it take to register the aquatic facility?</w:t>
            </w:r>
          </w:p>
        </w:tc>
        <w:tc>
          <w:tcPr>
            <w:tcW w:w="6096" w:type="dxa"/>
          </w:tcPr>
          <w:p w14:paraId="1886D677" w14:textId="578F1819" w:rsidR="00D470F4" w:rsidRDefault="00D470F4" w:rsidP="00650775">
            <w:pPr>
              <w:spacing w:before="120" w:after="120" w:line="276" w:lineRule="auto"/>
            </w:pPr>
            <w:r>
              <w:t xml:space="preserve">Please check in with your local council for current approval times. </w:t>
            </w:r>
          </w:p>
        </w:tc>
      </w:tr>
      <w:tr w:rsidR="00D470F4" w14:paraId="230F25F1" w14:textId="77777777" w:rsidTr="0092145D">
        <w:tc>
          <w:tcPr>
            <w:tcW w:w="3397" w:type="dxa"/>
          </w:tcPr>
          <w:p w14:paraId="4C970156" w14:textId="28AD8732" w:rsidR="00D470F4" w:rsidRDefault="00D470F4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 xml:space="preserve">Do I only have to register the pool once? </w:t>
            </w:r>
          </w:p>
        </w:tc>
        <w:tc>
          <w:tcPr>
            <w:tcW w:w="6096" w:type="dxa"/>
          </w:tcPr>
          <w:p w14:paraId="581B1C07" w14:textId="56081B05" w:rsidR="002200D0" w:rsidRDefault="00597144" w:rsidP="00650775">
            <w:pPr>
              <w:spacing w:before="120" w:after="120" w:line="276" w:lineRule="auto"/>
            </w:pPr>
            <w:r>
              <w:t xml:space="preserve"> </w:t>
            </w:r>
            <w:r w:rsidR="002200D0">
              <w:t>This again will depend on how your local council conducts the registration process and the type of facility operated on your school grounds.</w:t>
            </w:r>
          </w:p>
        </w:tc>
      </w:tr>
      <w:tr w:rsidR="0002040E" w14:paraId="0A5DF0C8" w14:textId="77777777" w:rsidTr="0092145D">
        <w:tc>
          <w:tcPr>
            <w:tcW w:w="3397" w:type="dxa"/>
          </w:tcPr>
          <w:p w14:paraId="66702231" w14:textId="18AE8BBB" w:rsidR="0002040E" w:rsidRDefault="0002040E" w:rsidP="00650775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</w:pPr>
            <w:r>
              <w:t>How do I ensure that I manage this OHS risk in an ongoing way?</w:t>
            </w:r>
          </w:p>
        </w:tc>
        <w:tc>
          <w:tcPr>
            <w:tcW w:w="6096" w:type="dxa"/>
          </w:tcPr>
          <w:p w14:paraId="76DCA975" w14:textId="531C624E" w:rsidR="0002040E" w:rsidDel="002200D0" w:rsidRDefault="0002040E" w:rsidP="00650775">
            <w:pPr>
              <w:spacing w:before="120" w:after="120" w:line="276" w:lineRule="auto"/>
            </w:pPr>
            <w:r>
              <w:t xml:space="preserve">You can add management of aquatic facilities to your </w:t>
            </w:r>
            <w:r w:rsidR="00B613FB">
              <w:t>school’s</w:t>
            </w:r>
            <w:r>
              <w:t xml:space="preserve"> </w:t>
            </w:r>
            <w:r w:rsidR="00B613FB">
              <w:t xml:space="preserve">OHS </w:t>
            </w:r>
            <w:r>
              <w:t xml:space="preserve">risk register. The risk register is designed to ensure you successfully </w:t>
            </w:r>
            <w:r w:rsidR="00B613FB">
              <w:t>manage</w:t>
            </w:r>
            <w:r>
              <w:t xml:space="preserve"> this</w:t>
            </w:r>
            <w:r w:rsidR="00B613FB">
              <w:t xml:space="preserve"> and other health and safety</w:t>
            </w:r>
            <w:r>
              <w:t xml:space="preserve"> risk</w:t>
            </w:r>
            <w:r w:rsidR="00B613FB">
              <w:t>s</w:t>
            </w:r>
            <w:r>
              <w:t xml:space="preserve"> in an effective and ongoing way. To assist with this please contact the </w:t>
            </w:r>
            <w:hyperlink r:id="rId14" w:history="1">
              <w:r w:rsidR="00B613FB" w:rsidRPr="00837A24">
                <w:rPr>
                  <w:rStyle w:val="Hyperlink"/>
                  <w:rFonts w:eastAsia="Times New Roman" w:cstheme="minorHAnsi"/>
                  <w:lang w:eastAsia="en-AU"/>
                </w:rPr>
                <w:t>OHS Advisory Service</w:t>
              </w:r>
            </w:hyperlink>
            <w:r w:rsidR="00B613FB">
              <w:rPr>
                <w:rStyle w:val="Hyperlink"/>
                <w:rFonts w:eastAsia="Times New Roman" w:cstheme="minorHAnsi"/>
                <w:lang w:eastAsia="en-AU"/>
              </w:rPr>
              <w:t xml:space="preserve">. </w:t>
            </w:r>
            <w:r>
              <w:t xml:space="preserve"> </w:t>
            </w:r>
          </w:p>
        </w:tc>
      </w:tr>
    </w:tbl>
    <w:p w14:paraId="3DEF079A" w14:textId="77777777" w:rsidR="00FA15F6" w:rsidRDefault="00FA15F6"/>
    <w:sectPr w:rsidR="00FA15F6" w:rsidSect="00A03211">
      <w:headerReference w:type="default" r:id="rId15"/>
      <w:footerReference w:type="default" r:id="rId16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1536" w14:textId="77777777" w:rsidR="005B0B95" w:rsidRDefault="005B0B95" w:rsidP="00A24C39">
      <w:pPr>
        <w:spacing w:after="0" w:line="240" w:lineRule="auto"/>
      </w:pPr>
      <w:r>
        <w:separator/>
      </w:r>
    </w:p>
  </w:endnote>
  <w:endnote w:type="continuationSeparator" w:id="0">
    <w:p w14:paraId="0B8440E4" w14:textId="77777777" w:rsidR="005B0B95" w:rsidRDefault="005B0B95" w:rsidP="00A2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867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DDB47" w14:textId="23673CC7" w:rsidR="00A512A0" w:rsidRDefault="00A512A0" w:rsidP="00507A0B">
            <w:pPr>
              <w:pStyle w:val="Footer"/>
            </w:pPr>
            <w:r w:rsidRPr="00D326F3">
              <w:rPr>
                <w:i/>
                <w:iCs/>
              </w:rPr>
              <w:t xml:space="preserve">Updated </w:t>
            </w:r>
            <w:r w:rsidR="00546A7E">
              <w:rPr>
                <w:i/>
                <w:iCs/>
              </w:rPr>
              <w:t>13</w:t>
            </w:r>
            <w:r w:rsidR="00D326F3" w:rsidRPr="00D326F3">
              <w:rPr>
                <w:i/>
                <w:iCs/>
              </w:rPr>
              <w:t xml:space="preserve"> December</w:t>
            </w:r>
            <w:r w:rsidR="00650775" w:rsidRPr="00D326F3">
              <w:rPr>
                <w:i/>
                <w:iCs/>
              </w:rPr>
              <w:t xml:space="preserve"> 2021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1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1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6F3BE" w14:textId="77777777" w:rsidR="00A512A0" w:rsidRDefault="00A512A0" w:rsidP="00A24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4560" w14:textId="77777777" w:rsidR="005B0B95" w:rsidRDefault="005B0B95" w:rsidP="00A24C39">
      <w:pPr>
        <w:spacing w:after="0" w:line="240" w:lineRule="auto"/>
      </w:pPr>
      <w:r>
        <w:separator/>
      </w:r>
    </w:p>
  </w:footnote>
  <w:footnote w:type="continuationSeparator" w:id="0">
    <w:p w14:paraId="0511B2B5" w14:textId="77777777" w:rsidR="005B0B95" w:rsidRDefault="005B0B95" w:rsidP="00A2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1164" w14:textId="24E17B1F" w:rsidR="00A512A0" w:rsidRPr="00215352" w:rsidRDefault="001B4172" w:rsidP="00215352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FAQs</w:t>
    </w:r>
    <w:r w:rsidR="00A512A0" w:rsidRPr="009B7B44">
      <w:rPr>
        <w:b/>
        <w:sz w:val="28"/>
        <w:u w:val="single"/>
      </w:rPr>
      <w:t xml:space="preserve"> </w:t>
    </w:r>
    <w:r w:rsidR="00A512A0">
      <w:rPr>
        <w:b/>
        <w:sz w:val="28"/>
        <w:u w:val="single"/>
      </w:rPr>
      <w:t>–</w:t>
    </w:r>
    <w:r w:rsidR="00A512A0" w:rsidRPr="009B7B44">
      <w:rPr>
        <w:b/>
        <w:sz w:val="28"/>
        <w:u w:val="single"/>
      </w:rPr>
      <w:t xml:space="preserve"> </w:t>
    </w:r>
    <w:r w:rsidR="00882A38">
      <w:rPr>
        <w:b/>
        <w:sz w:val="28"/>
        <w:u w:val="single"/>
      </w:rPr>
      <w:t>Swimming Pools Regulation Changes</w:t>
    </w:r>
    <w:r w:rsidR="00A512A0">
      <w:rPr>
        <w:b/>
        <w:sz w:val="28"/>
        <w:u w:val="single"/>
      </w:rPr>
      <w:t xml:space="preserve"> - </w:t>
    </w:r>
    <w:r w:rsidR="00650775">
      <w:rPr>
        <w:b/>
        <w:sz w:val="28"/>
        <w:u w:val="single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DB0"/>
    <w:multiLevelType w:val="hybridMultilevel"/>
    <w:tmpl w:val="078264C2"/>
    <w:lvl w:ilvl="0" w:tplc="35E2939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75B27"/>
    <w:multiLevelType w:val="hybridMultilevel"/>
    <w:tmpl w:val="6ADE56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4344E"/>
    <w:multiLevelType w:val="hybridMultilevel"/>
    <w:tmpl w:val="749A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37D9"/>
    <w:multiLevelType w:val="hybridMultilevel"/>
    <w:tmpl w:val="8488B6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A9"/>
    <w:multiLevelType w:val="hybridMultilevel"/>
    <w:tmpl w:val="6A1A08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7343"/>
    <w:multiLevelType w:val="hybridMultilevel"/>
    <w:tmpl w:val="2B84B11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813481"/>
    <w:multiLevelType w:val="hybridMultilevel"/>
    <w:tmpl w:val="F280D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623B8"/>
    <w:multiLevelType w:val="hybridMultilevel"/>
    <w:tmpl w:val="18B66DF4"/>
    <w:lvl w:ilvl="0" w:tplc="35E2939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65F08"/>
    <w:multiLevelType w:val="hybridMultilevel"/>
    <w:tmpl w:val="E29886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91925"/>
    <w:multiLevelType w:val="hybridMultilevel"/>
    <w:tmpl w:val="B3B23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5F7A"/>
    <w:multiLevelType w:val="hybridMultilevel"/>
    <w:tmpl w:val="ECECBC3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7005A0"/>
    <w:multiLevelType w:val="hybridMultilevel"/>
    <w:tmpl w:val="F90022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97E"/>
    <w:multiLevelType w:val="hybridMultilevel"/>
    <w:tmpl w:val="A434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62F10"/>
    <w:multiLevelType w:val="hybridMultilevel"/>
    <w:tmpl w:val="30187D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13CC3"/>
    <w:multiLevelType w:val="hybridMultilevel"/>
    <w:tmpl w:val="67C8B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3147A"/>
    <w:multiLevelType w:val="hybridMultilevel"/>
    <w:tmpl w:val="E9BA383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C7DFB"/>
    <w:multiLevelType w:val="hybridMultilevel"/>
    <w:tmpl w:val="FAC86076"/>
    <w:lvl w:ilvl="0" w:tplc="C8E45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1DB6"/>
    <w:multiLevelType w:val="hybridMultilevel"/>
    <w:tmpl w:val="2730E5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26AD"/>
    <w:multiLevelType w:val="hybridMultilevel"/>
    <w:tmpl w:val="ED58E958"/>
    <w:lvl w:ilvl="0" w:tplc="35E29394">
      <w:start w:val="1"/>
      <w:numFmt w:val="decimal"/>
      <w:lvlText w:val="%1."/>
      <w:lvlJc w:val="left"/>
      <w:pPr>
        <w:ind w:left="360" w:hanging="360"/>
      </w:pPr>
    </w:lvl>
    <w:lvl w:ilvl="1" w:tplc="6F16406A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D2323"/>
    <w:multiLevelType w:val="hybridMultilevel"/>
    <w:tmpl w:val="A280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D6C39"/>
    <w:multiLevelType w:val="multilevel"/>
    <w:tmpl w:val="4156DF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B3B4C56"/>
    <w:multiLevelType w:val="hybridMultilevel"/>
    <w:tmpl w:val="7E42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B2C1E"/>
    <w:multiLevelType w:val="hybridMultilevel"/>
    <w:tmpl w:val="F0824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04FC7"/>
    <w:multiLevelType w:val="hybridMultilevel"/>
    <w:tmpl w:val="AB6491D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EC6787"/>
    <w:multiLevelType w:val="hybridMultilevel"/>
    <w:tmpl w:val="EAC2B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31912"/>
    <w:multiLevelType w:val="hybridMultilevel"/>
    <w:tmpl w:val="8FA08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71611"/>
    <w:multiLevelType w:val="hybridMultilevel"/>
    <w:tmpl w:val="6FAE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7705A"/>
    <w:multiLevelType w:val="hybridMultilevel"/>
    <w:tmpl w:val="FC423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511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794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27" w:firstLine="0"/>
      </w:pPr>
      <w:rPr>
        <w:rFonts w:hint="default"/>
      </w:rPr>
    </w:lvl>
  </w:abstractNum>
  <w:abstractNum w:abstractNumId="31" w15:restartNumberingAfterBreak="0">
    <w:nsid w:val="59497E1B"/>
    <w:multiLevelType w:val="hybridMultilevel"/>
    <w:tmpl w:val="078264C2"/>
    <w:lvl w:ilvl="0" w:tplc="35E2939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566A7"/>
    <w:multiLevelType w:val="hybridMultilevel"/>
    <w:tmpl w:val="CCAA4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F659D"/>
    <w:multiLevelType w:val="hybridMultilevel"/>
    <w:tmpl w:val="EB78E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E716A"/>
    <w:multiLevelType w:val="hybridMultilevel"/>
    <w:tmpl w:val="68A611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82ABC"/>
    <w:multiLevelType w:val="hybridMultilevel"/>
    <w:tmpl w:val="6C4E5E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B1536"/>
    <w:multiLevelType w:val="hybridMultilevel"/>
    <w:tmpl w:val="EB78E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32"/>
  </w:num>
  <w:num w:numId="8">
    <w:abstractNumId w:val="10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18"/>
  </w:num>
  <w:num w:numId="14">
    <w:abstractNumId w:val="23"/>
  </w:num>
  <w:num w:numId="15">
    <w:abstractNumId w:val="29"/>
  </w:num>
  <w:num w:numId="16">
    <w:abstractNumId w:val="7"/>
  </w:num>
  <w:num w:numId="17">
    <w:abstractNumId w:val="0"/>
  </w:num>
  <w:num w:numId="18">
    <w:abstractNumId w:val="24"/>
  </w:num>
  <w:num w:numId="19">
    <w:abstractNumId w:val="36"/>
  </w:num>
  <w:num w:numId="20">
    <w:abstractNumId w:val="33"/>
  </w:num>
  <w:num w:numId="21">
    <w:abstractNumId w:val="14"/>
  </w:num>
  <w:num w:numId="22">
    <w:abstractNumId w:val="26"/>
  </w:num>
  <w:num w:numId="23">
    <w:abstractNumId w:val="31"/>
  </w:num>
  <w:num w:numId="24">
    <w:abstractNumId w:val="16"/>
  </w:num>
  <w:num w:numId="25">
    <w:abstractNumId w:val="2"/>
  </w:num>
  <w:num w:numId="26">
    <w:abstractNumId w:val="35"/>
  </w:num>
  <w:num w:numId="27">
    <w:abstractNumId w:val="13"/>
  </w:num>
  <w:num w:numId="28">
    <w:abstractNumId w:val="21"/>
  </w:num>
  <w:num w:numId="29">
    <w:abstractNumId w:val="28"/>
  </w:num>
  <w:num w:numId="30">
    <w:abstractNumId w:val="30"/>
  </w:num>
  <w:num w:numId="31">
    <w:abstractNumId w:val="22"/>
  </w:num>
  <w:num w:numId="32">
    <w:abstractNumId w:val="19"/>
  </w:num>
  <w:num w:numId="33">
    <w:abstractNumId w:val="9"/>
  </w:num>
  <w:num w:numId="34">
    <w:abstractNumId w:val="1"/>
  </w:num>
  <w:num w:numId="35">
    <w:abstractNumId w:val="6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A4"/>
    <w:rsid w:val="00003BEF"/>
    <w:rsid w:val="0002040E"/>
    <w:rsid w:val="0003668B"/>
    <w:rsid w:val="00040748"/>
    <w:rsid w:val="00051692"/>
    <w:rsid w:val="0006128A"/>
    <w:rsid w:val="00064D57"/>
    <w:rsid w:val="00097508"/>
    <w:rsid w:val="000A18ED"/>
    <w:rsid w:val="000B1F56"/>
    <w:rsid w:val="000B52C2"/>
    <w:rsid w:val="000D0092"/>
    <w:rsid w:val="000F1175"/>
    <w:rsid w:val="00104C62"/>
    <w:rsid w:val="00104CB0"/>
    <w:rsid w:val="00113CBF"/>
    <w:rsid w:val="001420A4"/>
    <w:rsid w:val="001624C7"/>
    <w:rsid w:val="001655EE"/>
    <w:rsid w:val="00170D2E"/>
    <w:rsid w:val="001B4172"/>
    <w:rsid w:val="001D33A9"/>
    <w:rsid w:val="001D56DC"/>
    <w:rsid w:val="001F64B4"/>
    <w:rsid w:val="001F68D4"/>
    <w:rsid w:val="00215352"/>
    <w:rsid w:val="00215E34"/>
    <w:rsid w:val="002160A6"/>
    <w:rsid w:val="002200D0"/>
    <w:rsid w:val="00224DC2"/>
    <w:rsid w:val="00230A84"/>
    <w:rsid w:val="00236676"/>
    <w:rsid w:val="00236E0D"/>
    <w:rsid w:val="00263144"/>
    <w:rsid w:val="0027783F"/>
    <w:rsid w:val="00290A89"/>
    <w:rsid w:val="002B6D19"/>
    <w:rsid w:val="002C02FD"/>
    <w:rsid w:val="002C18B8"/>
    <w:rsid w:val="002C7C89"/>
    <w:rsid w:val="0034196F"/>
    <w:rsid w:val="00350F8B"/>
    <w:rsid w:val="003771DF"/>
    <w:rsid w:val="003F28CF"/>
    <w:rsid w:val="003F3F1F"/>
    <w:rsid w:val="00401CBB"/>
    <w:rsid w:val="00416514"/>
    <w:rsid w:val="004227D8"/>
    <w:rsid w:val="0044768C"/>
    <w:rsid w:val="004559BF"/>
    <w:rsid w:val="00476744"/>
    <w:rsid w:val="00477125"/>
    <w:rsid w:val="00497C28"/>
    <w:rsid w:val="004A64CC"/>
    <w:rsid w:val="004B24FF"/>
    <w:rsid w:val="004B6C15"/>
    <w:rsid w:val="004C2CF8"/>
    <w:rsid w:val="004E293F"/>
    <w:rsid w:val="004F58FD"/>
    <w:rsid w:val="00500F3D"/>
    <w:rsid w:val="0050756E"/>
    <w:rsid w:val="00507A0B"/>
    <w:rsid w:val="00513AAA"/>
    <w:rsid w:val="005161A1"/>
    <w:rsid w:val="00546A7E"/>
    <w:rsid w:val="00557C13"/>
    <w:rsid w:val="0056054B"/>
    <w:rsid w:val="005644E8"/>
    <w:rsid w:val="00564B1C"/>
    <w:rsid w:val="005777A7"/>
    <w:rsid w:val="00583D84"/>
    <w:rsid w:val="00597144"/>
    <w:rsid w:val="005A4CFC"/>
    <w:rsid w:val="005B0B95"/>
    <w:rsid w:val="005B6D31"/>
    <w:rsid w:val="005D200F"/>
    <w:rsid w:val="005D265E"/>
    <w:rsid w:val="005D6C3E"/>
    <w:rsid w:val="005F7C0D"/>
    <w:rsid w:val="00607BFE"/>
    <w:rsid w:val="00650775"/>
    <w:rsid w:val="00662CF6"/>
    <w:rsid w:val="00677DAB"/>
    <w:rsid w:val="00684874"/>
    <w:rsid w:val="00696702"/>
    <w:rsid w:val="006E388D"/>
    <w:rsid w:val="00712382"/>
    <w:rsid w:val="00733B58"/>
    <w:rsid w:val="007551A9"/>
    <w:rsid w:val="0077131B"/>
    <w:rsid w:val="00777472"/>
    <w:rsid w:val="007D36CF"/>
    <w:rsid w:val="007E1526"/>
    <w:rsid w:val="007F6FAB"/>
    <w:rsid w:val="00803CDC"/>
    <w:rsid w:val="00811287"/>
    <w:rsid w:val="0083654F"/>
    <w:rsid w:val="00882A38"/>
    <w:rsid w:val="00887576"/>
    <w:rsid w:val="008A18A3"/>
    <w:rsid w:val="008A5400"/>
    <w:rsid w:val="008B1A64"/>
    <w:rsid w:val="008C4E2A"/>
    <w:rsid w:val="008D17C3"/>
    <w:rsid w:val="008F0822"/>
    <w:rsid w:val="009068FF"/>
    <w:rsid w:val="0091619B"/>
    <w:rsid w:val="00920366"/>
    <w:rsid w:val="0092145D"/>
    <w:rsid w:val="00921F4D"/>
    <w:rsid w:val="00922106"/>
    <w:rsid w:val="00942258"/>
    <w:rsid w:val="009509D7"/>
    <w:rsid w:val="009566C8"/>
    <w:rsid w:val="009574E9"/>
    <w:rsid w:val="0096151B"/>
    <w:rsid w:val="009905EB"/>
    <w:rsid w:val="00990A2F"/>
    <w:rsid w:val="009916CE"/>
    <w:rsid w:val="009923BB"/>
    <w:rsid w:val="009962B8"/>
    <w:rsid w:val="009B0CF8"/>
    <w:rsid w:val="009B7B44"/>
    <w:rsid w:val="009E1169"/>
    <w:rsid w:val="00A03211"/>
    <w:rsid w:val="00A07EC9"/>
    <w:rsid w:val="00A124BC"/>
    <w:rsid w:val="00A13454"/>
    <w:rsid w:val="00A24C39"/>
    <w:rsid w:val="00A27932"/>
    <w:rsid w:val="00A3731A"/>
    <w:rsid w:val="00A512A0"/>
    <w:rsid w:val="00A57F0C"/>
    <w:rsid w:val="00A6106C"/>
    <w:rsid w:val="00A7045E"/>
    <w:rsid w:val="00A7618E"/>
    <w:rsid w:val="00AB6BA8"/>
    <w:rsid w:val="00AB6E7C"/>
    <w:rsid w:val="00AD4EF5"/>
    <w:rsid w:val="00AF34B9"/>
    <w:rsid w:val="00B1144E"/>
    <w:rsid w:val="00B24BE9"/>
    <w:rsid w:val="00B42DA5"/>
    <w:rsid w:val="00B44E0B"/>
    <w:rsid w:val="00B45F34"/>
    <w:rsid w:val="00B46737"/>
    <w:rsid w:val="00B60ADF"/>
    <w:rsid w:val="00B613FB"/>
    <w:rsid w:val="00B72215"/>
    <w:rsid w:val="00BA618C"/>
    <w:rsid w:val="00BC0763"/>
    <w:rsid w:val="00BC4DFB"/>
    <w:rsid w:val="00BD450F"/>
    <w:rsid w:val="00BD6298"/>
    <w:rsid w:val="00BE6ED3"/>
    <w:rsid w:val="00C2482E"/>
    <w:rsid w:val="00C25AD3"/>
    <w:rsid w:val="00C26197"/>
    <w:rsid w:val="00C31483"/>
    <w:rsid w:val="00C47B7B"/>
    <w:rsid w:val="00C539E1"/>
    <w:rsid w:val="00C55818"/>
    <w:rsid w:val="00C62DF8"/>
    <w:rsid w:val="00C646A7"/>
    <w:rsid w:val="00C7799E"/>
    <w:rsid w:val="00C80124"/>
    <w:rsid w:val="00C825A1"/>
    <w:rsid w:val="00CA5B4E"/>
    <w:rsid w:val="00CD1EB4"/>
    <w:rsid w:val="00CE2423"/>
    <w:rsid w:val="00D1728B"/>
    <w:rsid w:val="00D27246"/>
    <w:rsid w:val="00D326F3"/>
    <w:rsid w:val="00D43961"/>
    <w:rsid w:val="00D470F4"/>
    <w:rsid w:val="00D5627A"/>
    <w:rsid w:val="00D75BAF"/>
    <w:rsid w:val="00D81BD7"/>
    <w:rsid w:val="00D97C64"/>
    <w:rsid w:val="00DA4176"/>
    <w:rsid w:val="00DA75AB"/>
    <w:rsid w:val="00DB20F1"/>
    <w:rsid w:val="00DB65A1"/>
    <w:rsid w:val="00DC140A"/>
    <w:rsid w:val="00DD75BA"/>
    <w:rsid w:val="00E05C83"/>
    <w:rsid w:val="00E06444"/>
    <w:rsid w:val="00E07FCE"/>
    <w:rsid w:val="00E13259"/>
    <w:rsid w:val="00E21B6C"/>
    <w:rsid w:val="00E40F7A"/>
    <w:rsid w:val="00E60234"/>
    <w:rsid w:val="00E751E3"/>
    <w:rsid w:val="00E75413"/>
    <w:rsid w:val="00E76E11"/>
    <w:rsid w:val="00EE1F71"/>
    <w:rsid w:val="00EF6A9C"/>
    <w:rsid w:val="00F00D64"/>
    <w:rsid w:val="00F11C9E"/>
    <w:rsid w:val="00F243CF"/>
    <w:rsid w:val="00F4057D"/>
    <w:rsid w:val="00F413F9"/>
    <w:rsid w:val="00F52B6A"/>
    <w:rsid w:val="00F53338"/>
    <w:rsid w:val="00F6023B"/>
    <w:rsid w:val="00F60697"/>
    <w:rsid w:val="00F7411E"/>
    <w:rsid w:val="00F80743"/>
    <w:rsid w:val="00FA15F6"/>
    <w:rsid w:val="00FB0F73"/>
    <w:rsid w:val="00FB539F"/>
    <w:rsid w:val="00FB6512"/>
    <w:rsid w:val="00FB7B13"/>
    <w:rsid w:val="00FC23F0"/>
    <w:rsid w:val="00FC47D9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741AD"/>
  <w15:docId w15:val="{D089453D-B868-445E-B45B-2D37F7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A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39"/>
  </w:style>
  <w:style w:type="paragraph" w:styleId="Footer">
    <w:name w:val="footer"/>
    <w:basedOn w:val="Normal"/>
    <w:link w:val="FooterChar"/>
    <w:uiPriority w:val="99"/>
    <w:unhideWhenUsed/>
    <w:rsid w:val="00A2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39"/>
  </w:style>
  <w:style w:type="character" w:styleId="CommentReference">
    <w:name w:val="annotation reference"/>
    <w:basedOn w:val="DefaultParagraphFont"/>
    <w:uiPriority w:val="99"/>
    <w:semiHidden/>
    <w:unhideWhenUsed/>
    <w:rsid w:val="00F2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CF"/>
    <w:rPr>
      <w:rFonts w:ascii="Tahoma" w:hAnsi="Tahoma" w:cs="Tahoma"/>
      <w:sz w:val="16"/>
      <w:szCs w:val="16"/>
    </w:rPr>
  </w:style>
  <w:style w:type="paragraph" w:customStyle="1" w:styleId="LIstLevel2">
    <w:name w:val="LIst Level 2"/>
    <w:basedOn w:val="ListParagraph"/>
    <w:qFormat/>
    <w:rsid w:val="004E293F"/>
    <w:pPr>
      <w:spacing w:after="120"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ESBodyText">
    <w:name w:val="ES_Body Text"/>
    <w:basedOn w:val="Normal"/>
    <w:qFormat/>
    <w:rsid w:val="00416514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ESBulletsinTable">
    <w:name w:val="ES_Bullets in Table"/>
    <w:basedOn w:val="ListParagraph"/>
    <w:qFormat/>
    <w:rsid w:val="00416514"/>
    <w:pPr>
      <w:numPr>
        <w:numId w:val="25"/>
      </w:numPr>
      <w:spacing w:after="80" w:line="240" w:lineRule="auto"/>
      <w:contextualSpacing w:val="0"/>
    </w:pPr>
    <w:rPr>
      <w:rFonts w:ascii="Arial" w:eastAsia="Arial" w:hAnsi="Arial" w:cs="Times New Roman"/>
      <w:color w:val="000000" w:themeColor="text1"/>
      <w:sz w:val="18"/>
    </w:rPr>
  </w:style>
  <w:style w:type="paragraph" w:customStyle="1" w:styleId="DHHSbullet1">
    <w:name w:val="DHHS bullet 1"/>
    <w:basedOn w:val="Normal"/>
    <w:qFormat/>
    <w:rsid w:val="00F00D64"/>
    <w:pPr>
      <w:numPr>
        <w:numId w:val="30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F00D64"/>
    <w:pPr>
      <w:numPr>
        <w:ilvl w:val="1"/>
        <w:numId w:val="30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numbering" w:customStyle="1" w:styleId="ZZBullets">
    <w:name w:val="ZZ Bullets"/>
    <w:rsid w:val="00F00D64"/>
    <w:pPr>
      <w:numPr>
        <w:numId w:val="30"/>
      </w:numPr>
    </w:pPr>
  </w:style>
  <w:style w:type="paragraph" w:customStyle="1" w:styleId="Default">
    <w:name w:val="Default"/>
    <w:rsid w:val="00E6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20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0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20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vic.gov.au/in-force/statutory-rules/public-health-and-wellbeing-regulations-2019/0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ety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vic.gov.au/water/developing-a-water-quality-risk-management-plan-for-public-aquatic-faciliti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legislation.vic.gov.au/in-force/statutory-rules/public-health-and-wellbeing-regulations-2019/0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education.vic.gov.au/pal/occupational-health-and-safety-management-system-ohsms/guidance/useful-contacts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97</Value>
      <Value>118</Value>
      <Value>120</Value>
    </TaxCatchAll>
    <DEECD_Expired xmlns="http://schemas.microsoft.com/sharepoint/v3">false</DEECD_Expired>
    <DEECD_Keywords xmlns="http://schemas.microsoft.com/sharepoint/v3">FAQs, Swimming Pools, water quality,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DEECD_Description xmlns="http://schemas.microsoft.com/sharepoint/v3">FAQs Swimming Pools Regulation Changes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6FAD4-545F-4223-953F-B487F8B7A15F}"/>
</file>

<file path=customXml/itemProps2.xml><?xml version="1.0" encoding="utf-8"?>
<ds:datastoreItem xmlns:ds="http://schemas.openxmlformats.org/officeDocument/2006/customXml" ds:itemID="{C1F9B3B3-9949-40F5-8259-78DCAA3E053C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AA1BA615-FC6D-484C-B19B-4E8BAC1D3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Small Schools-Initiative Agreement</dc:subject>
  <dc:creator>Villamarzo, Angel A</dc:creator>
  <cp:lastModifiedBy>Grace Algefski</cp:lastModifiedBy>
  <cp:revision>3</cp:revision>
  <cp:lastPrinted>2020-02-04T04:16:00Z</cp:lastPrinted>
  <dcterms:created xsi:type="dcterms:W3CDTF">2021-12-13T03:58:00Z</dcterms:created>
  <dcterms:modified xsi:type="dcterms:W3CDTF">2021-12-13T03:59:00Z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579;#11.9.2 OH＆S Programs|04f75e5a-fcfc-4f35-b41f-1b90fa1a8047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{0c2002ce-81a6-41de-8c37-7d5b0181d224}</vt:lpwstr>
  </property>
  <property fmtid="{D5CDD505-2E9C-101B-9397-08002B2CF9AE}" pid="8" name="RecordPoint_ActiveItemUniqueId">
    <vt:lpwstr>{6959e325-20b5-4e46-a899-03cc6bba55bc}</vt:lpwstr>
  </property>
  <property fmtid="{D5CDD505-2E9C-101B-9397-08002B2CF9AE}" pid="9" name="RecordPoint_ActiveItemWebId">
    <vt:lpwstr>{41f2e79e-232f-49ed-9c88-dc2d7417565a}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R2018/0589789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2018-08-06T13:56:14.4266034+10:00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DEECD_ItemType">
    <vt:lpwstr>97;#Guide / Manual|b3949c2d-9e4b-4ecf-ba30-8067d8603b3b</vt:lpwstr>
  </property>
  <property fmtid="{D5CDD505-2E9C-101B-9397-08002B2CF9AE}" pid="19" name="DEECD_Audience">
    <vt:lpwstr>118;#Principals|a4f56333-bce8-49bd-95df-bc27ddd10ec3</vt:lpwstr>
  </property>
</Properties>
</file>