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65D92" w14:textId="6F042803" w:rsidR="00A13454" w:rsidRPr="009B7B44" w:rsidRDefault="009B7B44" w:rsidP="009B7B44">
      <w:pPr>
        <w:rPr>
          <w:b/>
          <w:sz w:val="28"/>
        </w:rPr>
      </w:pPr>
      <w:r>
        <w:rPr>
          <w:b/>
          <w:sz w:val="28"/>
        </w:rPr>
        <w:t>CRT Funding</w:t>
      </w:r>
      <w:r w:rsidR="00C2482E">
        <w:rPr>
          <w:b/>
          <w:sz w:val="28"/>
        </w:rPr>
        <w:t xml:space="preserve"> </w:t>
      </w:r>
      <w:r>
        <w:rPr>
          <w:b/>
          <w:sz w:val="28"/>
        </w:rPr>
        <w:t>/</w:t>
      </w:r>
      <w:r w:rsidR="00C2482E">
        <w:rPr>
          <w:b/>
          <w:sz w:val="28"/>
        </w:rPr>
        <w:t xml:space="preserve"> </w:t>
      </w:r>
      <w:r w:rsidR="00DD75BA" w:rsidRPr="00DD75BA">
        <w:rPr>
          <w:b/>
          <w:sz w:val="28"/>
        </w:rPr>
        <w:t>Financial Assistance</w:t>
      </w:r>
    </w:p>
    <w:tbl>
      <w:tblPr>
        <w:tblStyle w:val="TableGrid"/>
        <w:tblW w:w="9493" w:type="dxa"/>
        <w:tblLook w:val="04A0" w:firstRow="1" w:lastRow="0" w:firstColumn="1" w:lastColumn="0" w:noHBand="0" w:noVBand="1"/>
      </w:tblPr>
      <w:tblGrid>
        <w:gridCol w:w="4248"/>
        <w:gridCol w:w="5245"/>
      </w:tblGrid>
      <w:tr w:rsidR="00507A0B" w:rsidRPr="00B72215" w14:paraId="20EEE45E" w14:textId="77777777" w:rsidTr="009962B8">
        <w:trPr>
          <w:tblHeader/>
        </w:trPr>
        <w:tc>
          <w:tcPr>
            <w:tcW w:w="9493" w:type="dxa"/>
            <w:gridSpan w:val="2"/>
            <w:shd w:val="clear" w:color="auto" w:fill="9CC2E5" w:themeFill="accent1" w:themeFillTint="99"/>
          </w:tcPr>
          <w:p w14:paraId="22EE097E" w14:textId="4A1217C7" w:rsidR="00507A0B" w:rsidRDefault="00507A0B" w:rsidP="009962B8">
            <w:pPr>
              <w:spacing w:before="120" w:after="120" w:line="276" w:lineRule="auto"/>
              <w:rPr>
                <w:b/>
                <w:sz w:val="24"/>
              </w:rPr>
            </w:pPr>
            <w:r>
              <w:rPr>
                <w:b/>
                <w:sz w:val="28"/>
              </w:rPr>
              <w:t>General Information:</w:t>
            </w:r>
          </w:p>
        </w:tc>
      </w:tr>
      <w:tr w:rsidR="00B72215" w:rsidRPr="00B72215" w14:paraId="1177A183" w14:textId="77777777" w:rsidTr="00C62DF8">
        <w:trPr>
          <w:tblHeader/>
        </w:trPr>
        <w:tc>
          <w:tcPr>
            <w:tcW w:w="4248" w:type="dxa"/>
            <w:shd w:val="clear" w:color="auto" w:fill="9CC2E5" w:themeFill="accent1" w:themeFillTint="99"/>
          </w:tcPr>
          <w:p w14:paraId="78FE712F" w14:textId="1BED068C" w:rsidR="00B72215" w:rsidRPr="00B72215" w:rsidRDefault="00B72215" w:rsidP="009962B8">
            <w:pPr>
              <w:pStyle w:val="ListParagraph"/>
              <w:spacing w:before="120" w:after="120" w:line="276" w:lineRule="auto"/>
              <w:ind w:left="0" w:firstLine="22"/>
              <w:contextualSpacing w:val="0"/>
              <w:rPr>
                <w:b/>
                <w:sz w:val="24"/>
              </w:rPr>
            </w:pPr>
            <w:r w:rsidRPr="00B72215">
              <w:rPr>
                <w:b/>
                <w:sz w:val="24"/>
              </w:rPr>
              <w:t>Topic</w:t>
            </w:r>
            <w:r w:rsidR="00FA15F6">
              <w:rPr>
                <w:b/>
                <w:sz w:val="24"/>
              </w:rPr>
              <w:t>: Course information</w:t>
            </w:r>
          </w:p>
        </w:tc>
        <w:tc>
          <w:tcPr>
            <w:tcW w:w="5245" w:type="dxa"/>
            <w:shd w:val="clear" w:color="auto" w:fill="9CC2E5" w:themeFill="accent1" w:themeFillTint="99"/>
          </w:tcPr>
          <w:p w14:paraId="54490CA9" w14:textId="27DB4134" w:rsidR="00B72215" w:rsidRPr="00B72215" w:rsidRDefault="00887576" w:rsidP="009962B8">
            <w:pPr>
              <w:spacing w:before="120" w:after="120" w:line="276" w:lineRule="auto"/>
              <w:jc w:val="both"/>
              <w:rPr>
                <w:b/>
                <w:sz w:val="24"/>
              </w:rPr>
            </w:pPr>
            <w:r>
              <w:rPr>
                <w:b/>
                <w:sz w:val="24"/>
              </w:rPr>
              <w:t>Response/</w:t>
            </w:r>
            <w:r w:rsidR="00B72215" w:rsidRPr="00B72215">
              <w:rPr>
                <w:b/>
                <w:sz w:val="24"/>
              </w:rPr>
              <w:t>Resource</w:t>
            </w:r>
          </w:p>
        </w:tc>
      </w:tr>
      <w:tr w:rsidR="001420A4" w14:paraId="29C34B78" w14:textId="77777777" w:rsidTr="00C62DF8">
        <w:tc>
          <w:tcPr>
            <w:tcW w:w="4248" w:type="dxa"/>
          </w:tcPr>
          <w:p w14:paraId="357BEA91" w14:textId="35973152" w:rsidR="001420A4" w:rsidRPr="00051692" w:rsidRDefault="007551A9" w:rsidP="004B6C15">
            <w:pPr>
              <w:pStyle w:val="ListParagraph"/>
              <w:numPr>
                <w:ilvl w:val="0"/>
                <w:numId w:val="2"/>
              </w:numPr>
              <w:spacing w:before="120" w:after="120" w:line="276" w:lineRule="auto"/>
              <w:contextualSpacing w:val="0"/>
            </w:pPr>
            <w:r w:rsidRPr="00051692">
              <w:t xml:space="preserve">What </w:t>
            </w:r>
            <w:r w:rsidR="004B6C15">
              <w:t>governs</w:t>
            </w:r>
            <w:r w:rsidRPr="00051692">
              <w:t xml:space="preserve"> </w:t>
            </w:r>
            <w:r w:rsidR="005A4CFC">
              <w:t xml:space="preserve">the </w:t>
            </w:r>
            <w:r w:rsidR="002C7C89">
              <w:t>content</w:t>
            </w:r>
            <w:r w:rsidR="005A4CFC">
              <w:t xml:space="preserve"> of this course?</w:t>
            </w:r>
          </w:p>
        </w:tc>
        <w:tc>
          <w:tcPr>
            <w:tcW w:w="5245" w:type="dxa"/>
          </w:tcPr>
          <w:p w14:paraId="003FF039" w14:textId="0DB9146D" w:rsidR="005A4CFC" w:rsidRPr="005A4CFC" w:rsidRDefault="005A4CFC" w:rsidP="005A4CFC">
            <w:pPr>
              <w:spacing w:before="60" w:after="60" w:line="276" w:lineRule="auto"/>
              <w:rPr>
                <w:rFonts w:cstheme="minorHAnsi"/>
              </w:rPr>
            </w:pPr>
            <w:r w:rsidRPr="005A4CFC">
              <w:rPr>
                <w:rFonts w:cstheme="minorHAnsi"/>
              </w:rPr>
              <w:t xml:space="preserve">The Occupational Health and Safety (OHS) Act (2004) </w:t>
            </w:r>
            <w:r w:rsidRPr="005A4CFC">
              <w:rPr>
                <w:rFonts w:cstheme="minorHAnsi"/>
                <w:shd w:val="clear" w:color="auto" w:fill="FFFFFF"/>
              </w:rPr>
              <w:t>requires the Department, so far as is reasonably practicable, to provide and maintain for employees a working environment that is safe and without risks to health.</w:t>
            </w:r>
          </w:p>
          <w:p w14:paraId="795C9AB5" w14:textId="3CBB40CA" w:rsidR="005A4CFC" w:rsidRDefault="005A4CFC" w:rsidP="005A4CFC">
            <w:pPr>
              <w:spacing w:before="60" w:after="60" w:line="276" w:lineRule="auto"/>
            </w:pPr>
            <w:r w:rsidRPr="005A4CFC">
              <w:t xml:space="preserve">The </w:t>
            </w:r>
            <w:r>
              <w:t>OHS Regulations 201</w:t>
            </w:r>
            <w:r w:rsidRPr="005A4CFC">
              <w:t xml:space="preserve">7 (Part 3.5 - Plant) require employers to identify and control risks associated with machinery and plant in the workplace. </w:t>
            </w:r>
          </w:p>
          <w:p w14:paraId="6DE29D8E" w14:textId="3ADC8928" w:rsidR="001420A4" w:rsidRPr="00051692" w:rsidRDefault="005A4CFC" w:rsidP="005A4CFC">
            <w:pPr>
              <w:spacing w:before="60" w:after="60" w:line="276" w:lineRule="auto"/>
            </w:pPr>
            <w:r w:rsidRPr="005A4CFC">
              <w:t xml:space="preserve">The principal is responsible for ensuring that the relevant safety precautions for operating machinery in the school are implemented. </w:t>
            </w:r>
            <w:r w:rsidR="00BA618C">
              <w:rPr>
                <w:rFonts w:eastAsia="Times New Roman" w:cstheme="minorHAnsi"/>
                <w:lang w:eastAsia="en-AU"/>
              </w:rPr>
              <w:t>M</w:t>
            </w:r>
            <w:r w:rsidR="00BA618C" w:rsidRPr="00BA618C">
              <w:rPr>
                <w:rFonts w:eastAsia="Times New Roman" w:cstheme="minorHAnsi"/>
                <w:lang w:eastAsia="en-AU"/>
              </w:rPr>
              <w:t xml:space="preserve">etalwork and / or woodwork </w:t>
            </w:r>
            <w:r w:rsidR="00BA618C">
              <w:rPr>
                <w:rFonts w:cstheme="minorHAnsi"/>
              </w:rPr>
              <w:t>t</w:t>
            </w:r>
            <w:r w:rsidRPr="00BA618C">
              <w:rPr>
                <w:rFonts w:cstheme="minorHAnsi"/>
              </w:rPr>
              <w:t>eachers must have also had the</w:t>
            </w:r>
            <w:r w:rsidRPr="00BA618C">
              <w:rPr>
                <w:rFonts w:ascii="Arial" w:hAnsi="Arial" w:cs="Arial"/>
              </w:rPr>
              <w:t xml:space="preserve"> </w:t>
            </w:r>
            <w:r w:rsidRPr="009A12BF">
              <w:rPr>
                <w:rFonts w:cstheme="minorHAnsi"/>
              </w:rPr>
              <w:t xml:space="preserve">obligatory </w:t>
            </w:r>
            <w:r w:rsidRPr="005A4CFC">
              <w:t>training and have attained the required levels of competency in machinery and plant.</w:t>
            </w:r>
          </w:p>
        </w:tc>
      </w:tr>
      <w:tr w:rsidR="00500F3D" w14:paraId="3F41BD80" w14:textId="77777777" w:rsidTr="00C62DF8">
        <w:tc>
          <w:tcPr>
            <w:tcW w:w="4248" w:type="dxa"/>
          </w:tcPr>
          <w:p w14:paraId="04050325" w14:textId="2DAA9BF2" w:rsidR="00500F3D" w:rsidRDefault="00176A5E" w:rsidP="004B6C15">
            <w:pPr>
              <w:pStyle w:val="ListParagraph"/>
              <w:numPr>
                <w:ilvl w:val="0"/>
                <w:numId w:val="2"/>
              </w:numPr>
              <w:spacing w:before="120" w:after="120" w:line="276" w:lineRule="auto"/>
              <w:contextualSpacing w:val="0"/>
            </w:pPr>
            <w:r>
              <w:t>Who should attend</w:t>
            </w:r>
            <w:r w:rsidR="00500F3D">
              <w:t>?</w:t>
            </w:r>
          </w:p>
        </w:tc>
        <w:tc>
          <w:tcPr>
            <w:tcW w:w="5245" w:type="dxa"/>
          </w:tcPr>
          <w:p w14:paraId="72B5DB5B" w14:textId="77777777" w:rsidR="00BA618C" w:rsidRDefault="00500F3D" w:rsidP="00BA618C">
            <w:pPr>
              <w:spacing w:before="60" w:after="60" w:line="276" w:lineRule="auto"/>
              <w:rPr>
                <w:rFonts w:cstheme="minorHAnsi"/>
              </w:rPr>
            </w:pPr>
            <w:r w:rsidRPr="00500F3D">
              <w:rPr>
                <w:rFonts w:cstheme="minorHAnsi"/>
              </w:rPr>
              <w:t xml:space="preserve">The course is only open to </w:t>
            </w:r>
            <w:r w:rsidR="00BA618C">
              <w:rPr>
                <w:rFonts w:eastAsia="Times New Roman" w:cstheme="minorHAnsi"/>
                <w:lang w:eastAsia="en-AU"/>
              </w:rPr>
              <w:t>m</w:t>
            </w:r>
            <w:r w:rsidR="00BA618C" w:rsidRPr="00BA618C">
              <w:rPr>
                <w:rFonts w:eastAsia="Times New Roman" w:cstheme="minorHAnsi"/>
                <w:lang w:eastAsia="en-AU"/>
              </w:rPr>
              <w:t xml:space="preserve">etalwork and / or woodwork </w:t>
            </w:r>
            <w:r w:rsidR="00BA618C">
              <w:rPr>
                <w:rFonts w:cstheme="minorHAnsi"/>
              </w:rPr>
              <w:t>t</w:t>
            </w:r>
            <w:r w:rsidR="00BA618C" w:rsidRPr="00BA618C">
              <w:rPr>
                <w:rFonts w:cstheme="minorHAnsi"/>
              </w:rPr>
              <w:t>eachers</w:t>
            </w:r>
            <w:r w:rsidRPr="00500F3D">
              <w:rPr>
                <w:rFonts w:cstheme="minorHAnsi"/>
              </w:rPr>
              <w:t xml:space="preserve"> who have already met the requirements outlined by the Victorian Institute of Teaching (VIT). </w:t>
            </w:r>
          </w:p>
          <w:p w14:paraId="4F565D2F" w14:textId="37B9EC95" w:rsidR="00500F3D" w:rsidRPr="00500F3D" w:rsidRDefault="00BA618C" w:rsidP="00BA618C">
            <w:pPr>
              <w:spacing w:before="60" w:after="60" w:line="276" w:lineRule="auto"/>
              <w:rPr>
                <w:rFonts w:cstheme="minorHAnsi"/>
              </w:rPr>
            </w:pPr>
            <w:r>
              <w:rPr>
                <w:rFonts w:eastAsia="Times New Roman" w:cstheme="minorHAnsi"/>
                <w:lang w:eastAsia="en-AU"/>
              </w:rPr>
              <w:t>M</w:t>
            </w:r>
            <w:r w:rsidRPr="00BA618C">
              <w:rPr>
                <w:rFonts w:eastAsia="Times New Roman" w:cstheme="minorHAnsi"/>
                <w:lang w:eastAsia="en-AU"/>
              </w:rPr>
              <w:t xml:space="preserve">etalwork and / or woodwork </w:t>
            </w:r>
            <w:r>
              <w:rPr>
                <w:rFonts w:cstheme="minorHAnsi"/>
              </w:rPr>
              <w:t>t</w:t>
            </w:r>
            <w:r w:rsidRPr="00BA618C">
              <w:rPr>
                <w:rFonts w:cstheme="minorHAnsi"/>
              </w:rPr>
              <w:t>eachers</w:t>
            </w:r>
            <w:r w:rsidRPr="00500F3D">
              <w:rPr>
                <w:rFonts w:cstheme="minorHAnsi"/>
              </w:rPr>
              <w:t xml:space="preserve"> </w:t>
            </w:r>
            <w:r w:rsidR="00500F3D" w:rsidRPr="00500F3D">
              <w:rPr>
                <w:rFonts w:cstheme="minorHAnsi"/>
              </w:rPr>
              <w:t>must have completed one year of study in Technology Studies which includes a range of materials and systems.</w:t>
            </w:r>
          </w:p>
        </w:tc>
      </w:tr>
      <w:tr w:rsidR="00D90002" w14:paraId="06C74D39" w14:textId="77777777" w:rsidTr="00C62DF8">
        <w:tc>
          <w:tcPr>
            <w:tcW w:w="4248" w:type="dxa"/>
          </w:tcPr>
          <w:p w14:paraId="15A806E6" w14:textId="4E9DA0AD" w:rsidR="00D90002" w:rsidRDefault="00D90002" w:rsidP="004B6C15">
            <w:pPr>
              <w:pStyle w:val="ListParagraph"/>
              <w:numPr>
                <w:ilvl w:val="0"/>
                <w:numId w:val="2"/>
              </w:numPr>
              <w:spacing w:before="120" w:after="120" w:line="276" w:lineRule="auto"/>
              <w:contextualSpacing w:val="0"/>
            </w:pPr>
            <w:r>
              <w:t>Due to the COVID-19 situation are classes still running</w:t>
            </w:r>
            <w:r w:rsidR="00F14C17">
              <w:t>?</w:t>
            </w:r>
          </w:p>
        </w:tc>
        <w:tc>
          <w:tcPr>
            <w:tcW w:w="5245" w:type="dxa"/>
          </w:tcPr>
          <w:p w14:paraId="6A1D72BB" w14:textId="55F94E7F" w:rsidR="00D90002" w:rsidRPr="00285F7C" w:rsidRDefault="00286458" w:rsidP="00BA618C">
            <w:pPr>
              <w:spacing w:before="60" w:after="60" w:line="276" w:lineRule="auto"/>
              <w:rPr>
                <w:rFonts w:cstheme="minorHAnsi"/>
              </w:rPr>
            </w:pPr>
            <w:r w:rsidRPr="00285F7C">
              <w:rPr>
                <w:rFonts w:eastAsia="Times New Roman" w:cstheme="minorHAnsi"/>
                <w:lang w:eastAsia="en-AU"/>
              </w:rPr>
              <w:t>Due to COVID-19, Holmesglen and VU have suspended on-campus delivery of non-apprentice vocational and education training</w:t>
            </w:r>
            <w:r w:rsidR="00936B64">
              <w:rPr>
                <w:rFonts w:eastAsia="Times New Roman" w:cstheme="minorHAnsi"/>
                <w:lang w:eastAsia="en-AU"/>
              </w:rPr>
              <w:t xml:space="preserve"> till further notice</w:t>
            </w:r>
            <w:r w:rsidR="00D26A90">
              <w:rPr>
                <w:rFonts w:eastAsia="Times New Roman" w:cstheme="minorHAnsi"/>
                <w:lang w:eastAsia="en-AU"/>
              </w:rPr>
              <w:t>.</w:t>
            </w:r>
            <w:bookmarkStart w:id="0" w:name="_GoBack"/>
            <w:bookmarkEnd w:id="0"/>
          </w:p>
        </w:tc>
      </w:tr>
    </w:tbl>
    <w:p w14:paraId="4BE651CD" w14:textId="160375CA" w:rsidR="00500F3D" w:rsidRDefault="00500F3D"/>
    <w:p w14:paraId="3DEF079A" w14:textId="77777777" w:rsidR="00FA15F6" w:rsidRDefault="00FA15F6"/>
    <w:tbl>
      <w:tblPr>
        <w:tblStyle w:val="TableGrid"/>
        <w:tblW w:w="9493" w:type="dxa"/>
        <w:tblLook w:val="04A0" w:firstRow="1" w:lastRow="0" w:firstColumn="1" w:lastColumn="0" w:noHBand="0" w:noVBand="1"/>
      </w:tblPr>
      <w:tblGrid>
        <w:gridCol w:w="4508"/>
        <w:gridCol w:w="4985"/>
      </w:tblGrid>
      <w:tr w:rsidR="00FA15F6" w14:paraId="274A9F70" w14:textId="77777777" w:rsidTr="00F51C5E">
        <w:trPr>
          <w:tblHeader/>
        </w:trPr>
        <w:tc>
          <w:tcPr>
            <w:tcW w:w="9493" w:type="dxa"/>
            <w:gridSpan w:val="2"/>
            <w:shd w:val="clear" w:color="auto" w:fill="9CC2E5" w:themeFill="accent1" w:themeFillTint="99"/>
          </w:tcPr>
          <w:p w14:paraId="63CC14E6" w14:textId="09F5554B" w:rsidR="00FA15F6" w:rsidRDefault="00FA15F6" w:rsidP="00FA15F6">
            <w:pPr>
              <w:spacing w:before="120" w:after="120" w:line="276" w:lineRule="auto"/>
              <w:rPr>
                <w:b/>
                <w:sz w:val="24"/>
              </w:rPr>
            </w:pPr>
            <w:r>
              <w:rPr>
                <w:b/>
                <w:sz w:val="24"/>
              </w:rPr>
              <w:t>General Information</w:t>
            </w:r>
          </w:p>
        </w:tc>
      </w:tr>
      <w:tr w:rsidR="00FA15F6" w14:paraId="40370FA7" w14:textId="77777777" w:rsidTr="00F51C5E">
        <w:trPr>
          <w:tblHeader/>
        </w:trPr>
        <w:tc>
          <w:tcPr>
            <w:tcW w:w="4508" w:type="dxa"/>
            <w:shd w:val="clear" w:color="auto" w:fill="9CC2E5" w:themeFill="accent1" w:themeFillTint="99"/>
          </w:tcPr>
          <w:p w14:paraId="4AAA0BF7" w14:textId="7382A3A3" w:rsidR="00FA15F6" w:rsidRDefault="00FA15F6" w:rsidP="00FA15F6">
            <w:pPr>
              <w:spacing w:before="120" w:after="120" w:line="276" w:lineRule="auto"/>
            </w:pPr>
            <w:r w:rsidRPr="00B72215">
              <w:rPr>
                <w:b/>
                <w:sz w:val="24"/>
              </w:rPr>
              <w:t>Topic</w:t>
            </w:r>
            <w:r>
              <w:rPr>
                <w:b/>
                <w:sz w:val="24"/>
              </w:rPr>
              <w:t xml:space="preserve"> – Support information</w:t>
            </w:r>
          </w:p>
        </w:tc>
        <w:tc>
          <w:tcPr>
            <w:tcW w:w="4985" w:type="dxa"/>
            <w:shd w:val="clear" w:color="auto" w:fill="9CC2E5" w:themeFill="accent1" w:themeFillTint="99"/>
          </w:tcPr>
          <w:p w14:paraId="7899D2C0" w14:textId="6E3FFBD5" w:rsidR="00FA15F6" w:rsidRDefault="00FA15F6" w:rsidP="00FA15F6">
            <w:pPr>
              <w:spacing w:before="120" w:after="120" w:line="276" w:lineRule="auto"/>
            </w:pPr>
            <w:r>
              <w:rPr>
                <w:b/>
                <w:sz w:val="24"/>
              </w:rPr>
              <w:t>Response/</w:t>
            </w:r>
            <w:r w:rsidRPr="00B72215">
              <w:rPr>
                <w:b/>
                <w:sz w:val="24"/>
              </w:rPr>
              <w:t>Resource</w:t>
            </w:r>
          </w:p>
        </w:tc>
      </w:tr>
      <w:tr w:rsidR="00A24C39" w14:paraId="6B134489" w14:textId="77777777" w:rsidTr="009962B8">
        <w:tc>
          <w:tcPr>
            <w:tcW w:w="4508" w:type="dxa"/>
          </w:tcPr>
          <w:p w14:paraId="7DD77EA3" w14:textId="1B8E9309" w:rsidR="00A24C39" w:rsidRDefault="00A24C39" w:rsidP="00FA15F6">
            <w:pPr>
              <w:pStyle w:val="ListParagraph"/>
              <w:numPr>
                <w:ilvl w:val="0"/>
                <w:numId w:val="17"/>
              </w:numPr>
              <w:spacing w:before="120" w:after="120" w:line="276" w:lineRule="auto"/>
              <w:contextualSpacing w:val="0"/>
            </w:pPr>
            <w:r>
              <w:t xml:space="preserve">How is </w:t>
            </w:r>
            <w:r w:rsidR="001624C7">
              <w:t xml:space="preserve">the </w:t>
            </w:r>
            <w:r w:rsidR="001F64B4">
              <w:t xml:space="preserve">Safe Use of Machinery </w:t>
            </w:r>
            <w:r w:rsidR="00D11F75">
              <w:t>and Equipment Safety Program for Metalwork and Woodwork Classrooms</w:t>
            </w:r>
            <w:r w:rsidR="001F64B4">
              <w:t xml:space="preserve"> </w:t>
            </w:r>
            <w:r w:rsidR="001F64B4" w:rsidRPr="009A12BF">
              <w:rPr>
                <w:b/>
                <w:bCs/>
              </w:rPr>
              <w:t xml:space="preserve">Initiative Agreement </w:t>
            </w:r>
            <w:r w:rsidRPr="009A12BF">
              <w:rPr>
                <w:b/>
                <w:bCs/>
              </w:rPr>
              <w:t>f</w:t>
            </w:r>
            <w:r>
              <w:t>unded?</w:t>
            </w:r>
          </w:p>
        </w:tc>
        <w:tc>
          <w:tcPr>
            <w:tcW w:w="4985" w:type="dxa"/>
          </w:tcPr>
          <w:p w14:paraId="4F221F30" w14:textId="2DA59A08" w:rsidR="00A24C39" w:rsidRDefault="00A24C39" w:rsidP="001F64B4">
            <w:pPr>
              <w:spacing w:before="120" w:after="120" w:line="276" w:lineRule="auto"/>
            </w:pPr>
            <w:r>
              <w:t xml:space="preserve">Funding has been secured by the Employee </w:t>
            </w:r>
            <w:r w:rsidR="001F64B4">
              <w:t xml:space="preserve">Health, </w:t>
            </w:r>
            <w:r>
              <w:t xml:space="preserve">Safety and Wellbeing </w:t>
            </w:r>
            <w:r w:rsidR="001F64B4">
              <w:t>Division</w:t>
            </w:r>
            <w:r>
              <w:t xml:space="preserve"> application for Initiative Agreement No ID </w:t>
            </w:r>
            <w:r w:rsidR="001F64B4">
              <w:t>2</w:t>
            </w:r>
            <w:r w:rsidR="006827EE">
              <w:t>427</w:t>
            </w:r>
            <w:r w:rsidR="009B7B44">
              <w:t>,</w:t>
            </w:r>
            <w:r>
              <w:t xml:space="preserve"> which was approved by the Schools Targeted Funding Governance.</w:t>
            </w:r>
          </w:p>
        </w:tc>
      </w:tr>
      <w:tr w:rsidR="003771DF" w14:paraId="72347BC7" w14:textId="77777777" w:rsidTr="009962B8">
        <w:tc>
          <w:tcPr>
            <w:tcW w:w="4508" w:type="dxa"/>
          </w:tcPr>
          <w:p w14:paraId="2D4FF8DD" w14:textId="169C3542" w:rsidR="003771DF" w:rsidRDefault="003771DF" w:rsidP="00FA15F6">
            <w:pPr>
              <w:pStyle w:val="ListParagraph"/>
              <w:numPr>
                <w:ilvl w:val="0"/>
                <w:numId w:val="17"/>
              </w:numPr>
              <w:spacing w:before="120" w:after="120" w:line="276" w:lineRule="auto"/>
              <w:ind w:left="357" w:hanging="357"/>
              <w:contextualSpacing w:val="0"/>
            </w:pPr>
            <w:r>
              <w:lastRenderedPageBreak/>
              <w:t>How do I access the funding?</w:t>
            </w:r>
          </w:p>
        </w:tc>
        <w:tc>
          <w:tcPr>
            <w:tcW w:w="4985" w:type="dxa"/>
          </w:tcPr>
          <w:p w14:paraId="700B07BB" w14:textId="1D9179CA" w:rsidR="003771DF" w:rsidRPr="00CB6168" w:rsidRDefault="003771DF" w:rsidP="003771DF">
            <w:pPr>
              <w:spacing w:before="120" w:after="120" w:line="276" w:lineRule="auto"/>
              <w:rPr>
                <w:rFonts w:ascii="Calibri" w:hAnsi="Calibri" w:cs="Calibri"/>
              </w:rPr>
            </w:pPr>
            <w:r>
              <w:rPr>
                <w:rFonts w:ascii="Calibri" w:hAnsi="Calibri" w:cs="Calibri"/>
              </w:rPr>
              <w:t>See attached support directions.</w:t>
            </w:r>
          </w:p>
        </w:tc>
      </w:tr>
      <w:tr w:rsidR="00476744" w14:paraId="513DD5A9" w14:textId="77777777" w:rsidTr="009962B8">
        <w:tc>
          <w:tcPr>
            <w:tcW w:w="4508" w:type="dxa"/>
          </w:tcPr>
          <w:p w14:paraId="3A6243B7" w14:textId="09B9CA31" w:rsidR="00476744" w:rsidRDefault="003771DF" w:rsidP="00FA15F6">
            <w:pPr>
              <w:pStyle w:val="ListParagraph"/>
              <w:numPr>
                <w:ilvl w:val="0"/>
                <w:numId w:val="17"/>
              </w:numPr>
              <w:spacing w:before="120" w:after="120" w:line="276" w:lineRule="auto"/>
              <w:ind w:left="357" w:hanging="357"/>
              <w:contextualSpacing w:val="0"/>
            </w:pPr>
            <w:r>
              <w:t>What will the Department fund as part of this Initiative Agreement</w:t>
            </w:r>
            <w:r w:rsidR="00476744">
              <w:t>?</w:t>
            </w:r>
          </w:p>
        </w:tc>
        <w:tc>
          <w:tcPr>
            <w:tcW w:w="4985" w:type="dxa"/>
          </w:tcPr>
          <w:p w14:paraId="70A9C771" w14:textId="2FC78B03" w:rsidR="007B65DB" w:rsidRPr="00A8358C" w:rsidRDefault="007B65DB" w:rsidP="00A8358C">
            <w:pPr>
              <w:spacing w:before="120" w:after="120" w:line="276" w:lineRule="auto"/>
              <w:rPr>
                <w:rFonts w:ascii="Calibri" w:hAnsi="Calibri" w:cs="Calibri"/>
              </w:rPr>
            </w:pPr>
            <w:r w:rsidRPr="00A8358C">
              <w:rPr>
                <w:rFonts w:ascii="Calibri" w:hAnsi="Calibri" w:cs="Calibri"/>
                <w:b/>
                <w:bCs/>
              </w:rPr>
              <w:t>M</w:t>
            </w:r>
            <w:r w:rsidR="001F64B4" w:rsidRPr="00A8358C">
              <w:rPr>
                <w:rFonts w:ascii="Calibri" w:hAnsi="Calibri" w:cs="Calibri"/>
                <w:b/>
                <w:bCs/>
              </w:rPr>
              <w:t>achinery</w:t>
            </w:r>
            <w:r w:rsidR="003771DF" w:rsidRPr="00A8358C">
              <w:rPr>
                <w:rFonts w:ascii="Calibri" w:hAnsi="Calibri" w:cs="Calibri"/>
                <w:b/>
                <w:bCs/>
              </w:rPr>
              <w:t xml:space="preserve"> </w:t>
            </w:r>
            <w:r w:rsidRPr="00A8358C">
              <w:rPr>
                <w:rFonts w:ascii="Calibri" w:hAnsi="Calibri" w:cs="Calibri"/>
                <w:b/>
                <w:bCs/>
              </w:rPr>
              <w:t xml:space="preserve">safety </w:t>
            </w:r>
            <w:r w:rsidR="003771DF" w:rsidRPr="00A8358C">
              <w:rPr>
                <w:rFonts w:ascii="Calibri" w:hAnsi="Calibri" w:cs="Calibri"/>
                <w:b/>
                <w:bCs/>
              </w:rPr>
              <w:t>upgrades</w:t>
            </w:r>
            <w:r w:rsidR="003771DF" w:rsidRPr="00A8358C">
              <w:rPr>
                <w:rFonts w:ascii="Calibri" w:hAnsi="Calibri" w:cs="Calibri"/>
              </w:rPr>
              <w:t xml:space="preserve"> </w:t>
            </w:r>
            <w:r w:rsidRPr="00A8358C">
              <w:rPr>
                <w:rFonts w:ascii="Calibri" w:hAnsi="Calibri" w:cs="Calibri"/>
              </w:rPr>
              <w:t>which includes:</w:t>
            </w:r>
          </w:p>
          <w:p w14:paraId="2B191343" w14:textId="08917381" w:rsidR="007B65DB" w:rsidRDefault="0088019A" w:rsidP="00A8358C">
            <w:pPr>
              <w:pStyle w:val="ListParagraph"/>
              <w:numPr>
                <w:ilvl w:val="0"/>
                <w:numId w:val="28"/>
              </w:numPr>
              <w:spacing w:before="120" w:after="120" w:line="276" w:lineRule="auto"/>
              <w:rPr>
                <w:rFonts w:ascii="Calibri" w:hAnsi="Calibri" w:cs="Calibri"/>
              </w:rPr>
            </w:pPr>
            <w:r>
              <w:rPr>
                <w:rFonts w:ascii="Calibri" w:hAnsi="Calibri" w:cs="Calibri"/>
              </w:rPr>
              <w:t xml:space="preserve">machinery </w:t>
            </w:r>
            <w:r w:rsidR="007B65DB">
              <w:rPr>
                <w:rFonts w:ascii="Calibri" w:hAnsi="Calibri" w:cs="Calibri"/>
              </w:rPr>
              <w:t>maintenance costs</w:t>
            </w:r>
          </w:p>
          <w:p w14:paraId="7A6635BE" w14:textId="45C1E34A" w:rsidR="007B65DB" w:rsidRPr="00A8358C" w:rsidRDefault="0088019A" w:rsidP="00A8358C">
            <w:pPr>
              <w:pStyle w:val="ListParagraph"/>
              <w:numPr>
                <w:ilvl w:val="0"/>
                <w:numId w:val="28"/>
              </w:numPr>
              <w:spacing w:before="120" w:after="120" w:line="276" w:lineRule="auto"/>
              <w:rPr>
                <w:rFonts w:cstheme="minorHAnsi"/>
              </w:rPr>
            </w:pPr>
            <w:r w:rsidRPr="00A8358C">
              <w:rPr>
                <w:rFonts w:cstheme="minorHAnsi"/>
              </w:rPr>
              <w:t xml:space="preserve">purchase of </w:t>
            </w:r>
            <w:r w:rsidR="007B65DB" w:rsidRPr="00A8358C">
              <w:rPr>
                <w:rFonts w:cstheme="minorHAnsi"/>
              </w:rPr>
              <w:t xml:space="preserve">new safer </w:t>
            </w:r>
            <w:r w:rsidR="00D11F75" w:rsidRPr="00A8358C">
              <w:rPr>
                <w:rFonts w:cstheme="minorHAnsi"/>
              </w:rPr>
              <w:t>machinery</w:t>
            </w:r>
            <w:r w:rsidR="007B65DB" w:rsidRPr="00A8358C">
              <w:rPr>
                <w:rFonts w:cstheme="minorHAnsi"/>
              </w:rPr>
              <w:t xml:space="preserve"> and </w:t>
            </w:r>
            <w:r w:rsidR="00D11F75" w:rsidRPr="00A8358C">
              <w:rPr>
                <w:rFonts w:cstheme="minorHAnsi"/>
              </w:rPr>
              <w:t>equipment</w:t>
            </w:r>
          </w:p>
          <w:p w14:paraId="7A21D119" w14:textId="77777777" w:rsidR="007B65DB" w:rsidRPr="00A8358C" w:rsidRDefault="007B65DB" w:rsidP="00A8358C">
            <w:pPr>
              <w:pStyle w:val="ListParagraph"/>
              <w:numPr>
                <w:ilvl w:val="0"/>
                <w:numId w:val="28"/>
              </w:numPr>
              <w:spacing w:before="60" w:after="60" w:line="276" w:lineRule="auto"/>
              <w:contextualSpacing w:val="0"/>
              <w:rPr>
                <w:rFonts w:cstheme="minorHAnsi"/>
              </w:rPr>
            </w:pPr>
            <w:r w:rsidRPr="00A8358C">
              <w:rPr>
                <w:rFonts w:cstheme="minorHAnsi"/>
              </w:rPr>
              <w:t>purchase of devices to enable isolation and lockout of machinery, such as dedicated padlocks, power plug lock outs or lock out clasps</w:t>
            </w:r>
          </w:p>
          <w:p w14:paraId="1941337E" w14:textId="3DAFB011" w:rsidR="007B65DB" w:rsidRPr="00A8358C" w:rsidRDefault="007B65DB" w:rsidP="00A8358C">
            <w:pPr>
              <w:pStyle w:val="ListParagraph"/>
              <w:numPr>
                <w:ilvl w:val="0"/>
                <w:numId w:val="28"/>
              </w:numPr>
              <w:spacing w:before="120" w:after="120" w:line="276" w:lineRule="auto"/>
              <w:rPr>
                <w:rFonts w:cstheme="minorHAnsi"/>
              </w:rPr>
            </w:pPr>
            <w:r w:rsidRPr="00A8358C">
              <w:rPr>
                <w:rFonts w:cstheme="minorHAnsi"/>
              </w:rPr>
              <w:t xml:space="preserve">upgrade of static </w:t>
            </w:r>
            <w:r w:rsidR="00D11F75" w:rsidRPr="00A8358C">
              <w:rPr>
                <w:rFonts w:cstheme="minorHAnsi"/>
              </w:rPr>
              <w:t>machinery</w:t>
            </w:r>
            <w:r w:rsidRPr="00A8358C">
              <w:rPr>
                <w:rFonts w:cstheme="minorHAnsi"/>
              </w:rPr>
              <w:t xml:space="preserve"> to install a hard-wired key lockable isolation switch, to enable static plant to be isolated and locked in the off position; or installation of manual reset emergency stop buttons</w:t>
            </w:r>
          </w:p>
          <w:p w14:paraId="18024F59" w14:textId="6767632A" w:rsidR="00A8358C" w:rsidRPr="00DE632C" w:rsidRDefault="00A8358C" w:rsidP="00DE632C">
            <w:pPr>
              <w:pStyle w:val="ListParagraph"/>
              <w:numPr>
                <w:ilvl w:val="0"/>
                <w:numId w:val="28"/>
              </w:numPr>
              <w:shd w:val="clear" w:color="auto" w:fill="FFFFFF"/>
              <w:spacing w:before="120" w:after="120" w:line="276" w:lineRule="auto"/>
              <w:contextualSpacing w:val="0"/>
              <w:rPr>
                <w:rFonts w:eastAsia="Times New Roman" w:cstheme="minorHAnsi"/>
                <w:lang w:eastAsia="en-AU"/>
              </w:rPr>
            </w:pPr>
            <w:r w:rsidRPr="00A8358C">
              <w:rPr>
                <w:rFonts w:eastAsia="Times New Roman" w:cstheme="minorHAnsi"/>
                <w:lang w:eastAsia="en-AU"/>
              </w:rPr>
              <w:t>engag</w:t>
            </w:r>
            <w:r>
              <w:rPr>
                <w:rFonts w:eastAsia="Times New Roman" w:cstheme="minorHAnsi"/>
                <w:lang w:eastAsia="en-AU"/>
              </w:rPr>
              <w:t>ing</w:t>
            </w:r>
            <w:r w:rsidRPr="00A8358C">
              <w:rPr>
                <w:rFonts w:eastAsia="Times New Roman" w:cstheme="minorHAnsi"/>
                <w:lang w:eastAsia="en-AU"/>
              </w:rPr>
              <w:t xml:space="preserve"> a qualified electrician if required</w:t>
            </w:r>
            <w:r w:rsidR="00DE632C">
              <w:rPr>
                <w:rFonts w:eastAsia="Times New Roman" w:cstheme="minorHAnsi"/>
                <w:lang w:eastAsia="en-AU"/>
              </w:rPr>
              <w:t>,</w:t>
            </w:r>
            <w:r w:rsidRPr="00A8358C">
              <w:rPr>
                <w:rFonts w:eastAsia="Times New Roman" w:cstheme="minorHAnsi"/>
                <w:lang w:eastAsia="en-AU"/>
              </w:rPr>
              <w:t xml:space="preserve"> to assist schools to implement safety processes associated with locking out unsafe machinery.</w:t>
            </w:r>
            <w:r w:rsidRPr="00A8358C">
              <w:rPr>
                <w:rFonts w:cstheme="minorHAnsi"/>
              </w:rPr>
              <w:t xml:space="preserve"> </w:t>
            </w:r>
          </w:p>
          <w:p w14:paraId="349450ED" w14:textId="65E8D91E" w:rsidR="007B65DB" w:rsidRPr="007B65DB" w:rsidRDefault="007B65DB" w:rsidP="007B65DB">
            <w:pPr>
              <w:spacing w:before="120" w:after="120" w:line="276" w:lineRule="auto"/>
              <w:rPr>
                <w:rFonts w:ascii="Calibri" w:hAnsi="Calibri" w:cs="Calibri"/>
              </w:rPr>
            </w:pPr>
            <w:r w:rsidRPr="007B65DB">
              <w:rPr>
                <w:rFonts w:ascii="Calibri" w:hAnsi="Calibri" w:cs="Calibri"/>
              </w:rPr>
              <w:t>Other safety upgrades to machinery will be considered on request.</w:t>
            </w:r>
          </w:p>
          <w:p w14:paraId="66CC935A" w14:textId="13325A09" w:rsidR="0091161D" w:rsidRPr="0091161D" w:rsidRDefault="00C2482E" w:rsidP="00DE632C">
            <w:pPr>
              <w:spacing w:before="120" w:after="120" w:line="276" w:lineRule="auto"/>
            </w:pPr>
            <w:r>
              <w:rPr>
                <w:rFonts w:ascii="Calibri" w:hAnsi="Calibri" w:cs="Calibri"/>
                <w:b/>
              </w:rPr>
              <w:t>T</w:t>
            </w:r>
            <w:r w:rsidR="00476744" w:rsidRPr="00D97C64">
              <w:rPr>
                <w:rFonts w:ascii="Calibri" w:hAnsi="Calibri" w:cs="Calibri"/>
                <w:b/>
              </w:rPr>
              <w:t xml:space="preserve">he total claim </w:t>
            </w:r>
            <w:r w:rsidR="007B65DB">
              <w:rPr>
                <w:rFonts w:ascii="Calibri" w:hAnsi="Calibri" w:cs="Calibri"/>
                <w:b/>
              </w:rPr>
              <w:t xml:space="preserve">is capped per school </w:t>
            </w:r>
            <w:r w:rsidR="004126E6">
              <w:rPr>
                <w:rFonts w:ascii="Calibri" w:hAnsi="Calibri" w:cs="Calibri"/>
                <w:b/>
              </w:rPr>
              <w:t>at</w:t>
            </w:r>
            <w:r w:rsidR="00476744" w:rsidRPr="00D97C64">
              <w:rPr>
                <w:rFonts w:ascii="Calibri" w:hAnsi="Calibri" w:cs="Calibri"/>
                <w:b/>
              </w:rPr>
              <w:t xml:space="preserve"> $</w:t>
            </w:r>
            <w:r>
              <w:rPr>
                <w:rFonts w:ascii="Calibri" w:hAnsi="Calibri" w:cs="Calibri"/>
                <w:b/>
              </w:rPr>
              <w:t>2</w:t>
            </w:r>
            <w:r w:rsidR="001F64B4">
              <w:rPr>
                <w:rFonts w:ascii="Calibri" w:hAnsi="Calibri" w:cs="Calibri"/>
                <w:b/>
              </w:rPr>
              <w:t>730</w:t>
            </w:r>
            <w:r w:rsidR="00E751E3">
              <w:rPr>
                <w:rFonts w:ascii="Calibri" w:hAnsi="Calibri" w:cs="Calibri"/>
                <w:b/>
              </w:rPr>
              <w:t>.0</w:t>
            </w:r>
            <w:r w:rsidR="00476744" w:rsidRPr="00D97C64">
              <w:rPr>
                <w:rFonts w:ascii="Calibri" w:hAnsi="Calibri" w:cs="Calibri"/>
                <w:b/>
              </w:rPr>
              <w:t>0</w:t>
            </w:r>
            <w:r w:rsidR="00DE632C">
              <w:rPr>
                <w:rFonts w:ascii="Calibri" w:hAnsi="Calibri" w:cs="Calibri"/>
                <w:b/>
              </w:rPr>
              <w:t xml:space="preserve">. </w:t>
            </w:r>
            <w:r w:rsidR="0091161D">
              <w:t>Tax Invoices must be attached as supporting documentation.</w:t>
            </w:r>
          </w:p>
        </w:tc>
      </w:tr>
      <w:tr w:rsidR="00777472" w14:paraId="69262568" w14:textId="77777777" w:rsidTr="009962B8">
        <w:tc>
          <w:tcPr>
            <w:tcW w:w="4508" w:type="dxa"/>
          </w:tcPr>
          <w:p w14:paraId="62E0A8BC" w14:textId="3146F534" w:rsidR="00777472" w:rsidRDefault="00777472" w:rsidP="00777472">
            <w:pPr>
              <w:pStyle w:val="ListParagraph"/>
              <w:numPr>
                <w:ilvl w:val="0"/>
                <w:numId w:val="17"/>
              </w:numPr>
              <w:spacing w:before="120" w:after="120" w:line="276" w:lineRule="auto"/>
              <w:ind w:left="357" w:hanging="357"/>
              <w:contextualSpacing w:val="0"/>
            </w:pPr>
            <w:r>
              <w:t>Why are the safety machinery upgrades included in this Initiative Agreement?</w:t>
            </w:r>
          </w:p>
        </w:tc>
        <w:tc>
          <w:tcPr>
            <w:tcW w:w="4985" w:type="dxa"/>
          </w:tcPr>
          <w:p w14:paraId="576E0D1D" w14:textId="2CDC5127" w:rsidR="00777472" w:rsidRPr="00777472" w:rsidRDefault="00777472" w:rsidP="00777472">
            <w:pPr>
              <w:spacing w:before="60" w:after="60" w:line="276" w:lineRule="auto"/>
              <w:rPr>
                <w:rFonts w:ascii="Calibri" w:hAnsi="Calibri" w:cs="Calibri"/>
              </w:rPr>
            </w:pPr>
            <w:r w:rsidRPr="00777472">
              <w:rPr>
                <w:rFonts w:ascii="Calibri" w:hAnsi="Calibri" w:cs="Calibri"/>
              </w:rPr>
              <w:t xml:space="preserve">The </w:t>
            </w:r>
            <w:r>
              <w:rPr>
                <w:rFonts w:ascii="Calibri" w:hAnsi="Calibri" w:cs="Calibri"/>
              </w:rPr>
              <w:t xml:space="preserve">Department’s </w:t>
            </w:r>
            <w:r w:rsidRPr="00777472">
              <w:rPr>
                <w:rFonts w:ascii="Calibri" w:hAnsi="Calibri" w:cs="Calibri"/>
              </w:rPr>
              <w:t xml:space="preserve">OHS Management System audit program currently includes plant and equipment safety in secondary schools, one element of which is </w:t>
            </w:r>
            <w:r>
              <w:rPr>
                <w:rFonts w:ascii="Calibri" w:hAnsi="Calibri" w:cs="Calibri"/>
              </w:rPr>
              <w:t xml:space="preserve">equipment </w:t>
            </w:r>
            <w:r w:rsidRPr="00777472">
              <w:rPr>
                <w:rFonts w:ascii="Calibri" w:hAnsi="Calibri" w:cs="Calibri"/>
              </w:rPr>
              <w:t xml:space="preserve">isolation and tag out procedures. </w:t>
            </w:r>
          </w:p>
          <w:p w14:paraId="33F9F245" w14:textId="14566CD8" w:rsidR="00777472" w:rsidRPr="00777472" w:rsidRDefault="00EE1F71" w:rsidP="00777472">
            <w:pPr>
              <w:spacing w:before="60" w:after="60" w:line="276" w:lineRule="auto"/>
              <w:rPr>
                <w:rFonts w:ascii="Calibri" w:hAnsi="Calibri" w:cs="Calibri"/>
              </w:rPr>
            </w:pPr>
            <w:r>
              <w:rPr>
                <w:rFonts w:ascii="Calibri" w:hAnsi="Calibri" w:cs="Calibri"/>
              </w:rPr>
              <w:t>The safety machinery upgrades will ensure safety measures are implemented so that p</w:t>
            </w:r>
            <w:r w:rsidR="00777472" w:rsidRPr="00777472">
              <w:rPr>
                <w:rFonts w:ascii="Calibri" w:hAnsi="Calibri" w:cs="Calibri"/>
              </w:rPr>
              <w:t xml:space="preserve">eople performing maintenance, service, cleaning or repair, or working to correct unintended stoppages or jams are </w:t>
            </w:r>
            <w:r>
              <w:rPr>
                <w:rFonts w:ascii="Calibri" w:hAnsi="Calibri" w:cs="Calibri"/>
              </w:rPr>
              <w:t xml:space="preserve">not put </w:t>
            </w:r>
            <w:r w:rsidR="00777472" w:rsidRPr="00777472">
              <w:rPr>
                <w:rFonts w:ascii="Calibri" w:hAnsi="Calibri" w:cs="Calibri"/>
              </w:rPr>
              <w:t>at risk of accidental start-up or movement of powered equipment that hasn’t been isolated from power sources. Similarly, people may also be at risk if they use defective powered equipment that hasn’t been locked out or removed from service.</w:t>
            </w:r>
          </w:p>
          <w:p w14:paraId="5FB6213E" w14:textId="13615216" w:rsidR="00777472" w:rsidRDefault="00EE1F71" w:rsidP="00777472">
            <w:pPr>
              <w:spacing w:before="60" w:after="60" w:line="276" w:lineRule="auto"/>
              <w:rPr>
                <w:rFonts w:ascii="Calibri" w:hAnsi="Calibri" w:cs="Calibri"/>
              </w:rPr>
            </w:pPr>
            <w:r>
              <w:rPr>
                <w:rFonts w:ascii="Calibri" w:hAnsi="Calibri" w:cs="Calibri"/>
              </w:rPr>
              <w:lastRenderedPageBreak/>
              <w:t>Principals</w:t>
            </w:r>
            <w:r w:rsidR="00777472" w:rsidRPr="00777472">
              <w:rPr>
                <w:rFonts w:ascii="Calibri" w:hAnsi="Calibri" w:cs="Calibri"/>
              </w:rPr>
              <w:t xml:space="preserve"> must ensure all equipment can be isolated, or disconnected from the power source, and can be locked out by use of built-in keyed devices, padlocks, lock outs for circuit breakers or isolation clamps.</w:t>
            </w:r>
          </w:p>
        </w:tc>
      </w:tr>
      <w:tr w:rsidR="00A13454" w14:paraId="43ACC52E" w14:textId="77777777" w:rsidTr="009962B8">
        <w:tc>
          <w:tcPr>
            <w:tcW w:w="4508" w:type="dxa"/>
          </w:tcPr>
          <w:p w14:paraId="7595CBF7" w14:textId="2E3D1959" w:rsidR="00A13454" w:rsidRPr="00841382" w:rsidRDefault="005644E8" w:rsidP="008D17C3">
            <w:pPr>
              <w:pStyle w:val="ListParagraph"/>
              <w:numPr>
                <w:ilvl w:val="0"/>
                <w:numId w:val="17"/>
              </w:numPr>
              <w:spacing w:before="120" w:after="120"/>
              <w:contextualSpacing w:val="0"/>
              <w:rPr>
                <w:b/>
                <w:bCs/>
              </w:rPr>
            </w:pPr>
            <w:r w:rsidRPr="00841382">
              <w:rPr>
                <w:b/>
                <w:bCs/>
              </w:rPr>
              <w:lastRenderedPageBreak/>
              <w:t xml:space="preserve">Can principals claim </w:t>
            </w:r>
            <w:r w:rsidR="00841382" w:rsidRPr="00841382">
              <w:rPr>
                <w:b/>
                <w:bCs/>
              </w:rPr>
              <w:t>for Training and</w:t>
            </w:r>
            <w:r w:rsidRPr="00841382">
              <w:rPr>
                <w:b/>
                <w:bCs/>
              </w:rPr>
              <w:t xml:space="preserve"> </w:t>
            </w:r>
            <w:r w:rsidR="00C80124" w:rsidRPr="00841382">
              <w:rPr>
                <w:b/>
                <w:bCs/>
              </w:rPr>
              <w:t xml:space="preserve">purchased safety upgrades </w:t>
            </w:r>
            <w:r w:rsidR="00841382" w:rsidRPr="00841382">
              <w:rPr>
                <w:b/>
                <w:bCs/>
              </w:rPr>
              <w:t>in 2019?</w:t>
            </w:r>
            <w:r w:rsidR="00C80124" w:rsidRPr="00841382">
              <w:rPr>
                <w:b/>
                <w:bCs/>
              </w:rPr>
              <w:t xml:space="preserve"> </w:t>
            </w:r>
          </w:p>
        </w:tc>
        <w:tc>
          <w:tcPr>
            <w:tcW w:w="4985" w:type="dxa"/>
          </w:tcPr>
          <w:p w14:paraId="76E3AC7E" w14:textId="6FDBF0C7" w:rsidR="005644E8" w:rsidRDefault="00841382" w:rsidP="005644E8">
            <w:pPr>
              <w:spacing w:before="60" w:after="60" w:line="276" w:lineRule="auto"/>
            </w:pPr>
            <w:r w:rsidRPr="00841382">
              <w:rPr>
                <w:b/>
                <w:bCs/>
              </w:rPr>
              <w:t>Yes</w:t>
            </w:r>
            <w:r>
              <w:t xml:space="preserve">, </w:t>
            </w:r>
            <w:r w:rsidR="00F01843">
              <w:t>a</w:t>
            </w:r>
            <w:r w:rsidR="005644E8">
              <w:t xml:space="preserve">s part of this Initiative Agreement, principals </w:t>
            </w:r>
            <w:r w:rsidR="005644E8" w:rsidRPr="001B4172">
              <w:rPr>
                <w:b/>
                <w:bCs/>
              </w:rPr>
              <w:t>can</w:t>
            </w:r>
            <w:r w:rsidR="005644E8">
              <w:t xml:space="preserve"> claim for the period commencing </w:t>
            </w:r>
            <w:r w:rsidR="005644E8" w:rsidRPr="00841382">
              <w:rPr>
                <w:b/>
                <w:bCs/>
              </w:rPr>
              <w:t>1 July 2019</w:t>
            </w:r>
            <w:r w:rsidR="005644E8">
              <w:t xml:space="preserve"> for the following: </w:t>
            </w:r>
          </w:p>
          <w:p w14:paraId="3142B469" w14:textId="43FADA80" w:rsidR="00A13454" w:rsidRDefault="005644E8" w:rsidP="005644E8">
            <w:pPr>
              <w:pStyle w:val="ListParagraph"/>
              <w:numPr>
                <w:ilvl w:val="0"/>
                <w:numId w:val="22"/>
              </w:numPr>
              <w:spacing w:before="60" w:after="60" w:line="276" w:lineRule="auto"/>
              <w:contextualSpacing w:val="0"/>
            </w:pPr>
            <w:r>
              <w:t xml:space="preserve">Course costs for </w:t>
            </w:r>
            <w:r w:rsidR="00040748">
              <w:t xml:space="preserve">metalwork and /or woodwork </w:t>
            </w:r>
            <w:r>
              <w:t>teachers that attended the Safe Use of Machinery in Technology Training</w:t>
            </w:r>
          </w:p>
          <w:p w14:paraId="56EDE4EA" w14:textId="04C5A8D5" w:rsidR="005644E8" w:rsidRDefault="005644E8" w:rsidP="005644E8">
            <w:pPr>
              <w:pStyle w:val="ListParagraph"/>
              <w:numPr>
                <w:ilvl w:val="0"/>
                <w:numId w:val="22"/>
              </w:numPr>
              <w:spacing w:before="60" w:after="60" w:line="276" w:lineRule="auto"/>
              <w:contextualSpacing w:val="0"/>
            </w:pPr>
            <w:r>
              <w:t>CRT support for those teachers</w:t>
            </w:r>
          </w:p>
          <w:p w14:paraId="0C98F3B0" w14:textId="711A6271" w:rsidR="005644E8" w:rsidRDefault="005644E8" w:rsidP="005644E8">
            <w:pPr>
              <w:pStyle w:val="ListParagraph"/>
              <w:numPr>
                <w:ilvl w:val="0"/>
                <w:numId w:val="22"/>
              </w:numPr>
              <w:spacing w:before="60" w:after="60" w:line="276" w:lineRule="auto"/>
              <w:contextualSpacing w:val="0"/>
            </w:pPr>
            <w:r>
              <w:t>Travel, accommodation and meal costs (for teachers that had to stay overnight for the course)</w:t>
            </w:r>
          </w:p>
          <w:p w14:paraId="449FDB4C" w14:textId="2D18D2C6" w:rsidR="005644E8" w:rsidRDefault="005644E8" w:rsidP="00F51C5E">
            <w:pPr>
              <w:pStyle w:val="ListParagraph"/>
              <w:numPr>
                <w:ilvl w:val="0"/>
                <w:numId w:val="22"/>
              </w:numPr>
              <w:spacing w:before="60" w:after="60" w:line="276" w:lineRule="auto"/>
              <w:contextualSpacing w:val="0"/>
            </w:pPr>
            <w:r>
              <w:t>Safety upgrade to machinery</w:t>
            </w:r>
            <w:r w:rsidR="00841382">
              <w:t xml:space="preserve"> as per above </w:t>
            </w:r>
            <w:r w:rsidR="00841382" w:rsidRPr="00841382">
              <w:rPr>
                <w:b/>
                <w:bCs/>
              </w:rPr>
              <w:t>Safety machinery upgrades</w:t>
            </w:r>
            <w:r w:rsidR="00841382">
              <w:t xml:space="preserve"> section</w:t>
            </w:r>
          </w:p>
        </w:tc>
      </w:tr>
      <w:tr w:rsidR="00040748" w14:paraId="3F6C6735" w14:textId="77777777" w:rsidTr="00245925">
        <w:tc>
          <w:tcPr>
            <w:tcW w:w="4508" w:type="dxa"/>
          </w:tcPr>
          <w:p w14:paraId="2B92302B" w14:textId="77777777" w:rsidR="00040748" w:rsidRDefault="00040748" w:rsidP="00245925">
            <w:pPr>
              <w:pStyle w:val="ListParagraph"/>
              <w:numPr>
                <w:ilvl w:val="0"/>
                <w:numId w:val="17"/>
              </w:numPr>
              <w:spacing w:before="120" w:after="120"/>
              <w:ind w:left="357" w:hanging="357"/>
              <w:contextualSpacing w:val="0"/>
            </w:pPr>
            <w:r>
              <w:t>When will this program end?</w:t>
            </w:r>
          </w:p>
        </w:tc>
        <w:tc>
          <w:tcPr>
            <w:tcW w:w="4985" w:type="dxa"/>
          </w:tcPr>
          <w:p w14:paraId="224EADC0" w14:textId="66A1FF08" w:rsidR="00040748" w:rsidRDefault="00CE2423" w:rsidP="00245925">
            <w:pPr>
              <w:spacing w:before="120" w:after="120" w:line="276" w:lineRule="auto"/>
            </w:pPr>
            <w:r>
              <w:t xml:space="preserve">Under this initiative </w:t>
            </w:r>
            <w:r w:rsidRPr="00841382">
              <w:rPr>
                <w:b/>
                <w:bCs/>
              </w:rPr>
              <w:t xml:space="preserve">schools will not be able to claim for courses attended after </w:t>
            </w:r>
            <w:r w:rsidR="00040748" w:rsidRPr="00841382">
              <w:rPr>
                <w:b/>
                <w:bCs/>
              </w:rPr>
              <w:t>30 June 2020</w:t>
            </w:r>
          </w:p>
        </w:tc>
      </w:tr>
    </w:tbl>
    <w:p w14:paraId="058B75CF" w14:textId="1311EF54" w:rsidR="00E751E3" w:rsidRDefault="00E751E3"/>
    <w:p w14:paraId="2A426CF3" w14:textId="4DE3580D" w:rsidR="00E751E3" w:rsidRDefault="00841382">
      <w:r w:rsidRPr="005644E8">
        <w:rPr>
          <w:b/>
        </w:rPr>
        <w:t>NOTE:</w:t>
      </w:r>
      <w:r>
        <w:t xml:space="preserve"> All invoices need to show the itemised safety products purchased, course information and name of teacher who attended, signed CRT timesheets and proof of payment(s) for the reimbursement to be accepted.</w:t>
      </w:r>
    </w:p>
    <w:p w14:paraId="517053A4" w14:textId="68E81389" w:rsidR="00841382" w:rsidRDefault="00841382">
      <w:pPr>
        <w:sectPr w:rsidR="00841382" w:rsidSect="00350F8B">
          <w:headerReference w:type="default" r:id="rId10"/>
          <w:footerReference w:type="default" r:id="rId11"/>
          <w:pgSz w:w="11906" w:h="16838"/>
          <w:pgMar w:top="1440" w:right="1440" w:bottom="1276" w:left="1440" w:header="708" w:footer="708" w:gutter="0"/>
          <w:cols w:space="708"/>
          <w:docGrid w:linePitch="360"/>
        </w:sectPr>
      </w:pPr>
    </w:p>
    <w:tbl>
      <w:tblPr>
        <w:tblStyle w:val="TableGrid"/>
        <w:tblW w:w="4957" w:type="pct"/>
        <w:tblLayout w:type="fixed"/>
        <w:tblLook w:val="04A0" w:firstRow="1" w:lastRow="0" w:firstColumn="1" w:lastColumn="0" w:noHBand="0" w:noVBand="1"/>
      </w:tblPr>
      <w:tblGrid>
        <w:gridCol w:w="2689"/>
        <w:gridCol w:w="3926"/>
        <w:gridCol w:w="7376"/>
      </w:tblGrid>
      <w:tr w:rsidR="0044768C" w:rsidRPr="00B72215" w14:paraId="34E1AC23" w14:textId="36056E3C" w:rsidTr="00C80124">
        <w:trPr>
          <w:tblHeader/>
        </w:trPr>
        <w:tc>
          <w:tcPr>
            <w:tcW w:w="5000" w:type="pct"/>
            <w:gridSpan w:val="3"/>
            <w:shd w:val="clear" w:color="auto" w:fill="9CC2E5" w:themeFill="accent1" w:themeFillTint="99"/>
          </w:tcPr>
          <w:p w14:paraId="0962B67D" w14:textId="78A0F541" w:rsidR="0044768C" w:rsidRPr="009962B8" w:rsidRDefault="008D17C3" w:rsidP="009962B8">
            <w:pPr>
              <w:spacing w:before="120" w:after="120" w:line="276" w:lineRule="auto"/>
              <w:rPr>
                <w:b/>
                <w:sz w:val="28"/>
                <w:szCs w:val="28"/>
              </w:rPr>
            </w:pPr>
            <w:r>
              <w:rPr>
                <w:b/>
                <w:sz w:val="28"/>
                <w:szCs w:val="28"/>
              </w:rPr>
              <w:lastRenderedPageBreak/>
              <w:t>Detailed d</w:t>
            </w:r>
            <w:r w:rsidR="0044768C" w:rsidRPr="009962B8">
              <w:rPr>
                <w:b/>
                <w:sz w:val="28"/>
                <w:szCs w:val="28"/>
              </w:rPr>
              <w:t>irections</w:t>
            </w:r>
          </w:p>
        </w:tc>
      </w:tr>
      <w:tr w:rsidR="00215352" w:rsidRPr="009962B8" w14:paraId="5ABCE268" w14:textId="2AFF7FDA" w:rsidTr="00C80124">
        <w:trPr>
          <w:tblHeader/>
        </w:trPr>
        <w:tc>
          <w:tcPr>
            <w:tcW w:w="961" w:type="pct"/>
            <w:shd w:val="clear" w:color="auto" w:fill="9CC2E5" w:themeFill="accent1" w:themeFillTint="99"/>
          </w:tcPr>
          <w:p w14:paraId="34F88BA6" w14:textId="77777777" w:rsidR="00E751E3" w:rsidRPr="009962B8" w:rsidRDefault="00E751E3" w:rsidP="009962B8">
            <w:pPr>
              <w:pStyle w:val="ListParagraph"/>
              <w:spacing w:before="120" w:after="120" w:line="276" w:lineRule="auto"/>
              <w:ind w:left="22"/>
              <w:contextualSpacing w:val="0"/>
              <w:rPr>
                <w:b/>
                <w:sz w:val="24"/>
                <w:szCs w:val="24"/>
              </w:rPr>
            </w:pPr>
            <w:r w:rsidRPr="009962B8">
              <w:rPr>
                <w:b/>
                <w:sz w:val="24"/>
                <w:szCs w:val="24"/>
              </w:rPr>
              <w:t>Topic</w:t>
            </w:r>
          </w:p>
        </w:tc>
        <w:tc>
          <w:tcPr>
            <w:tcW w:w="1403" w:type="pct"/>
            <w:shd w:val="clear" w:color="auto" w:fill="9CC2E5" w:themeFill="accent1" w:themeFillTint="99"/>
          </w:tcPr>
          <w:p w14:paraId="3E122FB4" w14:textId="77777777" w:rsidR="00E751E3" w:rsidRPr="009962B8" w:rsidRDefault="00E751E3" w:rsidP="009962B8">
            <w:pPr>
              <w:spacing w:before="120" w:after="120" w:line="276" w:lineRule="auto"/>
              <w:jc w:val="both"/>
              <w:rPr>
                <w:b/>
                <w:sz w:val="24"/>
                <w:szCs w:val="24"/>
              </w:rPr>
            </w:pPr>
            <w:r w:rsidRPr="009962B8">
              <w:rPr>
                <w:b/>
                <w:sz w:val="24"/>
                <w:szCs w:val="24"/>
              </w:rPr>
              <w:t>Response/Resource</w:t>
            </w:r>
          </w:p>
        </w:tc>
        <w:tc>
          <w:tcPr>
            <w:tcW w:w="2636" w:type="pct"/>
            <w:shd w:val="clear" w:color="auto" w:fill="9CC2E5" w:themeFill="accent1" w:themeFillTint="99"/>
          </w:tcPr>
          <w:p w14:paraId="26D888A4" w14:textId="616E2940" w:rsidR="00E751E3" w:rsidRPr="009962B8" w:rsidRDefault="00E751E3" w:rsidP="009962B8">
            <w:pPr>
              <w:spacing w:before="120" w:after="120" w:line="276" w:lineRule="auto"/>
              <w:jc w:val="both"/>
              <w:rPr>
                <w:b/>
                <w:sz w:val="24"/>
                <w:szCs w:val="24"/>
              </w:rPr>
            </w:pPr>
            <w:r>
              <w:rPr>
                <w:b/>
                <w:sz w:val="24"/>
                <w:szCs w:val="24"/>
              </w:rPr>
              <w:t>Example:</w:t>
            </w:r>
          </w:p>
        </w:tc>
      </w:tr>
      <w:tr w:rsidR="00215352" w14:paraId="651C3B57" w14:textId="5BFEC921" w:rsidTr="00C80124">
        <w:trPr>
          <w:trHeight w:val="450"/>
        </w:trPr>
        <w:tc>
          <w:tcPr>
            <w:tcW w:w="961" w:type="pct"/>
            <w:vMerge w:val="restart"/>
          </w:tcPr>
          <w:p w14:paraId="480474BA" w14:textId="575D5E1E" w:rsidR="00E751E3" w:rsidRDefault="00E751E3" w:rsidP="00A13454">
            <w:pPr>
              <w:pStyle w:val="ListParagraph"/>
              <w:numPr>
                <w:ilvl w:val="0"/>
                <w:numId w:val="12"/>
              </w:numPr>
              <w:spacing w:before="120" w:after="120"/>
              <w:contextualSpacing w:val="0"/>
            </w:pPr>
            <w:r>
              <w:t>Information to be included on the Tax Invoice.</w:t>
            </w:r>
          </w:p>
        </w:tc>
        <w:tc>
          <w:tcPr>
            <w:tcW w:w="1403" w:type="pct"/>
          </w:tcPr>
          <w:p w14:paraId="6DFEDAC9" w14:textId="10172730" w:rsidR="00E751E3" w:rsidRPr="00D97C64" w:rsidRDefault="00E751E3" w:rsidP="00507A0B">
            <w:pPr>
              <w:spacing w:before="120" w:after="120" w:line="276" w:lineRule="auto"/>
            </w:pPr>
            <w:r>
              <w:t>Ensure the Tax Invoice is on the school letterhead</w:t>
            </w:r>
          </w:p>
        </w:tc>
        <w:tc>
          <w:tcPr>
            <w:tcW w:w="2636" w:type="pct"/>
          </w:tcPr>
          <w:p w14:paraId="5876D0C0" w14:textId="77777777" w:rsidR="00E751E3" w:rsidRDefault="00E751E3" w:rsidP="00507A0B">
            <w:pPr>
              <w:spacing w:before="120" w:after="120" w:line="276" w:lineRule="auto"/>
            </w:pPr>
          </w:p>
        </w:tc>
      </w:tr>
      <w:tr w:rsidR="00215352" w14:paraId="61BF8153" w14:textId="613346D1" w:rsidTr="00C80124">
        <w:trPr>
          <w:trHeight w:val="450"/>
        </w:trPr>
        <w:tc>
          <w:tcPr>
            <w:tcW w:w="961" w:type="pct"/>
            <w:vMerge/>
          </w:tcPr>
          <w:p w14:paraId="5EB0E179" w14:textId="77777777" w:rsidR="00E751E3" w:rsidRDefault="00E751E3" w:rsidP="00A13454">
            <w:pPr>
              <w:pStyle w:val="ListParagraph"/>
              <w:numPr>
                <w:ilvl w:val="0"/>
                <w:numId w:val="12"/>
              </w:numPr>
              <w:spacing w:before="120" w:after="120"/>
              <w:contextualSpacing w:val="0"/>
            </w:pPr>
          </w:p>
        </w:tc>
        <w:tc>
          <w:tcPr>
            <w:tcW w:w="1403" w:type="pct"/>
          </w:tcPr>
          <w:p w14:paraId="1D7EB1C0" w14:textId="77777777" w:rsidR="00E751E3" w:rsidRDefault="00E751E3" w:rsidP="00507A0B">
            <w:pPr>
              <w:spacing w:before="120" w:after="120" w:line="276" w:lineRule="auto"/>
              <w:rPr>
                <w:rStyle w:val="Hyperlink"/>
                <w:color w:val="auto"/>
                <w:u w:val="none"/>
              </w:rPr>
            </w:pPr>
            <w:r w:rsidRPr="00D97C64">
              <w:rPr>
                <w:rStyle w:val="Hyperlink"/>
                <w:color w:val="auto"/>
                <w:u w:val="none"/>
              </w:rPr>
              <w:t xml:space="preserve">The Tax Invoice must be </w:t>
            </w:r>
            <w:r>
              <w:rPr>
                <w:rStyle w:val="Hyperlink"/>
                <w:color w:val="auto"/>
                <w:u w:val="none"/>
              </w:rPr>
              <w:t>made payable to:</w:t>
            </w:r>
          </w:p>
          <w:p w14:paraId="2075CA6D" w14:textId="77777777" w:rsidR="00E751E3" w:rsidRPr="00E21B6C" w:rsidRDefault="00E751E3" w:rsidP="00507A0B">
            <w:pPr>
              <w:spacing w:before="120" w:after="120" w:line="276" w:lineRule="auto"/>
              <w:rPr>
                <w:rStyle w:val="Hyperlink"/>
                <w:b/>
                <w:color w:val="auto"/>
                <w:u w:val="none"/>
              </w:rPr>
            </w:pPr>
            <w:r w:rsidRPr="00E21B6C">
              <w:rPr>
                <w:rStyle w:val="Hyperlink"/>
                <w:b/>
                <w:color w:val="auto"/>
                <w:u w:val="none"/>
              </w:rPr>
              <w:t>Department of Education and Training</w:t>
            </w:r>
          </w:p>
          <w:p w14:paraId="61E36980" w14:textId="77777777" w:rsidR="00E751E3" w:rsidRPr="00E21B6C" w:rsidRDefault="00E751E3" w:rsidP="00507A0B">
            <w:pPr>
              <w:spacing w:before="120" w:after="120" w:line="276" w:lineRule="auto"/>
              <w:rPr>
                <w:rStyle w:val="Hyperlink"/>
                <w:b/>
                <w:color w:val="auto"/>
                <w:u w:val="none"/>
              </w:rPr>
            </w:pPr>
            <w:r w:rsidRPr="00E21B6C">
              <w:rPr>
                <w:rStyle w:val="Hyperlink"/>
                <w:b/>
                <w:color w:val="auto"/>
                <w:u w:val="none"/>
              </w:rPr>
              <w:t xml:space="preserve">2 Treasury Place </w:t>
            </w:r>
          </w:p>
          <w:p w14:paraId="6C532C4A" w14:textId="77777777" w:rsidR="00E751E3" w:rsidRPr="00E21B6C" w:rsidRDefault="00E751E3" w:rsidP="00507A0B">
            <w:pPr>
              <w:spacing w:before="120" w:after="120" w:line="276" w:lineRule="auto"/>
              <w:rPr>
                <w:rStyle w:val="Hyperlink"/>
                <w:b/>
                <w:color w:val="auto"/>
                <w:u w:val="none"/>
              </w:rPr>
            </w:pPr>
            <w:r w:rsidRPr="00E21B6C">
              <w:rPr>
                <w:rStyle w:val="Hyperlink"/>
                <w:b/>
                <w:color w:val="auto"/>
                <w:u w:val="none"/>
              </w:rPr>
              <w:t>East Melbourne</w:t>
            </w:r>
          </w:p>
          <w:p w14:paraId="42C6DAAA" w14:textId="4DD6F616" w:rsidR="00E751E3" w:rsidRPr="00E21B6C" w:rsidRDefault="00E751E3" w:rsidP="00507A0B">
            <w:pPr>
              <w:spacing w:before="120" w:after="120" w:line="276" w:lineRule="auto"/>
              <w:rPr>
                <w:rStyle w:val="Hyperlink"/>
                <w:b/>
                <w:color w:val="auto"/>
                <w:u w:val="none"/>
              </w:rPr>
            </w:pPr>
            <w:r w:rsidRPr="00E21B6C">
              <w:rPr>
                <w:rStyle w:val="Hyperlink"/>
                <w:b/>
                <w:color w:val="auto"/>
                <w:u w:val="none"/>
              </w:rPr>
              <w:t>Vic, 3002</w:t>
            </w:r>
          </w:p>
        </w:tc>
        <w:tc>
          <w:tcPr>
            <w:tcW w:w="2636" w:type="pct"/>
          </w:tcPr>
          <w:p w14:paraId="07309D71" w14:textId="3B31E9A5" w:rsidR="00E751E3" w:rsidRPr="00D97C64" w:rsidRDefault="00E751E3" w:rsidP="00507A0B">
            <w:pPr>
              <w:spacing w:before="120" w:after="120" w:line="276" w:lineRule="auto"/>
              <w:rPr>
                <w:rStyle w:val="Hyperlink"/>
                <w:color w:val="auto"/>
                <w:u w:val="none"/>
              </w:rPr>
            </w:pPr>
            <w:r>
              <w:rPr>
                <w:noProof/>
                <w:lang w:eastAsia="en-AU"/>
              </w:rPr>
              <w:drawing>
                <wp:inline distT="0" distB="0" distL="0" distR="0" wp14:anchorId="04DD1F89" wp14:editId="497BF8D2">
                  <wp:extent cx="2628900" cy="1000125"/>
                  <wp:effectExtent l="19050" t="19050" r="19050" b="285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628900" cy="1000125"/>
                          </a:xfrm>
                          <a:prstGeom prst="rect">
                            <a:avLst/>
                          </a:prstGeom>
                          <a:ln>
                            <a:solidFill>
                              <a:schemeClr val="tx1"/>
                            </a:solidFill>
                          </a:ln>
                        </pic:spPr>
                      </pic:pic>
                    </a:graphicData>
                  </a:graphic>
                </wp:inline>
              </w:drawing>
            </w:r>
          </w:p>
        </w:tc>
      </w:tr>
      <w:tr w:rsidR="00215352" w14:paraId="6C678407" w14:textId="6F149F89" w:rsidTr="00C80124">
        <w:trPr>
          <w:trHeight w:val="450"/>
        </w:trPr>
        <w:tc>
          <w:tcPr>
            <w:tcW w:w="961" w:type="pct"/>
            <w:vMerge/>
          </w:tcPr>
          <w:p w14:paraId="0AD137A1" w14:textId="77777777" w:rsidR="00E751E3" w:rsidRDefault="00E751E3" w:rsidP="00A13454">
            <w:pPr>
              <w:pStyle w:val="ListParagraph"/>
              <w:numPr>
                <w:ilvl w:val="0"/>
                <w:numId w:val="12"/>
              </w:numPr>
              <w:spacing w:before="120" w:after="120"/>
              <w:contextualSpacing w:val="0"/>
            </w:pPr>
          </w:p>
        </w:tc>
        <w:tc>
          <w:tcPr>
            <w:tcW w:w="1403" w:type="pct"/>
          </w:tcPr>
          <w:p w14:paraId="4AAB96B6" w14:textId="77777777" w:rsidR="00E751E3" w:rsidRDefault="00E751E3" w:rsidP="00507A0B">
            <w:pPr>
              <w:spacing w:before="120" w:after="120" w:line="276" w:lineRule="auto"/>
              <w:rPr>
                <w:rStyle w:val="Hyperlink"/>
                <w:color w:val="auto"/>
                <w:u w:val="none"/>
              </w:rPr>
            </w:pPr>
            <w:r>
              <w:rPr>
                <w:rStyle w:val="Hyperlink"/>
                <w:color w:val="auto"/>
                <w:u w:val="none"/>
              </w:rPr>
              <w:t>Under the Description of supply/service state:</w:t>
            </w:r>
          </w:p>
          <w:p w14:paraId="174FD33D" w14:textId="292FB773" w:rsidR="00E751E3" w:rsidRPr="00D97C64" w:rsidRDefault="00051692" w:rsidP="00A512A0">
            <w:pPr>
              <w:spacing w:before="120" w:after="120" w:line="276" w:lineRule="auto"/>
              <w:rPr>
                <w:rStyle w:val="Hyperlink"/>
                <w:color w:val="auto"/>
                <w:u w:val="none"/>
              </w:rPr>
            </w:pPr>
            <w:r>
              <w:rPr>
                <w:b/>
              </w:rPr>
              <w:t>Safe Use of Machinery</w:t>
            </w:r>
            <w:r w:rsidR="00A82299">
              <w:rPr>
                <w:b/>
              </w:rPr>
              <w:t xml:space="preserve"> &amp; Equipment</w:t>
            </w:r>
            <w:r>
              <w:rPr>
                <w:b/>
              </w:rPr>
              <w:t xml:space="preserve"> </w:t>
            </w:r>
            <w:r w:rsidR="00122AA2">
              <w:rPr>
                <w:b/>
              </w:rPr>
              <w:t>Safety Program</w:t>
            </w:r>
            <w:r w:rsidR="00AB6BA8">
              <w:rPr>
                <w:b/>
              </w:rPr>
              <w:t xml:space="preserve"> </w:t>
            </w:r>
          </w:p>
        </w:tc>
        <w:tc>
          <w:tcPr>
            <w:tcW w:w="2636" w:type="pct"/>
          </w:tcPr>
          <w:p w14:paraId="05394069" w14:textId="4250A44F" w:rsidR="00E751E3" w:rsidRDefault="00356BAB" w:rsidP="00507A0B">
            <w:pPr>
              <w:spacing w:before="120" w:after="120" w:line="276" w:lineRule="auto"/>
              <w:rPr>
                <w:rStyle w:val="Hyperlink"/>
                <w:color w:val="auto"/>
                <w:u w:val="none"/>
              </w:rPr>
            </w:pPr>
            <w:r>
              <w:rPr>
                <w:noProof/>
              </w:rPr>
              <w:drawing>
                <wp:inline distT="0" distB="0" distL="0" distR="0" wp14:anchorId="2ABC412B" wp14:editId="131CD9A1">
                  <wp:extent cx="4546600" cy="762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46600" cy="762000"/>
                          </a:xfrm>
                          <a:prstGeom prst="rect">
                            <a:avLst/>
                          </a:prstGeom>
                        </pic:spPr>
                      </pic:pic>
                    </a:graphicData>
                  </a:graphic>
                </wp:inline>
              </w:drawing>
            </w:r>
          </w:p>
        </w:tc>
      </w:tr>
      <w:tr w:rsidR="00215352" w14:paraId="1BC45E88" w14:textId="0068B685" w:rsidTr="00C80124">
        <w:trPr>
          <w:trHeight w:val="450"/>
        </w:trPr>
        <w:tc>
          <w:tcPr>
            <w:tcW w:w="961" w:type="pct"/>
          </w:tcPr>
          <w:p w14:paraId="7593A33D" w14:textId="480378CF" w:rsidR="00E751E3" w:rsidRDefault="00E751E3" w:rsidP="007D36CF">
            <w:pPr>
              <w:pStyle w:val="ListParagraph"/>
              <w:numPr>
                <w:ilvl w:val="0"/>
                <w:numId w:val="12"/>
              </w:numPr>
              <w:spacing w:before="120" w:after="120"/>
              <w:contextualSpacing w:val="0"/>
            </w:pPr>
            <w:r>
              <w:t xml:space="preserve">Information that should </w:t>
            </w:r>
            <w:r w:rsidRPr="00E21B6C">
              <w:rPr>
                <w:b/>
              </w:rPr>
              <w:t>not</w:t>
            </w:r>
            <w:r>
              <w:t xml:space="preserve"> to be included on the Tax Invoice (not covered by the allowed funding expenditure).</w:t>
            </w:r>
          </w:p>
        </w:tc>
        <w:tc>
          <w:tcPr>
            <w:tcW w:w="1403" w:type="pct"/>
          </w:tcPr>
          <w:p w14:paraId="47BB0974" w14:textId="77777777" w:rsidR="00E751E3" w:rsidRDefault="00E751E3" w:rsidP="00507A0B">
            <w:pPr>
              <w:spacing w:before="120" w:after="120" w:line="276" w:lineRule="auto"/>
              <w:rPr>
                <w:rStyle w:val="Hyperlink"/>
                <w:color w:val="auto"/>
                <w:u w:val="none"/>
              </w:rPr>
            </w:pPr>
            <w:r w:rsidRPr="00D97C64">
              <w:rPr>
                <w:rStyle w:val="Hyperlink"/>
                <w:color w:val="auto"/>
                <w:u w:val="none"/>
              </w:rPr>
              <w:t xml:space="preserve">The Tax Invoice </w:t>
            </w:r>
            <w:r w:rsidRPr="00097508">
              <w:rPr>
                <w:rStyle w:val="Hyperlink"/>
                <w:b/>
                <w:color w:val="auto"/>
                <w:u w:val="none"/>
              </w:rPr>
              <w:t>must not include</w:t>
            </w:r>
            <w:r>
              <w:rPr>
                <w:rStyle w:val="Hyperlink"/>
                <w:color w:val="auto"/>
                <w:u w:val="none"/>
              </w:rPr>
              <w:t>:</w:t>
            </w:r>
          </w:p>
          <w:p w14:paraId="0C31A728" w14:textId="77777777" w:rsidR="00E751E3" w:rsidRDefault="00E751E3" w:rsidP="00507A0B">
            <w:pPr>
              <w:pStyle w:val="ListParagraph"/>
              <w:numPr>
                <w:ilvl w:val="0"/>
                <w:numId w:val="10"/>
              </w:numPr>
              <w:spacing w:before="120" w:after="120" w:line="276" w:lineRule="auto"/>
              <w:contextualSpacing w:val="0"/>
              <w:rPr>
                <w:rStyle w:val="Hyperlink"/>
                <w:color w:val="auto"/>
                <w:u w:val="none"/>
              </w:rPr>
            </w:pPr>
            <w:r w:rsidRPr="00097508">
              <w:rPr>
                <w:rStyle w:val="Hyperlink"/>
                <w:color w:val="auto"/>
                <w:u w:val="none"/>
              </w:rPr>
              <w:t>GST</w:t>
            </w:r>
          </w:p>
          <w:p w14:paraId="148A6153" w14:textId="16196AF7" w:rsidR="00E751E3" w:rsidRPr="00D97C64" w:rsidRDefault="00E751E3" w:rsidP="00507A0B">
            <w:pPr>
              <w:pStyle w:val="ListParagraph"/>
              <w:numPr>
                <w:ilvl w:val="0"/>
                <w:numId w:val="10"/>
              </w:numPr>
              <w:spacing w:before="120" w:after="120" w:line="276" w:lineRule="auto"/>
              <w:contextualSpacing w:val="0"/>
            </w:pPr>
            <w:r>
              <w:rPr>
                <w:rStyle w:val="Hyperlink"/>
                <w:color w:val="auto"/>
                <w:u w:val="none"/>
              </w:rPr>
              <w:t>Superannuation payments (not covered)</w:t>
            </w:r>
          </w:p>
        </w:tc>
        <w:tc>
          <w:tcPr>
            <w:tcW w:w="2636" w:type="pct"/>
          </w:tcPr>
          <w:p w14:paraId="4C2EAC89" w14:textId="6C0F6995" w:rsidR="00E751E3" w:rsidRPr="00D97C64" w:rsidRDefault="00356BAB" w:rsidP="00507A0B">
            <w:pPr>
              <w:spacing w:before="120" w:after="120" w:line="276" w:lineRule="auto"/>
              <w:rPr>
                <w:rStyle w:val="Hyperlink"/>
                <w:color w:val="auto"/>
                <w:u w:val="none"/>
              </w:rPr>
            </w:pPr>
            <w:r>
              <w:rPr>
                <w:noProof/>
              </w:rPr>
              <w:drawing>
                <wp:inline distT="0" distB="0" distL="0" distR="0" wp14:anchorId="26527C2E" wp14:editId="4572BEB6">
                  <wp:extent cx="4546600" cy="1358900"/>
                  <wp:effectExtent l="0" t="0" r="635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4546600" cy="1358900"/>
                          </a:xfrm>
                          <a:prstGeom prst="rect">
                            <a:avLst/>
                          </a:prstGeom>
                        </pic:spPr>
                      </pic:pic>
                    </a:graphicData>
                  </a:graphic>
                </wp:inline>
              </w:drawing>
            </w:r>
          </w:p>
        </w:tc>
      </w:tr>
      <w:tr w:rsidR="00215352" w14:paraId="1BAF9A70" w14:textId="359DE1A8" w:rsidTr="00C80124">
        <w:tc>
          <w:tcPr>
            <w:tcW w:w="961" w:type="pct"/>
          </w:tcPr>
          <w:p w14:paraId="13E6D8D1" w14:textId="77777777" w:rsidR="00E751E3" w:rsidRDefault="00E751E3" w:rsidP="00A512A0">
            <w:pPr>
              <w:pStyle w:val="ListParagraph"/>
              <w:numPr>
                <w:ilvl w:val="0"/>
                <w:numId w:val="12"/>
              </w:numPr>
              <w:spacing w:before="120" w:after="120"/>
              <w:contextualSpacing w:val="0"/>
            </w:pPr>
            <w:r>
              <w:lastRenderedPageBreak/>
              <w:t>Support evidence that the school must provide in order to claim for reimbursement.</w:t>
            </w:r>
          </w:p>
        </w:tc>
        <w:tc>
          <w:tcPr>
            <w:tcW w:w="1403" w:type="pct"/>
          </w:tcPr>
          <w:p w14:paraId="078C8A97" w14:textId="77777777" w:rsidR="003F4FA2" w:rsidRDefault="00A93866" w:rsidP="00507A0B">
            <w:pPr>
              <w:spacing w:before="120" w:after="120" w:line="276" w:lineRule="auto"/>
            </w:pPr>
            <w:r>
              <w:t xml:space="preserve">Paid </w:t>
            </w:r>
            <w:r w:rsidR="003F4FA2">
              <w:t>T</w:t>
            </w:r>
            <w:r>
              <w:t>ax Invoices for</w:t>
            </w:r>
            <w:r w:rsidR="003F4FA2">
              <w:t>:</w:t>
            </w:r>
          </w:p>
          <w:p w14:paraId="6EAB37D5" w14:textId="77777777" w:rsidR="00E751E3" w:rsidRPr="00B909F8" w:rsidRDefault="00A93866" w:rsidP="003F4FA2">
            <w:pPr>
              <w:pStyle w:val="ListParagraph"/>
              <w:numPr>
                <w:ilvl w:val="0"/>
                <w:numId w:val="32"/>
              </w:numPr>
              <w:spacing w:before="120" w:after="120" w:line="276" w:lineRule="auto"/>
              <w:rPr>
                <w:rFonts w:cstheme="minorHAnsi"/>
              </w:rPr>
            </w:pPr>
            <w:r w:rsidRPr="00B909F8">
              <w:rPr>
                <w:rFonts w:cstheme="minorHAnsi"/>
              </w:rPr>
              <w:t>purchased machinery</w:t>
            </w:r>
          </w:p>
          <w:p w14:paraId="052E16D4" w14:textId="518EDEE5" w:rsidR="003F4FA2" w:rsidRPr="00B909F8" w:rsidRDefault="00D97A7D" w:rsidP="003F4FA2">
            <w:pPr>
              <w:pStyle w:val="ListParagraph"/>
              <w:numPr>
                <w:ilvl w:val="0"/>
                <w:numId w:val="32"/>
              </w:numPr>
              <w:spacing w:before="120" w:after="120" w:line="276" w:lineRule="auto"/>
              <w:rPr>
                <w:rFonts w:cstheme="minorHAnsi"/>
              </w:rPr>
            </w:pPr>
            <w:r>
              <w:rPr>
                <w:rFonts w:cstheme="minorHAnsi"/>
              </w:rPr>
              <w:t xml:space="preserve">technician engaged to perform </w:t>
            </w:r>
            <w:r w:rsidR="003F4FA2" w:rsidRPr="00B909F8">
              <w:rPr>
                <w:rFonts w:cstheme="minorHAnsi"/>
              </w:rPr>
              <w:t>maintenance</w:t>
            </w:r>
            <w:r>
              <w:rPr>
                <w:rFonts w:cstheme="minorHAnsi"/>
              </w:rPr>
              <w:t xml:space="preserve"> </w:t>
            </w:r>
            <w:r w:rsidR="00992BC4">
              <w:rPr>
                <w:rFonts w:cstheme="minorHAnsi"/>
              </w:rPr>
              <w:t>on machinery</w:t>
            </w:r>
          </w:p>
          <w:p w14:paraId="50D8793B" w14:textId="7E8AC1F7" w:rsidR="001B6881" w:rsidRPr="00992BC4" w:rsidRDefault="001B6881" w:rsidP="00992BC4">
            <w:pPr>
              <w:pStyle w:val="ListParagraph"/>
              <w:numPr>
                <w:ilvl w:val="0"/>
                <w:numId w:val="31"/>
              </w:numPr>
              <w:shd w:val="clear" w:color="auto" w:fill="FFFFFF"/>
              <w:spacing w:before="120" w:after="120" w:line="276" w:lineRule="auto"/>
              <w:contextualSpacing w:val="0"/>
              <w:rPr>
                <w:rFonts w:eastAsia="Times New Roman" w:cstheme="minorHAnsi"/>
                <w:lang w:eastAsia="en-AU"/>
              </w:rPr>
            </w:pPr>
            <w:r w:rsidRPr="00B909F8">
              <w:rPr>
                <w:rFonts w:cstheme="minorHAnsi"/>
              </w:rPr>
              <w:t xml:space="preserve">electrician engaged to </w:t>
            </w:r>
            <w:r w:rsidR="00B909F8" w:rsidRPr="00B909F8">
              <w:rPr>
                <w:rFonts w:eastAsia="Times New Roman" w:cstheme="minorHAnsi"/>
                <w:lang w:eastAsia="en-AU"/>
              </w:rPr>
              <w:t>implement safety processes associated with locking out unsafe machinery</w:t>
            </w:r>
            <w:r w:rsidR="00C75B05">
              <w:rPr>
                <w:rFonts w:eastAsia="Times New Roman" w:cstheme="minorHAnsi"/>
                <w:lang w:eastAsia="en-AU"/>
              </w:rPr>
              <w:t xml:space="preserve"> etc.</w:t>
            </w:r>
          </w:p>
        </w:tc>
        <w:tc>
          <w:tcPr>
            <w:tcW w:w="2636" w:type="pct"/>
          </w:tcPr>
          <w:p w14:paraId="04E6C2C0" w14:textId="399079A1" w:rsidR="00E751E3" w:rsidRDefault="00E751E3" w:rsidP="0044768C">
            <w:pPr>
              <w:pStyle w:val="ListParagraph"/>
              <w:spacing w:before="120" w:after="120" w:line="276" w:lineRule="auto"/>
              <w:ind w:left="357"/>
              <w:contextualSpacing w:val="0"/>
              <w:rPr>
                <w:b/>
              </w:rPr>
            </w:pPr>
          </w:p>
        </w:tc>
      </w:tr>
      <w:tr w:rsidR="0096151B" w14:paraId="6173D9B1" w14:textId="77777777" w:rsidTr="00C80124">
        <w:tc>
          <w:tcPr>
            <w:tcW w:w="961" w:type="pct"/>
          </w:tcPr>
          <w:p w14:paraId="14E58A83" w14:textId="5C485004" w:rsidR="0096151B" w:rsidRDefault="0096151B" w:rsidP="0096151B">
            <w:pPr>
              <w:pStyle w:val="ListParagraph"/>
              <w:numPr>
                <w:ilvl w:val="0"/>
                <w:numId w:val="12"/>
              </w:numPr>
              <w:spacing w:before="120" w:after="120"/>
              <w:contextualSpacing w:val="0"/>
            </w:pPr>
            <w:r>
              <w:t>Example of a completed School Claim</w:t>
            </w:r>
          </w:p>
        </w:tc>
        <w:tc>
          <w:tcPr>
            <w:tcW w:w="1403" w:type="pct"/>
          </w:tcPr>
          <w:p w14:paraId="40A9B941" w14:textId="77777777" w:rsidR="0096151B" w:rsidRDefault="0096151B" w:rsidP="00507A0B">
            <w:pPr>
              <w:pStyle w:val="ListParagraph"/>
              <w:numPr>
                <w:ilvl w:val="0"/>
                <w:numId w:val="4"/>
              </w:numPr>
              <w:spacing w:before="120" w:after="120" w:line="276" w:lineRule="auto"/>
              <w:ind w:left="357"/>
              <w:contextualSpacing w:val="0"/>
              <w:rPr>
                <w:b/>
              </w:rPr>
            </w:pPr>
            <w:r>
              <w:rPr>
                <w:b/>
              </w:rPr>
              <w:t>Appendix A</w:t>
            </w:r>
          </w:p>
          <w:p w14:paraId="44FF7CE9" w14:textId="2F0076EA" w:rsidR="0096151B" w:rsidRPr="0096151B" w:rsidRDefault="0096151B" w:rsidP="00A512A0">
            <w:pPr>
              <w:pStyle w:val="ListParagraph"/>
              <w:spacing w:before="120" w:after="120" w:line="276" w:lineRule="auto"/>
              <w:ind w:left="357"/>
              <w:contextualSpacing w:val="0"/>
            </w:pPr>
            <w:r>
              <w:t>Refer to Appendix A showing the example of XXX</w:t>
            </w:r>
            <w:r w:rsidR="0088019A">
              <w:t>X</w:t>
            </w:r>
            <w:r>
              <w:t xml:space="preserve"> </w:t>
            </w:r>
            <w:r w:rsidR="00A512A0">
              <w:t xml:space="preserve">Secondary College </w:t>
            </w:r>
            <w:r>
              <w:t>claim for</w:t>
            </w:r>
            <w:r w:rsidR="00A512A0">
              <w:t xml:space="preserve"> course cost,</w:t>
            </w:r>
            <w:r>
              <w:t xml:space="preserve"> CRT for 1</w:t>
            </w:r>
            <w:r w:rsidR="00A512A0">
              <w:t>2</w:t>
            </w:r>
            <w:r>
              <w:t xml:space="preserve"> hours </w:t>
            </w:r>
            <w:r w:rsidR="00A512A0">
              <w:t>support and safety upgrades to machinery at the college.</w:t>
            </w:r>
          </w:p>
        </w:tc>
        <w:tc>
          <w:tcPr>
            <w:tcW w:w="2636" w:type="pct"/>
          </w:tcPr>
          <w:p w14:paraId="1867CEC3" w14:textId="77777777" w:rsidR="0096151B" w:rsidRDefault="0096151B" w:rsidP="0044768C">
            <w:pPr>
              <w:pStyle w:val="ListParagraph"/>
              <w:spacing w:before="120" w:after="120" w:line="276" w:lineRule="auto"/>
              <w:ind w:left="357"/>
              <w:contextualSpacing w:val="0"/>
              <w:rPr>
                <w:noProof/>
                <w:lang w:eastAsia="en-AU"/>
              </w:rPr>
            </w:pPr>
          </w:p>
        </w:tc>
      </w:tr>
      <w:tr w:rsidR="00215352" w14:paraId="6927E075" w14:textId="23C9F5A0" w:rsidTr="00C80124">
        <w:tc>
          <w:tcPr>
            <w:tcW w:w="961" w:type="pct"/>
          </w:tcPr>
          <w:p w14:paraId="4D49657F" w14:textId="7AD8E396" w:rsidR="00E751E3" w:rsidRDefault="00E751E3" w:rsidP="00350F8B">
            <w:pPr>
              <w:pStyle w:val="ListParagraph"/>
              <w:numPr>
                <w:ilvl w:val="0"/>
                <w:numId w:val="12"/>
              </w:numPr>
              <w:spacing w:before="120" w:after="120"/>
              <w:contextualSpacing w:val="0"/>
            </w:pPr>
            <w:r>
              <w:lastRenderedPageBreak/>
              <w:t>Crosscheck with the school Reimbursement checklist.</w:t>
            </w:r>
          </w:p>
        </w:tc>
        <w:tc>
          <w:tcPr>
            <w:tcW w:w="1403" w:type="pct"/>
          </w:tcPr>
          <w:p w14:paraId="13C78AE3" w14:textId="42ECCBFE" w:rsidR="00E751E3" w:rsidRDefault="00E751E3" w:rsidP="00507A0B">
            <w:pPr>
              <w:spacing w:before="120" w:after="120" w:line="276" w:lineRule="auto"/>
            </w:pPr>
            <w:r>
              <w:t xml:space="preserve">Ensure the school follows the </w:t>
            </w:r>
            <w:hyperlink r:id="rId15" w:history="1">
              <w:r w:rsidRPr="00A03211">
                <w:rPr>
                  <w:rStyle w:val="Hyperlink"/>
                </w:rPr>
                <w:t>Schools Reimbursement Checklist</w:t>
              </w:r>
            </w:hyperlink>
            <w:r>
              <w:t xml:space="preserve"> to ensure that the request for reimbursement is approved and paid without delay.</w:t>
            </w:r>
          </w:p>
        </w:tc>
        <w:tc>
          <w:tcPr>
            <w:tcW w:w="2636" w:type="pct"/>
          </w:tcPr>
          <w:p w14:paraId="15E0C59B" w14:textId="5D9A8F24" w:rsidR="00E751E3" w:rsidRDefault="00A03211" w:rsidP="00507A0B">
            <w:pPr>
              <w:spacing w:before="120" w:after="120" w:line="276" w:lineRule="auto"/>
            </w:pPr>
            <w:r>
              <w:rPr>
                <w:noProof/>
                <w:lang w:eastAsia="en-AU"/>
              </w:rPr>
              <w:drawing>
                <wp:inline distT="0" distB="0" distL="0" distR="0" wp14:anchorId="0D724614" wp14:editId="2FD5F566">
                  <wp:extent cx="4525780" cy="1858061"/>
                  <wp:effectExtent l="0" t="0" r="8255" b="8890"/>
                  <wp:docPr id="4" name="Picture 4">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4539854" cy="1863839"/>
                          </a:xfrm>
                          <a:prstGeom prst="rect">
                            <a:avLst/>
                          </a:prstGeom>
                          <a:ln>
                            <a:noFill/>
                          </a:ln>
                        </pic:spPr>
                      </pic:pic>
                    </a:graphicData>
                  </a:graphic>
                </wp:inline>
              </w:drawing>
            </w:r>
          </w:p>
        </w:tc>
      </w:tr>
      <w:tr w:rsidR="00215352" w14:paraId="12CB06F3" w14:textId="6B0993E9" w:rsidTr="00C80124">
        <w:tc>
          <w:tcPr>
            <w:tcW w:w="961" w:type="pct"/>
          </w:tcPr>
          <w:p w14:paraId="39DAD8F9" w14:textId="77777777" w:rsidR="00E751E3" w:rsidRDefault="00E751E3" w:rsidP="00350F8B">
            <w:pPr>
              <w:pStyle w:val="ListParagraph"/>
              <w:numPr>
                <w:ilvl w:val="0"/>
                <w:numId w:val="12"/>
              </w:numPr>
              <w:spacing w:before="120" w:after="120"/>
              <w:contextualSpacing w:val="0"/>
            </w:pPr>
            <w:r>
              <w:t>Where can the school apply for funding?</w:t>
            </w:r>
          </w:p>
        </w:tc>
        <w:tc>
          <w:tcPr>
            <w:tcW w:w="1403" w:type="pct"/>
          </w:tcPr>
          <w:p w14:paraId="1BC29496" w14:textId="77777777" w:rsidR="00E751E3" w:rsidRDefault="00E751E3" w:rsidP="00507A0B">
            <w:pPr>
              <w:spacing w:before="120" w:after="120" w:line="276" w:lineRule="auto"/>
            </w:pPr>
            <w:r>
              <w:t xml:space="preserve">School to lodge the application in the </w:t>
            </w:r>
            <w:hyperlink r:id="rId17" w:history="1">
              <w:r w:rsidRPr="00607BFE">
                <w:rPr>
                  <w:rStyle w:val="Hyperlink"/>
                </w:rPr>
                <w:t>Schools Targeted Funding Portal</w:t>
              </w:r>
            </w:hyperlink>
            <w:r>
              <w:rPr>
                <w:rStyle w:val="Hyperlink"/>
              </w:rPr>
              <w:t>.</w:t>
            </w:r>
          </w:p>
        </w:tc>
        <w:tc>
          <w:tcPr>
            <w:tcW w:w="2636" w:type="pct"/>
          </w:tcPr>
          <w:p w14:paraId="697C5238" w14:textId="0FCD1902" w:rsidR="00E751E3" w:rsidRDefault="00A03211" w:rsidP="00507A0B">
            <w:pPr>
              <w:spacing w:before="120" w:after="120" w:line="276" w:lineRule="auto"/>
            </w:pPr>
            <w:r>
              <w:rPr>
                <w:noProof/>
                <w:lang w:eastAsia="en-AU"/>
              </w:rPr>
              <w:drawing>
                <wp:inline distT="0" distB="0" distL="0" distR="0" wp14:anchorId="4A450A43" wp14:editId="2A885DCB">
                  <wp:extent cx="5888954" cy="1097280"/>
                  <wp:effectExtent l="0" t="0" r="0" b="762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6007284" cy="1119328"/>
                          </a:xfrm>
                          <a:prstGeom prst="rect">
                            <a:avLst/>
                          </a:prstGeom>
                        </pic:spPr>
                      </pic:pic>
                    </a:graphicData>
                  </a:graphic>
                </wp:inline>
              </w:drawing>
            </w:r>
          </w:p>
        </w:tc>
      </w:tr>
      <w:tr w:rsidR="00C80124" w14:paraId="3F3EBFEC" w14:textId="77777777" w:rsidTr="00C80124">
        <w:tc>
          <w:tcPr>
            <w:tcW w:w="961" w:type="pct"/>
          </w:tcPr>
          <w:p w14:paraId="5947AC1E" w14:textId="448D42CE" w:rsidR="00C80124" w:rsidRDefault="00C80124" w:rsidP="00350F8B">
            <w:pPr>
              <w:pStyle w:val="ListParagraph"/>
              <w:numPr>
                <w:ilvl w:val="0"/>
                <w:numId w:val="12"/>
              </w:numPr>
              <w:spacing w:before="120" w:after="120"/>
              <w:contextualSpacing w:val="0"/>
            </w:pPr>
            <w:r>
              <w:t>Where does the school go if it needs additional information on program funding?</w:t>
            </w:r>
          </w:p>
        </w:tc>
        <w:tc>
          <w:tcPr>
            <w:tcW w:w="4039" w:type="pct"/>
            <w:gridSpan w:val="2"/>
          </w:tcPr>
          <w:p w14:paraId="5EECD89C" w14:textId="435EAF28" w:rsidR="00C80124" w:rsidRDefault="00C80124" w:rsidP="00507A0B">
            <w:pPr>
              <w:spacing w:before="120" w:after="120" w:line="276" w:lineRule="auto"/>
              <w:rPr>
                <w:noProof/>
                <w:lang w:eastAsia="en-AU"/>
              </w:rPr>
            </w:pPr>
            <w:r>
              <w:t xml:space="preserve">Through access of the </w:t>
            </w:r>
            <w:hyperlink r:id="rId19" w:history="1">
              <w:r w:rsidRPr="00B60ADF">
                <w:rPr>
                  <w:rStyle w:val="Hyperlink"/>
                </w:rPr>
                <w:t>Principal and Business Manager</w:t>
              </w:r>
            </w:hyperlink>
            <w:r>
              <w:t xml:space="preserve"> information flyer from the </w:t>
            </w:r>
            <w:hyperlink r:id="rId20" w:history="1">
              <w:r w:rsidRPr="00607BFE">
                <w:rPr>
                  <w:rStyle w:val="Hyperlink"/>
                </w:rPr>
                <w:t>Schools Targeted Funding Portal</w:t>
              </w:r>
            </w:hyperlink>
          </w:p>
        </w:tc>
      </w:tr>
    </w:tbl>
    <w:p w14:paraId="47621FB6" w14:textId="3D1851AC" w:rsidR="00A03211" w:rsidRDefault="00A03211" w:rsidP="009962B8"/>
    <w:p w14:paraId="1E58E451" w14:textId="77777777" w:rsidR="00A03211" w:rsidRDefault="00A03211" w:rsidP="009962B8">
      <w:pPr>
        <w:sectPr w:rsidR="00A03211" w:rsidSect="00215352">
          <w:pgSz w:w="16838" w:h="11906" w:orient="landscape"/>
          <w:pgMar w:top="1134" w:right="1440" w:bottom="1440" w:left="1276" w:header="709" w:footer="308" w:gutter="0"/>
          <w:cols w:space="708"/>
          <w:docGrid w:linePitch="360"/>
        </w:sectPr>
      </w:pPr>
    </w:p>
    <w:p w14:paraId="3BE4A378" w14:textId="77777777" w:rsidR="0044768C" w:rsidRDefault="00A03211" w:rsidP="00A512A0">
      <w:pPr>
        <w:spacing w:before="120" w:after="120" w:line="276" w:lineRule="auto"/>
        <w:rPr>
          <w:b/>
          <w:sz w:val="28"/>
          <w:szCs w:val="28"/>
        </w:rPr>
      </w:pPr>
      <w:r w:rsidRPr="00A03211">
        <w:rPr>
          <w:b/>
          <w:sz w:val="28"/>
          <w:szCs w:val="28"/>
        </w:rPr>
        <w:lastRenderedPageBreak/>
        <w:t>APPENDIX A</w:t>
      </w:r>
      <w:r>
        <w:rPr>
          <w:b/>
          <w:sz w:val="28"/>
          <w:szCs w:val="28"/>
        </w:rPr>
        <w:t xml:space="preserve"> –</w:t>
      </w:r>
    </w:p>
    <w:p w14:paraId="5C0B755B" w14:textId="77777777" w:rsidR="00A512A0" w:rsidRDefault="00A03211" w:rsidP="00A512A0">
      <w:pPr>
        <w:spacing w:before="120" w:after="120" w:line="276" w:lineRule="auto"/>
      </w:pPr>
      <w:r w:rsidRPr="0044768C">
        <w:t xml:space="preserve">Example of a completed </w:t>
      </w:r>
      <w:r w:rsidR="00A512A0">
        <w:t>Tax Invoice claiming for:</w:t>
      </w:r>
    </w:p>
    <w:p w14:paraId="6901FE7C" w14:textId="124254BD" w:rsidR="00A03211" w:rsidRDefault="0044768C" w:rsidP="00A512A0">
      <w:pPr>
        <w:pStyle w:val="ListParagraph"/>
        <w:numPr>
          <w:ilvl w:val="0"/>
          <w:numId w:val="4"/>
        </w:numPr>
        <w:spacing w:before="120" w:after="120" w:line="276" w:lineRule="auto"/>
        <w:contextualSpacing w:val="0"/>
      </w:pPr>
      <w:r>
        <w:t>CRT r</w:t>
      </w:r>
      <w:r w:rsidRPr="0044768C">
        <w:t>eimbursement</w:t>
      </w:r>
      <w:r>
        <w:t xml:space="preserve"> for </w:t>
      </w:r>
      <w:r w:rsidR="00A512A0">
        <w:t>two days (12</w:t>
      </w:r>
      <w:r>
        <w:t xml:space="preserve"> hours). The CRT rate is $6</w:t>
      </w:r>
      <w:r w:rsidR="00A512A0">
        <w:t>1</w:t>
      </w:r>
      <w:r>
        <w:t>.</w:t>
      </w:r>
      <w:r w:rsidR="00A512A0">
        <w:t>83 per hour (CRT timesheet attached.</w:t>
      </w:r>
    </w:p>
    <w:p w14:paraId="5DE6EC3E" w14:textId="54080F8B" w:rsidR="00A512A0" w:rsidRDefault="00A512A0" w:rsidP="00A512A0">
      <w:pPr>
        <w:pStyle w:val="ListParagraph"/>
        <w:numPr>
          <w:ilvl w:val="0"/>
          <w:numId w:val="4"/>
        </w:numPr>
        <w:spacing w:before="120" w:after="120" w:line="276" w:lineRule="auto"/>
        <w:contextualSpacing w:val="0"/>
      </w:pPr>
      <w:r>
        <w:t>Course cost for a Woodwork teacher attending two days at VU Polytechnic (paid course invoice attached)</w:t>
      </w:r>
    </w:p>
    <w:p w14:paraId="3F52845D" w14:textId="2AB87492" w:rsidR="00A512A0" w:rsidRPr="0044768C" w:rsidRDefault="00A512A0" w:rsidP="00A512A0">
      <w:pPr>
        <w:pStyle w:val="ListParagraph"/>
        <w:numPr>
          <w:ilvl w:val="0"/>
          <w:numId w:val="4"/>
        </w:numPr>
        <w:spacing w:before="120" w:after="120" w:line="276" w:lineRule="auto"/>
        <w:contextualSpacing w:val="0"/>
      </w:pPr>
      <w:r>
        <w:t>Safety upgrade of machinery (all paid receipts attached)</w:t>
      </w:r>
    </w:p>
    <w:p w14:paraId="070CA357" w14:textId="15E9F6D7" w:rsidR="00A03211" w:rsidRPr="00A03211" w:rsidRDefault="00356BAB" w:rsidP="0044768C">
      <w:pPr>
        <w:jc w:val="center"/>
        <w:rPr>
          <w:b/>
          <w:sz w:val="28"/>
          <w:szCs w:val="28"/>
        </w:rPr>
      </w:pPr>
      <w:r>
        <w:rPr>
          <w:noProof/>
        </w:rPr>
        <w:drawing>
          <wp:inline distT="0" distB="0" distL="0" distR="0" wp14:anchorId="4BAF4071" wp14:editId="26CC88BC">
            <wp:extent cx="5715000" cy="6619875"/>
            <wp:effectExtent l="19050" t="19050" r="19050" b="2857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715000" cy="6619875"/>
                    </a:xfrm>
                    <a:prstGeom prst="rect">
                      <a:avLst/>
                    </a:prstGeom>
                    <a:ln>
                      <a:solidFill>
                        <a:schemeClr val="tx1"/>
                      </a:solidFill>
                    </a:ln>
                  </pic:spPr>
                </pic:pic>
              </a:graphicData>
            </a:graphic>
          </wp:inline>
        </w:drawing>
      </w:r>
    </w:p>
    <w:sectPr w:rsidR="00A03211" w:rsidRPr="00A03211" w:rsidSect="00A03211">
      <w:pgSz w:w="11906" w:h="16838"/>
      <w:pgMar w:top="1440" w:right="1440" w:bottom="1276"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B49C0A" w14:textId="77777777" w:rsidR="00B57B4F" w:rsidRDefault="00B57B4F" w:rsidP="00A24C39">
      <w:pPr>
        <w:spacing w:after="0" w:line="240" w:lineRule="auto"/>
      </w:pPr>
      <w:r>
        <w:separator/>
      </w:r>
    </w:p>
  </w:endnote>
  <w:endnote w:type="continuationSeparator" w:id="0">
    <w:p w14:paraId="654EFB93" w14:textId="77777777" w:rsidR="00B57B4F" w:rsidRDefault="00B57B4F" w:rsidP="00A24C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88867595"/>
      <w:docPartObj>
        <w:docPartGallery w:val="Page Numbers (Bottom of Page)"/>
        <w:docPartUnique/>
      </w:docPartObj>
    </w:sdtPr>
    <w:sdtEndPr/>
    <w:sdtContent>
      <w:sdt>
        <w:sdtPr>
          <w:id w:val="-1769616900"/>
          <w:docPartObj>
            <w:docPartGallery w:val="Page Numbers (Top of Page)"/>
            <w:docPartUnique/>
          </w:docPartObj>
        </w:sdtPr>
        <w:sdtEndPr/>
        <w:sdtContent>
          <w:p w14:paraId="167DDB47" w14:textId="581E8768" w:rsidR="00245925" w:rsidRDefault="00245925" w:rsidP="00507A0B">
            <w:pPr>
              <w:pStyle w:val="Footer"/>
            </w:pPr>
            <w:r>
              <w:t xml:space="preserve">Updated </w:t>
            </w:r>
            <w:r w:rsidR="00A82299">
              <w:t>Ma</w:t>
            </w:r>
            <w:r w:rsidR="006E1E03">
              <w:t>y</w:t>
            </w:r>
            <w:r>
              <w:t xml:space="preserve"> 2020 </w:t>
            </w:r>
            <w:r>
              <w:tab/>
            </w:r>
            <w:r>
              <w:tab/>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10</w:t>
            </w:r>
            <w:r>
              <w:rPr>
                <w:b/>
                <w:bCs/>
                <w:sz w:val="24"/>
                <w:szCs w:val="24"/>
              </w:rPr>
              <w:fldChar w:fldCharType="end"/>
            </w:r>
          </w:p>
        </w:sdtContent>
      </w:sdt>
    </w:sdtContent>
  </w:sdt>
  <w:p w14:paraId="1416F3BE" w14:textId="77777777" w:rsidR="00245925" w:rsidRDefault="00245925" w:rsidP="00A24C3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2660AA" w14:textId="77777777" w:rsidR="00B57B4F" w:rsidRDefault="00B57B4F" w:rsidP="00A24C39">
      <w:pPr>
        <w:spacing w:after="0" w:line="240" w:lineRule="auto"/>
      </w:pPr>
      <w:r>
        <w:separator/>
      </w:r>
    </w:p>
  </w:footnote>
  <w:footnote w:type="continuationSeparator" w:id="0">
    <w:p w14:paraId="0CA537C6" w14:textId="77777777" w:rsidR="00B57B4F" w:rsidRDefault="00B57B4F" w:rsidP="00A24C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841164" w14:textId="16B73DC3" w:rsidR="00245925" w:rsidRPr="00215352" w:rsidRDefault="00245925" w:rsidP="00215352">
    <w:pPr>
      <w:jc w:val="center"/>
      <w:rPr>
        <w:b/>
        <w:sz w:val="28"/>
        <w:u w:val="single"/>
      </w:rPr>
    </w:pPr>
    <w:r>
      <w:rPr>
        <w:b/>
        <w:sz w:val="28"/>
        <w:u w:val="single"/>
      </w:rPr>
      <w:t>FAQs</w:t>
    </w:r>
    <w:r w:rsidRPr="009B7B44">
      <w:rPr>
        <w:b/>
        <w:sz w:val="28"/>
        <w:u w:val="single"/>
      </w:rPr>
      <w:t xml:space="preserve"> </w:t>
    </w:r>
    <w:r>
      <w:rPr>
        <w:b/>
        <w:sz w:val="28"/>
        <w:u w:val="single"/>
      </w:rPr>
      <w:t>–</w:t>
    </w:r>
    <w:r w:rsidRPr="009B7B44">
      <w:rPr>
        <w:b/>
        <w:sz w:val="28"/>
        <w:u w:val="single"/>
      </w:rPr>
      <w:t xml:space="preserve"> </w:t>
    </w:r>
    <w:r>
      <w:rPr>
        <w:b/>
        <w:sz w:val="28"/>
        <w:u w:val="single"/>
      </w:rPr>
      <w:t>Safe Use of Machinery and Equipment Safety Program for Metalwork and Woodwork Classrooms Initiative Agreement - 2019-2020 - #2</w:t>
    </w:r>
    <w:r w:rsidR="006523A6">
      <w:rPr>
        <w:b/>
        <w:sz w:val="28"/>
        <w:u w:val="single"/>
      </w:rPr>
      <w:t>427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DB0"/>
    <w:multiLevelType w:val="hybridMultilevel"/>
    <w:tmpl w:val="078264C2"/>
    <w:lvl w:ilvl="0" w:tplc="35E293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61F7C02"/>
    <w:multiLevelType w:val="hybridMultilevel"/>
    <w:tmpl w:val="ABA08AD2"/>
    <w:lvl w:ilvl="0" w:tplc="D4AE9EC8">
      <w:start w:val="1"/>
      <w:numFmt w:val="bullet"/>
      <w:pStyle w:val="ESBulletsinTable"/>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64B2B7A"/>
    <w:multiLevelType w:val="hybridMultilevel"/>
    <w:tmpl w:val="E09E928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94344E"/>
    <w:multiLevelType w:val="hybridMultilevel"/>
    <w:tmpl w:val="749AC8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96E65A9"/>
    <w:multiLevelType w:val="hybridMultilevel"/>
    <w:tmpl w:val="6A1A0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813481"/>
    <w:multiLevelType w:val="hybridMultilevel"/>
    <w:tmpl w:val="F280D27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11623B8"/>
    <w:multiLevelType w:val="hybridMultilevel"/>
    <w:tmpl w:val="18B66DF4"/>
    <w:lvl w:ilvl="0" w:tplc="35E293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6091925"/>
    <w:multiLevelType w:val="hybridMultilevel"/>
    <w:tmpl w:val="B3B23C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A7D5F7A"/>
    <w:multiLevelType w:val="hybridMultilevel"/>
    <w:tmpl w:val="ECECBC30"/>
    <w:lvl w:ilvl="0" w:tplc="0C09000B">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1BB92DBF"/>
    <w:multiLevelType w:val="hybridMultilevel"/>
    <w:tmpl w:val="8EB091A6"/>
    <w:lvl w:ilvl="0" w:tplc="C46A8832">
      <w:start w:val="1"/>
      <w:numFmt w:val="bullet"/>
      <w:lvlText w:val=""/>
      <w:lvlJc w:val="left"/>
      <w:pPr>
        <w:ind w:left="360" w:hanging="360"/>
      </w:pPr>
      <w:rPr>
        <w:rFonts w:ascii="Symbol" w:hAnsi="Symbol" w:hint="default"/>
        <w:color w:val="AF272F"/>
        <w:sz w:val="16"/>
      </w:rPr>
    </w:lvl>
    <w:lvl w:ilvl="1" w:tplc="11ECFE50">
      <w:start w:val="1"/>
      <w:numFmt w:val="bullet"/>
      <w:lvlText w:val="o"/>
      <w:lvlJc w:val="left"/>
      <w:pPr>
        <w:ind w:left="927"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D7005A0"/>
    <w:multiLevelType w:val="hybridMultilevel"/>
    <w:tmpl w:val="F900229E"/>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17497E"/>
    <w:multiLevelType w:val="hybridMultilevel"/>
    <w:tmpl w:val="A4340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4423887"/>
    <w:multiLevelType w:val="hybridMultilevel"/>
    <w:tmpl w:val="B6C2A1AC"/>
    <w:lvl w:ilvl="0" w:tplc="0C09000B">
      <w:start w:val="1"/>
      <w:numFmt w:val="bullet"/>
      <w:lvlText w:val=""/>
      <w:lvlJc w:val="left"/>
      <w:pPr>
        <w:ind w:left="770" w:hanging="360"/>
      </w:pPr>
      <w:rPr>
        <w:rFonts w:ascii="Wingdings" w:hAnsi="Wingdings"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3" w15:restartNumberingAfterBreak="0">
    <w:nsid w:val="25962F10"/>
    <w:multiLevelType w:val="hybridMultilevel"/>
    <w:tmpl w:val="30187D9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7BD2B1C"/>
    <w:multiLevelType w:val="hybridMultilevel"/>
    <w:tmpl w:val="817291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9113CC3"/>
    <w:multiLevelType w:val="hybridMultilevel"/>
    <w:tmpl w:val="67C8B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A3147A"/>
    <w:multiLevelType w:val="hybridMultilevel"/>
    <w:tmpl w:val="E9BA3838"/>
    <w:lvl w:ilvl="0" w:tplc="0C090003">
      <w:start w:val="1"/>
      <w:numFmt w:val="bullet"/>
      <w:lvlText w:val="o"/>
      <w:lvlJc w:val="left"/>
      <w:pPr>
        <w:ind w:left="1080" w:hanging="360"/>
      </w:pPr>
      <w:rPr>
        <w:rFonts w:ascii="Courier New" w:hAnsi="Courier New" w:cs="Courier New"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7" w15:restartNumberingAfterBreak="0">
    <w:nsid w:val="375C7DFB"/>
    <w:multiLevelType w:val="hybridMultilevel"/>
    <w:tmpl w:val="FAC86076"/>
    <w:lvl w:ilvl="0" w:tplc="C8E4573A">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F2826AD"/>
    <w:multiLevelType w:val="hybridMultilevel"/>
    <w:tmpl w:val="078264C2"/>
    <w:lvl w:ilvl="0" w:tplc="35E293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4B3B4C56"/>
    <w:multiLevelType w:val="hybridMultilevel"/>
    <w:tmpl w:val="7E4220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BEB2C1E"/>
    <w:multiLevelType w:val="hybridMultilevel"/>
    <w:tmpl w:val="F08241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FEC6787"/>
    <w:multiLevelType w:val="hybridMultilevel"/>
    <w:tmpl w:val="EAC2B5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0731912"/>
    <w:multiLevelType w:val="hybridMultilevel"/>
    <w:tmpl w:val="8FA082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5137705A"/>
    <w:multiLevelType w:val="hybridMultilevel"/>
    <w:tmpl w:val="FC423B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59497E1B"/>
    <w:multiLevelType w:val="hybridMultilevel"/>
    <w:tmpl w:val="078264C2"/>
    <w:lvl w:ilvl="0" w:tplc="35E29394">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E3566A7"/>
    <w:multiLevelType w:val="hybridMultilevel"/>
    <w:tmpl w:val="CCAA4F9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FCF659D"/>
    <w:multiLevelType w:val="hybridMultilevel"/>
    <w:tmpl w:val="EB78E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616E716A"/>
    <w:multiLevelType w:val="hybridMultilevel"/>
    <w:tmpl w:val="68A61194"/>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E5C2157"/>
    <w:multiLevelType w:val="hybridMultilevel"/>
    <w:tmpl w:val="A2868B80"/>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282ABC"/>
    <w:multiLevelType w:val="hybridMultilevel"/>
    <w:tmpl w:val="6C4E5EB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68B1536"/>
    <w:multiLevelType w:val="hybridMultilevel"/>
    <w:tmpl w:val="EB78EB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15:restartNumberingAfterBreak="0">
    <w:nsid w:val="77500986"/>
    <w:multiLevelType w:val="hybridMultilevel"/>
    <w:tmpl w:val="2A185F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18"/>
  </w:num>
  <w:num w:numId="3">
    <w:abstractNumId w:val="4"/>
  </w:num>
  <w:num w:numId="4">
    <w:abstractNumId w:val="8"/>
  </w:num>
  <w:num w:numId="5">
    <w:abstractNumId w:val="9"/>
  </w:num>
  <w:num w:numId="6">
    <w:abstractNumId w:val="16"/>
  </w:num>
  <w:num w:numId="7">
    <w:abstractNumId w:val="25"/>
  </w:num>
  <w:num w:numId="8">
    <w:abstractNumId w:val="7"/>
  </w:num>
  <w:num w:numId="9">
    <w:abstractNumId w:val="3"/>
  </w:num>
  <w:num w:numId="10">
    <w:abstractNumId w:val="27"/>
  </w:num>
  <w:num w:numId="11">
    <w:abstractNumId w:val="13"/>
  </w:num>
  <w:num w:numId="12">
    <w:abstractNumId w:val="6"/>
  </w:num>
  <w:num w:numId="13">
    <w:abstractNumId w:val="17"/>
  </w:num>
  <w:num w:numId="14">
    <w:abstractNumId w:val="19"/>
  </w:num>
  <w:num w:numId="15">
    <w:abstractNumId w:val="23"/>
  </w:num>
  <w:num w:numId="16">
    <w:abstractNumId w:val="5"/>
  </w:num>
  <w:num w:numId="17">
    <w:abstractNumId w:val="0"/>
  </w:num>
  <w:num w:numId="18">
    <w:abstractNumId w:val="20"/>
  </w:num>
  <w:num w:numId="19">
    <w:abstractNumId w:val="30"/>
  </w:num>
  <w:num w:numId="20">
    <w:abstractNumId w:val="26"/>
  </w:num>
  <w:num w:numId="21">
    <w:abstractNumId w:val="11"/>
  </w:num>
  <w:num w:numId="22">
    <w:abstractNumId w:val="21"/>
  </w:num>
  <w:num w:numId="23">
    <w:abstractNumId w:val="24"/>
  </w:num>
  <w:num w:numId="24">
    <w:abstractNumId w:val="15"/>
  </w:num>
  <w:num w:numId="25">
    <w:abstractNumId w:val="1"/>
  </w:num>
  <w:num w:numId="26">
    <w:abstractNumId w:val="29"/>
  </w:num>
  <w:num w:numId="27">
    <w:abstractNumId w:val="10"/>
  </w:num>
  <w:num w:numId="28">
    <w:abstractNumId w:val="28"/>
  </w:num>
  <w:num w:numId="29">
    <w:abstractNumId w:val="31"/>
  </w:num>
  <w:num w:numId="30">
    <w:abstractNumId w:val="14"/>
  </w:num>
  <w:num w:numId="31">
    <w:abstractNumId w:val="2"/>
  </w:num>
  <w:num w:numId="3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20A4"/>
    <w:rsid w:val="00003BEF"/>
    <w:rsid w:val="00021575"/>
    <w:rsid w:val="00040748"/>
    <w:rsid w:val="00051692"/>
    <w:rsid w:val="00097508"/>
    <w:rsid w:val="000A18ED"/>
    <w:rsid w:val="000F1175"/>
    <w:rsid w:val="00104C62"/>
    <w:rsid w:val="00104CB0"/>
    <w:rsid w:val="00113CBF"/>
    <w:rsid w:val="00122AA2"/>
    <w:rsid w:val="001420A4"/>
    <w:rsid w:val="001624C7"/>
    <w:rsid w:val="00170D2E"/>
    <w:rsid w:val="00176A5E"/>
    <w:rsid w:val="001B4172"/>
    <w:rsid w:val="001B6881"/>
    <w:rsid w:val="001D56DC"/>
    <w:rsid w:val="001F64B4"/>
    <w:rsid w:val="00215352"/>
    <w:rsid w:val="00215E34"/>
    <w:rsid w:val="00224DC2"/>
    <w:rsid w:val="00245925"/>
    <w:rsid w:val="00263144"/>
    <w:rsid w:val="0027783F"/>
    <w:rsid w:val="00285F7C"/>
    <w:rsid w:val="00286458"/>
    <w:rsid w:val="00290A89"/>
    <w:rsid w:val="002B6D19"/>
    <w:rsid w:val="002C02FD"/>
    <w:rsid w:val="002C18B8"/>
    <w:rsid w:val="002C7C89"/>
    <w:rsid w:val="00350F8B"/>
    <w:rsid w:val="00356BAB"/>
    <w:rsid w:val="003771DF"/>
    <w:rsid w:val="003D3F07"/>
    <w:rsid w:val="003F28CF"/>
    <w:rsid w:val="003F4FA2"/>
    <w:rsid w:val="00401CBB"/>
    <w:rsid w:val="004126E6"/>
    <w:rsid w:val="00416514"/>
    <w:rsid w:val="004227D8"/>
    <w:rsid w:val="0044278C"/>
    <w:rsid w:val="0044768C"/>
    <w:rsid w:val="00451276"/>
    <w:rsid w:val="00476744"/>
    <w:rsid w:val="00497C28"/>
    <w:rsid w:val="004B24FF"/>
    <w:rsid w:val="004B6C15"/>
    <w:rsid w:val="004D42C7"/>
    <w:rsid w:val="004E293F"/>
    <w:rsid w:val="004F58FD"/>
    <w:rsid w:val="005006F0"/>
    <w:rsid w:val="00500F3D"/>
    <w:rsid w:val="00507A0B"/>
    <w:rsid w:val="00513AAA"/>
    <w:rsid w:val="005161A1"/>
    <w:rsid w:val="00557497"/>
    <w:rsid w:val="0056054B"/>
    <w:rsid w:val="005644E8"/>
    <w:rsid w:val="005777A7"/>
    <w:rsid w:val="005A4CFC"/>
    <w:rsid w:val="005B6D31"/>
    <w:rsid w:val="005D265E"/>
    <w:rsid w:val="00607BFE"/>
    <w:rsid w:val="00620ED4"/>
    <w:rsid w:val="006252C5"/>
    <w:rsid w:val="006523A6"/>
    <w:rsid w:val="00662CF6"/>
    <w:rsid w:val="00677DAB"/>
    <w:rsid w:val="006827EE"/>
    <w:rsid w:val="006E1E03"/>
    <w:rsid w:val="00733B58"/>
    <w:rsid w:val="007551A9"/>
    <w:rsid w:val="0077131B"/>
    <w:rsid w:val="00777472"/>
    <w:rsid w:val="00784618"/>
    <w:rsid w:val="007B65DB"/>
    <w:rsid w:val="007D36CF"/>
    <w:rsid w:val="007E1526"/>
    <w:rsid w:val="00803CDC"/>
    <w:rsid w:val="00811287"/>
    <w:rsid w:val="0083654F"/>
    <w:rsid w:val="00841382"/>
    <w:rsid w:val="0088019A"/>
    <w:rsid w:val="00887576"/>
    <w:rsid w:val="00896FD6"/>
    <w:rsid w:val="008A18A3"/>
    <w:rsid w:val="008A5400"/>
    <w:rsid w:val="008C4E2A"/>
    <w:rsid w:val="008D17C3"/>
    <w:rsid w:val="008F0822"/>
    <w:rsid w:val="009068FF"/>
    <w:rsid w:val="0091161D"/>
    <w:rsid w:val="0091619B"/>
    <w:rsid w:val="00921F4D"/>
    <w:rsid w:val="00922106"/>
    <w:rsid w:val="00936B64"/>
    <w:rsid w:val="00942258"/>
    <w:rsid w:val="009509D7"/>
    <w:rsid w:val="009566C8"/>
    <w:rsid w:val="009574E9"/>
    <w:rsid w:val="0096151B"/>
    <w:rsid w:val="00987ACE"/>
    <w:rsid w:val="009923BB"/>
    <w:rsid w:val="00992BC4"/>
    <w:rsid w:val="009962B8"/>
    <w:rsid w:val="009A12BF"/>
    <w:rsid w:val="009B7B44"/>
    <w:rsid w:val="009E1169"/>
    <w:rsid w:val="00A03211"/>
    <w:rsid w:val="00A07EC9"/>
    <w:rsid w:val="00A124BC"/>
    <w:rsid w:val="00A13454"/>
    <w:rsid w:val="00A24C39"/>
    <w:rsid w:val="00A3731A"/>
    <w:rsid w:val="00A512A0"/>
    <w:rsid w:val="00A57F0C"/>
    <w:rsid w:val="00A7045E"/>
    <w:rsid w:val="00A7618E"/>
    <w:rsid w:val="00A82299"/>
    <w:rsid w:val="00A8358C"/>
    <w:rsid w:val="00A93866"/>
    <w:rsid w:val="00AB61BF"/>
    <w:rsid w:val="00AB6BA8"/>
    <w:rsid w:val="00AD4EF5"/>
    <w:rsid w:val="00AE2E13"/>
    <w:rsid w:val="00B1144E"/>
    <w:rsid w:val="00B24BE9"/>
    <w:rsid w:val="00B44E0B"/>
    <w:rsid w:val="00B45F34"/>
    <w:rsid w:val="00B46737"/>
    <w:rsid w:val="00B57B4F"/>
    <w:rsid w:val="00B60ADF"/>
    <w:rsid w:val="00B72215"/>
    <w:rsid w:val="00B909F8"/>
    <w:rsid w:val="00BA618C"/>
    <w:rsid w:val="00BC4DFB"/>
    <w:rsid w:val="00BD450F"/>
    <w:rsid w:val="00BD6298"/>
    <w:rsid w:val="00C2482E"/>
    <w:rsid w:val="00C31483"/>
    <w:rsid w:val="00C55818"/>
    <w:rsid w:val="00C62DF8"/>
    <w:rsid w:val="00C646A7"/>
    <w:rsid w:val="00C75B05"/>
    <w:rsid w:val="00C80124"/>
    <w:rsid w:val="00C855E3"/>
    <w:rsid w:val="00CA5B4E"/>
    <w:rsid w:val="00CD1EB4"/>
    <w:rsid w:val="00CE2423"/>
    <w:rsid w:val="00D11F75"/>
    <w:rsid w:val="00D1728B"/>
    <w:rsid w:val="00D26368"/>
    <w:rsid w:val="00D26A90"/>
    <w:rsid w:val="00D27246"/>
    <w:rsid w:val="00D75BAF"/>
    <w:rsid w:val="00D90002"/>
    <w:rsid w:val="00D97A7D"/>
    <w:rsid w:val="00D97C64"/>
    <w:rsid w:val="00DA4176"/>
    <w:rsid w:val="00DB65A1"/>
    <w:rsid w:val="00DD75BA"/>
    <w:rsid w:val="00DE632C"/>
    <w:rsid w:val="00E06444"/>
    <w:rsid w:val="00E07FCE"/>
    <w:rsid w:val="00E14C3F"/>
    <w:rsid w:val="00E21B6C"/>
    <w:rsid w:val="00E751E3"/>
    <w:rsid w:val="00E75413"/>
    <w:rsid w:val="00E76E11"/>
    <w:rsid w:val="00EE1F71"/>
    <w:rsid w:val="00EF6A9C"/>
    <w:rsid w:val="00F01843"/>
    <w:rsid w:val="00F11C9E"/>
    <w:rsid w:val="00F14C17"/>
    <w:rsid w:val="00F243CF"/>
    <w:rsid w:val="00F413F9"/>
    <w:rsid w:val="00F51C5E"/>
    <w:rsid w:val="00F53338"/>
    <w:rsid w:val="00F6023B"/>
    <w:rsid w:val="00F60697"/>
    <w:rsid w:val="00F7411E"/>
    <w:rsid w:val="00FA15F6"/>
    <w:rsid w:val="00FC47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1741AD"/>
  <w15:docId w15:val="{D089453D-B868-445E-B45B-2D37F7ECF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420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51A9"/>
    <w:pPr>
      <w:ind w:left="720"/>
      <w:contextualSpacing/>
    </w:pPr>
  </w:style>
  <w:style w:type="character" w:styleId="Hyperlink">
    <w:name w:val="Hyperlink"/>
    <w:basedOn w:val="DefaultParagraphFont"/>
    <w:uiPriority w:val="99"/>
    <w:unhideWhenUsed/>
    <w:rsid w:val="00607BFE"/>
    <w:rPr>
      <w:color w:val="0563C1" w:themeColor="hyperlink"/>
      <w:u w:val="single"/>
    </w:rPr>
  </w:style>
  <w:style w:type="character" w:styleId="FollowedHyperlink">
    <w:name w:val="FollowedHyperlink"/>
    <w:basedOn w:val="DefaultParagraphFont"/>
    <w:uiPriority w:val="99"/>
    <w:semiHidden/>
    <w:unhideWhenUsed/>
    <w:rsid w:val="00B60ADF"/>
    <w:rPr>
      <w:color w:val="954F72" w:themeColor="followedHyperlink"/>
      <w:u w:val="single"/>
    </w:rPr>
  </w:style>
  <w:style w:type="paragraph" w:styleId="Header">
    <w:name w:val="header"/>
    <w:basedOn w:val="Normal"/>
    <w:link w:val="HeaderChar"/>
    <w:uiPriority w:val="99"/>
    <w:unhideWhenUsed/>
    <w:rsid w:val="00A24C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24C39"/>
  </w:style>
  <w:style w:type="paragraph" w:styleId="Footer">
    <w:name w:val="footer"/>
    <w:basedOn w:val="Normal"/>
    <w:link w:val="FooterChar"/>
    <w:uiPriority w:val="99"/>
    <w:unhideWhenUsed/>
    <w:rsid w:val="00A24C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24C39"/>
  </w:style>
  <w:style w:type="character" w:styleId="CommentReference">
    <w:name w:val="annotation reference"/>
    <w:basedOn w:val="DefaultParagraphFont"/>
    <w:uiPriority w:val="99"/>
    <w:semiHidden/>
    <w:unhideWhenUsed/>
    <w:rsid w:val="00F243CF"/>
    <w:rPr>
      <w:sz w:val="16"/>
      <w:szCs w:val="16"/>
    </w:rPr>
  </w:style>
  <w:style w:type="paragraph" w:styleId="CommentText">
    <w:name w:val="annotation text"/>
    <w:basedOn w:val="Normal"/>
    <w:link w:val="CommentTextChar"/>
    <w:uiPriority w:val="99"/>
    <w:semiHidden/>
    <w:unhideWhenUsed/>
    <w:rsid w:val="00F243CF"/>
    <w:pPr>
      <w:spacing w:line="240" w:lineRule="auto"/>
    </w:pPr>
    <w:rPr>
      <w:sz w:val="20"/>
      <w:szCs w:val="20"/>
    </w:rPr>
  </w:style>
  <w:style w:type="character" w:customStyle="1" w:styleId="CommentTextChar">
    <w:name w:val="Comment Text Char"/>
    <w:basedOn w:val="DefaultParagraphFont"/>
    <w:link w:val="CommentText"/>
    <w:uiPriority w:val="99"/>
    <w:semiHidden/>
    <w:rsid w:val="00F243CF"/>
    <w:rPr>
      <w:sz w:val="20"/>
      <w:szCs w:val="20"/>
    </w:rPr>
  </w:style>
  <w:style w:type="paragraph" w:styleId="CommentSubject">
    <w:name w:val="annotation subject"/>
    <w:basedOn w:val="CommentText"/>
    <w:next w:val="CommentText"/>
    <w:link w:val="CommentSubjectChar"/>
    <w:uiPriority w:val="99"/>
    <w:semiHidden/>
    <w:unhideWhenUsed/>
    <w:rsid w:val="00F243CF"/>
    <w:rPr>
      <w:b/>
      <w:bCs/>
    </w:rPr>
  </w:style>
  <w:style w:type="character" w:customStyle="1" w:styleId="CommentSubjectChar">
    <w:name w:val="Comment Subject Char"/>
    <w:basedOn w:val="CommentTextChar"/>
    <w:link w:val="CommentSubject"/>
    <w:uiPriority w:val="99"/>
    <w:semiHidden/>
    <w:rsid w:val="00F243CF"/>
    <w:rPr>
      <w:b/>
      <w:bCs/>
      <w:sz w:val="20"/>
      <w:szCs w:val="20"/>
    </w:rPr>
  </w:style>
  <w:style w:type="paragraph" w:styleId="BalloonText">
    <w:name w:val="Balloon Text"/>
    <w:basedOn w:val="Normal"/>
    <w:link w:val="BalloonTextChar"/>
    <w:uiPriority w:val="99"/>
    <w:semiHidden/>
    <w:unhideWhenUsed/>
    <w:rsid w:val="00F243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3CF"/>
    <w:rPr>
      <w:rFonts w:ascii="Tahoma" w:hAnsi="Tahoma" w:cs="Tahoma"/>
      <w:sz w:val="16"/>
      <w:szCs w:val="16"/>
    </w:rPr>
  </w:style>
  <w:style w:type="paragraph" w:customStyle="1" w:styleId="LIstLevel2">
    <w:name w:val="LIst Level 2"/>
    <w:basedOn w:val="ListParagraph"/>
    <w:qFormat/>
    <w:rsid w:val="004E293F"/>
    <w:pPr>
      <w:spacing w:after="120" w:line="240" w:lineRule="atLeast"/>
      <w:ind w:left="1208" w:hanging="357"/>
    </w:pPr>
    <w:rPr>
      <w:rFonts w:ascii="Arial" w:eastAsiaTheme="minorEastAsia" w:hAnsi="Arial" w:cs="Arial"/>
      <w:sz w:val="18"/>
      <w:szCs w:val="18"/>
      <w:lang w:val="en-US"/>
    </w:rPr>
  </w:style>
  <w:style w:type="paragraph" w:customStyle="1" w:styleId="ESBodyText">
    <w:name w:val="ES_Body Text"/>
    <w:basedOn w:val="Normal"/>
    <w:qFormat/>
    <w:rsid w:val="00416514"/>
    <w:pPr>
      <w:spacing w:after="120" w:line="240" w:lineRule="atLeast"/>
    </w:pPr>
    <w:rPr>
      <w:rFonts w:ascii="Arial" w:eastAsiaTheme="minorEastAsia" w:hAnsi="Arial" w:cs="Arial"/>
      <w:sz w:val="18"/>
      <w:szCs w:val="18"/>
      <w:lang w:val="en-US"/>
    </w:rPr>
  </w:style>
  <w:style w:type="paragraph" w:customStyle="1" w:styleId="ESBulletsinTable">
    <w:name w:val="ES_Bullets in Table"/>
    <w:basedOn w:val="ListParagraph"/>
    <w:qFormat/>
    <w:rsid w:val="00416514"/>
    <w:pPr>
      <w:numPr>
        <w:numId w:val="25"/>
      </w:numPr>
      <w:spacing w:after="80" w:line="240" w:lineRule="auto"/>
      <w:contextualSpacing w:val="0"/>
    </w:pPr>
    <w:rPr>
      <w:rFonts w:ascii="Arial" w:eastAsia="Arial" w:hAnsi="Arial" w:cs="Times New Roman"/>
      <w:color w:val="000000" w:themeColor="text1"/>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hyperlink" Target="https://edugate.eduweb.vic.gov.au/edrms/keyprocess/stfg/Pages/default.aspx" TargetMode="External"/><Relationship Id="rId2" Type="http://schemas.openxmlformats.org/officeDocument/2006/relationships/customXml" Target="../customXml/item2.xml"/><Relationship Id="rId16" Type="http://schemas.openxmlformats.org/officeDocument/2006/relationships/image" Target="media/image4.png"/><Relationship Id="rId20" Type="http://schemas.openxmlformats.org/officeDocument/2006/relationships/hyperlink" Target="https://edugate.eduweb.vic.gov.au/edrms/keyprocess/stfg/Pages/default.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edugate.eduweb.vic.gov.au/edrms/keyprocess/stfg/Schools%20Targeted%20Funding%20Pilot%20documents/STFGM-Schools_reimbursement_checklist.pdf" TargetMode="Externa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https://edugate.eduweb.vic.gov.au/edrms/keyprocess/stfg/Communications%20docs/Prin%20and%20BM%20-%20STFGM%20-%20one%20pager.pdf"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84571637-c7f9-44a1-95b1-d459eb7afb4e">
      <Terms xmlns="http://schemas.microsoft.com/office/infopath/2007/PartnerControls">
        <TermInfo xmlns="http://schemas.microsoft.com/office/infopath/2007/PartnerControls">
          <TermName xmlns="http://schemas.microsoft.com/office/infopath/2007/PartnerControls">Principals</TermName>
          <TermId xmlns="http://schemas.microsoft.com/office/infopath/2007/PartnerControls">a4f56333-bce8-49bd-95df-bc27ddd10ec3</TermId>
        </TermInfo>
      </Terms>
    </b1688cb4a3a940449dc8286705012a42>
    <pfad5814e62747ed9f131defefc62dac xmlns="84571637-c7f9-44a1-95b1-d459eb7afb4e">
      <Terms xmlns="http://schemas.microsoft.com/office/infopath/2007/PartnerControls"/>
    </pfad5814e62747ed9f131defefc62dac>
    <ofbb8b9a280a423a91cf717fb81349cd xmlns="84571637-c7f9-44a1-95b1-d459eb7afb4e">
      <Terms xmlns="http://schemas.microsoft.com/office/infopath/2007/PartnerControls">
        <TermInfo xmlns="http://schemas.microsoft.com/office/infopath/2007/PartnerControls">
          <TermName xmlns="http://schemas.microsoft.com/office/infopath/2007/PartnerControls">HRWeb</TermName>
          <TermId xmlns="http://schemas.microsoft.com/office/infopath/2007/PartnerControls">4e014723-a4da-42a2-b679-c90ea77e3371</TermId>
        </TermInfo>
      </Terms>
    </ofbb8b9a280a423a91cf717fb81349cd>
    <DEECD_Publisher xmlns="http://schemas.microsoft.com/sharepoint/v3">Department of Education and Training</DEECD_Publisher>
    <TaxCatchAll xmlns="cb9114c1-daad-44dd-acad-30f4246641f2">
      <Value>118</Value>
      <Value>115</Value>
      <Value>120</Value>
    </TaxCatchAll>
    <DEECD_Expired xmlns="http://schemas.microsoft.com/sharepoint/v3">false</DEECD_Expired>
    <DEECD_Keywords xmlns="http://schemas.microsoft.com/sharepoint/v3">FAQs-Safe Use of Machinery for Technology Teaching Support Program </DEECD_Keywords>
    <PublishingExpirationDate xmlns="http://schemas.microsoft.com/sharepoint/v3" xsi:nil="true"/>
    <a319977fc8504e09982f090ae1d7c602 xmlns="84571637-c7f9-44a1-95b1-d459eb7afb4e">
      <Terms xmlns="http://schemas.microsoft.com/office/infopath/2007/PartnerControls">
        <TermInfo xmlns="http://schemas.microsoft.com/office/infopath/2007/PartnerControls">
          <TermName xmlns="http://schemas.microsoft.com/office/infopath/2007/PartnerControls">Document</TermName>
          <TermId xmlns="http://schemas.microsoft.com/office/infopath/2007/PartnerControls">82a2edb4-a4c4-40b1-b05a-5fe52d42e4c4</TermId>
        </TermInfo>
      </Terms>
    </a319977fc8504e09982f090ae1d7c602>
    <DEECD_Description xmlns="http://schemas.microsoft.com/sharepoint/v3">FAQs-Safe Use of Machinery for Technology Teaching Support Program </DEECD_Description>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B55670BA5C76BC428088DD3B316F98C8" ma:contentTypeVersion="7" ma:contentTypeDescription="WebCM Documents Content Type" ma:contentTypeScope="" ma:versionID="5ab24a996b5b55d0584b71079018adac">
  <xsd:schema xmlns:xsd="http://www.w3.org/2001/XMLSchema" xmlns:xs="http://www.w3.org/2001/XMLSchema" xmlns:p="http://schemas.microsoft.com/office/2006/metadata/properties" xmlns:ns1="http://schemas.microsoft.com/sharepoint/v3" xmlns:ns2="cb9114c1-daad-44dd-acad-30f4246641f2" xmlns:ns3="84571637-c7f9-44a1-95b1-d459eb7afb4e" targetNamespace="http://schemas.microsoft.com/office/2006/metadata/properties" ma:root="true" ma:fieldsID="290aad9d60ffb97cef88a938135e7cb8" ns1:_="" ns2:_="" ns3:_="">
    <xsd:import namespace="http://schemas.microsoft.com/sharepoint/v3"/>
    <xsd:import namespace="cb9114c1-daad-44dd-acad-30f4246641f2"/>
    <xsd:import namespace="84571637-c7f9-44a1-95b1-d459eb7afb4e"/>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1:PublishingStartDate" minOccurs="0"/>
                <xsd:element ref="ns1:PublishingExpirationDate" minOccurs="0"/>
                <xsd:element ref="ns2:TaxCatchAll" minOccurs="0"/>
                <xsd:element ref="ns3:a319977fc8504e09982f090ae1d7c602" minOccurs="0"/>
                <xsd:element ref="ns3:ofbb8b9a280a423a91cf717fb81349cd" minOccurs="0"/>
                <xsd:element ref="ns3:b1688cb4a3a940449dc8286705012a42" minOccurs="0"/>
                <xsd:element ref="ns3:pfad5814e62747ed9f131defefc62da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early Childhood Development" ma:internalName="DEECD_Publisher">
      <xsd:simpleType>
        <xsd:restriction base="dms:Text"/>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StartDate" ma:index="9"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descriptio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4571637-c7f9-44a1-95b1-d459eb7afb4e" elementFormDefault="qualified">
    <xsd:import namespace="http://schemas.microsoft.com/office/2006/documentManagement/types"/>
    <xsd:import namespace="http://schemas.microsoft.com/office/infopath/2007/PartnerControls"/>
    <xsd:element name="a319977fc8504e09982f090ae1d7c602" ma:index="19" nillable="true" ma:taxonomy="true" ma:internalName="a319977fc8504e09982f090ae1d7c602" ma:taxonomyFieldName="DEECD_ItemType" ma:displayName="Item Type" ma:default="-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default="-1;#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pfad5814e62747ed9f131defefc62dac" ma:index="22" nillable="true" ma:taxonomy="true" ma:internalName="pfad5814e62747ed9f131defefc62dac" ma:taxonomyFieldName="DEECD_SubjectCategory" ma:displayName="Subject Category" ma:readOnly="false" ma:default=""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F9B3B3-9949-40F5-8259-78DCAA3E053C}">
  <ds:schemaRefs>
    <ds:schemaRef ds:uri="http://schemas.microsoft.com/office/2006/documentManagement/types"/>
    <ds:schemaRef ds:uri="http://www.w3.org/XML/1998/namespace"/>
    <ds:schemaRef ds:uri="http://purl.org/dc/elements/1.1/"/>
    <ds:schemaRef ds:uri="c10f4a48-0b78-43ad-8a22-6707c806cbc3"/>
    <ds:schemaRef ds:uri="http://schemas.openxmlformats.org/package/2006/metadata/core-properties"/>
    <ds:schemaRef ds:uri="http://schemas.microsoft.com/office/infopath/2007/PartnerControls"/>
    <ds:schemaRef ds:uri="http://schemas.microsoft.com/office/2006/metadata/properties"/>
    <ds:schemaRef ds:uri="http://purl.org/dc/dcmitype/"/>
    <ds:schemaRef ds:uri="http://purl.org/dc/terms/"/>
  </ds:schemaRefs>
</ds:datastoreItem>
</file>

<file path=customXml/itemProps2.xml><?xml version="1.0" encoding="utf-8"?>
<ds:datastoreItem xmlns:ds="http://schemas.openxmlformats.org/officeDocument/2006/customXml" ds:itemID="{AA1BA615-FC6D-484C-B19B-4E8BAC1D39D6}">
  <ds:schemaRefs>
    <ds:schemaRef ds:uri="http://schemas.microsoft.com/sharepoint/v3/contenttype/forms"/>
  </ds:schemaRefs>
</ds:datastoreItem>
</file>

<file path=customXml/itemProps3.xml><?xml version="1.0" encoding="utf-8"?>
<ds:datastoreItem xmlns:ds="http://schemas.openxmlformats.org/officeDocument/2006/customXml" ds:itemID="{65D828EC-0375-4115-BB29-D94E75C01946}"/>
</file>

<file path=docProps/app.xml><?xml version="1.0" encoding="utf-8"?>
<Properties xmlns="http://schemas.openxmlformats.org/officeDocument/2006/extended-properties" xmlns:vt="http://schemas.openxmlformats.org/officeDocument/2006/docPropsVTypes">
  <Template>Normal.dotm</Template>
  <TotalTime>18</TotalTime>
  <Pages>7</Pages>
  <Words>1011</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Safe Use of Machinery-Communications-2020</dc:subject>
  <dc:creator>Villamarzo, Angel A</dc:creator>
  <cp:lastModifiedBy>Algefski, Grace G</cp:lastModifiedBy>
  <cp:revision>22</cp:revision>
  <cp:lastPrinted>2020-03-18T02:48:00Z</cp:lastPrinted>
  <dcterms:created xsi:type="dcterms:W3CDTF">2020-05-10T23:39:00Z</dcterms:created>
  <dcterms:modified xsi:type="dcterms:W3CDTF">2020-05-10T23:53:00Z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0x0101008840106FE30D4F50BC61A726A7CA6E3800B55670BA5C76BC428088DD3B316F98C8</vt:lpwstr>
  </property>
  <property fmtid="{D5CDD505-2E9C-101B-9397-08002B2CF9AE}" pid="3" name="DET_EDRMS_RCS">
    <vt:lpwstr>579;#11.9.2 OH＆S Programs|04f75e5a-fcfc-4f35-b41f-1b90fa1a8047</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{0c2002ce-81a6-41de-8c37-7d5b0181d224}</vt:lpwstr>
  </property>
  <property fmtid="{D5CDD505-2E9C-101B-9397-08002B2CF9AE}" pid="8" name="RecordPoint_ActiveItemUniqueId">
    <vt:lpwstr>{ab078f08-f457-4829-920a-3d8252c997f4}</vt:lpwstr>
  </property>
  <property fmtid="{D5CDD505-2E9C-101B-9397-08002B2CF9AE}" pid="9" name="RecordPoint_ActiveItemWebId">
    <vt:lpwstr>{41f2e79e-232f-49ed-9c88-dc2d7417565a}</vt:lpwstr>
  </property>
  <property fmtid="{D5CDD505-2E9C-101B-9397-08002B2CF9AE}" pid="10" name="RecordPoint_ActiveItemSiteId">
    <vt:lpwstr>{03dc8113-b288-4f44-a289-6e7ea0196235}</vt:lpwstr>
  </property>
  <property fmtid="{D5CDD505-2E9C-101B-9397-08002B2CF9AE}" pid="11" name="RecordPoint_SubmissionDate">
    <vt:lpwstr/>
  </property>
  <property fmtid="{D5CDD505-2E9C-101B-9397-08002B2CF9AE}" pid="12" name="RecordPoint_RecordNumberSubmitted">
    <vt:lpwstr/>
  </property>
  <property fmtid="{D5CDD505-2E9C-101B-9397-08002B2CF9AE}" pid="13" name="RecordPoint_ActiveItemMoved">
    <vt:lpwstr/>
  </property>
  <property fmtid="{D5CDD505-2E9C-101B-9397-08002B2CF9AE}" pid="14" name="RecordPoint_RecordFormat">
    <vt:lpwstr/>
  </property>
  <property fmtid="{D5CDD505-2E9C-101B-9397-08002B2CF9AE}" pid="15" name="RecordPoint_SubmissionCompleted">
    <vt:lpwstr/>
  </property>
  <property fmtid="{D5CDD505-2E9C-101B-9397-08002B2CF9AE}" pid="16" name="DEECD_Author">
    <vt:lpwstr>120;#HRWeb|4e014723-a4da-42a2-b679-c90ea77e3371</vt:lpwstr>
  </property>
  <property fmtid="{D5CDD505-2E9C-101B-9397-08002B2CF9AE}" pid="17" name="DEECD_ItemType">
    <vt:lpwstr>115;#Document|82a2edb4-a4c4-40b1-b05a-5fe52d42e4c4</vt:lpwstr>
  </property>
  <property fmtid="{D5CDD505-2E9C-101B-9397-08002B2CF9AE}" pid="18" name="DEECD_SubjectCategory">
    <vt:lpwstr/>
  </property>
  <property fmtid="{D5CDD505-2E9C-101B-9397-08002B2CF9AE}" pid="19" name="DEECD_Audience">
    <vt:lpwstr>118;#Principals|a4f56333-bce8-49bd-95df-bc27ddd10ec3</vt:lpwstr>
  </property>
</Properties>
</file>