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2591" w14:textId="1F9498A9" w:rsidR="00716E4B" w:rsidRPr="00716E4B" w:rsidRDefault="00716E4B" w:rsidP="00716E4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  <w:bookmarkStart w:id="0" w:name="_Hlk49944843"/>
      <w:bookmarkStart w:id="1" w:name="_Hlk43807468"/>
      <w:bookmarkStart w:id="2" w:name="_Hlk94007425"/>
      <w:r w:rsidRPr="00716E4B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>Workers’ compensation and return-to-work coordinator training</w:t>
      </w:r>
      <w:r w:rsidR="003C55CF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 xml:space="preserve"> in </w:t>
      </w:r>
      <w:r w:rsidR="00755CCD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 xml:space="preserve">Term </w:t>
      </w:r>
      <w:r w:rsidR="003A76B0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>4</w:t>
      </w:r>
      <w:r w:rsidR="00755CCD"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  <w:t>, 2023</w:t>
      </w:r>
    </w:p>
    <w:p w14:paraId="06B30FC9" w14:textId="5FE9924D" w:rsidR="00716E4B" w:rsidRPr="00716E4B" w:rsidRDefault="00716E4B" w:rsidP="00716E4B">
      <w:pPr>
        <w:rPr>
          <w:rFonts w:eastAsiaTheme="minorEastAsia"/>
          <w:color w:val="5A5A5A" w:themeColor="text1" w:themeTint="A5"/>
          <w:spacing w:val="15"/>
          <w:kern w:val="0"/>
          <w14:ligatures w14:val="none"/>
        </w:rPr>
      </w:pPr>
      <w:r w:rsidRPr="00716E4B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 xml:space="preserve">Register for free online training in </w:t>
      </w:r>
      <w:r w:rsidR="003A76B0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 xml:space="preserve">October </w:t>
      </w:r>
      <w:r w:rsidR="009B77A1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 xml:space="preserve">to </w:t>
      </w:r>
      <w:r w:rsidR="003A76B0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 xml:space="preserve">December </w:t>
      </w:r>
      <w:r w:rsidRPr="00716E4B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 xml:space="preserve">2023 to better understand your school’s worker’s compensation obligations and help injured workers return to </w:t>
      </w:r>
      <w:proofErr w:type="gramStart"/>
      <w:r w:rsidRPr="00716E4B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>work</w:t>
      </w:r>
      <w:proofErr w:type="gramEnd"/>
      <w:r w:rsidRPr="00716E4B">
        <w:rPr>
          <w:rFonts w:eastAsiaTheme="minorEastAsia"/>
          <w:color w:val="5A5A5A" w:themeColor="text1" w:themeTint="A5"/>
          <w:spacing w:val="15"/>
          <w:kern w:val="0"/>
          <w14:ligatures w14:val="none"/>
        </w:rPr>
        <w:t xml:space="preserve"> </w:t>
      </w:r>
    </w:p>
    <w:p w14:paraId="1E7138E9" w14:textId="4414BA9D" w:rsidR="00716E4B" w:rsidRPr="00716E4B" w:rsidRDefault="00716E4B" w:rsidP="00716E4B">
      <w:pPr>
        <w:spacing w:after="120" w:line="240" w:lineRule="atLeast"/>
        <w:rPr>
          <w:rFonts w:ascii="Calibri" w:eastAsiaTheme="minorEastAsia" w:hAnsi="Calibri" w:cs="Calibri"/>
          <w:kern w:val="0"/>
          <w14:ligatures w14:val="none"/>
        </w:rPr>
      </w:pPr>
      <w:r w:rsidRPr="00716E4B">
        <w:rPr>
          <w:rFonts w:ascii="Calibri" w:eastAsiaTheme="minorEastAsia" w:hAnsi="Calibri" w:cs="Calibri"/>
          <w:kern w:val="0"/>
          <w14:ligatures w14:val="none"/>
        </w:rPr>
        <w:t xml:space="preserve">Workers’ compensation online training sessions are available during Term </w:t>
      </w:r>
      <w:r w:rsidR="003A76B0">
        <w:rPr>
          <w:rFonts w:ascii="Calibri" w:eastAsiaTheme="minorEastAsia" w:hAnsi="Calibri" w:cs="Calibri"/>
          <w:kern w:val="0"/>
          <w14:ligatures w14:val="none"/>
        </w:rPr>
        <w:t>4</w:t>
      </w:r>
      <w:r w:rsidRPr="00716E4B">
        <w:rPr>
          <w:rFonts w:ascii="Calibri" w:eastAsiaTheme="minorEastAsia" w:hAnsi="Calibri" w:cs="Calibri"/>
          <w:kern w:val="0"/>
          <w14:ligatures w14:val="none"/>
        </w:rPr>
        <w:t xml:space="preserve">, 2023. </w:t>
      </w:r>
    </w:p>
    <w:p w14:paraId="78A10088" w14:textId="77777777" w:rsidR="00716E4B" w:rsidRPr="00716E4B" w:rsidRDefault="00716E4B" w:rsidP="00716E4B">
      <w:pPr>
        <w:spacing w:after="120" w:line="240" w:lineRule="atLeast"/>
        <w:rPr>
          <w:rFonts w:ascii="Calibri" w:eastAsiaTheme="minorEastAsia" w:hAnsi="Calibri" w:cs="Calibri"/>
          <w:kern w:val="0"/>
          <w14:ligatures w14:val="none"/>
        </w:rPr>
      </w:pPr>
      <w:r w:rsidRPr="00716E4B">
        <w:rPr>
          <w:rFonts w:ascii="Calibri" w:eastAsiaTheme="minorEastAsia" w:hAnsi="Calibri" w:cs="Calibri"/>
          <w:kern w:val="0"/>
          <w14:ligatures w14:val="none"/>
        </w:rPr>
        <w:t xml:space="preserve">This free </w:t>
      </w:r>
      <w:hyperlink r:id="rId7" w:history="1">
        <w:r w:rsidRPr="00716E4B">
          <w:rPr>
            <w:rFonts w:ascii="Calibri" w:eastAsiaTheme="minorEastAsia" w:hAnsi="Calibri" w:cs="Calibri"/>
            <w:color w:val="0563C1" w:themeColor="hyperlink"/>
            <w:kern w:val="0"/>
            <w:u w:val="single"/>
            <w14:ligatures w14:val="none"/>
          </w:rPr>
          <w:t>train</w:t>
        </w:r>
        <w:r w:rsidRPr="00716E4B">
          <w:rPr>
            <w:rFonts w:ascii="Calibri" w:eastAsiaTheme="minorEastAsia" w:hAnsi="Calibri" w:cs="Calibri"/>
            <w:color w:val="0563C1" w:themeColor="hyperlink"/>
            <w:kern w:val="0"/>
            <w:u w:val="single"/>
            <w14:ligatures w14:val="none"/>
          </w:rPr>
          <w:t>i</w:t>
        </w:r>
        <w:r w:rsidRPr="00716E4B">
          <w:rPr>
            <w:rFonts w:ascii="Calibri" w:eastAsiaTheme="minorEastAsia" w:hAnsi="Calibri" w:cs="Calibri"/>
            <w:color w:val="0563C1" w:themeColor="hyperlink"/>
            <w:kern w:val="0"/>
            <w:u w:val="single"/>
            <w14:ligatures w14:val="none"/>
          </w:rPr>
          <w:t>ng</w:t>
        </w:r>
      </w:hyperlink>
      <w:r w:rsidRPr="00716E4B">
        <w:rPr>
          <w:rFonts w:ascii="Calibri" w:eastAsiaTheme="minorEastAsia" w:hAnsi="Calibri" w:cs="Calibri"/>
          <w:kern w:val="0"/>
          <w14:ligatures w14:val="none"/>
        </w:rPr>
        <w:t xml:space="preserve"> will help your school to meet its return-to-work obligations. It will also support workers to remain at work or help them return to work as soon and as safely as possible following an injury. </w:t>
      </w:r>
    </w:p>
    <w:p w14:paraId="539E62F5" w14:textId="3CFEEC80" w:rsidR="00716E4B" w:rsidRPr="00716E4B" w:rsidRDefault="00716E4B" w:rsidP="00716E4B">
      <w:pPr>
        <w:spacing w:after="120" w:line="240" w:lineRule="atLeast"/>
        <w:rPr>
          <w:rFonts w:ascii="Calibri" w:eastAsiaTheme="minorEastAsia" w:hAnsi="Calibri" w:cs="Calibri"/>
          <w:kern w:val="0"/>
          <w14:ligatures w14:val="none"/>
        </w:rPr>
      </w:pPr>
      <w:r w:rsidRPr="00716E4B">
        <w:rPr>
          <w:rFonts w:ascii="Calibri" w:eastAsiaTheme="minorEastAsia" w:hAnsi="Calibri" w:cs="Calibri"/>
          <w:kern w:val="0"/>
          <w14:ligatures w14:val="none"/>
        </w:rPr>
        <w:t>Different training sessions are offered based on your school’s needs. Please see below and share this information with your return-to-work coordinators and staff responsible for workers’ compensation claims</w:t>
      </w:r>
      <w:r w:rsidR="00755CCD">
        <w:rPr>
          <w:rFonts w:ascii="Calibri" w:eastAsiaTheme="minorEastAsia" w:hAnsi="Calibri" w:cs="Calibri"/>
          <w:kern w:val="0"/>
          <w14:ligatures w14:val="none"/>
        </w:rPr>
        <w:t xml:space="preserve"> management</w:t>
      </w:r>
      <w:r w:rsidRPr="00716E4B">
        <w:rPr>
          <w:rFonts w:ascii="Calibri" w:eastAsiaTheme="minorEastAsia" w:hAnsi="Calibri" w:cs="Calibri"/>
          <w:kern w:val="0"/>
          <w14:ligatures w14:val="none"/>
        </w:rPr>
        <w:t>.</w:t>
      </w:r>
    </w:p>
    <w:p w14:paraId="7E472D16" w14:textId="502D4139" w:rsidR="00716E4B" w:rsidRPr="00716E4B" w:rsidRDefault="00716E4B" w:rsidP="00716E4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</w:pPr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 xml:space="preserve">Workers’ compensation </w:t>
      </w:r>
      <w:r w:rsidR="00AF1F0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 xml:space="preserve">One Day </w:t>
      </w:r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 xml:space="preserve">training </w:t>
      </w:r>
    </w:p>
    <w:p w14:paraId="0B99AE44" w14:textId="77777777" w:rsidR="00716E4B" w:rsidRPr="00716E4B" w:rsidRDefault="00716E4B" w:rsidP="00716E4B">
      <w:pPr>
        <w:spacing w:after="100" w:afterAutospacing="1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 xml:space="preserve">This one-day training updates staff on regulatory and process changes and provides department-specific material to help with supporting injured staff to return to work safely.  </w:t>
      </w:r>
    </w:p>
    <w:p w14:paraId="21BF1131" w14:textId="77777777" w:rsidR="00716E4B" w:rsidRPr="00716E4B" w:rsidRDefault="00716E4B" w:rsidP="00716E4B">
      <w:pPr>
        <w:spacing w:after="120" w:line="240" w:lineRule="atLeast"/>
        <w:rPr>
          <w:rFonts w:eastAsia="Calibri" w:cstheme="minorHAnsi"/>
          <w:kern w:val="0"/>
          <w14:ligatures w14:val="none"/>
        </w:rPr>
      </w:pPr>
      <w:r w:rsidRPr="00716E4B">
        <w:rPr>
          <w:rFonts w:eastAsia="Calibri" w:cstheme="minorHAnsi"/>
          <w:kern w:val="0"/>
          <w14:ligatures w14:val="none"/>
        </w:rPr>
        <w:t xml:space="preserve">Completing this course addresses the return-to-work coordinator competency requirement in occupational health and safety (OHS) audits.  </w:t>
      </w:r>
    </w:p>
    <w:p w14:paraId="3A0337E7" w14:textId="7DED025A" w:rsidR="00716E4B" w:rsidRPr="00716E4B" w:rsidRDefault="00716E4B" w:rsidP="00716E4B">
      <w:pPr>
        <w:spacing w:after="120" w:line="240" w:lineRule="atLeast"/>
        <w:rPr>
          <w:rFonts w:eastAsiaTheme="minorEastAsia" w:cstheme="minorHAnsi"/>
          <w:kern w:val="0"/>
          <w14:ligatures w14:val="none"/>
        </w:rPr>
      </w:pPr>
      <w:bookmarkStart w:id="3" w:name="_Hlk132726513"/>
      <w:r w:rsidRPr="00716E4B">
        <w:rPr>
          <w:rFonts w:eastAsia="Calibri" w:cstheme="minorHAnsi"/>
          <w:kern w:val="0"/>
          <w14:ligatures w14:val="none"/>
        </w:rPr>
        <w:t xml:space="preserve">This course is best suited </w:t>
      </w:r>
      <w:r w:rsidR="00AF1F0B">
        <w:rPr>
          <w:rFonts w:eastAsia="Calibri" w:cstheme="minorHAnsi"/>
          <w:kern w:val="0"/>
          <w14:ligatures w14:val="none"/>
        </w:rPr>
        <w:t xml:space="preserve">for </w:t>
      </w:r>
      <w:r w:rsidRPr="00716E4B">
        <w:rPr>
          <w:rFonts w:eastAsia="Calibri" w:cstheme="minorHAnsi"/>
          <w:kern w:val="0"/>
          <w14:ligatures w14:val="none"/>
        </w:rPr>
        <w:t xml:space="preserve">new </w:t>
      </w:r>
      <w:r w:rsidR="00AF1F0B">
        <w:rPr>
          <w:rFonts w:eastAsia="Calibri" w:cstheme="minorHAnsi"/>
          <w:kern w:val="0"/>
          <w14:ligatures w14:val="none"/>
        </w:rPr>
        <w:t xml:space="preserve">as well as </w:t>
      </w:r>
      <w:r w:rsidRPr="00716E4B">
        <w:rPr>
          <w:rFonts w:eastAsia="Calibri" w:cstheme="minorHAnsi"/>
          <w:kern w:val="0"/>
          <w14:ligatures w14:val="none"/>
        </w:rPr>
        <w:t>experienced return-to-work coordinators.</w:t>
      </w:r>
    </w:p>
    <w:bookmarkEnd w:id="3"/>
    <w:p w14:paraId="28846E1D" w14:textId="77777777" w:rsidR="00716E4B" w:rsidRPr="00716E4B" w:rsidRDefault="00716E4B" w:rsidP="00716E4B">
      <w:pPr>
        <w:spacing w:after="100" w:afterAutospacing="1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 xml:space="preserve">For available dates and to register, refer to </w:t>
      </w:r>
      <w:hyperlink r:id="rId8" w:history="1">
        <w:r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Workers’ compensa</w:t>
        </w:r>
        <w:r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t</w:t>
        </w:r>
        <w:r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ion (one-day course)</w:t>
        </w:r>
      </w:hyperlink>
      <w:r w:rsidRPr="00716E4B">
        <w:rPr>
          <w:rFonts w:eastAsiaTheme="minorEastAsia" w:cstheme="minorHAnsi"/>
          <w:kern w:val="0"/>
          <w14:ligatures w14:val="none"/>
        </w:rPr>
        <w:t xml:space="preserve"> in LearnED. </w:t>
      </w:r>
    </w:p>
    <w:p w14:paraId="7B81162A" w14:textId="77777777" w:rsidR="00716E4B" w:rsidRPr="00716E4B" w:rsidRDefault="00716E4B" w:rsidP="00716E4B">
      <w:pPr>
        <w:keepNext/>
        <w:keepLines/>
        <w:spacing w:before="40" w:after="0" w:line="240" w:lineRule="atLeast"/>
        <w:outlineLvl w:val="2"/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</w:pPr>
      <w:r w:rsidRPr="00716E4B">
        <w:rPr>
          <w:rFonts w:asciiTheme="majorHAnsi" w:eastAsiaTheme="majorEastAsia" w:hAnsiTheme="majorHAnsi" w:cstheme="majorBidi"/>
          <w:color w:val="2F5496" w:themeColor="accent1" w:themeShade="BF"/>
          <w:kern w:val="0"/>
          <w:sz w:val="26"/>
          <w:szCs w:val="26"/>
          <w14:ligatures w14:val="none"/>
        </w:rPr>
        <w:t>Return-to-work coordinator roles and responsibilities training</w:t>
      </w:r>
    </w:p>
    <w:p w14:paraId="223C3BFA" w14:textId="77777777" w:rsidR="00716E4B" w:rsidRPr="00716E4B" w:rsidRDefault="00716E4B" w:rsidP="00716E4B">
      <w:pPr>
        <w:spacing w:after="100" w:afterAutospacing="1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>This 2-day</w:t>
      </w:r>
      <w:r w:rsidRPr="00716E4B">
        <w:rPr>
          <w:rFonts w:eastAsiaTheme="minorEastAsia" w:cstheme="minorHAnsi"/>
          <w:b/>
          <w:bCs/>
          <w:kern w:val="0"/>
          <w14:ligatures w14:val="none"/>
        </w:rPr>
        <w:t xml:space="preserve"> </w:t>
      </w:r>
      <w:r w:rsidRPr="00716E4B">
        <w:rPr>
          <w:rFonts w:eastAsiaTheme="minorEastAsia" w:cstheme="minorHAnsi"/>
          <w:kern w:val="0"/>
          <w14:ligatures w14:val="none"/>
        </w:rPr>
        <w:t>WorkSafe-accredited course covers the OHS processes, roles and information return-to-work</w:t>
      </w:r>
      <w:r w:rsidRPr="00716E4B" w:rsidDel="009715F1">
        <w:rPr>
          <w:rFonts w:eastAsiaTheme="minorEastAsia" w:cstheme="minorHAnsi"/>
          <w:kern w:val="0"/>
          <w14:ligatures w14:val="none"/>
        </w:rPr>
        <w:t xml:space="preserve"> </w:t>
      </w:r>
      <w:r w:rsidRPr="00716E4B">
        <w:rPr>
          <w:rFonts w:eastAsiaTheme="minorEastAsia" w:cstheme="minorHAnsi"/>
          <w:kern w:val="0"/>
          <w14:ligatures w14:val="none"/>
        </w:rPr>
        <w:t>coordinators need to help workers return to work.</w:t>
      </w:r>
    </w:p>
    <w:p w14:paraId="7BD59CE4" w14:textId="77777777" w:rsidR="00716E4B" w:rsidRPr="00716E4B" w:rsidRDefault="00716E4B" w:rsidP="00716E4B">
      <w:pPr>
        <w:spacing w:after="120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>Completing</w:t>
      </w:r>
      <w:r w:rsidRPr="00716E4B" w:rsidDel="00E30E11">
        <w:rPr>
          <w:rFonts w:eastAsiaTheme="minorEastAsia" w:cstheme="minorHAnsi"/>
          <w:kern w:val="0"/>
          <w14:ligatures w14:val="none"/>
        </w:rPr>
        <w:t xml:space="preserve"> </w:t>
      </w:r>
      <w:r w:rsidRPr="00716E4B">
        <w:rPr>
          <w:rFonts w:eastAsiaTheme="minorEastAsia" w:cstheme="minorHAnsi"/>
          <w:kern w:val="0"/>
          <w14:ligatures w14:val="none"/>
        </w:rPr>
        <w:t>this course addresses the return-to-work coordinator competency requirement in OHS audits. </w:t>
      </w:r>
    </w:p>
    <w:p w14:paraId="4CF0C413" w14:textId="1E059117" w:rsidR="00716E4B" w:rsidRPr="00716E4B" w:rsidRDefault="00716E4B" w:rsidP="00716E4B">
      <w:pPr>
        <w:spacing w:after="120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="Calibri" w:cstheme="minorHAnsi"/>
          <w:kern w:val="0"/>
          <w14:ligatures w14:val="none"/>
        </w:rPr>
        <w:t xml:space="preserve">This course is best suited </w:t>
      </w:r>
      <w:r w:rsidR="00AF1F0B">
        <w:rPr>
          <w:rFonts w:eastAsia="Calibri" w:cstheme="minorHAnsi"/>
          <w:kern w:val="0"/>
          <w14:ligatures w14:val="none"/>
        </w:rPr>
        <w:t xml:space="preserve">for </w:t>
      </w:r>
      <w:r w:rsidRPr="00716E4B">
        <w:rPr>
          <w:rFonts w:eastAsia="Calibri" w:cstheme="minorHAnsi"/>
          <w:kern w:val="0"/>
          <w14:ligatures w14:val="none"/>
        </w:rPr>
        <w:t>new return-to-work coordinators.</w:t>
      </w:r>
    </w:p>
    <w:p w14:paraId="4B9EE072" w14:textId="77777777" w:rsidR="00716E4B" w:rsidRPr="00716E4B" w:rsidRDefault="00716E4B" w:rsidP="00716E4B">
      <w:pPr>
        <w:spacing w:after="120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 xml:space="preserve">For available dates and to register, refer to </w:t>
      </w:r>
      <w:hyperlink r:id="rId9" w:history="1">
        <w:r w:rsidRPr="00716E4B">
          <w:rPr>
            <w:rFonts w:eastAsiaTheme="minorEastAsia" w:cstheme="minorHAnsi"/>
            <w:color w:val="004C97"/>
            <w:kern w:val="0"/>
            <w:u w:val="single"/>
            <w14:ligatures w14:val="none"/>
          </w:rPr>
          <w:t>Return-to-work coord</w:t>
        </w:r>
        <w:r w:rsidRPr="00716E4B">
          <w:rPr>
            <w:rFonts w:eastAsiaTheme="minorEastAsia" w:cstheme="minorHAnsi"/>
            <w:color w:val="004C97"/>
            <w:kern w:val="0"/>
            <w:u w:val="single"/>
            <w14:ligatures w14:val="none"/>
          </w:rPr>
          <w:t>i</w:t>
        </w:r>
        <w:r w:rsidRPr="00716E4B">
          <w:rPr>
            <w:rFonts w:eastAsiaTheme="minorEastAsia" w:cstheme="minorHAnsi"/>
            <w:color w:val="004C97"/>
            <w:kern w:val="0"/>
            <w:u w:val="single"/>
            <w14:ligatures w14:val="none"/>
          </w:rPr>
          <w:t>nator role</w:t>
        </w:r>
        <w:r w:rsidRPr="00716E4B">
          <w:rPr>
            <w:rFonts w:eastAsiaTheme="minorEastAsia" w:cstheme="minorHAnsi"/>
            <w:color w:val="004C97"/>
            <w:kern w:val="0"/>
            <w:u w:val="single"/>
            <w14:ligatures w14:val="none"/>
          </w:rPr>
          <w:t>s</w:t>
        </w:r>
        <w:r w:rsidRPr="00716E4B">
          <w:rPr>
            <w:rFonts w:eastAsiaTheme="minorEastAsia" w:cstheme="minorHAnsi"/>
            <w:color w:val="004C97"/>
            <w:kern w:val="0"/>
            <w:u w:val="single"/>
            <w14:ligatures w14:val="none"/>
          </w:rPr>
          <w:t xml:space="preserve"> and responsibilities</w:t>
        </w:r>
      </w:hyperlink>
      <w:r w:rsidRPr="00716E4B">
        <w:rPr>
          <w:rFonts w:eastAsiaTheme="minorEastAsia" w:cstheme="minorHAnsi"/>
          <w:kern w:val="0"/>
          <w14:ligatures w14:val="none"/>
        </w:rPr>
        <w:t xml:space="preserve"> in LearnED. </w:t>
      </w:r>
      <w:r w:rsidRPr="00716E4B">
        <w:rPr>
          <w:rFonts w:eastAsiaTheme="minorEastAsia" w:cstheme="minorHAnsi"/>
          <w:kern w:val="0"/>
          <w14:ligatures w14:val="none"/>
        </w:rPr>
        <w:br/>
      </w:r>
    </w:p>
    <w:p w14:paraId="2915638F" w14:textId="77777777" w:rsidR="00716E4B" w:rsidRPr="00716E4B" w:rsidRDefault="00716E4B" w:rsidP="00716E4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</w:pPr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>Workers’ compensation webinars</w:t>
      </w:r>
    </w:p>
    <w:p w14:paraId="34993F3D" w14:textId="77777777" w:rsidR="00716E4B" w:rsidRPr="00716E4B" w:rsidRDefault="00716E4B" w:rsidP="00716E4B">
      <w:pPr>
        <w:spacing w:after="100" w:afterAutospacing="1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>These one to 1.5-hour</w:t>
      </w:r>
      <w:r w:rsidRPr="00716E4B">
        <w:rPr>
          <w:rFonts w:eastAsiaTheme="minorEastAsia" w:cstheme="minorHAnsi"/>
          <w:b/>
          <w:bCs/>
          <w:kern w:val="0"/>
          <w14:ligatures w14:val="none"/>
        </w:rPr>
        <w:t xml:space="preserve"> </w:t>
      </w:r>
      <w:r w:rsidRPr="00716E4B">
        <w:rPr>
          <w:rFonts w:eastAsiaTheme="minorEastAsia" w:cstheme="minorHAnsi"/>
          <w:kern w:val="0"/>
          <w14:ligatures w14:val="none"/>
        </w:rPr>
        <w:t xml:space="preserve">workers’ compensation webinars are suitable for business managers, return-to-work coordinators and human resource administrators. </w:t>
      </w:r>
    </w:p>
    <w:p w14:paraId="761BDC47" w14:textId="77777777" w:rsidR="00716E4B" w:rsidRPr="00716E4B" w:rsidRDefault="00716E4B" w:rsidP="00716E4B">
      <w:pPr>
        <w:spacing w:after="100" w:afterAutospacing="1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 xml:space="preserve">You can register through the LearnED links below. </w:t>
      </w:r>
    </w:p>
    <w:p w14:paraId="25DE76D2" w14:textId="323977F2" w:rsidR="00716E4B" w:rsidRPr="00716E4B" w:rsidRDefault="003A76B0" w:rsidP="00716E4B">
      <w:pPr>
        <w:numPr>
          <w:ilvl w:val="0"/>
          <w:numId w:val="2"/>
        </w:numPr>
        <w:spacing w:after="100" w:afterAutospacing="1" w:line="240" w:lineRule="atLeast"/>
        <w:contextualSpacing/>
        <w:rPr>
          <w:rFonts w:eastAsiaTheme="minorEastAsia" w:cstheme="minorHAnsi"/>
          <w:kern w:val="0"/>
          <w14:ligatures w14:val="none"/>
        </w:rPr>
      </w:pPr>
      <w:hyperlink r:id="rId10" w:history="1">
        <w:r w:rsidR="00716E4B" w:rsidRPr="003A76B0">
          <w:rPr>
            <w:rStyle w:val="Hyperlink"/>
            <w:rFonts w:eastAsiaTheme="minorEastAsia" w:cstheme="minorHAnsi"/>
            <w:kern w:val="0"/>
            <w14:ligatures w14:val="none"/>
          </w:rPr>
          <w:t>New work-related</w:t>
        </w:r>
        <w:r w:rsidR="00716E4B" w:rsidRPr="003A76B0">
          <w:rPr>
            <w:rStyle w:val="Hyperlink"/>
            <w:rFonts w:eastAsiaTheme="minorEastAsia" w:cstheme="minorHAnsi"/>
            <w:kern w:val="0"/>
            <w14:ligatures w14:val="none"/>
          </w:rPr>
          <w:t xml:space="preserve"> </w:t>
        </w:r>
        <w:r w:rsidR="00716E4B" w:rsidRPr="003A76B0">
          <w:rPr>
            <w:rStyle w:val="Hyperlink"/>
            <w:rFonts w:eastAsiaTheme="minorEastAsia" w:cstheme="minorHAnsi"/>
            <w:kern w:val="0"/>
            <w14:ligatures w14:val="none"/>
          </w:rPr>
          <w:t xml:space="preserve">injury/claim </w:t>
        </w:r>
        <w:r w:rsidR="00716E4B" w:rsidRPr="003A76B0">
          <w:rPr>
            <w:rStyle w:val="Hyperlink"/>
            <w:rFonts w:eastAsiaTheme="minorEastAsia" w:cstheme="minorHAnsi"/>
            <w:kern w:val="0"/>
            <w14:ligatures w14:val="none"/>
          </w:rPr>
          <w:t>p</w:t>
        </w:r>
        <w:r w:rsidR="00716E4B" w:rsidRPr="003A76B0">
          <w:rPr>
            <w:rStyle w:val="Hyperlink"/>
            <w:rFonts w:eastAsiaTheme="minorEastAsia" w:cstheme="minorHAnsi"/>
            <w:kern w:val="0"/>
            <w14:ligatures w14:val="none"/>
          </w:rPr>
          <w:t>rocess</w:t>
        </w:r>
      </w:hyperlink>
      <w:r w:rsidR="00716E4B" w:rsidRPr="00716E4B">
        <w:rPr>
          <w:rFonts w:eastAsiaTheme="minorEastAsia" w:cstheme="minorHAnsi"/>
          <w:kern w:val="0"/>
          <w14:ligatures w14:val="none"/>
        </w:rPr>
        <w:t>, 10 am</w:t>
      </w:r>
      <w:r w:rsidR="00D870E4">
        <w:rPr>
          <w:rFonts w:eastAsiaTheme="minorEastAsia" w:cstheme="minorHAnsi"/>
          <w:kern w:val="0"/>
          <w14:ligatures w14:val="none"/>
        </w:rPr>
        <w:t>-</w:t>
      </w:r>
      <w:r w:rsidR="00716E4B" w:rsidRPr="00716E4B">
        <w:rPr>
          <w:rFonts w:eastAsiaTheme="minorEastAsia" w:cstheme="minorHAnsi"/>
          <w:kern w:val="0"/>
          <w14:ligatures w14:val="none"/>
        </w:rPr>
        <w:t>11 am,</w:t>
      </w:r>
      <w:r w:rsidR="00716E4B" w:rsidRPr="00716E4B">
        <w:rPr>
          <w:rFonts w:ascii="Arial" w:eastAsiaTheme="minorEastAsia" w:hAnsi="Arial" w:cs="Arial"/>
          <w:kern w:val="0"/>
          <w:sz w:val="18"/>
          <w:szCs w:val="18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 xml:space="preserve">Wednesday </w:t>
      </w:r>
      <w:r w:rsidR="00D870E4">
        <w:rPr>
          <w:rFonts w:eastAsiaTheme="minorEastAsia" w:cstheme="minorHAnsi"/>
          <w:kern w:val="0"/>
          <w14:ligatures w14:val="none"/>
        </w:rPr>
        <w:t>1</w:t>
      </w:r>
      <w:r>
        <w:rPr>
          <w:rFonts w:eastAsiaTheme="minorEastAsia" w:cstheme="minorHAnsi"/>
          <w:kern w:val="0"/>
          <w14:ligatures w14:val="none"/>
        </w:rPr>
        <w:t>1 Oct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>2023</w:t>
      </w:r>
      <w:r w:rsidR="00525F7C">
        <w:rPr>
          <w:rFonts w:eastAsiaTheme="minorEastAsia" w:cstheme="minorHAnsi"/>
          <w:kern w:val="0"/>
          <w14:ligatures w14:val="none"/>
        </w:rPr>
        <w:t>:</w:t>
      </w:r>
      <w:r w:rsidR="00716E4B" w:rsidRPr="00716E4B">
        <w:rPr>
          <w:rFonts w:eastAsiaTheme="minorEastAsia" w:cstheme="minorHAnsi"/>
          <w:kern w:val="0"/>
          <w14:ligatures w14:val="none"/>
        </w:rPr>
        <w:t xml:space="preserve"> </w:t>
      </w:r>
    </w:p>
    <w:p w14:paraId="628126D6" w14:textId="28E50B4D" w:rsidR="00716E4B" w:rsidRPr="00716E4B" w:rsidRDefault="00716E4B" w:rsidP="00716E4B">
      <w:pPr>
        <w:spacing w:after="100" w:afterAutospacing="1" w:line="240" w:lineRule="atLeast"/>
        <w:ind w:left="720"/>
        <w:contextualSpacing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>This webinar helps new and experienced return-to-work coordinators to better understand the new claims process including lodging a claim, liability, initial planning, leave entry and consultation</w:t>
      </w:r>
      <w:r w:rsidR="00CE6DDB">
        <w:rPr>
          <w:rFonts w:eastAsiaTheme="minorEastAsia" w:cstheme="minorHAnsi"/>
          <w:kern w:val="0"/>
          <w14:ligatures w14:val="none"/>
        </w:rPr>
        <w:t>.</w:t>
      </w:r>
    </w:p>
    <w:p w14:paraId="0FBBC3B3" w14:textId="7374B3F4" w:rsidR="00716E4B" w:rsidRPr="00716E4B" w:rsidRDefault="00525F7C" w:rsidP="00716E4B">
      <w:pPr>
        <w:numPr>
          <w:ilvl w:val="0"/>
          <w:numId w:val="2"/>
        </w:numPr>
        <w:spacing w:after="100" w:afterAutospacing="1" w:line="240" w:lineRule="atLeast"/>
        <w:contextualSpacing/>
        <w:rPr>
          <w:rFonts w:eastAsiaTheme="minorEastAsia" w:cstheme="minorHAnsi"/>
          <w:kern w:val="0"/>
          <w14:ligatures w14:val="none"/>
        </w:rPr>
      </w:pPr>
      <w:hyperlink r:id="rId11" w:history="1">
        <w:r w:rsidR="00716E4B"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 xml:space="preserve">Return-to-work obligations and </w:t>
        </w:r>
        <w:r w:rsidR="00716E4B"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r</w:t>
        </w:r>
        <w:r w:rsidR="00716E4B"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esponsibilities</w:t>
        </w:r>
      </w:hyperlink>
      <w:r w:rsidR="00716E4B" w:rsidRPr="00716E4B">
        <w:rPr>
          <w:rFonts w:ascii="Arial" w:eastAsiaTheme="minorEastAsia" w:hAnsi="Arial" w:cs="Arial"/>
          <w:kern w:val="0"/>
          <w:sz w:val="18"/>
          <w:szCs w:val="18"/>
          <w14:ligatures w14:val="none"/>
        </w:rPr>
        <w:t xml:space="preserve">, </w:t>
      </w:r>
      <w:r w:rsidR="00716E4B" w:rsidRPr="00716E4B">
        <w:rPr>
          <w:rFonts w:eastAsiaTheme="minorEastAsia" w:cstheme="minorHAnsi"/>
          <w:kern w:val="0"/>
          <w14:ligatures w14:val="none"/>
        </w:rPr>
        <w:t>10 am</w:t>
      </w:r>
      <w:r w:rsidR="00D870E4">
        <w:rPr>
          <w:rFonts w:eastAsiaTheme="minorEastAsia" w:cstheme="minorHAnsi"/>
          <w:kern w:val="0"/>
          <w14:ligatures w14:val="none"/>
        </w:rPr>
        <w:t>-</w:t>
      </w:r>
      <w:r w:rsidR="00716E4B" w:rsidRPr="00716E4B">
        <w:rPr>
          <w:rFonts w:eastAsiaTheme="minorEastAsia" w:cstheme="minorHAnsi"/>
          <w:kern w:val="0"/>
          <w14:ligatures w14:val="none"/>
        </w:rPr>
        <w:t>11 am,</w:t>
      </w:r>
      <w:r w:rsidR="00716E4B" w:rsidRPr="00716E4B">
        <w:rPr>
          <w:rFonts w:ascii="Arial" w:eastAsiaTheme="minorEastAsia" w:hAnsi="Arial" w:cs="Arial"/>
          <w:kern w:val="0"/>
          <w:sz w:val="18"/>
          <w:szCs w:val="18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>Wednesday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C4F6A">
        <w:rPr>
          <w:rFonts w:eastAsiaTheme="minorEastAsia" w:cstheme="minorHAnsi"/>
          <w:kern w:val="0"/>
          <w14:ligatures w14:val="none"/>
        </w:rPr>
        <w:t>18 Oct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>2023</w:t>
      </w:r>
      <w:r>
        <w:rPr>
          <w:rFonts w:eastAsiaTheme="minorEastAsia" w:cstheme="minorHAnsi"/>
          <w:kern w:val="0"/>
          <w14:ligatures w14:val="none"/>
        </w:rPr>
        <w:t>:</w:t>
      </w:r>
      <w:r w:rsidR="00716E4B" w:rsidRPr="00716E4B">
        <w:rPr>
          <w:rFonts w:eastAsiaTheme="minorEastAsia" w:cstheme="minorHAnsi"/>
          <w:kern w:val="0"/>
          <w14:ligatures w14:val="none"/>
        </w:rPr>
        <w:t xml:space="preserve"> This webinar takes new and experienced return-to-work coordinators through employer </w:t>
      </w:r>
      <w:r w:rsidR="00716E4B" w:rsidRPr="00716E4B">
        <w:rPr>
          <w:rFonts w:eastAsiaTheme="minorEastAsia" w:cstheme="minorHAnsi"/>
          <w:kern w:val="0"/>
          <w14:ligatures w14:val="none"/>
        </w:rPr>
        <w:lastRenderedPageBreak/>
        <w:t>obligations and responsibilities, worker rights and obligations, return-to-work planning, and funding support</w:t>
      </w:r>
      <w:r w:rsidR="00CE6DDB">
        <w:rPr>
          <w:rFonts w:eastAsiaTheme="minorEastAsia" w:cstheme="minorHAnsi"/>
          <w:kern w:val="0"/>
          <w14:ligatures w14:val="none"/>
        </w:rPr>
        <w:t>.</w:t>
      </w:r>
    </w:p>
    <w:p w14:paraId="314F6958" w14:textId="06219773" w:rsidR="00716E4B" w:rsidRPr="00716E4B" w:rsidRDefault="00525F7C" w:rsidP="00716E4B">
      <w:pPr>
        <w:numPr>
          <w:ilvl w:val="0"/>
          <w:numId w:val="2"/>
        </w:numPr>
        <w:spacing w:after="100" w:afterAutospacing="1" w:line="240" w:lineRule="atLeast"/>
        <w:contextualSpacing/>
        <w:rPr>
          <w:rFonts w:eastAsiaTheme="minorEastAsia" w:cstheme="minorHAnsi"/>
          <w:kern w:val="0"/>
          <w14:ligatures w14:val="none"/>
        </w:rPr>
      </w:pPr>
      <w:hyperlink r:id="rId12" w:history="1">
        <w:r w:rsidR="00716E4B"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Workers’ compensation eduPay m</w:t>
        </w:r>
        <w:r w:rsidR="00716E4B"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a</w:t>
        </w:r>
        <w:r w:rsidR="00716E4B"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nagement</w:t>
        </w:r>
      </w:hyperlink>
      <w:r w:rsidR="00716E4B" w:rsidRPr="00716E4B">
        <w:rPr>
          <w:rFonts w:eastAsiaTheme="minorEastAsia" w:cstheme="minorHAnsi"/>
          <w:kern w:val="0"/>
          <w14:ligatures w14:val="none"/>
        </w:rPr>
        <w:t>, 10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>am</w:t>
      </w:r>
      <w:r w:rsidR="00D870E4">
        <w:rPr>
          <w:rFonts w:eastAsiaTheme="minorEastAsia" w:cstheme="minorHAnsi"/>
          <w:kern w:val="0"/>
          <w14:ligatures w14:val="none"/>
        </w:rPr>
        <w:t>-</w:t>
      </w:r>
      <w:r w:rsidR="00716E4B" w:rsidRPr="00716E4B">
        <w:rPr>
          <w:rFonts w:eastAsiaTheme="minorEastAsia" w:cstheme="minorHAnsi"/>
          <w:kern w:val="0"/>
          <w14:ligatures w14:val="none"/>
        </w:rPr>
        <w:t>11.30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>am,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16E4B" w:rsidRPr="00716E4B">
        <w:rPr>
          <w:rFonts w:eastAsiaTheme="minorEastAsia" w:cstheme="minorHAnsi"/>
          <w:kern w:val="0"/>
          <w14:ligatures w14:val="none"/>
        </w:rPr>
        <w:t>Wednesday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C4F6A">
        <w:rPr>
          <w:rFonts w:eastAsiaTheme="minorEastAsia" w:cstheme="minorHAnsi"/>
          <w:kern w:val="0"/>
          <w14:ligatures w14:val="none"/>
        </w:rPr>
        <w:t xml:space="preserve">15 Nov </w:t>
      </w:r>
      <w:r w:rsidR="00716E4B" w:rsidRPr="00716E4B">
        <w:rPr>
          <w:rFonts w:eastAsiaTheme="minorEastAsia" w:cstheme="minorHAnsi"/>
          <w:kern w:val="0"/>
          <w14:ligatures w14:val="none"/>
        </w:rPr>
        <w:t>2023</w:t>
      </w:r>
      <w:r>
        <w:rPr>
          <w:rFonts w:eastAsiaTheme="minorEastAsia" w:cstheme="minorHAnsi"/>
          <w:kern w:val="0"/>
          <w14:ligatures w14:val="none"/>
        </w:rPr>
        <w:t>:</w:t>
      </w:r>
    </w:p>
    <w:p w14:paraId="4E891B1A" w14:textId="68FFCE61" w:rsidR="00716E4B" w:rsidRPr="00716E4B" w:rsidRDefault="00716E4B" w:rsidP="00716E4B">
      <w:pPr>
        <w:spacing w:after="100" w:afterAutospacing="1" w:line="240" w:lineRule="atLeast"/>
        <w:ind w:left="720"/>
        <w:contextualSpacing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>This webinar is for human resource administrators with access and responsibility for entering WorkCover leave into eduPay</w:t>
      </w:r>
      <w:r w:rsidR="00CE6DDB">
        <w:rPr>
          <w:rFonts w:eastAsiaTheme="minorEastAsia" w:cstheme="minorHAnsi"/>
          <w:kern w:val="0"/>
          <w14:ligatures w14:val="none"/>
        </w:rPr>
        <w:t>.</w:t>
      </w:r>
    </w:p>
    <w:p w14:paraId="7E239F0C" w14:textId="2AA7442B" w:rsidR="00AF5195" w:rsidRDefault="00525F7C" w:rsidP="00AF5195">
      <w:pPr>
        <w:numPr>
          <w:ilvl w:val="0"/>
          <w:numId w:val="2"/>
        </w:numPr>
        <w:spacing w:after="100" w:afterAutospacing="1" w:line="240" w:lineRule="atLeast"/>
        <w:contextualSpacing/>
        <w:rPr>
          <w:rFonts w:eastAsiaTheme="minorEastAsia" w:cstheme="minorHAnsi"/>
          <w:kern w:val="0"/>
          <w14:ligatures w14:val="none"/>
        </w:rPr>
      </w:pPr>
      <w:hyperlink r:id="rId13" w:history="1">
        <w:r w:rsidR="00D870E4" w:rsidRPr="0067102D">
          <w:rPr>
            <w:rStyle w:val="Hyperlink"/>
            <w:rFonts w:cstheme="minorHAnsi"/>
          </w:rPr>
          <w:t>Mental Health C</w:t>
        </w:r>
        <w:r w:rsidR="00D870E4" w:rsidRPr="0067102D">
          <w:rPr>
            <w:rStyle w:val="Hyperlink"/>
            <w:rFonts w:cstheme="minorHAnsi"/>
          </w:rPr>
          <w:t>l</w:t>
        </w:r>
        <w:r w:rsidR="00D870E4" w:rsidRPr="0067102D">
          <w:rPr>
            <w:rStyle w:val="Hyperlink"/>
            <w:rFonts w:cstheme="minorHAnsi"/>
          </w:rPr>
          <w:t>aims Management</w:t>
        </w:r>
      </w:hyperlink>
      <w:r w:rsidR="00716E4B" w:rsidRPr="00716E4B">
        <w:rPr>
          <w:rFonts w:eastAsiaTheme="minorEastAsia" w:cstheme="minorHAnsi"/>
          <w:kern w:val="0"/>
          <w14:ligatures w14:val="none"/>
        </w:rPr>
        <w:t>, 10 am</w:t>
      </w:r>
      <w:r w:rsidR="00D870E4">
        <w:rPr>
          <w:rFonts w:eastAsiaTheme="minorEastAsia" w:cstheme="minorHAnsi"/>
          <w:kern w:val="0"/>
          <w14:ligatures w14:val="none"/>
        </w:rPr>
        <w:t>-</w:t>
      </w:r>
      <w:r w:rsidR="00716E4B" w:rsidRPr="00716E4B">
        <w:rPr>
          <w:rFonts w:eastAsiaTheme="minorEastAsia" w:cstheme="minorHAnsi"/>
          <w:kern w:val="0"/>
          <w14:ligatures w14:val="none"/>
        </w:rPr>
        <w:t>11</w:t>
      </w:r>
      <w:r w:rsidR="00D870E4">
        <w:rPr>
          <w:rFonts w:eastAsiaTheme="minorEastAsia" w:cstheme="minorHAnsi"/>
          <w:kern w:val="0"/>
          <w14:ligatures w14:val="none"/>
        </w:rPr>
        <w:t>:30</w:t>
      </w:r>
      <w:r w:rsidR="00716E4B" w:rsidRPr="00716E4B">
        <w:rPr>
          <w:rFonts w:eastAsiaTheme="minorEastAsia" w:cstheme="minorHAnsi"/>
          <w:kern w:val="0"/>
          <w14:ligatures w14:val="none"/>
        </w:rPr>
        <w:t xml:space="preserve"> am, Wednesday</w:t>
      </w:r>
      <w:r w:rsidR="00D870E4">
        <w:rPr>
          <w:rFonts w:eastAsiaTheme="minorEastAsia" w:cstheme="minorHAnsi"/>
          <w:kern w:val="0"/>
          <w14:ligatures w14:val="none"/>
        </w:rPr>
        <w:t xml:space="preserve"> </w:t>
      </w:r>
      <w:r w:rsidR="007C4F6A">
        <w:rPr>
          <w:rFonts w:eastAsiaTheme="minorEastAsia" w:cstheme="minorHAnsi"/>
          <w:kern w:val="0"/>
          <w14:ligatures w14:val="none"/>
        </w:rPr>
        <w:t xml:space="preserve">1 Nov </w:t>
      </w:r>
      <w:r w:rsidR="00716E4B" w:rsidRPr="00716E4B">
        <w:rPr>
          <w:rFonts w:eastAsiaTheme="minorEastAsia" w:cstheme="minorHAnsi"/>
          <w:kern w:val="0"/>
          <w14:ligatures w14:val="none"/>
        </w:rPr>
        <w:t>2023</w:t>
      </w:r>
      <w:r>
        <w:rPr>
          <w:rFonts w:eastAsiaTheme="minorEastAsia" w:cstheme="minorHAnsi"/>
          <w:kern w:val="0"/>
          <w14:ligatures w14:val="none"/>
        </w:rPr>
        <w:t>:</w:t>
      </w:r>
      <w:r w:rsidR="00716E4B" w:rsidRPr="00716E4B">
        <w:rPr>
          <w:rFonts w:eastAsiaTheme="minorEastAsia" w:cstheme="minorHAnsi"/>
          <w:kern w:val="0"/>
          <w14:ligatures w14:val="none"/>
        </w:rPr>
        <w:t xml:space="preserve"> </w:t>
      </w:r>
      <w:r w:rsidR="00D870E4">
        <w:rPr>
          <w:rFonts w:cstheme="minorHAnsi"/>
        </w:rPr>
        <w:t>This session is designed for return-to-work coordinators and introduces practical strategies to support employees in returning to safe and sustainable work following a mental health claim</w:t>
      </w:r>
      <w:r w:rsidR="00AF5195">
        <w:rPr>
          <w:rFonts w:cstheme="minorHAnsi"/>
        </w:rPr>
        <w:t>.</w:t>
      </w:r>
    </w:p>
    <w:p w14:paraId="092FB57B" w14:textId="45A2C6CA" w:rsidR="00AF5195" w:rsidRPr="007C4F6A" w:rsidRDefault="007C4F6A" w:rsidP="007C4F6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>Return to work pla</w:t>
        </w:r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>n</w:t>
        </w:r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>ning</w:t>
        </w:r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>in the sch</w:t>
        </w:r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Pr="007C4F6A">
          <w:rPr>
            <w:rStyle w:val="Hyperlink"/>
            <w:rFonts w:asciiTheme="minorHAnsi" w:hAnsiTheme="minorHAnsi" w:cstheme="minorHAnsi"/>
            <w:sz w:val="22"/>
            <w:szCs w:val="22"/>
          </w:rPr>
          <w:t>ol holidays</w:t>
        </w:r>
      </w:hyperlink>
      <w:r w:rsidRPr="009369CA">
        <w:rPr>
          <w:rFonts w:asciiTheme="minorHAnsi" w:hAnsiTheme="minorHAnsi" w:cstheme="minorHAnsi"/>
          <w:sz w:val="22"/>
          <w:szCs w:val="22"/>
        </w:rPr>
        <w:t>, 10</w:t>
      </w:r>
      <w:r w:rsidR="00525F7C">
        <w:rPr>
          <w:rFonts w:asciiTheme="minorHAnsi" w:hAnsiTheme="minorHAnsi" w:cstheme="minorHAnsi"/>
          <w:sz w:val="22"/>
          <w:szCs w:val="22"/>
        </w:rPr>
        <w:t xml:space="preserve"> </w:t>
      </w:r>
      <w:r w:rsidRPr="009369CA">
        <w:rPr>
          <w:rFonts w:asciiTheme="minorHAnsi" w:hAnsiTheme="minorHAnsi" w:cstheme="minorHAnsi"/>
          <w:sz w:val="22"/>
          <w:szCs w:val="22"/>
        </w:rPr>
        <w:t>am</w:t>
      </w:r>
      <w:r w:rsidR="00525F7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11</w:t>
      </w:r>
      <w:r w:rsidR="00525F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am</w:t>
      </w:r>
      <w:r w:rsidR="00525F7C">
        <w:rPr>
          <w:rFonts w:asciiTheme="minorHAnsi" w:hAnsiTheme="minorHAnsi" w:cstheme="minorHAnsi"/>
          <w:sz w:val="22"/>
          <w:szCs w:val="22"/>
        </w:rPr>
        <w:t>, Wednesday 8</w:t>
      </w:r>
      <w:r w:rsidRPr="009369CA">
        <w:rPr>
          <w:rFonts w:asciiTheme="minorHAnsi" w:hAnsiTheme="minorHAnsi" w:cstheme="minorHAnsi"/>
          <w:sz w:val="22"/>
          <w:szCs w:val="22"/>
        </w:rPr>
        <w:t xml:space="preserve"> Nov 202</w:t>
      </w:r>
      <w:r w:rsidR="00525F7C">
        <w:rPr>
          <w:rFonts w:asciiTheme="minorHAnsi" w:hAnsiTheme="minorHAnsi" w:cstheme="minorHAnsi"/>
          <w:sz w:val="22"/>
          <w:szCs w:val="22"/>
        </w:rPr>
        <w:t>3</w:t>
      </w:r>
      <w:r w:rsidRPr="009369CA">
        <w:rPr>
          <w:rFonts w:asciiTheme="minorHAnsi" w:hAnsiTheme="minorHAnsi" w:cstheme="minorHAnsi"/>
          <w:sz w:val="22"/>
          <w:szCs w:val="22"/>
        </w:rPr>
        <w:t xml:space="preserve">: Gain an understanding of the </w:t>
      </w:r>
      <w:r w:rsidR="00525F7C" w:rsidRPr="009369CA">
        <w:rPr>
          <w:rFonts w:asciiTheme="minorHAnsi" w:hAnsiTheme="minorHAnsi" w:cstheme="minorHAnsi"/>
          <w:sz w:val="22"/>
          <w:szCs w:val="22"/>
        </w:rPr>
        <w:t>Return-to-Work</w:t>
      </w:r>
      <w:r w:rsidRPr="009369CA">
        <w:rPr>
          <w:rFonts w:asciiTheme="minorHAnsi" w:hAnsiTheme="minorHAnsi" w:cstheme="minorHAnsi"/>
          <w:sz w:val="22"/>
          <w:szCs w:val="22"/>
        </w:rPr>
        <w:t xml:space="preserve"> obligations and processes over the school holiday period.</w:t>
      </w:r>
    </w:p>
    <w:p w14:paraId="536C805B" w14:textId="0BBE679A" w:rsidR="00525F7C" w:rsidRPr="009369CA" w:rsidRDefault="00525F7C" w:rsidP="00525F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C623A1">
          <w:rPr>
            <w:rStyle w:val="Hyperlink"/>
            <w:rFonts w:asciiTheme="minorHAnsi" w:hAnsiTheme="minorHAnsi" w:cstheme="minorHAnsi"/>
            <w:sz w:val="22"/>
            <w:szCs w:val="22"/>
          </w:rPr>
          <w:t>Workers Compensation</w:t>
        </w:r>
        <w:r w:rsidRPr="00C623A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C623A1">
          <w:rPr>
            <w:rStyle w:val="Hyperlink"/>
            <w:rFonts w:asciiTheme="minorHAnsi" w:hAnsiTheme="minorHAnsi" w:cstheme="minorHAnsi"/>
            <w:sz w:val="22"/>
            <w:szCs w:val="22"/>
          </w:rPr>
          <w:t>Records Management</w:t>
        </w:r>
      </w:hyperlink>
      <w:r w:rsidRPr="009369CA">
        <w:rPr>
          <w:rFonts w:asciiTheme="minorHAnsi" w:hAnsiTheme="minorHAnsi" w:cstheme="minorHAnsi"/>
          <w:sz w:val="22"/>
          <w:szCs w:val="22"/>
        </w:rPr>
        <w:t xml:space="preserve"> 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69CA">
        <w:rPr>
          <w:rFonts w:asciiTheme="minorHAnsi" w:hAnsiTheme="minorHAnsi" w:cstheme="minorHAnsi"/>
          <w:sz w:val="22"/>
          <w:szCs w:val="22"/>
        </w:rPr>
        <w:t>am</w:t>
      </w:r>
      <w:r>
        <w:rPr>
          <w:rFonts w:asciiTheme="minorHAnsi" w:hAnsiTheme="minorHAnsi" w:cstheme="minorHAnsi"/>
          <w:sz w:val="22"/>
          <w:szCs w:val="22"/>
        </w:rPr>
        <w:t xml:space="preserve">-11 am, </w:t>
      </w:r>
      <w:r w:rsidRPr="009369CA">
        <w:rPr>
          <w:rFonts w:asciiTheme="minorHAnsi" w:hAnsiTheme="minorHAnsi" w:cstheme="minorHAnsi"/>
          <w:sz w:val="22"/>
          <w:szCs w:val="22"/>
        </w:rPr>
        <w:t xml:space="preserve">Wednesday </w:t>
      </w:r>
      <w:r>
        <w:rPr>
          <w:rFonts w:asciiTheme="minorHAnsi" w:hAnsiTheme="minorHAnsi" w:cstheme="minorHAnsi"/>
          <w:sz w:val="22"/>
          <w:szCs w:val="22"/>
        </w:rPr>
        <w:t xml:space="preserve">22 Nov </w:t>
      </w:r>
      <w:r w:rsidRPr="009369CA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3: O</w:t>
      </w:r>
      <w:r w:rsidRPr="009369CA">
        <w:rPr>
          <w:rFonts w:asciiTheme="minorHAnsi" w:hAnsiTheme="minorHAnsi" w:cstheme="minorHAnsi"/>
          <w:sz w:val="22"/>
          <w:szCs w:val="22"/>
        </w:rPr>
        <w:t xml:space="preserve">utlines the principles of effective records management. </w:t>
      </w:r>
    </w:p>
    <w:p w14:paraId="42ED6897" w14:textId="6B04E155" w:rsidR="00525F7C" w:rsidRDefault="00525F7C" w:rsidP="00525F7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C623A1">
          <w:rPr>
            <w:rStyle w:val="Hyperlink"/>
            <w:rFonts w:asciiTheme="minorHAnsi" w:hAnsiTheme="minorHAnsi" w:cstheme="minorHAnsi"/>
            <w:sz w:val="22"/>
            <w:szCs w:val="22"/>
          </w:rPr>
          <w:t>Workers Compensatio</w:t>
        </w:r>
        <w:r w:rsidRPr="00C623A1">
          <w:rPr>
            <w:rStyle w:val="Hyperlink"/>
            <w:rFonts w:asciiTheme="minorHAnsi" w:hAnsiTheme="minorHAnsi" w:cstheme="minorHAnsi"/>
            <w:sz w:val="22"/>
            <w:szCs w:val="22"/>
          </w:rPr>
          <w:t>n</w:t>
        </w:r>
        <w:r w:rsidRPr="00C623A1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Litigation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012F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012F">
        <w:rPr>
          <w:rFonts w:asciiTheme="minorHAnsi" w:hAnsiTheme="minorHAnsi" w:cstheme="minorHAnsi"/>
          <w:sz w:val="22"/>
          <w:szCs w:val="22"/>
        </w:rPr>
        <w:t>am</w:t>
      </w:r>
      <w:r>
        <w:rPr>
          <w:rFonts w:asciiTheme="minorHAnsi" w:hAnsiTheme="minorHAnsi" w:cstheme="minorHAnsi"/>
          <w:sz w:val="22"/>
          <w:szCs w:val="22"/>
        </w:rPr>
        <w:t>-11 am</w:t>
      </w:r>
      <w:r w:rsidRPr="0062012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Wednesday 29 Nov</w:t>
      </w:r>
      <w:r w:rsidRPr="0062012F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2012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9369CA">
        <w:rPr>
          <w:rFonts w:asciiTheme="minorHAnsi" w:hAnsiTheme="minorHAnsi" w:cstheme="minorHAnsi"/>
          <w:sz w:val="22"/>
          <w:szCs w:val="22"/>
        </w:rPr>
        <w:t>akes school leaders through the litigation process for a workers’ compensation claim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369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35727" w14:textId="4C9716E3" w:rsidR="00716E4B" w:rsidRPr="00716E4B" w:rsidRDefault="00716E4B" w:rsidP="00AF5195">
      <w:pPr>
        <w:spacing w:after="100" w:afterAutospacing="1" w:line="240" w:lineRule="atLeast"/>
        <w:ind w:left="720"/>
        <w:contextualSpacing/>
        <w:rPr>
          <w:rFonts w:eastAsiaTheme="minorEastAsia" w:cstheme="minorHAnsi"/>
          <w:kern w:val="0"/>
          <w14:ligatures w14:val="none"/>
        </w:rPr>
      </w:pPr>
    </w:p>
    <w:p w14:paraId="4A514C77" w14:textId="77777777" w:rsidR="00716E4B" w:rsidRPr="00716E4B" w:rsidRDefault="00716E4B" w:rsidP="00716E4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</w:pPr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 xml:space="preserve">Policy, </w:t>
      </w:r>
      <w:proofErr w:type="gramStart"/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>guidance</w:t>
      </w:r>
      <w:proofErr w:type="gramEnd"/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 xml:space="preserve"> and resources</w:t>
      </w:r>
    </w:p>
    <w:p w14:paraId="2BEF45FA" w14:textId="77777777" w:rsidR="00716E4B" w:rsidRPr="00716E4B" w:rsidRDefault="00716E4B" w:rsidP="00716E4B">
      <w:pPr>
        <w:spacing w:after="120" w:line="240" w:lineRule="atLeast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Theme="minorEastAsia" w:cstheme="minorHAnsi"/>
          <w:kern w:val="0"/>
          <w14:ligatures w14:val="none"/>
        </w:rPr>
        <w:t xml:space="preserve">Our </w:t>
      </w:r>
      <w:hyperlink r:id="rId17" w:history="1">
        <w:r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Policy and Advisory Library</w:t>
        </w:r>
      </w:hyperlink>
      <w:r w:rsidRPr="00716E4B">
        <w:rPr>
          <w:rFonts w:eastAsiaTheme="minorEastAsia" w:cstheme="minorHAnsi"/>
          <w:kern w:val="0"/>
          <w14:ligatures w14:val="none"/>
        </w:rPr>
        <w:t xml:space="preserve"> includes all related policy information, guidance and resources under the relevant menu tabs:</w:t>
      </w:r>
    </w:p>
    <w:p w14:paraId="155C4C02" w14:textId="77777777" w:rsidR="00716E4B" w:rsidRPr="00716E4B" w:rsidRDefault="00525F7C" w:rsidP="00716E4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hyperlink r:id="rId18" w:history="1">
        <w:r w:rsidR="00716E4B" w:rsidRPr="00716E4B">
          <w:rPr>
            <w:rFonts w:eastAsia="Times New Roman" w:cstheme="minorHAnsi"/>
            <w:color w:val="0563C1" w:themeColor="hyperlink"/>
            <w:kern w:val="0"/>
            <w:u w:val="single"/>
            <w14:ligatures w14:val="none"/>
          </w:rPr>
          <w:t>Workers’ Compensation</w:t>
        </w:r>
      </w:hyperlink>
      <w:r w:rsidR="00716E4B" w:rsidRPr="00716E4B">
        <w:rPr>
          <w:rFonts w:eastAsiaTheme="minorEastAsia" w:cstheme="minorHAnsi"/>
          <w:kern w:val="0"/>
          <w14:ligatures w14:val="none"/>
        </w:rPr>
        <w:t>.</w:t>
      </w:r>
      <w:r w:rsidR="00716E4B" w:rsidRPr="00716E4B">
        <w:rPr>
          <w:rFonts w:ascii="Arial" w:eastAsiaTheme="minorEastAsia" w:hAnsi="Arial" w:cs="Arial"/>
          <w:kern w:val="0"/>
          <w:sz w:val="18"/>
          <w:szCs w:val="18"/>
          <w14:ligatures w14:val="none"/>
        </w:rPr>
        <w:br/>
      </w:r>
    </w:p>
    <w:p w14:paraId="10DCA772" w14:textId="77777777" w:rsidR="00716E4B" w:rsidRPr="00716E4B" w:rsidRDefault="00716E4B" w:rsidP="00716E4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</w:pPr>
      <w:r w:rsidRPr="00716E4B">
        <w:rPr>
          <w:rFonts w:asciiTheme="majorHAnsi" w:eastAsiaTheme="majorEastAsia" w:hAnsiTheme="majorHAnsi" w:cstheme="majorHAnsi"/>
          <w:color w:val="2F5496" w:themeColor="accent1" w:themeShade="BF"/>
          <w:kern w:val="0"/>
          <w:sz w:val="26"/>
          <w:szCs w:val="26"/>
          <w14:ligatures w14:val="none"/>
        </w:rPr>
        <w:t>Find out more</w:t>
      </w:r>
    </w:p>
    <w:p w14:paraId="7C107529" w14:textId="77777777" w:rsidR="00716E4B" w:rsidRPr="00716E4B" w:rsidRDefault="00716E4B" w:rsidP="00716E4B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716E4B">
        <w:rPr>
          <w:rFonts w:eastAsia="Calibri" w:cstheme="minorHAnsi"/>
          <w:kern w:val="0"/>
          <w14:ligatures w14:val="none"/>
        </w:rPr>
        <w:t>For further enquires, contact the Return-to-Work and Compensation team:</w:t>
      </w:r>
    </w:p>
    <w:p w14:paraId="1E6BA14E" w14:textId="77777777" w:rsidR="00716E4B" w:rsidRPr="00716E4B" w:rsidRDefault="00716E4B" w:rsidP="00716E4B">
      <w:pPr>
        <w:numPr>
          <w:ilvl w:val="0"/>
          <w:numId w:val="1"/>
        </w:num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="Times New Roman" w:cstheme="minorHAnsi"/>
          <w:kern w:val="0"/>
          <w14:ligatures w14:val="none"/>
        </w:rPr>
        <w:t xml:space="preserve">phone: </w:t>
      </w:r>
      <w:r w:rsidRPr="00716E4B">
        <w:rPr>
          <w:rFonts w:eastAsiaTheme="minorEastAsia" w:cstheme="minorHAnsi"/>
          <w:kern w:val="0"/>
          <w14:ligatures w14:val="none"/>
        </w:rPr>
        <w:t>03 7022 0780</w:t>
      </w:r>
    </w:p>
    <w:p w14:paraId="2217E71C" w14:textId="77777777" w:rsidR="00716E4B" w:rsidRPr="00716E4B" w:rsidRDefault="00716E4B" w:rsidP="00716E4B">
      <w:pPr>
        <w:numPr>
          <w:ilvl w:val="0"/>
          <w:numId w:val="1"/>
        </w:numPr>
        <w:spacing w:after="0" w:line="240" w:lineRule="auto"/>
        <w:rPr>
          <w:rFonts w:eastAsiaTheme="minorEastAsia" w:cstheme="minorHAnsi"/>
          <w:kern w:val="0"/>
          <w14:ligatures w14:val="none"/>
        </w:rPr>
      </w:pPr>
      <w:r w:rsidRPr="00716E4B">
        <w:rPr>
          <w:rFonts w:eastAsia="Times New Roman" w:cstheme="minorHAnsi"/>
          <w:kern w:val="0"/>
          <w14:ligatures w14:val="none"/>
        </w:rPr>
        <w:t xml:space="preserve">email: </w:t>
      </w:r>
      <w:hyperlink r:id="rId19" w:history="1">
        <w:r w:rsidRPr="00716E4B">
          <w:rPr>
            <w:rFonts w:eastAsiaTheme="minorEastAsia" w:cstheme="minorHAnsi"/>
            <w:color w:val="0563C1" w:themeColor="hyperlink"/>
            <w:kern w:val="0"/>
            <w:u w:val="single"/>
            <w14:ligatures w14:val="none"/>
          </w:rPr>
          <w:t>workers.compensation.advisory@education.vic.gov.au</w:t>
        </w:r>
      </w:hyperlink>
    </w:p>
    <w:p w14:paraId="0A09D260" w14:textId="77777777" w:rsidR="00716E4B" w:rsidRPr="00716E4B" w:rsidRDefault="00716E4B" w:rsidP="00716E4B">
      <w:pPr>
        <w:spacing w:after="0" w:line="240" w:lineRule="auto"/>
        <w:ind w:left="720"/>
        <w:rPr>
          <w:rFonts w:ascii="Arial" w:eastAsia="Times New Roman" w:hAnsi="Arial" w:cstheme="minorHAnsi"/>
          <w:kern w:val="0"/>
          <w14:ligatures w14:val="none"/>
        </w:rPr>
      </w:pPr>
    </w:p>
    <w:bookmarkEnd w:id="0"/>
    <w:bookmarkEnd w:id="1"/>
    <w:bookmarkEnd w:id="2"/>
    <w:p w14:paraId="35D85F01" w14:textId="77777777" w:rsidR="00716E4B" w:rsidRPr="00716E4B" w:rsidRDefault="00716E4B" w:rsidP="00716E4B">
      <w:pPr>
        <w:rPr>
          <w:rFonts w:ascii="Arial" w:eastAsiaTheme="minorEastAsia" w:hAnsi="Arial" w:cs="Arial"/>
          <w:kern w:val="0"/>
          <w:sz w:val="18"/>
          <w:szCs w:val="18"/>
          <w14:ligatures w14:val="none"/>
        </w:rPr>
      </w:pPr>
    </w:p>
    <w:p w14:paraId="1F90602C" w14:textId="77777777" w:rsidR="00BE341E" w:rsidRDefault="00BE341E"/>
    <w:sectPr w:rsidR="00BE341E" w:rsidSect="00C85130">
      <w:footerReference w:type="default" r:id="rId20"/>
      <w:pgSz w:w="11900" w:h="16840"/>
      <w:pgMar w:top="1440" w:right="1440" w:bottom="1440" w:left="1440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E6FA" w14:textId="77777777" w:rsidR="00701DB9" w:rsidRDefault="00701DB9">
      <w:pPr>
        <w:spacing w:after="0" w:line="240" w:lineRule="auto"/>
      </w:pPr>
      <w:r>
        <w:separator/>
      </w:r>
    </w:p>
  </w:endnote>
  <w:endnote w:type="continuationSeparator" w:id="0">
    <w:p w14:paraId="77F44448" w14:textId="77777777" w:rsidR="00701DB9" w:rsidRDefault="0070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23890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0D3382" w14:textId="77777777" w:rsidR="00525F7C" w:rsidRPr="003E29B5" w:rsidRDefault="00CE6DDB" w:rsidP="006825C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6825CD">
              <w:rPr>
                <w:noProof/>
                <w:lang w:eastAsia="en-AU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AA22" w14:textId="77777777" w:rsidR="00701DB9" w:rsidRDefault="00701DB9">
      <w:pPr>
        <w:spacing w:after="0" w:line="240" w:lineRule="auto"/>
      </w:pPr>
      <w:r>
        <w:separator/>
      </w:r>
    </w:p>
  </w:footnote>
  <w:footnote w:type="continuationSeparator" w:id="0">
    <w:p w14:paraId="456173D0" w14:textId="77777777" w:rsidR="00701DB9" w:rsidRDefault="0070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269"/>
    <w:multiLevelType w:val="hybridMultilevel"/>
    <w:tmpl w:val="B30C7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8F5"/>
    <w:multiLevelType w:val="hybridMultilevel"/>
    <w:tmpl w:val="7D0EF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78EB"/>
    <w:multiLevelType w:val="hybridMultilevel"/>
    <w:tmpl w:val="313AD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56073">
    <w:abstractNumId w:val="0"/>
  </w:num>
  <w:num w:numId="2" w16cid:durableId="1535728208">
    <w:abstractNumId w:val="2"/>
  </w:num>
  <w:num w:numId="3" w16cid:durableId="63183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B"/>
    <w:rsid w:val="00066DBE"/>
    <w:rsid w:val="003A76B0"/>
    <w:rsid w:val="003C55CF"/>
    <w:rsid w:val="00525F7C"/>
    <w:rsid w:val="005940BF"/>
    <w:rsid w:val="006910F8"/>
    <w:rsid w:val="00701DB9"/>
    <w:rsid w:val="00716E4B"/>
    <w:rsid w:val="00755CCD"/>
    <w:rsid w:val="007C4F6A"/>
    <w:rsid w:val="009B77A1"/>
    <w:rsid w:val="00AF1F0B"/>
    <w:rsid w:val="00AF5195"/>
    <w:rsid w:val="00BE341E"/>
    <w:rsid w:val="00CE6DDB"/>
    <w:rsid w:val="00D870E4"/>
    <w:rsid w:val="00F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6A42"/>
  <w15:chartTrackingRefBased/>
  <w15:docId w15:val="{78E9F1C8-F811-49DE-8B09-C755840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16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E4B"/>
  </w:style>
  <w:style w:type="character" w:styleId="CommentReference">
    <w:name w:val="annotation reference"/>
    <w:basedOn w:val="DefaultParagraphFont"/>
    <w:uiPriority w:val="99"/>
    <w:semiHidden/>
    <w:unhideWhenUsed/>
    <w:rsid w:val="00716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E4B"/>
    <w:pPr>
      <w:spacing w:after="120" w:line="240" w:lineRule="auto"/>
    </w:pPr>
    <w:rPr>
      <w:rFonts w:ascii="Arial" w:eastAsiaTheme="minorEastAsia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E4B"/>
    <w:rPr>
      <w:rFonts w:ascii="Arial" w:eastAsiaTheme="minorEastAsia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870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123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235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235"/>
    <w:rPr>
      <w:rFonts w:ascii="Arial" w:eastAsiaTheme="minorEastAsia" w:hAnsi="Arial" w:cs="Arial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76B0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Recommendation,Bullet point,Dot Points,L,DDM Gen Text,List Paragraph - bullets,NFP GP Bulleted List,bullet point list,Bullet points,Content descriptions,Bullet Point,Capire List Paragraph,列出段落,列,FooterText"/>
    <w:basedOn w:val="Normal"/>
    <w:link w:val="ListParagraphChar"/>
    <w:uiPriority w:val="34"/>
    <w:qFormat/>
    <w:rsid w:val="007C4F6A"/>
    <w:pPr>
      <w:spacing w:after="120" w:line="240" w:lineRule="atLeast"/>
      <w:ind w:left="720"/>
      <w:contextualSpacing/>
    </w:pPr>
    <w:rPr>
      <w:rFonts w:ascii="Arial" w:eastAsiaTheme="minorEastAsia" w:hAnsi="Arial" w:cs="Arial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Paragraph1 Char,List Paragraph11 Char,Recommendation Char,Bullet point Char,Dot Points Char,L Char,DDM Gen Text Char,List Paragraph - bullets Char,NFP GP Bulleted List Char,bullet point list Char,Bullet points Char,列出段落 Char"/>
    <w:link w:val="ListParagraph"/>
    <w:uiPriority w:val="34"/>
    <w:locked/>
    <w:rsid w:val="007C4F6A"/>
    <w:rPr>
      <w:rFonts w:ascii="Arial" w:eastAsiaTheme="minorEastAsia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pay.eduweb.vic.gov.au/psp/EDUPPRD1/EMPLOYEE/PSFT_LM/c/LM_OD_EMPLOYEE_FL.LM_CRS_DTL_FL.GBL?Page=LM_CRS_DTL_FL&amp;Action=U&amp;LM_ACT_ID=1717&amp;LM_CI_ID=1306&amp;NAV=URL" TargetMode="External"/><Relationship Id="rId13" Type="http://schemas.openxmlformats.org/officeDocument/2006/relationships/hyperlink" Target="https://edupay.eduweb.vic.gov.au/psp/EDUPPRD1/EMPLOYEE/PSFT_LM/c/LM_OD_EMPLOYEE_FL.LM_CRS_DTL_FL.GBL?Page=LM_CRS_DTL_FL&amp;Action=U&amp;LM_ACT_ID=3224&amp;LM_CI_ID=1494&amp;NAV=URL" TargetMode="External"/><Relationship Id="rId18" Type="http://schemas.openxmlformats.org/officeDocument/2006/relationships/hyperlink" Target="https://www2.education.vic.gov.au/pal/workers-compensation/polic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2.education.vic.gov.au/pal/workers-compensation/resources" TargetMode="External"/><Relationship Id="rId12" Type="http://schemas.openxmlformats.org/officeDocument/2006/relationships/hyperlink" Target="https://edupay.eduweb.vic.gov.au/psp/EDUPPRD1/EMPLOYEE/PSFT_LM/c/LM_OD_EMPLOYEE_FL.LM_CRS_DTL_FL.GBL?Page=LM_CRS_DTL_FL&amp;Action=U&amp;LM_ACT_ID=3218&amp;LM_CI_ID=1490&amp;NAV=URL" TargetMode="External"/><Relationship Id="rId17" Type="http://schemas.openxmlformats.org/officeDocument/2006/relationships/hyperlink" Target="https://www2.education.vic.gov.au/pa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edupay.eduweb.vic.gov.au/psp/EDUPPRD1/EMPLOYEE/PSFT_LM/c/LM_OD_EMPLOYEE_FL.LM_CRS_DTL_FL.GBL?Page=LM_CRS_DTL_FL&amp;Action=U&amp;LM_ACT_ID=3941&amp;LM_CI_ID=1563&amp;NAV=UR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pay.eduweb.vic.gov.au/psp/EDUPPRD1/EMPLOYEE/PSFT_LM/c/LM_OD_EMPLOYEE_FL.LM_CRS_DTL_FL.GBL?Page=LM_CRS_DTL_FL&amp;Action=U&amp;LM_ACT_ID=3217&amp;LM_CI_ID=1488&amp;NAV=URL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edupay.eduweb.vic.gov.au/psp/EDUPPRD1/EMPLOYEE/PSFT_LM/c/LM_OD_EMPLOYEE_FL.LM_CRS_DTL_FL.GBL?Page=LM_CRS_DTL_FL&amp;Action=U&amp;LM_ACT_ID=3219&amp;LM_CI_ID=1491&amp;NAV=UR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edupayelm.eduweb.vic.gov.au/psc/ELMPPRD1/EMPLOYEE/PSFT_LM/c/LM_OD_EMPLOYEE_FL.LM_CRS_DTL_FL.GBL?Page=LM_CRS_DTL_FL&amp;Action=U&amp;ForceSearch=Y&amp;LM_CI_ID=1487" TargetMode="External"/><Relationship Id="rId19" Type="http://schemas.openxmlformats.org/officeDocument/2006/relationships/hyperlink" Target="mailto:workers.compensation.advisory@education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pay.eduweb.vic.gov.au/psp/EDUPPRD1/EMPLOYEE/PSFT_LM/c/LM_OD_EMPLOYEE_FL.LM_CRS_DTL_FL.GBL?Page=LM_CRS_DTL_FL&amp;Action=U&amp;LM_ACT_ID=1723&amp;LM_CI_ID=1307&amp;NAV=URL" TargetMode="External"/><Relationship Id="rId14" Type="http://schemas.openxmlformats.org/officeDocument/2006/relationships/hyperlink" Target="https://edupayelm.eduweb.vic.gov.au/psc/ELMPPRD1/EMPLOYEE/PSFT_LM/c/LM_OD_EMPLOYEE_FL.LM_CRS_DTL_FL.GBL?Page=LM_CRS_DTL_FL&amp;Action=U&amp;ForceSearch=Y&amp;LM_CI_ID=15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405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061FB51B-1CBA-4674-8E5D-684504F7E9F7}"/>
</file>

<file path=customXml/itemProps2.xml><?xml version="1.0" encoding="utf-8"?>
<ds:datastoreItem xmlns:ds="http://schemas.openxmlformats.org/officeDocument/2006/customXml" ds:itemID="{2D9E1B75-8D02-4A49-940A-F381431AA1D1}"/>
</file>

<file path=customXml/itemProps3.xml><?xml version="1.0" encoding="utf-8"?>
<ds:datastoreItem xmlns:ds="http://schemas.openxmlformats.org/officeDocument/2006/customXml" ds:itemID="{6641819F-E2F1-47C6-AE14-FA0DAA685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Kendhe</dc:creator>
  <cp:keywords/>
  <dc:description/>
  <cp:lastModifiedBy>Aditi Kendhe</cp:lastModifiedBy>
  <cp:revision>2</cp:revision>
  <dcterms:created xsi:type="dcterms:W3CDTF">2023-09-18T00:43:00Z</dcterms:created>
  <dcterms:modified xsi:type="dcterms:W3CDTF">2023-09-18T00:43:00Z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c1f8ebbf837832ebe2eb63d1d038a6d7d9aa31a87f14e68af3451207f4b37b79</vt:lpwstr>
  </property>
  <property fmtid="{D5CDD505-2E9C-101B-9397-08002B2CF9AE}" pid="3" name="ContentTypeId">
    <vt:lpwstr>0x0101008D837B29B15B0F4C8E944F501DC9554C</vt:lpwstr>
  </property>
</Properties>
</file>