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3E0D" w14:textId="61D6B28E" w:rsidR="00E17403" w:rsidRPr="007942B5" w:rsidRDefault="00E17403" w:rsidP="00BD4AF6">
      <w:pPr>
        <w:pStyle w:val="Heading2"/>
        <w:spacing w:after="0"/>
        <w:rPr>
          <w:rFonts w:ascii="Calibri" w:hAnsi="Calibri" w:cs="Calibri"/>
        </w:rPr>
      </w:pPr>
      <w:r w:rsidRPr="007942B5">
        <w:rPr>
          <w:rFonts w:ascii="Calibri" w:hAnsi="Calibri" w:cs="Calibri"/>
        </w:rPr>
        <w:t xml:space="preserve">CATEGORIES OF ANIMAL USE </w:t>
      </w:r>
    </w:p>
    <w:p w14:paraId="25CE80CC" w14:textId="1D864A6B" w:rsidR="00954ABD" w:rsidRDefault="00954ABD" w:rsidP="00BD4AF6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Pr="00BD4AF6">
        <w:rPr>
          <w:rFonts w:ascii="Calibri" w:hAnsi="Calibri" w:cs="Calibri"/>
          <w:i/>
          <w:iCs/>
        </w:rPr>
        <w:t>Categories of Animal Use</w:t>
      </w:r>
      <w:r>
        <w:rPr>
          <w:rFonts w:ascii="Calibri" w:hAnsi="Calibri" w:cs="Calibri"/>
        </w:rPr>
        <w:t xml:space="preserve"> </w:t>
      </w:r>
      <w:r w:rsidR="002237E4">
        <w:rPr>
          <w:rFonts w:ascii="Calibri" w:hAnsi="Calibri" w:cs="Calibri"/>
        </w:rPr>
        <w:t>shown in T</w:t>
      </w:r>
      <w:r>
        <w:rPr>
          <w:rFonts w:ascii="Calibri" w:hAnsi="Calibri" w:cs="Calibri"/>
        </w:rPr>
        <w:t>able</w:t>
      </w:r>
      <w:r w:rsidR="002237E4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 xml:space="preserve"> will assist school staff to identify whether </w:t>
      </w:r>
      <w:r w:rsidR="002237E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proposed ‘teaching with animals’ activit</w:t>
      </w:r>
      <w:r w:rsidR="002237E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require</w:t>
      </w:r>
      <w:r w:rsidR="002237E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the approval of the Victorian School</w:t>
      </w:r>
      <w:r w:rsidR="007D7B6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Animal Ethics Committee (VSAEC).</w:t>
      </w:r>
    </w:p>
    <w:p w14:paraId="235E73B5" w14:textId="2BDFA1EC" w:rsidR="003A611C" w:rsidRPr="003A611C" w:rsidRDefault="003A611C" w:rsidP="00073F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</w:rPr>
      </w:pPr>
      <w:r w:rsidRPr="001C0EFC">
        <w:rPr>
          <w:rFonts w:ascii="Calibri" w:hAnsi="Calibri" w:cs="Calibri"/>
          <w:color w:val="011A3C"/>
        </w:rPr>
        <w:t xml:space="preserve">For all animal use categories, schools are required to comply with animal welfare obligations outlined in </w:t>
      </w:r>
      <w:hyperlink r:id="rId11" w:history="1">
        <w:r w:rsidRPr="00E54FAD">
          <w:rPr>
            <w:rStyle w:val="Hyperlink"/>
            <w:rFonts w:ascii="Calibri" w:hAnsi="Calibri" w:cs="Calibri"/>
            <w:b/>
            <w:bCs/>
            <w:color w:val="E57100" w:themeColor="accent1"/>
          </w:rPr>
          <w:t>department policy</w:t>
        </w:r>
      </w:hyperlink>
      <w:r w:rsidRPr="001C0EFC">
        <w:rPr>
          <w:rFonts w:ascii="Calibri" w:hAnsi="Calibri" w:cs="Calibri"/>
          <w:color w:val="011A3C"/>
        </w:rPr>
        <w:t xml:space="preserve"> and the </w:t>
      </w:r>
      <w:hyperlink r:id="rId12" w:history="1">
        <w:r w:rsidRPr="00E54FAD">
          <w:rPr>
            <w:rStyle w:val="Hyperlink"/>
            <w:rFonts w:ascii="Calibri" w:hAnsi="Calibri" w:cs="Calibri"/>
            <w:b/>
            <w:bCs/>
            <w:color w:val="E57100" w:themeColor="accent1"/>
          </w:rPr>
          <w:t>Victorian Codes of Practice</w:t>
        </w:r>
      </w:hyperlink>
      <w:r w:rsidRPr="001C0EFC">
        <w:rPr>
          <w:rFonts w:ascii="Calibri" w:hAnsi="Calibri" w:cs="Calibri"/>
          <w:color w:val="011A3C"/>
        </w:rPr>
        <w:t xml:space="preserve">. </w:t>
      </w:r>
      <w:r w:rsidRPr="00E54FAD">
        <w:rPr>
          <w:rFonts w:ascii="Calibri" w:hAnsi="Calibri" w:cs="Calibri"/>
          <w:b/>
          <w:bCs/>
          <w:color w:val="E57100" w:themeColor="accent1"/>
          <w:u w:val="single"/>
        </w:rPr>
        <w:t>The</w:t>
      </w:r>
      <w:r w:rsidR="008C1CCF">
        <w:rPr>
          <w:rFonts w:ascii="Calibri" w:hAnsi="Calibri" w:cs="Calibri"/>
          <w:b/>
          <w:bCs/>
          <w:color w:val="E57100" w:themeColor="accent1"/>
          <w:u w:val="single"/>
        </w:rPr>
        <w:t xml:space="preserve"> </w:t>
      </w:r>
      <w:hyperlink r:id="rId13" w:tgtFrame="_blank" w:history="1">
        <w:r w:rsidRPr="00E54FAD">
          <w:rPr>
            <w:rStyle w:val="rpl-text-label"/>
            <w:rFonts w:ascii="Calibri" w:eastAsiaTheme="majorEastAsia" w:hAnsi="Calibri" w:cs="Calibri"/>
            <w:b/>
            <w:bCs/>
            <w:color w:val="E57100" w:themeColor="accent1"/>
            <w:u w:val="single"/>
          </w:rPr>
          <w:t>Wildlife in</w:t>
        </w:r>
        <w:r w:rsidR="008C1CCF">
          <w:rPr>
            <w:rStyle w:val="rpl-text-label"/>
            <w:rFonts w:ascii="Calibri" w:eastAsiaTheme="majorEastAsia" w:hAnsi="Calibri" w:cs="Calibri"/>
            <w:b/>
            <w:bCs/>
            <w:color w:val="E57100" w:themeColor="accent1"/>
            <w:u w:val="single"/>
          </w:rPr>
          <w:t xml:space="preserve"> </w:t>
        </w:r>
        <w:r w:rsidRPr="00E54FAD">
          <w:rPr>
            <w:rStyle w:val="rpl-text-icongroup"/>
            <w:rFonts w:ascii="Calibri" w:hAnsi="Calibri" w:cs="Calibri"/>
            <w:b/>
            <w:bCs/>
            <w:color w:val="E57100" w:themeColor="accent1"/>
            <w:u w:val="single"/>
          </w:rPr>
          <w:t>schools</w:t>
        </w:r>
      </w:hyperlink>
      <w:r w:rsidR="008C1CCF">
        <w:rPr>
          <w:rFonts w:ascii="Calibri" w:hAnsi="Calibri" w:cs="Calibri"/>
          <w:color w:val="011A3C"/>
        </w:rPr>
        <w:t xml:space="preserve"> </w:t>
      </w:r>
      <w:r w:rsidRPr="001C0EFC">
        <w:rPr>
          <w:rFonts w:ascii="Calibri" w:hAnsi="Calibri" w:cs="Calibri"/>
          <w:color w:val="011A3C"/>
        </w:rPr>
        <w:t xml:space="preserve">guidance may also apply. Regardless of </w:t>
      </w:r>
      <w:r w:rsidR="007D7B69">
        <w:rPr>
          <w:rFonts w:ascii="Calibri" w:hAnsi="Calibri" w:cs="Calibri"/>
          <w:color w:val="011A3C"/>
        </w:rPr>
        <w:t>the</w:t>
      </w:r>
      <w:r w:rsidRPr="001C0EFC">
        <w:rPr>
          <w:rFonts w:ascii="Calibri" w:hAnsi="Calibri" w:cs="Calibri"/>
          <w:color w:val="011A3C"/>
        </w:rPr>
        <w:t xml:space="preserve"> category, schools must provide for the lifetime welfare of animals</w:t>
      </w:r>
      <w:r w:rsidR="007D7B69">
        <w:rPr>
          <w:rFonts w:ascii="Calibri" w:hAnsi="Calibri" w:cs="Calibri"/>
          <w:color w:val="011A3C"/>
        </w:rPr>
        <w:t>,</w:t>
      </w:r>
      <w:r w:rsidRPr="001C0EFC">
        <w:rPr>
          <w:rFonts w:ascii="Calibri" w:hAnsi="Calibri" w:cs="Calibri"/>
          <w:color w:val="011A3C"/>
        </w:rPr>
        <w:t xml:space="preserve"> and their offspring.</w:t>
      </w:r>
    </w:p>
    <w:p w14:paraId="38FFEFB7" w14:textId="77777777" w:rsidR="00BD4AF6" w:rsidRDefault="00954ABD" w:rsidP="00073F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</w:rPr>
      </w:pPr>
      <w:r w:rsidRPr="00954ABD">
        <w:rPr>
          <w:rFonts w:ascii="Calibri" w:hAnsi="Calibri" w:cs="Calibri"/>
        </w:rPr>
        <w:t xml:space="preserve">By law, any use of animals in schools that constitutes a 'scientific procedure' requires an ethics </w:t>
      </w:r>
      <w:r w:rsidRPr="002237E4">
        <w:rPr>
          <w:rFonts w:ascii="Calibri" w:hAnsi="Calibri" w:cs="Calibri"/>
        </w:rPr>
        <w:t>application to the VSAEC, and the project must not begin until the school has received VSAEC approval.</w:t>
      </w:r>
      <w:r w:rsidR="007942B5">
        <w:rPr>
          <w:rFonts w:ascii="Calibri" w:hAnsi="Calibri" w:cs="Calibri"/>
        </w:rPr>
        <w:t xml:space="preserve"> </w:t>
      </w:r>
    </w:p>
    <w:p w14:paraId="45947662" w14:textId="011630BF" w:rsidR="00954ABD" w:rsidRPr="00BD4AF6" w:rsidRDefault="00BD4AF6" w:rsidP="00073F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</w:rPr>
      </w:pPr>
      <w:r w:rsidRPr="00BD4AF6">
        <w:rPr>
          <w:rFonts w:ascii="Calibri" w:hAnsi="Calibri" w:cs="Calibri"/>
        </w:rPr>
        <w:t xml:space="preserve">A </w:t>
      </w:r>
      <w:r w:rsidR="007942B5" w:rsidRPr="00BD4AF6">
        <w:rPr>
          <w:rFonts w:ascii="Calibri" w:hAnsi="Calibri" w:cs="Calibri"/>
          <w:b/>
          <w:bCs/>
        </w:rPr>
        <w:t>scientific procedure</w:t>
      </w:r>
      <w:r w:rsidR="007942B5">
        <w:rPr>
          <w:rFonts w:ascii="Calibri" w:hAnsi="Calibri" w:cs="Calibri"/>
        </w:rPr>
        <w:t xml:space="preserve"> is defined as </w:t>
      </w:r>
      <w:r w:rsidR="007942B5" w:rsidRPr="00BD4AF6">
        <w:rPr>
          <w:rFonts w:ascii="Calibri" w:hAnsi="Calibri" w:cs="Calibri"/>
          <w:i/>
          <w:iCs/>
          <w:lang w:val="en-GB"/>
        </w:rPr>
        <w:t>a technique employed when caring for or using animals for scientific purposes. One or more procedures may be used in an activity</w:t>
      </w:r>
      <w:r>
        <w:rPr>
          <w:rFonts w:ascii="Calibri" w:hAnsi="Calibri" w:cs="Calibri"/>
          <w:lang w:val="en-GB"/>
        </w:rPr>
        <w:t xml:space="preserve"> by</w:t>
      </w:r>
      <w:r>
        <w:rPr>
          <w:rFonts w:ascii="Calibri" w:hAnsi="Calibri" w:cs="Calibri"/>
        </w:rPr>
        <w:t xml:space="preserve"> the </w:t>
      </w:r>
      <w:hyperlink r:id="rId14" w:history="1">
        <w:r w:rsidRPr="00BD4AF6">
          <w:rPr>
            <w:rStyle w:val="Hyperlink"/>
            <w:rFonts w:ascii="Calibri" w:hAnsi="Calibri" w:cs="Calibri"/>
            <w:b/>
            <w:bCs/>
            <w:color w:val="E57100" w:themeColor="accent1"/>
          </w:rPr>
          <w:t>Australian Code for the Care and Use of Animals for Scientific Purposes</w:t>
        </w:r>
      </w:hyperlink>
      <w:r w:rsidRPr="00BD4AF6">
        <w:rPr>
          <w:rFonts w:ascii="Calibri" w:hAnsi="Calibri" w:cs="Calibri"/>
        </w:rPr>
        <w:t>.</w:t>
      </w:r>
    </w:p>
    <w:p w14:paraId="01CB3A67" w14:textId="59347DCC" w:rsidR="003A611C" w:rsidRPr="002237E4" w:rsidRDefault="002237E4" w:rsidP="00073FC8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</w:rPr>
      </w:pPr>
      <w:r w:rsidRPr="002237E4">
        <w:rPr>
          <w:rFonts w:ascii="Calibri" w:hAnsi="Calibri" w:cs="Calibri"/>
          <w:b/>
          <w:bCs/>
        </w:rPr>
        <w:t>Pre-Approved Activities</w:t>
      </w:r>
    </w:p>
    <w:p w14:paraId="366B4D51" w14:textId="54BC4638" w:rsidR="00E17403" w:rsidRPr="002237E4" w:rsidRDefault="00E17403" w:rsidP="00073F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 w:cs="Calibri"/>
        </w:rPr>
      </w:pPr>
      <w:r w:rsidRPr="002237E4">
        <w:rPr>
          <w:rFonts w:ascii="Calibri" w:hAnsi="Calibri" w:cs="Calibri"/>
        </w:rPr>
        <w:t xml:space="preserve">There are </w:t>
      </w:r>
      <w:r w:rsidRPr="001C0EFC">
        <w:rPr>
          <w:rFonts w:ascii="Calibri" w:hAnsi="Calibri" w:cs="Calibri"/>
          <w:b/>
          <w:bCs/>
        </w:rPr>
        <w:t>eight Pre-Approved Activities</w:t>
      </w:r>
      <w:r w:rsidRPr="002237E4">
        <w:rPr>
          <w:rFonts w:ascii="Calibri" w:hAnsi="Calibri" w:cs="Calibri"/>
        </w:rPr>
        <w:t xml:space="preserve"> detailed on the</w:t>
      </w:r>
      <w:r w:rsidR="008C1CCF">
        <w:rPr>
          <w:rFonts w:ascii="Calibri" w:hAnsi="Calibri" w:cs="Calibri"/>
        </w:rPr>
        <w:t xml:space="preserve"> </w:t>
      </w:r>
      <w:hyperlink r:id="rId15" w:history="1">
        <w:r w:rsidRPr="002237E4">
          <w:rPr>
            <w:rStyle w:val="Heading3Char"/>
            <w:rFonts w:ascii="Calibri" w:hAnsi="Calibri" w:cs="Calibri"/>
            <w:u w:val="single"/>
          </w:rPr>
          <w:t>Resources tab</w:t>
        </w:r>
      </w:hyperlink>
      <w:r w:rsidRPr="002237E4">
        <w:rPr>
          <w:rFonts w:ascii="Calibri" w:hAnsi="Calibri" w:cs="Calibri"/>
          <w:color w:val="011A3C"/>
        </w:rPr>
        <w:t xml:space="preserve"> of the Policy and Advisory Library</w:t>
      </w:r>
      <w:r w:rsidRPr="002237E4">
        <w:rPr>
          <w:rFonts w:ascii="Calibri" w:hAnsi="Calibri" w:cs="Calibri"/>
        </w:rPr>
        <w:t xml:space="preserve">. If a school is undertaking one of these activities, the school must submit a </w:t>
      </w:r>
      <w:hyperlink r:id="rId16" w:history="1">
        <w:r w:rsidRPr="00E54FAD">
          <w:rPr>
            <w:rStyle w:val="Hyperlink"/>
            <w:rFonts w:ascii="Calibri" w:hAnsi="Calibri" w:cs="Calibri"/>
            <w:b/>
            <w:bCs/>
            <w:color w:val="E57100" w:themeColor="accent1"/>
          </w:rPr>
          <w:t>Notice of Intent</w:t>
        </w:r>
      </w:hyperlink>
      <w:r w:rsidRPr="00E54FAD">
        <w:rPr>
          <w:rFonts w:ascii="Calibri" w:hAnsi="Calibri" w:cs="Calibri"/>
          <w:color w:val="E57100" w:themeColor="accent1"/>
        </w:rPr>
        <w:t xml:space="preserve"> </w:t>
      </w:r>
      <w:r w:rsidRPr="002237E4">
        <w:rPr>
          <w:rFonts w:ascii="Calibri" w:hAnsi="Calibri" w:cs="Calibri"/>
        </w:rPr>
        <w:t>to the VSAEC.</w:t>
      </w:r>
    </w:p>
    <w:p w14:paraId="4D81F909" w14:textId="6E6BEF14" w:rsidR="00E17403" w:rsidRPr="002237E4" w:rsidRDefault="00E17403" w:rsidP="00073FC8">
      <w:pPr>
        <w:pStyle w:val="NormalWeb"/>
        <w:shd w:val="clear" w:color="auto" w:fill="FFFFFF"/>
        <w:spacing w:before="120" w:beforeAutospacing="0" w:after="240" w:afterAutospacing="0"/>
        <w:jc w:val="both"/>
        <w:rPr>
          <w:rFonts w:ascii="Calibri" w:hAnsi="Calibri" w:cs="Calibri"/>
          <w:i/>
          <w:iCs/>
        </w:rPr>
      </w:pPr>
      <w:r w:rsidRPr="002237E4">
        <w:rPr>
          <w:rFonts w:ascii="Calibri" w:hAnsi="Calibri" w:cs="Calibri"/>
          <w:b/>
          <w:bCs/>
        </w:rPr>
        <w:t xml:space="preserve">If your planned activity is not a pre-approved activity, </w:t>
      </w:r>
      <w:r w:rsidRPr="002237E4">
        <w:rPr>
          <w:rFonts w:ascii="Calibri" w:hAnsi="Calibri" w:cs="Calibri"/>
        </w:rPr>
        <w:t>please consider which of the four categories of animal use it</w:t>
      </w:r>
      <w:r w:rsidR="008C1CCF">
        <w:rPr>
          <w:rFonts w:ascii="Calibri" w:hAnsi="Calibri" w:cs="Calibri"/>
        </w:rPr>
        <w:t xml:space="preserve"> </w:t>
      </w:r>
      <w:r w:rsidRPr="002237E4">
        <w:rPr>
          <w:rFonts w:ascii="Calibri" w:hAnsi="Calibri" w:cs="Calibri"/>
        </w:rPr>
        <w:t>falls under</w:t>
      </w:r>
      <w:r w:rsidR="007D7B69">
        <w:rPr>
          <w:rFonts w:ascii="Calibri" w:hAnsi="Calibri" w:cs="Calibri"/>
        </w:rPr>
        <w:t xml:space="preserve"> (refer to Table 1)</w:t>
      </w:r>
      <w:r w:rsidRPr="002237E4">
        <w:rPr>
          <w:rFonts w:ascii="Calibri" w:hAnsi="Calibri" w:cs="Calibri"/>
        </w:rPr>
        <w:t xml:space="preserve">. </w:t>
      </w:r>
      <w:r w:rsidRPr="002237E4">
        <w:rPr>
          <w:rFonts w:ascii="Calibri" w:hAnsi="Calibri" w:cs="Calibri"/>
          <w:i/>
          <w:iCs/>
        </w:rPr>
        <w:t xml:space="preserve">Note the definition of scientific purposes below. </w:t>
      </w:r>
    </w:p>
    <w:p w14:paraId="09B293B7" w14:textId="7EB008BD" w:rsidR="002237E4" w:rsidRPr="002237E4" w:rsidRDefault="00E17403" w:rsidP="00073FC8">
      <w:pPr>
        <w:spacing w:before="120"/>
        <w:jc w:val="both"/>
        <w:rPr>
          <w:rFonts w:ascii="Calibri" w:eastAsia="Times New Roman" w:hAnsi="Calibri" w:cs="Calibri"/>
          <w:sz w:val="24"/>
          <w:lang w:val="en-AU" w:eastAsia="zh-CN"/>
        </w:rPr>
      </w:pPr>
      <w:r w:rsidRPr="002237E4">
        <w:rPr>
          <w:rFonts w:ascii="Calibri" w:eastAsia="Times New Roman" w:hAnsi="Calibri" w:cs="Calibri"/>
          <w:b/>
          <w:bCs/>
          <w:sz w:val="24"/>
          <w:lang w:val="en-AU" w:eastAsia="zh-CN"/>
        </w:rPr>
        <w:t xml:space="preserve">Scientific </w:t>
      </w:r>
      <w:r w:rsidR="007D7B69">
        <w:rPr>
          <w:rFonts w:ascii="Calibri" w:eastAsia="Times New Roman" w:hAnsi="Calibri" w:cs="Calibri"/>
          <w:b/>
          <w:bCs/>
          <w:sz w:val="24"/>
          <w:lang w:val="en-AU" w:eastAsia="zh-CN"/>
        </w:rPr>
        <w:t>p</w:t>
      </w:r>
      <w:r w:rsidRPr="002237E4">
        <w:rPr>
          <w:rFonts w:ascii="Calibri" w:eastAsia="Times New Roman" w:hAnsi="Calibri" w:cs="Calibri"/>
          <w:b/>
          <w:bCs/>
          <w:sz w:val="24"/>
          <w:lang w:val="en-AU" w:eastAsia="zh-CN"/>
        </w:rPr>
        <w:t>urposes</w:t>
      </w:r>
      <w:r w:rsidR="002237E4" w:rsidRPr="002237E4">
        <w:rPr>
          <w:rFonts w:ascii="Calibri" w:eastAsia="Times New Roman" w:hAnsi="Calibri" w:cs="Calibri"/>
          <w:b/>
          <w:bCs/>
          <w:sz w:val="24"/>
          <w:lang w:val="en-AU" w:eastAsia="zh-CN"/>
        </w:rPr>
        <w:t xml:space="preserve"> definition</w:t>
      </w:r>
    </w:p>
    <w:p w14:paraId="636F0079" w14:textId="5C9D506A" w:rsidR="00BD4AF6" w:rsidRPr="00BD4AF6" w:rsidRDefault="002237E4" w:rsidP="00073FC8">
      <w:pPr>
        <w:spacing w:before="120"/>
        <w:jc w:val="both"/>
        <w:rPr>
          <w:rFonts w:ascii="Calibri" w:eastAsia="Times New Roman" w:hAnsi="Calibri" w:cs="Calibri"/>
          <w:sz w:val="24"/>
          <w:lang w:val="en-AU" w:eastAsia="zh-CN"/>
        </w:rPr>
      </w:pPr>
      <w:r w:rsidRPr="002237E4">
        <w:rPr>
          <w:rFonts w:ascii="Calibri" w:eastAsia="Times New Roman" w:hAnsi="Calibri" w:cs="Calibri"/>
          <w:sz w:val="24"/>
          <w:lang w:val="en-AU" w:eastAsia="zh-CN"/>
        </w:rPr>
        <w:t>A</w:t>
      </w:r>
      <w:r w:rsidR="00E17403" w:rsidRPr="002237E4">
        <w:rPr>
          <w:rFonts w:ascii="Calibri" w:eastAsia="Times New Roman" w:hAnsi="Calibri" w:cs="Calibri"/>
          <w:sz w:val="24"/>
          <w:lang w:val="en-AU" w:eastAsia="zh-CN"/>
        </w:rPr>
        <w:t xml:space="preserve">ll activities conducted with the aim of acquiring, </w:t>
      </w:r>
      <w:r w:rsidR="007924D5" w:rsidRPr="002237E4">
        <w:rPr>
          <w:rFonts w:ascii="Calibri" w:eastAsia="Times New Roman" w:hAnsi="Calibri" w:cs="Calibri"/>
          <w:sz w:val="24"/>
          <w:lang w:val="en-AU" w:eastAsia="zh-CN"/>
        </w:rPr>
        <w:t>developing,</w:t>
      </w:r>
      <w:r w:rsidR="00E17403" w:rsidRPr="002237E4">
        <w:rPr>
          <w:rFonts w:ascii="Calibri" w:eastAsia="Times New Roman" w:hAnsi="Calibri" w:cs="Calibri"/>
          <w:sz w:val="24"/>
          <w:lang w:val="en-AU" w:eastAsia="zh-CN"/>
        </w:rPr>
        <w:t xml:space="preserve"> or demonstrating knowledge or techniques in all areas of science, including teaching, field trials, environmental studies, research (including the creation and breeding of a new animal line where the impact on animal wellbeing is unknown or uncertain), diagnosis, product testing and the production of biological products.</w:t>
      </w:r>
    </w:p>
    <w:p w14:paraId="0D520522" w14:textId="5DD5857D" w:rsidR="002237E4" w:rsidRPr="005527AF" w:rsidRDefault="002237E4" w:rsidP="00D344AB">
      <w:pPr>
        <w:jc w:val="both"/>
        <w:rPr>
          <w:rFonts w:ascii="Calibri" w:eastAsia="Times New Roman" w:hAnsi="Calibri" w:cs="Calibri"/>
          <w:b/>
          <w:bCs/>
          <w:sz w:val="24"/>
          <w:lang w:val="en-AU" w:eastAsia="zh-CN"/>
        </w:rPr>
      </w:pPr>
      <w:r w:rsidRPr="005527AF">
        <w:rPr>
          <w:rFonts w:ascii="Calibri" w:hAnsi="Calibri" w:cs="Calibri"/>
          <w:b/>
          <w:bCs/>
          <w:sz w:val="24"/>
        </w:rPr>
        <w:t>Table 1: Categories of Animal Use</w:t>
      </w:r>
    </w:p>
    <w:tbl>
      <w:tblPr>
        <w:tblStyle w:val="TableGrid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853"/>
        <w:gridCol w:w="2673"/>
        <w:gridCol w:w="2014"/>
      </w:tblGrid>
      <w:tr w:rsidR="004A31F6" w:rsidRPr="00B569CB" w14:paraId="40EF1AAD" w14:textId="77777777" w:rsidTr="00D3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FFA956" w:themeFill="accent1" w:themeFillTint="99"/>
          </w:tcPr>
          <w:p w14:paraId="24986A39" w14:textId="77777777" w:rsidR="00E17403" w:rsidRPr="00B569CB" w:rsidRDefault="00E17403" w:rsidP="008203F5">
            <w:pPr>
              <w:pStyle w:val="NormalWeb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569C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Category of use</w:t>
            </w:r>
          </w:p>
        </w:tc>
        <w:tc>
          <w:tcPr>
            <w:tcW w:w="2853" w:type="dxa"/>
            <w:shd w:val="clear" w:color="auto" w:fill="FFA956" w:themeFill="accent1" w:themeFillTint="99"/>
          </w:tcPr>
          <w:p w14:paraId="062FC26F" w14:textId="77777777" w:rsidR="00E17403" w:rsidRPr="00B569CB" w:rsidRDefault="00E17403" w:rsidP="008203F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569C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Description </w:t>
            </w:r>
          </w:p>
        </w:tc>
        <w:tc>
          <w:tcPr>
            <w:tcW w:w="2673" w:type="dxa"/>
            <w:shd w:val="clear" w:color="auto" w:fill="FFA956" w:themeFill="accent1" w:themeFillTint="99"/>
          </w:tcPr>
          <w:p w14:paraId="7142D8DD" w14:textId="77777777" w:rsidR="00E17403" w:rsidRPr="00B569CB" w:rsidRDefault="00E17403" w:rsidP="008203F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569C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Conditions which apply to teachers and students </w:t>
            </w:r>
          </w:p>
        </w:tc>
        <w:tc>
          <w:tcPr>
            <w:tcW w:w="2014" w:type="dxa"/>
            <w:shd w:val="clear" w:color="auto" w:fill="FFA956" w:themeFill="accent1" w:themeFillTint="99"/>
          </w:tcPr>
          <w:p w14:paraId="2C868D7F" w14:textId="77777777" w:rsidR="00E17403" w:rsidRPr="00B569CB" w:rsidRDefault="00E17403" w:rsidP="008203F5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569C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Example activities</w:t>
            </w:r>
          </w:p>
        </w:tc>
      </w:tr>
      <w:tr w:rsidR="00E17403" w:rsidRPr="00B569CB" w14:paraId="21E7A59A" w14:textId="77777777" w:rsidTr="00D344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FFE2C6" w:themeFill="accent1" w:themeFillTint="33"/>
          </w:tcPr>
          <w:p w14:paraId="2FDF3B03" w14:textId="77777777" w:rsidR="00E17403" w:rsidRPr="00AD5D19" w:rsidRDefault="00E17403" w:rsidP="00D344AB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5D19">
              <w:rPr>
                <w:rFonts w:ascii="Calibri" w:hAnsi="Calibri" w:cs="Calibri"/>
                <w:b/>
                <w:bCs/>
                <w:sz w:val="22"/>
                <w:szCs w:val="22"/>
              </w:rPr>
              <w:t>Category 1 activities do not require VSAEC approval</w:t>
            </w:r>
          </w:p>
        </w:tc>
      </w:tr>
      <w:tr w:rsidR="00E17403" w:rsidRPr="00B569CB" w14:paraId="3F6B0AE1" w14:textId="77777777" w:rsidTr="00D344AB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EC8D1AC" w14:textId="77777777" w:rsidR="00E17403" w:rsidRPr="00B569CB" w:rsidRDefault="00E17403" w:rsidP="00E17403">
            <w:pPr>
              <w:pStyle w:val="NormalWeb"/>
              <w:numPr>
                <w:ilvl w:val="0"/>
                <w:numId w:val="18"/>
              </w:numPr>
              <w:ind w:left="32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 xml:space="preserve">Observational studies of animals in their normal environment. </w:t>
            </w:r>
          </w:p>
          <w:p w14:paraId="09208D54" w14:textId="4B0E62B1" w:rsidR="00E17403" w:rsidRPr="00B569CB" w:rsidRDefault="00E17403" w:rsidP="008203F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welfare laws still apply. See also </w:t>
            </w:r>
            <w:hyperlink r:id="rId17" w:history="1">
              <w:r w:rsidRPr="007D7B69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Wildlife in Schools</w:t>
              </w:r>
            </w:hyperlink>
            <w:r w:rsidRPr="00B96F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guidance</w:t>
            </w:r>
            <w:r w:rsidR="00B96F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 the </w:t>
            </w:r>
            <w:hyperlink r:id="rId18" w:history="1">
              <w:r w:rsidR="00B96F11" w:rsidRPr="00B96F11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Teaching with Animals PAL page</w:t>
              </w:r>
            </w:hyperlink>
            <w:r w:rsidRPr="00B569C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A342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0" w:type="dxa"/>
          </w:tcPr>
          <w:p w14:paraId="40DA7AD3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No direct contact with animal(s)</w:t>
            </w:r>
          </w:p>
          <w:p w14:paraId="18A6CA0B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 xml:space="preserve">No disturbance to animal’s normal activity </w:t>
            </w:r>
          </w:p>
          <w:p w14:paraId="51A1D638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dxa"/>
          </w:tcPr>
          <w:p w14:paraId="48A41476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 xml:space="preserve">Teachers and students are responsible for not interfering with the animal’s environment and complying with animal welfare laws. </w:t>
            </w:r>
          </w:p>
        </w:tc>
        <w:tc>
          <w:tcPr>
            <w:tcW w:w="2014" w:type="dxa"/>
          </w:tcPr>
          <w:p w14:paraId="59B1BED8" w14:textId="5BF32810" w:rsidR="00E17403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Wildlife observation (e.g</w:t>
            </w:r>
            <w:r w:rsidR="008C1CCF">
              <w:rPr>
                <w:rFonts w:ascii="Calibri" w:hAnsi="Calibri" w:cs="Calibri"/>
                <w:sz w:val="22"/>
                <w:szCs w:val="22"/>
              </w:rPr>
              <w:t>.,</w:t>
            </w:r>
            <w:r w:rsidRPr="00B569CB">
              <w:rPr>
                <w:rFonts w:ascii="Calibri" w:hAnsi="Calibri" w:cs="Calibri"/>
                <w:sz w:val="22"/>
                <w:szCs w:val="22"/>
              </w:rPr>
              <w:t xml:space="preserve"> identifying birds in a local park)</w:t>
            </w:r>
          </w:p>
          <w:p w14:paraId="02BD9E35" w14:textId="7D83A278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Excursion to a zoo, wildlife facility or farm.</w:t>
            </w:r>
          </w:p>
        </w:tc>
      </w:tr>
      <w:tr w:rsidR="00E17403" w:rsidRPr="00B569CB" w14:paraId="2CDDF37C" w14:textId="77777777" w:rsidTr="00D3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FFE2C6" w:themeFill="accent1" w:themeFillTint="33"/>
          </w:tcPr>
          <w:p w14:paraId="088D395A" w14:textId="77777777" w:rsidR="00E17403" w:rsidRPr="00C10DB3" w:rsidRDefault="00E17403" w:rsidP="007D7B69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DB3">
              <w:rPr>
                <w:rFonts w:ascii="Calibri" w:hAnsi="Calibri" w:cs="Calibri"/>
                <w:b/>
                <w:bCs/>
                <w:sz w:val="22"/>
                <w:szCs w:val="22"/>
              </w:rPr>
              <w:t>Categor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 </w:t>
            </w:r>
            <w:r w:rsidRPr="00C10DB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activities</w:t>
            </w:r>
            <w:r w:rsidRPr="00C10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require VSAEC approval if the activity is for scientific or educational purposes or objectives</w:t>
            </w:r>
          </w:p>
        </w:tc>
      </w:tr>
      <w:tr w:rsidR="00E17403" w:rsidRPr="00B569CB" w14:paraId="7867F3E3" w14:textId="77777777" w:rsidTr="00D3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D2A1F4" w14:textId="77777777" w:rsidR="00E17403" w:rsidRPr="00B569CB" w:rsidRDefault="00E17403" w:rsidP="00E17403">
            <w:pPr>
              <w:pStyle w:val="NormalWeb"/>
              <w:numPr>
                <w:ilvl w:val="0"/>
                <w:numId w:val="18"/>
              </w:numPr>
              <w:ind w:left="32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Basic handling, feeding and care of mature animal(s).</w:t>
            </w:r>
          </w:p>
          <w:p w14:paraId="009BF98B" w14:textId="352F3AB3" w:rsidR="00E17403" w:rsidRPr="00B569CB" w:rsidRDefault="00E17403" w:rsidP="008203F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welfare laws apply in all cases. See also </w:t>
            </w:r>
            <w:hyperlink r:id="rId19" w:history="1">
              <w:r w:rsidRPr="002A05F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Wildlife in Schools</w:t>
              </w:r>
            </w:hyperlink>
            <w:r w:rsidRPr="00F35B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guidance</w:t>
            </w:r>
            <w:r w:rsidRPr="00B569C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dxa"/>
          </w:tcPr>
          <w:p w14:paraId="7AC0EC2F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Animal(s) are subject to normal handling, feeding and care, including grooming, training, and vet visits.</w:t>
            </w:r>
          </w:p>
          <w:p w14:paraId="5631CB19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No breeding of animal(s).</w:t>
            </w:r>
          </w:p>
          <w:p w14:paraId="4F496568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dxa"/>
          </w:tcPr>
          <w:p w14:paraId="4DC43321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Ethical sourcing, appropriate care and ongoing welfare of the animal(s) must be ensured in accordance with animal welfare laws.</w:t>
            </w:r>
          </w:p>
          <w:p w14:paraId="7AEA457D" w14:textId="423CBAAD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Teachers care for the animal(s</w:t>
            </w:r>
            <w:r w:rsidR="00283DCF" w:rsidRPr="00B569CB">
              <w:rPr>
                <w:rFonts w:ascii="Calibri" w:hAnsi="Calibri" w:cs="Calibri"/>
                <w:sz w:val="22"/>
                <w:szCs w:val="22"/>
              </w:rPr>
              <w:t>)</w:t>
            </w:r>
            <w:r w:rsidR="00283DCF">
              <w:rPr>
                <w:rFonts w:ascii="Calibri" w:hAnsi="Calibri" w:cs="Calibri"/>
                <w:sz w:val="22"/>
                <w:szCs w:val="22"/>
              </w:rPr>
              <w:t xml:space="preserve">, as such </w:t>
            </w:r>
            <w:r w:rsidRPr="00B569CB">
              <w:rPr>
                <w:rFonts w:ascii="Calibri" w:hAnsi="Calibri" w:cs="Calibri"/>
                <w:sz w:val="22"/>
                <w:szCs w:val="22"/>
              </w:rPr>
              <w:t>they need to be competent in the feeding and housing of the specific animal. This may require teachers receiving training or expert support.</w:t>
            </w:r>
          </w:p>
          <w:p w14:paraId="0878B7B6" w14:textId="2ED250AC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 xml:space="preserve">Maturity level of students </w:t>
            </w:r>
            <w:r w:rsidR="00283DCF" w:rsidRPr="00B569CB">
              <w:rPr>
                <w:rFonts w:ascii="Calibri" w:hAnsi="Calibri" w:cs="Calibri"/>
                <w:sz w:val="22"/>
                <w:szCs w:val="22"/>
              </w:rPr>
              <w:t>considered</w:t>
            </w:r>
            <w:r w:rsidRPr="00B569CB">
              <w:rPr>
                <w:rFonts w:ascii="Calibri" w:hAnsi="Calibri" w:cs="Calibri"/>
                <w:sz w:val="22"/>
                <w:szCs w:val="22"/>
              </w:rPr>
              <w:t xml:space="preserve">, and suitable instructions provided by teachers before activity. </w:t>
            </w:r>
          </w:p>
        </w:tc>
        <w:tc>
          <w:tcPr>
            <w:tcW w:w="2014" w:type="dxa"/>
          </w:tcPr>
          <w:p w14:paraId="1A2C78CB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569C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Example activities that </w:t>
            </w:r>
            <w:r w:rsidRPr="00B569C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not require</w:t>
            </w:r>
            <w:r w:rsidRPr="00B569C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VSAEC approval: </w:t>
            </w:r>
          </w:p>
          <w:p w14:paraId="3722B5A6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Keeping hens in a school garden or coop</w:t>
            </w:r>
          </w:p>
          <w:p w14:paraId="499F7A18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Keeping animals as class pets</w:t>
            </w:r>
          </w:p>
          <w:p w14:paraId="061BCDED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569C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Example activities that </w:t>
            </w:r>
            <w:r w:rsidRPr="00B569C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do require </w:t>
            </w:r>
            <w:r w:rsidRPr="00B569C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VSAEC approval: </w:t>
            </w:r>
          </w:p>
          <w:p w14:paraId="6BD2287B" w14:textId="551BFDD4" w:rsidR="00E17403" w:rsidRPr="00B569CB" w:rsidRDefault="00E17403" w:rsidP="007942B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Class pets that are also used to achieve an educational objective.</w:t>
            </w:r>
          </w:p>
        </w:tc>
      </w:tr>
      <w:tr w:rsidR="00E17403" w:rsidRPr="00B569CB" w14:paraId="081A506D" w14:textId="77777777" w:rsidTr="00D3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FFE2C6" w:themeFill="accent1" w:themeFillTint="33"/>
          </w:tcPr>
          <w:p w14:paraId="47043962" w14:textId="00A9F347" w:rsidR="00E17403" w:rsidRPr="00C10DB3" w:rsidRDefault="00E17403" w:rsidP="00D344AB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0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Category 3 activities require VSAEC </w:t>
            </w:r>
            <w:r w:rsidR="009E3FA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C10DB3">
              <w:rPr>
                <w:rFonts w:ascii="Calibri" w:hAnsi="Calibri" w:cs="Calibri"/>
                <w:b/>
                <w:bCs/>
                <w:sz w:val="22"/>
                <w:szCs w:val="22"/>
              </w:rPr>
              <w:t>pproval</w:t>
            </w:r>
          </w:p>
        </w:tc>
      </w:tr>
      <w:tr w:rsidR="00E17403" w:rsidRPr="00B569CB" w14:paraId="092D6BF4" w14:textId="77777777" w:rsidTr="00D3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8C27AE" w14:textId="2CF2F8F4" w:rsidR="00E17403" w:rsidRPr="00B569CB" w:rsidRDefault="00E17403" w:rsidP="005527AF">
            <w:pPr>
              <w:pStyle w:val="NormalWeb"/>
              <w:numPr>
                <w:ilvl w:val="0"/>
                <w:numId w:val="18"/>
              </w:numPr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Disruption to animal’s normal conditions or behaviour</w:t>
            </w:r>
          </w:p>
          <w:p w14:paraId="3FDB465B" w14:textId="77777777" w:rsidR="00E17403" w:rsidRPr="00B569CB" w:rsidRDefault="00E17403" w:rsidP="008203F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dxa"/>
          </w:tcPr>
          <w:p w14:paraId="5A26EC8B" w14:textId="60954EBD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Any kind of procedure, test, experiment, inquiry, investigation</w:t>
            </w:r>
            <w:r w:rsidR="00283DCF">
              <w:rPr>
                <w:rFonts w:ascii="Calibri" w:hAnsi="Calibri" w:cs="Calibri"/>
                <w:sz w:val="22"/>
                <w:szCs w:val="22"/>
              </w:rPr>
              <w:t>,</w:t>
            </w:r>
            <w:r w:rsidRPr="00B569CB">
              <w:rPr>
                <w:rFonts w:ascii="Calibri" w:hAnsi="Calibri" w:cs="Calibri"/>
                <w:sz w:val="22"/>
                <w:szCs w:val="22"/>
              </w:rPr>
              <w:t xml:space="preserve"> or study using the animal(s). </w:t>
            </w:r>
          </w:p>
          <w:p w14:paraId="224D8862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Moderate impact, some disturbance to animal(s).</w:t>
            </w:r>
          </w:p>
          <w:p w14:paraId="1375E30F" w14:textId="556D9772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The animal(s) are subjected to minor intervention for monitoring conditions and responses. Animal(s) may be restrained, but discomfort or stress is minimal.</w:t>
            </w:r>
          </w:p>
          <w:p w14:paraId="2C94668E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Activities may involve changing the physical environment and monitoring the animal’s responses.</w:t>
            </w:r>
          </w:p>
          <w:p w14:paraId="542F2097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dxa"/>
          </w:tcPr>
          <w:p w14:paraId="2F0213E1" w14:textId="0DBCF158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Teachers care for the animal</w:t>
            </w:r>
            <w:r w:rsidR="00283DCF">
              <w:rPr>
                <w:rFonts w:ascii="Calibri" w:hAnsi="Calibri" w:cs="Calibri"/>
                <w:sz w:val="22"/>
                <w:szCs w:val="22"/>
              </w:rPr>
              <w:t xml:space="preserve">(s), as such </w:t>
            </w:r>
            <w:r w:rsidRPr="00B569CB">
              <w:rPr>
                <w:rFonts w:ascii="Calibri" w:hAnsi="Calibri" w:cs="Calibri"/>
                <w:sz w:val="22"/>
                <w:szCs w:val="22"/>
              </w:rPr>
              <w:t>they need to be competent in the feeding and housing of the specific animal. This may require teachers receiving training or expert support.</w:t>
            </w:r>
          </w:p>
          <w:p w14:paraId="7DC15C1A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 xml:space="preserve">Students are given appropriate instructions and training before activity. </w:t>
            </w:r>
          </w:p>
        </w:tc>
        <w:tc>
          <w:tcPr>
            <w:tcW w:w="2014" w:type="dxa"/>
          </w:tcPr>
          <w:p w14:paraId="7DF74894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Weighing and monitoring of growth.</w:t>
            </w:r>
          </w:p>
          <w:p w14:paraId="12A84EC7" w14:textId="641B58F3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 xml:space="preserve">Measuring of body characteristics, </w:t>
            </w:r>
            <w:r w:rsidR="00283DCF" w:rsidRPr="00B569CB">
              <w:rPr>
                <w:rFonts w:ascii="Calibri" w:hAnsi="Calibri" w:cs="Calibri"/>
                <w:sz w:val="22"/>
                <w:szCs w:val="22"/>
              </w:rPr>
              <w:t>e.g</w:t>
            </w:r>
            <w:r w:rsidR="00283DCF">
              <w:rPr>
                <w:rFonts w:ascii="Calibri" w:hAnsi="Calibri" w:cs="Calibri"/>
                <w:sz w:val="22"/>
                <w:szCs w:val="22"/>
              </w:rPr>
              <w:t>.,</w:t>
            </w:r>
            <w:r w:rsidRPr="00B569CB">
              <w:rPr>
                <w:rFonts w:ascii="Calibri" w:hAnsi="Calibri" w:cs="Calibri"/>
                <w:sz w:val="22"/>
                <w:szCs w:val="22"/>
              </w:rPr>
              <w:t xml:space="preserve"> tail length in mice.</w:t>
            </w:r>
          </w:p>
          <w:p w14:paraId="5DE2E941" w14:textId="083060E9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Monitoring and care of very young or vulnerable animal(s) e.g.</w:t>
            </w:r>
            <w:r w:rsidR="00283DCF">
              <w:rPr>
                <w:rFonts w:ascii="Calibri" w:hAnsi="Calibri" w:cs="Calibri"/>
                <w:sz w:val="22"/>
                <w:szCs w:val="22"/>
              </w:rPr>
              <w:t>,</w:t>
            </w:r>
            <w:r w:rsidRPr="00B569CB">
              <w:rPr>
                <w:rFonts w:ascii="Calibri" w:hAnsi="Calibri" w:cs="Calibri"/>
                <w:sz w:val="22"/>
                <w:szCs w:val="22"/>
              </w:rPr>
              <w:t xml:space="preserve"> day</w:t>
            </w:r>
            <w:r w:rsidR="00283DCF">
              <w:rPr>
                <w:rFonts w:ascii="Calibri" w:hAnsi="Calibri" w:cs="Calibri"/>
                <w:sz w:val="22"/>
                <w:szCs w:val="22"/>
              </w:rPr>
              <w:t>-</w:t>
            </w:r>
            <w:r w:rsidRPr="00B569CB">
              <w:rPr>
                <w:rFonts w:ascii="Calibri" w:hAnsi="Calibri" w:cs="Calibri"/>
                <w:sz w:val="22"/>
                <w:szCs w:val="22"/>
              </w:rPr>
              <w:t>old chicks up to 5 weeks old.</w:t>
            </w:r>
          </w:p>
          <w:p w14:paraId="651B4EF5" w14:textId="02E7E052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Controlled breeding of small animal(s), e.g.</w:t>
            </w:r>
            <w:r w:rsidR="00283DCF">
              <w:rPr>
                <w:rFonts w:ascii="Calibri" w:hAnsi="Calibri" w:cs="Calibri"/>
                <w:sz w:val="22"/>
                <w:szCs w:val="22"/>
              </w:rPr>
              <w:t>,</w:t>
            </w:r>
            <w:r w:rsidRPr="00B569CB">
              <w:rPr>
                <w:rFonts w:ascii="Calibri" w:hAnsi="Calibri" w:cs="Calibri"/>
                <w:sz w:val="22"/>
                <w:szCs w:val="22"/>
              </w:rPr>
              <w:t xml:space="preserve"> breeding mice, rabbits, guinea pigs.</w:t>
            </w:r>
          </w:p>
          <w:p w14:paraId="63B0FFDE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 xml:space="preserve">Non-invasive experiments and investigations of animal responses. </w:t>
            </w:r>
          </w:p>
          <w:p w14:paraId="1854D2F3" w14:textId="3523462C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Fonts w:ascii="Calibri" w:hAnsi="Calibri" w:cs="Calibri"/>
                <w:sz w:val="22"/>
                <w:szCs w:val="22"/>
              </w:rPr>
              <w:t>Changing physical conditions and monitoring animal responses, e.g.</w:t>
            </w:r>
            <w:r w:rsidR="00283DCF">
              <w:rPr>
                <w:rFonts w:ascii="Calibri" w:hAnsi="Calibri" w:cs="Calibri"/>
                <w:sz w:val="22"/>
                <w:szCs w:val="22"/>
              </w:rPr>
              <w:t>,</w:t>
            </w:r>
            <w:r w:rsidRPr="00B569CB">
              <w:rPr>
                <w:rFonts w:ascii="Calibri" w:hAnsi="Calibri" w:cs="Calibri"/>
                <w:sz w:val="22"/>
                <w:szCs w:val="22"/>
              </w:rPr>
              <w:t xml:space="preserve"> breathing rates and temperature.</w:t>
            </w:r>
          </w:p>
        </w:tc>
      </w:tr>
      <w:tr w:rsidR="00E17403" w:rsidRPr="00B569CB" w14:paraId="5D7AAA49" w14:textId="77777777" w:rsidTr="00D3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FFE2C6" w:themeFill="accent1" w:themeFillTint="33"/>
          </w:tcPr>
          <w:p w14:paraId="2E93218B" w14:textId="67F75990" w:rsidR="00E17403" w:rsidRPr="00C10DB3" w:rsidRDefault="00E17403" w:rsidP="00D344AB">
            <w:pPr>
              <w:pStyle w:val="NormalWeb"/>
              <w:rPr>
                <w:b/>
                <w:bCs/>
                <w:color w:val="auto"/>
              </w:rPr>
            </w:pPr>
            <w:r w:rsidRPr="00C10DB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Category 4 </w:t>
            </w:r>
            <w:r w:rsidR="009E3FA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</w:t>
            </w:r>
            <w:r w:rsidRPr="00C10DB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ctivities are prohibited in all Victorian early learning</w:t>
            </w:r>
            <w:r w:rsidR="009E3FA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,</w:t>
            </w:r>
            <w:r w:rsidRPr="00C10DB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and primary and secondary</w:t>
            </w:r>
            <w:r w:rsidR="009E3FA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school</w:t>
            </w:r>
            <w:r w:rsidRPr="00C10DB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settings</w:t>
            </w:r>
          </w:p>
        </w:tc>
      </w:tr>
      <w:tr w:rsidR="00E17403" w:rsidRPr="00B569CB" w14:paraId="5E928457" w14:textId="77777777" w:rsidTr="00D3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E395B9" w14:textId="582A6D96" w:rsidR="00E17403" w:rsidRPr="005527AF" w:rsidRDefault="00E17403" w:rsidP="005527A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A05F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Invasive procedures; procedures involving pain, risk to the animal and/or recovery.</w:t>
            </w:r>
            <w:r w:rsidRPr="002A05FB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46F3C6EE" w14:textId="77777777" w:rsidR="00E17403" w:rsidRPr="00B569CB" w:rsidRDefault="00E17403" w:rsidP="008203F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dxa"/>
          </w:tcPr>
          <w:p w14:paraId="11236172" w14:textId="5184FEBE" w:rsidR="00E17403" w:rsidRPr="00B569CB" w:rsidRDefault="00E17403" w:rsidP="008203F5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High impact.</w:t>
            </w:r>
          </w:p>
          <w:p w14:paraId="155E02BF" w14:textId="5122875E" w:rsidR="00E17403" w:rsidRPr="00B569CB" w:rsidRDefault="00E17403" w:rsidP="008203F5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</w:pPr>
            <w:r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Invasive techniques that may cause some pain and distress to animal(s).</w:t>
            </w:r>
          </w:p>
          <w:p w14:paraId="529C12EE" w14:textId="190FDAE5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If necessary, such activities must be taught using alternatives to live animals, such as computer models,</w:t>
            </w:r>
            <w:r w:rsidR="00283DCF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 </w:t>
            </w:r>
            <w:proofErr w:type="gramStart"/>
            <w:r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models</w:t>
            </w:r>
            <w:proofErr w:type="gramEnd"/>
            <w:r w:rsidR="00283DCF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 </w:t>
            </w:r>
            <w:r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or parts of dead animals.</w:t>
            </w:r>
          </w:p>
        </w:tc>
        <w:tc>
          <w:tcPr>
            <w:tcW w:w="4687" w:type="dxa"/>
            <w:gridSpan w:val="2"/>
          </w:tcPr>
          <w:p w14:paraId="634EA4CE" w14:textId="77777777" w:rsidR="009E3FAF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N</w:t>
            </w:r>
            <w:r w:rsidR="009E3FAF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ot Applicable</w:t>
            </w:r>
          </w:p>
          <w:p w14:paraId="488F217B" w14:textId="38D15EE3" w:rsidR="00E17403" w:rsidRPr="00B569CB" w:rsidRDefault="009E3FAF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Refer to the </w:t>
            </w:r>
            <w:hyperlink r:id="rId20" w:history="1">
              <w:r w:rsidR="00E17403" w:rsidRPr="004E1B2B">
                <w:rPr>
                  <w:rStyle w:val="Hyperlink"/>
                  <w:rFonts w:ascii="Calibri" w:eastAsiaTheme="majorEastAsia" w:hAnsi="Calibri" w:cs="Calibri"/>
                  <w:b/>
                  <w:bCs/>
                  <w:color w:val="E57100" w:themeColor="accent1"/>
                  <w:sz w:val="22"/>
                  <w:szCs w:val="22"/>
                </w:rPr>
                <w:t>‘prohibited activities’</w:t>
              </w:r>
            </w:hyperlink>
            <w:r w:rsidR="00E17403" w:rsidRPr="004E1B2B">
              <w:rPr>
                <w:rStyle w:val="normaltextrun"/>
                <w:rFonts w:ascii="Calibri" w:eastAsiaTheme="majorEastAsia" w:hAnsi="Calibri" w:cs="Calibri"/>
                <w:color w:val="E57100" w:themeColor="accent1"/>
                <w:sz w:val="22"/>
                <w:szCs w:val="22"/>
              </w:rPr>
              <w:t xml:space="preserve"> </w:t>
            </w:r>
            <w:r w:rsidR="00E17403"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in the Policy and Advisory Library for detail</w:t>
            </w:r>
            <w:r w:rsidR="00AB174F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s</w:t>
            </w:r>
            <w:r w:rsidR="00E17403" w:rsidRPr="00B569C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. </w:t>
            </w:r>
            <w:r w:rsidR="00E17403" w:rsidRPr="00B569CB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3604508A" w14:textId="77777777" w:rsidR="00E17403" w:rsidRPr="00B569CB" w:rsidRDefault="00E17403" w:rsidP="008203F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E5A657" w14:textId="420B8F17" w:rsidR="00E17403" w:rsidRPr="00073FC8" w:rsidRDefault="002A05FB" w:rsidP="00D344AB">
      <w:pPr>
        <w:pStyle w:val="NormalWeb"/>
        <w:shd w:val="clear" w:color="auto" w:fill="FFFFFF"/>
        <w:jc w:val="both"/>
        <w:rPr>
          <w:rFonts w:ascii="Calibri" w:hAnsi="Calibri" w:cs="Calibri"/>
          <w:b/>
          <w:bCs/>
        </w:rPr>
      </w:pPr>
      <w:r w:rsidRPr="00073FC8">
        <w:rPr>
          <w:rFonts w:ascii="Calibri" w:hAnsi="Calibri" w:cs="Calibri"/>
          <w:b/>
          <w:bCs/>
        </w:rPr>
        <w:t>Note:</w:t>
      </w:r>
    </w:p>
    <w:p w14:paraId="429B4557" w14:textId="322CCD29" w:rsidR="002A05FB" w:rsidRDefault="00E17403" w:rsidP="00D344AB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B569CB">
        <w:rPr>
          <w:rFonts w:ascii="Calibri" w:hAnsi="Calibri" w:cs="Calibri"/>
        </w:rPr>
        <w:t xml:space="preserve">The </w:t>
      </w:r>
      <w:r w:rsidR="00814398">
        <w:rPr>
          <w:rFonts w:ascii="Calibri" w:hAnsi="Calibri" w:cs="Calibri"/>
        </w:rPr>
        <w:t>d</w:t>
      </w:r>
      <w:r w:rsidRPr="00B569CB">
        <w:rPr>
          <w:rFonts w:ascii="Calibri" w:hAnsi="Calibri" w:cs="Calibri"/>
        </w:rPr>
        <w:t xml:space="preserve">epartment has provided general guidance on common types of animal use in schools and whether approval is required. </w:t>
      </w:r>
    </w:p>
    <w:p w14:paraId="45667406" w14:textId="7C9F2CD3" w:rsidR="002A05FB" w:rsidRDefault="002A05FB" w:rsidP="00D344AB">
      <w:pPr>
        <w:pStyle w:val="NormalWeb"/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Table 1 is not exhaustive and </w:t>
      </w:r>
      <w:r w:rsidR="00E17403" w:rsidRPr="00B569CB">
        <w:rPr>
          <w:rFonts w:ascii="Calibri" w:hAnsi="Calibri" w:cs="Calibri"/>
        </w:rPr>
        <w:t>there may be uses of animals that constitute a scientific procedure that fall outside th</w:t>
      </w:r>
      <w:r>
        <w:rPr>
          <w:rFonts w:ascii="Calibri" w:hAnsi="Calibri" w:cs="Calibri"/>
        </w:rPr>
        <w:t>e</w:t>
      </w:r>
      <w:r w:rsidR="00E17403" w:rsidRPr="00B569CB">
        <w:rPr>
          <w:rFonts w:ascii="Calibri" w:hAnsi="Calibri" w:cs="Calibri"/>
        </w:rPr>
        <w:t xml:space="preserve"> category definitions. </w:t>
      </w:r>
    </w:p>
    <w:p w14:paraId="5C2B254E" w14:textId="489012DA" w:rsidR="00E17403" w:rsidRPr="00B569CB" w:rsidRDefault="00E17403" w:rsidP="00D344AB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B569CB">
        <w:rPr>
          <w:rFonts w:ascii="Calibri" w:hAnsi="Calibri" w:cs="Calibri"/>
        </w:rPr>
        <w:t xml:space="preserve">If you are unsure whether your project meets the definition of a </w:t>
      </w:r>
      <w:r w:rsidR="002C234C">
        <w:rPr>
          <w:rFonts w:ascii="Calibri" w:hAnsi="Calibri" w:cs="Calibri"/>
        </w:rPr>
        <w:t>‘</w:t>
      </w:r>
      <w:r w:rsidRPr="00B569CB">
        <w:rPr>
          <w:rFonts w:ascii="Calibri" w:hAnsi="Calibri" w:cs="Calibri"/>
        </w:rPr>
        <w:t>scientific procedure</w:t>
      </w:r>
      <w:r w:rsidR="002C234C">
        <w:rPr>
          <w:rFonts w:ascii="Calibri" w:hAnsi="Calibri" w:cs="Calibri"/>
        </w:rPr>
        <w:t>’</w:t>
      </w:r>
      <w:r w:rsidRPr="00B569CB">
        <w:rPr>
          <w:rFonts w:ascii="Calibri" w:hAnsi="Calibri" w:cs="Calibri"/>
        </w:rPr>
        <w:t xml:space="preserve"> and requires approval, contact </w:t>
      </w:r>
      <w:hyperlink r:id="rId21" w:history="1">
        <w:r w:rsidRPr="00B569CB">
          <w:rPr>
            <w:rStyle w:val="Hyperlink"/>
            <w:rFonts w:ascii="Calibri" w:hAnsi="Calibri" w:cs="Calibri"/>
          </w:rPr>
          <w:t>animalethics@education.vic.gov.au</w:t>
        </w:r>
      </w:hyperlink>
      <w:r w:rsidRPr="00B569CB">
        <w:rPr>
          <w:rFonts w:ascii="Calibri" w:hAnsi="Calibri" w:cs="Calibri"/>
        </w:rPr>
        <w:t>.</w:t>
      </w:r>
    </w:p>
    <w:p w14:paraId="3950F060" w14:textId="4DCD3A16" w:rsidR="00122369" w:rsidRPr="007942B5" w:rsidRDefault="00122369" w:rsidP="007942B5">
      <w:pPr>
        <w:pStyle w:val="NormalWeb"/>
        <w:shd w:val="clear" w:color="auto" w:fill="FFFFFF"/>
        <w:jc w:val="both"/>
        <w:rPr>
          <w:rFonts w:ascii="Calibri" w:hAnsi="Calibri" w:cs="Calibri"/>
        </w:rPr>
      </w:pPr>
    </w:p>
    <w:sectPr w:rsidR="00122369" w:rsidRPr="007942B5" w:rsidSect="00BD4AF6">
      <w:headerReference w:type="default" r:id="rId22"/>
      <w:footerReference w:type="even" r:id="rId23"/>
      <w:footerReference w:type="default" r:id="rId24"/>
      <w:pgSz w:w="11900" w:h="16840"/>
      <w:pgMar w:top="184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B8AE" w14:textId="77777777" w:rsidR="00AD57CE" w:rsidRDefault="00AD57CE" w:rsidP="003967DD">
      <w:pPr>
        <w:spacing w:after="0"/>
      </w:pPr>
      <w:r>
        <w:separator/>
      </w:r>
    </w:p>
  </w:endnote>
  <w:endnote w:type="continuationSeparator" w:id="0">
    <w:p w14:paraId="72D67059" w14:textId="77777777" w:rsidR="00AD57CE" w:rsidRDefault="00AD57CE" w:rsidP="003967DD">
      <w:pPr>
        <w:spacing w:after="0"/>
      </w:pPr>
      <w:r>
        <w:continuationSeparator/>
      </w:r>
    </w:p>
  </w:endnote>
  <w:endnote w:type="continuationNotice" w:id="1">
    <w:p w14:paraId="665C74C3" w14:textId="77777777" w:rsidR="00AD57CE" w:rsidRDefault="00AD57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3AE3" w14:textId="77777777" w:rsidR="00AD57CE" w:rsidRDefault="00AD57CE" w:rsidP="003967DD">
      <w:pPr>
        <w:spacing w:after="0"/>
      </w:pPr>
      <w:r>
        <w:separator/>
      </w:r>
    </w:p>
  </w:footnote>
  <w:footnote w:type="continuationSeparator" w:id="0">
    <w:p w14:paraId="3233E5CC" w14:textId="77777777" w:rsidR="00AD57CE" w:rsidRDefault="00AD57CE" w:rsidP="003967DD">
      <w:pPr>
        <w:spacing w:after="0"/>
      </w:pPr>
      <w:r>
        <w:continuationSeparator/>
      </w:r>
    </w:p>
  </w:footnote>
  <w:footnote w:type="continuationNotice" w:id="1">
    <w:p w14:paraId="7E58EE19" w14:textId="77777777" w:rsidR="00AD57CE" w:rsidRDefault="00AD57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8DB2B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0" cy="10680192"/>
          <wp:effectExtent l="0" t="0" r="6350" b="63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0" cy="1068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1651"/>
    <w:multiLevelType w:val="hybridMultilevel"/>
    <w:tmpl w:val="72F25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6700">
    <w:abstractNumId w:val="0"/>
  </w:num>
  <w:num w:numId="2" w16cid:durableId="561866662">
    <w:abstractNumId w:val="1"/>
  </w:num>
  <w:num w:numId="3" w16cid:durableId="587812069">
    <w:abstractNumId w:val="2"/>
  </w:num>
  <w:num w:numId="4" w16cid:durableId="1185679734">
    <w:abstractNumId w:val="3"/>
  </w:num>
  <w:num w:numId="5" w16cid:durableId="1240015781">
    <w:abstractNumId w:val="4"/>
  </w:num>
  <w:num w:numId="6" w16cid:durableId="975138878">
    <w:abstractNumId w:val="9"/>
  </w:num>
  <w:num w:numId="7" w16cid:durableId="1620797671">
    <w:abstractNumId w:val="5"/>
  </w:num>
  <w:num w:numId="8" w16cid:durableId="1792438134">
    <w:abstractNumId w:val="6"/>
  </w:num>
  <w:num w:numId="9" w16cid:durableId="169151038">
    <w:abstractNumId w:val="7"/>
  </w:num>
  <w:num w:numId="10" w16cid:durableId="724379801">
    <w:abstractNumId w:val="8"/>
  </w:num>
  <w:num w:numId="11" w16cid:durableId="677583824">
    <w:abstractNumId w:val="10"/>
  </w:num>
  <w:num w:numId="12" w16cid:durableId="1458791406">
    <w:abstractNumId w:val="13"/>
  </w:num>
  <w:num w:numId="13" w16cid:durableId="840657357">
    <w:abstractNumId w:val="15"/>
  </w:num>
  <w:num w:numId="14" w16cid:durableId="1298336404">
    <w:abstractNumId w:val="16"/>
  </w:num>
  <w:num w:numId="15" w16cid:durableId="624041186">
    <w:abstractNumId w:val="11"/>
  </w:num>
  <w:num w:numId="16" w16cid:durableId="921182766">
    <w:abstractNumId w:val="14"/>
  </w:num>
  <w:num w:numId="17" w16cid:durableId="278344879">
    <w:abstractNumId w:val="12"/>
  </w:num>
  <w:num w:numId="18" w16cid:durableId="5325715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73FC8"/>
    <w:rsid w:val="00080DA9"/>
    <w:rsid w:val="000861DD"/>
    <w:rsid w:val="000A3425"/>
    <w:rsid w:val="000A47D4"/>
    <w:rsid w:val="000C600E"/>
    <w:rsid w:val="00122369"/>
    <w:rsid w:val="00150E0F"/>
    <w:rsid w:val="00157212"/>
    <w:rsid w:val="0016287D"/>
    <w:rsid w:val="001C0EFC"/>
    <w:rsid w:val="001D0D94"/>
    <w:rsid w:val="001D13F9"/>
    <w:rsid w:val="001F39DD"/>
    <w:rsid w:val="002237E4"/>
    <w:rsid w:val="002512BE"/>
    <w:rsid w:val="00275FB8"/>
    <w:rsid w:val="00283DCF"/>
    <w:rsid w:val="002A05FB"/>
    <w:rsid w:val="002A4A96"/>
    <w:rsid w:val="002C234C"/>
    <w:rsid w:val="002E3BED"/>
    <w:rsid w:val="002F41D7"/>
    <w:rsid w:val="002F6115"/>
    <w:rsid w:val="00312720"/>
    <w:rsid w:val="00343AFC"/>
    <w:rsid w:val="0034745C"/>
    <w:rsid w:val="00385679"/>
    <w:rsid w:val="003967DD"/>
    <w:rsid w:val="003A4C39"/>
    <w:rsid w:val="003A611C"/>
    <w:rsid w:val="0042333B"/>
    <w:rsid w:val="00443E58"/>
    <w:rsid w:val="004A2E74"/>
    <w:rsid w:val="004A31F6"/>
    <w:rsid w:val="004B2ED6"/>
    <w:rsid w:val="004E1B2B"/>
    <w:rsid w:val="00500ADA"/>
    <w:rsid w:val="00512BBA"/>
    <w:rsid w:val="005527AF"/>
    <w:rsid w:val="00555277"/>
    <w:rsid w:val="00567CF0"/>
    <w:rsid w:val="00584366"/>
    <w:rsid w:val="005A4F12"/>
    <w:rsid w:val="005E0713"/>
    <w:rsid w:val="00624A55"/>
    <w:rsid w:val="0064473F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924D5"/>
    <w:rsid w:val="007942B5"/>
    <w:rsid w:val="007B556E"/>
    <w:rsid w:val="007D3E38"/>
    <w:rsid w:val="007D40FC"/>
    <w:rsid w:val="007D7B69"/>
    <w:rsid w:val="008065DA"/>
    <w:rsid w:val="00814398"/>
    <w:rsid w:val="00876D2B"/>
    <w:rsid w:val="00877968"/>
    <w:rsid w:val="00890680"/>
    <w:rsid w:val="00892E24"/>
    <w:rsid w:val="008B1737"/>
    <w:rsid w:val="008B293F"/>
    <w:rsid w:val="008C1CCF"/>
    <w:rsid w:val="008F3D35"/>
    <w:rsid w:val="009456A1"/>
    <w:rsid w:val="00952690"/>
    <w:rsid w:val="00954ABD"/>
    <w:rsid w:val="00954B9A"/>
    <w:rsid w:val="0099358C"/>
    <w:rsid w:val="009E3FAF"/>
    <w:rsid w:val="009F6A77"/>
    <w:rsid w:val="00A31926"/>
    <w:rsid w:val="00A63DF8"/>
    <w:rsid w:val="00A710DF"/>
    <w:rsid w:val="00AB174F"/>
    <w:rsid w:val="00AD57CE"/>
    <w:rsid w:val="00B21562"/>
    <w:rsid w:val="00B775D4"/>
    <w:rsid w:val="00B96F11"/>
    <w:rsid w:val="00BB1562"/>
    <w:rsid w:val="00BD4AF6"/>
    <w:rsid w:val="00C539BB"/>
    <w:rsid w:val="00CC5AA8"/>
    <w:rsid w:val="00CD5993"/>
    <w:rsid w:val="00CE7916"/>
    <w:rsid w:val="00D17E55"/>
    <w:rsid w:val="00D344AB"/>
    <w:rsid w:val="00D647CC"/>
    <w:rsid w:val="00D96E9C"/>
    <w:rsid w:val="00D9777A"/>
    <w:rsid w:val="00DC4D0D"/>
    <w:rsid w:val="00E17403"/>
    <w:rsid w:val="00E34263"/>
    <w:rsid w:val="00E34721"/>
    <w:rsid w:val="00E4317E"/>
    <w:rsid w:val="00E47519"/>
    <w:rsid w:val="00E5030B"/>
    <w:rsid w:val="00E54FAD"/>
    <w:rsid w:val="00E6474F"/>
    <w:rsid w:val="00E64758"/>
    <w:rsid w:val="00E76F39"/>
    <w:rsid w:val="00E77EB9"/>
    <w:rsid w:val="00ED324C"/>
    <w:rsid w:val="00EE24B1"/>
    <w:rsid w:val="00F35BB6"/>
    <w:rsid w:val="00F464D5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NormalWeb">
    <w:name w:val="Normal (Web)"/>
    <w:basedOn w:val="Normal"/>
    <w:uiPriority w:val="99"/>
    <w:unhideWhenUsed/>
    <w:rsid w:val="00E174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zh-CN"/>
    </w:rPr>
  </w:style>
  <w:style w:type="paragraph" w:customStyle="1" w:styleId="paragraph">
    <w:name w:val="paragraph"/>
    <w:basedOn w:val="Normal"/>
    <w:rsid w:val="00E174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E17403"/>
  </w:style>
  <w:style w:type="character" w:customStyle="1" w:styleId="eop">
    <w:name w:val="eop"/>
    <w:basedOn w:val="DefaultParagraphFont"/>
    <w:rsid w:val="00E17403"/>
  </w:style>
  <w:style w:type="character" w:styleId="CommentReference">
    <w:name w:val="annotation reference"/>
    <w:basedOn w:val="DefaultParagraphFont"/>
    <w:uiPriority w:val="99"/>
    <w:semiHidden/>
    <w:unhideWhenUsed/>
    <w:rsid w:val="004A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1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ABD"/>
    <w:rPr>
      <w:sz w:val="22"/>
    </w:rPr>
  </w:style>
  <w:style w:type="character" w:customStyle="1" w:styleId="rpl-text-label">
    <w:name w:val="rpl-text-label"/>
    <w:basedOn w:val="DefaultParagraphFont"/>
    <w:rsid w:val="003A611C"/>
  </w:style>
  <w:style w:type="character" w:customStyle="1" w:styleId="rpl-text-icongroup">
    <w:name w:val="rpl-text-icon__group"/>
    <w:basedOn w:val="DefaultParagraphFont"/>
    <w:rsid w:val="003A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c.gov.au/wildlife-schools" TargetMode="External"/><Relationship Id="rId18" Type="http://schemas.openxmlformats.org/officeDocument/2006/relationships/hyperlink" Target="https://www2.education.vic.gov.au/pal/teaching-with-animals/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imalethics@education.vic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australian-code-care-and-use-animals-scientific-purposes" TargetMode="External"/><Relationship Id="rId17" Type="http://schemas.openxmlformats.org/officeDocument/2006/relationships/hyperlink" Target="https://www.vic.gov.au/wildlife-school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teaching-with-animals/guidance/forms-record-keeping" TargetMode="External"/><Relationship Id="rId20" Type="http://schemas.openxmlformats.org/officeDocument/2006/relationships/hyperlink" Target="https://www2.education.vic.gov.au/pal/teaching-with-animals/guidance/vsaec-application-and-approval-proces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teaching-with-animals/policy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teaching-with-animals/resourc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wildlife-schoo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mrc.gov.au/about-us/publications/australian-code-care-and-use-animals-scientific-purpos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378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09eb75-9cef-4f37-b741-c7b54bcbfcdb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A0D271-612A-4265-9E32-52C67C9ED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Lina DiPaolo</cp:lastModifiedBy>
  <cp:revision>7</cp:revision>
  <dcterms:created xsi:type="dcterms:W3CDTF">2022-09-14T00:46:00Z</dcterms:created>
  <dcterms:modified xsi:type="dcterms:W3CDTF">2022-09-14T04:23:00Z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RecordNumberSubmitted">
    <vt:lpwstr>R20220501989</vt:lpwstr>
  </property>
  <property fmtid="{D5CDD505-2E9C-101B-9397-08002B2CF9AE}" pid="4" name="RecordPoint_ActiveItemSiteId">
    <vt:lpwstr>{b2ecd3a0-7169-4160-9160-d14489ced3be}</vt:lpwstr>
  </property>
  <property fmtid="{D5CDD505-2E9C-101B-9397-08002B2CF9AE}" pid="5" name="RecordPoint_ActiveItemListId">
    <vt:lpwstr>{6c5b1fa2-8606-46a2-b139-c305e600274f}</vt:lpwstr>
  </property>
  <property fmtid="{D5CDD505-2E9C-101B-9397-08002B2CF9AE}" pid="6" name="RecordPoint_ActiveItemUniqueId">
    <vt:lpwstr>{1ba884e1-b947-40be-aaec-0c539bdf2cd2}</vt:lpwstr>
  </property>
  <property fmtid="{D5CDD505-2E9C-101B-9397-08002B2CF9AE}" pid="7" name="RecordPoint_ActiveItemWebId">
    <vt:lpwstr>{6009eb75-9cef-4f37-b741-c7b54bcbfcdb}</vt:lpwstr>
  </property>
  <property fmtid="{D5CDD505-2E9C-101B-9397-08002B2CF9AE}" pid="8" name="RecordPoint_WorkflowType">
    <vt:lpwstr>ActiveSubmitStub</vt:lpwstr>
  </property>
  <property fmtid="{D5CDD505-2E9C-101B-9397-08002B2CF9AE}" pid="9" name="RecordPoint_SubmissionDate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2022-09-14T14:24:07.1701050+10:00</vt:lpwstr>
  </property>
</Properties>
</file>