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2F9A" w14:textId="2A6D8005" w:rsidR="00253794" w:rsidRPr="00B80736" w:rsidRDefault="00253794" w:rsidP="00253794">
      <w:pPr>
        <w:pStyle w:val="Heading1"/>
        <w:jc w:val="both"/>
      </w:pPr>
      <w:r>
        <w:rPr>
          <w:lang w:val="en-AU"/>
        </w:rPr>
        <w:t xml:space="preserve">Student Wellbeing Boost – Guidance for Victorian </w:t>
      </w:r>
      <w:r w:rsidR="0011241F">
        <w:rPr>
          <w:lang w:val="en-AU"/>
        </w:rPr>
        <w:t>government s</w:t>
      </w:r>
      <w:r>
        <w:rPr>
          <w:lang w:val="en-AU"/>
        </w:rPr>
        <w:t>chools</w:t>
      </w:r>
    </w:p>
    <w:p w14:paraId="2E6B59A1" w14:textId="3667C050" w:rsidR="009D6377" w:rsidRPr="00961654" w:rsidRDefault="009D6377" w:rsidP="0082073F">
      <w:pPr>
        <w:jc w:val="both"/>
        <w:rPr>
          <w:szCs w:val="22"/>
          <w:lang w:eastAsia="en-AU"/>
        </w:rPr>
      </w:pPr>
      <w:r w:rsidRPr="00961654">
        <w:rPr>
          <w:szCs w:val="22"/>
          <w:lang w:eastAsia="en-AU"/>
        </w:rPr>
        <w:t xml:space="preserve">The Australian Government’s </w:t>
      </w:r>
      <w:r w:rsidRPr="0030276C">
        <w:rPr>
          <w:szCs w:val="22"/>
          <w:lang w:eastAsia="en-AU"/>
        </w:rPr>
        <w:t>Student Wellbeing Boost</w:t>
      </w:r>
      <w:r w:rsidRPr="00961654">
        <w:rPr>
          <w:szCs w:val="22"/>
          <w:lang w:eastAsia="en-AU"/>
        </w:rPr>
        <w:t xml:space="preserve"> (Boost) provides one-off funding to schools to address the impacts of COVID-19 on the mental health and wellbeing of Australian students. Schools must spend their Boost funding on mental health and wellbeing activities, which may include:</w:t>
      </w:r>
    </w:p>
    <w:p w14:paraId="6227A321" w14:textId="77777777" w:rsidR="00725906" w:rsidRPr="00961654" w:rsidRDefault="00725906" w:rsidP="0082073F">
      <w:pPr>
        <w:pStyle w:val="ListParagraph"/>
        <w:numPr>
          <w:ilvl w:val="0"/>
          <w:numId w:val="18"/>
        </w:numPr>
        <w:spacing w:after="160" w:line="259" w:lineRule="auto"/>
        <w:jc w:val="both"/>
        <w:rPr>
          <w:szCs w:val="22"/>
          <w:lang w:eastAsia="en-AU"/>
        </w:rPr>
      </w:pPr>
      <w:r w:rsidRPr="00961654">
        <w:rPr>
          <w:szCs w:val="22"/>
          <w:lang w:eastAsia="en-AU"/>
        </w:rPr>
        <w:t xml:space="preserve">extra school mental health professionals, such as psychologists and school </w:t>
      </w:r>
      <w:proofErr w:type="gramStart"/>
      <w:r w:rsidRPr="00961654">
        <w:rPr>
          <w:szCs w:val="22"/>
          <w:lang w:eastAsia="en-AU"/>
        </w:rPr>
        <w:t>counsellors;</w:t>
      </w:r>
      <w:proofErr w:type="gramEnd"/>
    </w:p>
    <w:p w14:paraId="25AA2585" w14:textId="77777777" w:rsidR="00725906" w:rsidRPr="00961654" w:rsidRDefault="00725906" w:rsidP="0082073F">
      <w:pPr>
        <w:pStyle w:val="ListParagraph"/>
        <w:numPr>
          <w:ilvl w:val="0"/>
          <w:numId w:val="18"/>
        </w:numPr>
        <w:spacing w:after="160" w:line="259" w:lineRule="auto"/>
        <w:jc w:val="both"/>
        <w:rPr>
          <w:szCs w:val="22"/>
          <w:lang w:eastAsia="en-AU"/>
        </w:rPr>
      </w:pPr>
      <w:r w:rsidRPr="00961654">
        <w:rPr>
          <w:szCs w:val="22"/>
          <w:lang w:eastAsia="en-AU"/>
        </w:rPr>
        <w:t>camps, excursions, sporting and social activities that improve students’ wellbeing; and</w:t>
      </w:r>
    </w:p>
    <w:p w14:paraId="1AA141FC" w14:textId="0B6E34D0" w:rsidR="00B37AF4" w:rsidRPr="00961654" w:rsidRDefault="00725906" w:rsidP="0082073F">
      <w:pPr>
        <w:pStyle w:val="ListParagraph"/>
        <w:numPr>
          <w:ilvl w:val="0"/>
          <w:numId w:val="18"/>
        </w:numPr>
        <w:jc w:val="both"/>
        <w:rPr>
          <w:szCs w:val="22"/>
          <w:lang w:eastAsia="en-AU"/>
        </w:rPr>
      </w:pPr>
      <w:r w:rsidRPr="00961654">
        <w:rPr>
          <w:szCs w:val="22"/>
        </w:rPr>
        <w:t>proven student wellbeing, student engagement and mental health initiatives.</w:t>
      </w:r>
    </w:p>
    <w:p w14:paraId="7D101E54" w14:textId="2E307595" w:rsidR="00624A55" w:rsidRPr="00624A55" w:rsidRDefault="00624A55" w:rsidP="00624A55">
      <w:pPr>
        <w:pStyle w:val="Intro"/>
      </w:pPr>
    </w:p>
    <w:p w14:paraId="6E6868DC" w14:textId="53B50233" w:rsidR="00624A55" w:rsidRPr="006F2724" w:rsidRDefault="005D0046" w:rsidP="00624A55">
      <w:pPr>
        <w:pStyle w:val="Heading2"/>
        <w:rPr>
          <w:sz w:val="28"/>
          <w:szCs w:val="28"/>
          <w:lang w:val="en-AU"/>
        </w:rPr>
      </w:pPr>
      <w:r w:rsidRPr="006F2724">
        <w:rPr>
          <w:sz w:val="28"/>
          <w:szCs w:val="28"/>
          <w:lang w:val="en-AU"/>
        </w:rPr>
        <w:t xml:space="preserve">Supplementing </w:t>
      </w:r>
      <w:r w:rsidR="00C934D8">
        <w:rPr>
          <w:sz w:val="28"/>
          <w:szCs w:val="28"/>
          <w:lang w:val="en-AU"/>
        </w:rPr>
        <w:t>e</w:t>
      </w:r>
      <w:r w:rsidRPr="006F2724">
        <w:rPr>
          <w:sz w:val="28"/>
          <w:szCs w:val="28"/>
          <w:lang w:val="en-AU"/>
        </w:rPr>
        <w:t xml:space="preserve">xisting Mental Health and Wellbeing </w:t>
      </w:r>
      <w:r w:rsidR="00C934D8">
        <w:rPr>
          <w:sz w:val="28"/>
          <w:szCs w:val="28"/>
          <w:lang w:val="en-AU"/>
        </w:rPr>
        <w:t>i</w:t>
      </w:r>
      <w:r w:rsidRPr="006F2724">
        <w:rPr>
          <w:sz w:val="28"/>
          <w:szCs w:val="28"/>
          <w:lang w:val="en-AU"/>
        </w:rPr>
        <w:t xml:space="preserve">nitiatives </w:t>
      </w:r>
    </w:p>
    <w:p w14:paraId="7CD6F100" w14:textId="77777777" w:rsidR="00FF7465" w:rsidRDefault="007A3667" w:rsidP="007A3667">
      <w:pPr>
        <w:jc w:val="both"/>
        <w:rPr>
          <w:rStyle w:val="Hyperlink"/>
          <w:rFonts w:ascii="Arial" w:eastAsia="Times New Roman" w:hAnsi="Arial" w:cs="Arial"/>
          <w:color w:val="auto"/>
          <w:u w:val="none"/>
          <w:lang w:eastAsia="en-AU"/>
        </w:rPr>
      </w:pPr>
      <w:r>
        <w:rPr>
          <w:lang w:val="en-AU"/>
        </w:rPr>
        <w:t xml:space="preserve">The Victorian Department of Education recommends that schools use their Boost funding to complement existing activity, using the </w:t>
      </w:r>
      <w:hyperlink r:id="rId12" w:history="1">
        <w:r w:rsidRPr="00EE66FB">
          <w:rPr>
            <w:rStyle w:val="Hyperlink"/>
            <w:rFonts w:ascii="Arial" w:eastAsia="Times New Roman" w:hAnsi="Arial" w:cs="Arial"/>
            <w:color w:val="0071CE"/>
            <w:lang w:eastAsia="en-AU"/>
          </w:rPr>
          <w:t>Schools Mental Health Men</w:t>
        </w:r>
        <w:r w:rsidR="0061571A" w:rsidRPr="00EE66FB">
          <w:rPr>
            <w:rStyle w:val="Hyperlink"/>
            <w:rFonts w:ascii="Arial" w:eastAsia="Times New Roman" w:hAnsi="Arial" w:cs="Arial"/>
            <w:color w:val="0071CE"/>
            <w:lang w:eastAsia="en-AU"/>
          </w:rPr>
          <w:t>u</w:t>
        </w:r>
      </w:hyperlink>
      <w:r w:rsidR="0061571A">
        <w:rPr>
          <w:rFonts w:ascii="Arial" w:eastAsia="Times New Roman" w:hAnsi="Arial" w:cs="Arial"/>
          <w:lang w:eastAsia="en-AU"/>
        </w:rPr>
        <w:t xml:space="preserve"> </w:t>
      </w:r>
      <w:r>
        <w:rPr>
          <w:rStyle w:val="Hyperlink"/>
          <w:rFonts w:ascii="Arial" w:eastAsia="Times New Roman" w:hAnsi="Arial" w:cs="Arial"/>
          <w:color w:val="auto"/>
          <w:u w:val="none"/>
          <w:lang w:eastAsia="en-AU"/>
        </w:rPr>
        <w:t xml:space="preserve">as a key guide. The Menu includes </w:t>
      </w:r>
      <w:r w:rsidRPr="00F24F94">
        <w:rPr>
          <w:rStyle w:val="Hyperlink"/>
          <w:rFonts w:ascii="Arial" w:eastAsia="Times New Roman" w:hAnsi="Arial" w:cs="Arial"/>
          <w:color w:val="auto"/>
          <w:u w:val="none"/>
          <w:lang w:eastAsia="en-AU"/>
        </w:rPr>
        <w:t>initiatives that promote student mental health and wellbeing, enable schools to intervene early to support students and provide targeted and more individualised support for students who need it.</w:t>
      </w:r>
      <w:r w:rsidR="0086470C">
        <w:rPr>
          <w:rStyle w:val="Hyperlink"/>
          <w:rFonts w:ascii="Arial" w:eastAsia="Times New Roman" w:hAnsi="Arial" w:cs="Arial"/>
          <w:color w:val="auto"/>
          <w:u w:val="none"/>
          <w:lang w:eastAsia="en-AU"/>
        </w:rPr>
        <w:t xml:space="preserve"> </w:t>
      </w:r>
    </w:p>
    <w:p w14:paraId="14DC3F88" w14:textId="0A4B10FA" w:rsidR="007A3667" w:rsidRDefault="007A3667" w:rsidP="007A3667">
      <w:pPr>
        <w:jc w:val="both"/>
        <w:rPr>
          <w:rStyle w:val="Hyperlink"/>
          <w:rFonts w:ascii="Arial" w:eastAsia="Times New Roman" w:hAnsi="Arial" w:cs="Arial"/>
          <w:color w:val="auto"/>
          <w:u w:val="none"/>
          <w:lang w:eastAsia="en-AU"/>
        </w:rPr>
      </w:pPr>
      <w:r>
        <w:rPr>
          <w:rStyle w:val="Hyperlink"/>
          <w:rFonts w:ascii="Arial" w:eastAsia="Times New Roman" w:hAnsi="Arial" w:cs="Arial"/>
          <w:color w:val="auto"/>
          <w:u w:val="none"/>
          <w:lang w:eastAsia="en-AU"/>
        </w:rPr>
        <w:t xml:space="preserve">Victorian schools may also wish to use their Boost funding to expand the FTE allocation for staff funded under the </w:t>
      </w:r>
      <w:hyperlink r:id="rId13" w:history="1">
        <w:r w:rsidRPr="00F24F94">
          <w:rPr>
            <w:rStyle w:val="Hyperlink"/>
            <w:rFonts w:ascii="Arial" w:eastAsia="Times New Roman" w:hAnsi="Arial" w:cs="Arial"/>
            <w:lang w:eastAsia="en-AU"/>
          </w:rPr>
          <w:t>Mental Health in Primary Schools</w:t>
        </w:r>
      </w:hyperlink>
      <w:r>
        <w:t xml:space="preserve">, </w:t>
      </w:r>
      <w:hyperlink r:id="rId14" w:history="1">
        <w:r w:rsidRPr="00F24F94">
          <w:rPr>
            <w:rStyle w:val="Hyperlink"/>
            <w:rFonts w:ascii="Arial" w:hAnsi="Arial" w:cs="Arial"/>
          </w:rPr>
          <w:t xml:space="preserve">Mental </w:t>
        </w:r>
        <w:r w:rsidRPr="00EE66FB">
          <w:rPr>
            <w:rStyle w:val="Hyperlink"/>
            <w:rFonts w:ascii="Arial" w:hAnsi="Arial" w:cs="Arial"/>
            <w:color w:val="0071CE"/>
          </w:rPr>
          <w:t>Health</w:t>
        </w:r>
        <w:r w:rsidRPr="00F24F94">
          <w:rPr>
            <w:rStyle w:val="Hyperlink"/>
            <w:rFonts w:ascii="Arial" w:hAnsi="Arial" w:cs="Arial"/>
          </w:rPr>
          <w:t xml:space="preserve"> Practitioners</w:t>
        </w:r>
        <w:r w:rsidRPr="00B52B84">
          <w:rPr>
            <w:rStyle w:val="Hyperlink"/>
            <w:rFonts w:ascii="Arial" w:hAnsi="Arial" w:cs="Arial"/>
            <w:color w:val="auto"/>
            <w:u w:val="none"/>
          </w:rPr>
          <w:t xml:space="preserve"> and </w:t>
        </w:r>
      </w:hyperlink>
      <w:hyperlink r:id="rId15" w:history="1">
        <w:r w:rsidRPr="00732FDC">
          <w:rPr>
            <w:rStyle w:val="Hyperlink"/>
            <w:rFonts w:ascii="Arial" w:eastAsia="Times New Roman" w:hAnsi="Arial" w:cs="Arial"/>
            <w:lang w:eastAsia="en-AU"/>
          </w:rPr>
          <w:t>National Student Wellbeing</w:t>
        </w:r>
      </w:hyperlink>
      <w:r w:rsidRPr="00732FDC">
        <w:rPr>
          <w:rFonts w:ascii="Arial" w:eastAsia="Times New Roman" w:hAnsi="Arial" w:cs="Arial"/>
          <w:lang w:eastAsia="en-AU"/>
        </w:rPr>
        <w:t xml:space="preserve"> programs. </w:t>
      </w:r>
    </w:p>
    <w:p w14:paraId="1785164F" w14:textId="77777777" w:rsidR="0082073F" w:rsidRPr="0008212D" w:rsidRDefault="0082073F" w:rsidP="007A3667">
      <w:pPr>
        <w:jc w:val="both"/>
      </w:pPr>
    </w:p>
    <w:p w14:paraId="6B714828" w14:textId="394C9DC4" w:rsidR="00624A55" w:rsidRPr="00B71E93" w:rsidRDefault="006952CB" w:rsidP="00624A55">
      <w:pPr>
        <w:pStyle w:val="Heading2"/>
        <w:rPr>
          <w:sz w:val="28"/>
          <w:szCs w:val="28"/>
          <w:lang w:val="en-AU"/>
        </w:rPr>
      </w:pPr>
      <w:r w:rsidRPr="00B71E93">
        <w:rPr>
          <w:sz w:val="28"/>
          <w:szCs w:val="28"/>
          <w:lang w:val="en-AU"/>
        </w:rPr>
        <w:t xml:space="preserve">Student </w:t>
      </w:r>
      <w:r w:rsidR="00C934D8" w:rsidRPr="00B71E93">
        <w:rPr>
          <w:sz w:val="28"/>
          <w:szCs w:val="28"/>
          <w:lang w:val="en-AU"/>
        </w:rPr>
        <w:t>e</w:t>
      </w:r>
      <w:r w:rsidRPr="00B71E93">
        <w:rPr>
          <w:sz w:val="28"/>
          <w:szCs w:val="28"/>
          <w:lang w:val="en-AU"/>
        </w:rPr>
        <w:t xml:space="preserve">ngagement </w:t>
      </w:r>
      <w:r w:rsidR="00C934D8" w:rsidRPr="00B71E93">
        <w:rPr>
          <w:sz w:val="28"/>
          <w:szCs w:val="28"/>
          <w:lang w:val="en-AU"/>
        </w:rPr>
        <w:t>a</w:t>
      </w:r>
      <w:r w:rsidRPr="00B71E93">
        <w:rPr>
          <w:sz w:val="28"/>
          <w:szCs w:val="28"/>
          <w:lang w:val="en-AU"/>
        </w:rPr>
        <w:t xml:space="preserve">ctivities </w:t>
      </w:r>
    </w:p>
    <w:p w14:paraId="33DFEC46" w14:textId="77777777" w:rsidR="00BF0DAE" w:rsidRPr="00B71E93" w:rsidRDefault="00BF0DAE" w:rsidP="00BF0DAE">
      <w:pPr>
        <w:jc w:val="both"/>
      </w:pPr>
      <w:r w:rsidRPr="00B71E93">
        <w:t xml:space="preserve">Schools wishing to use their Boost funding on proven student engagement activities are encouraged to draw on existing tools and guidance to identify the students who need support with attendance/engagement issues. This could be done through the </w:t>
      </w:r>
      <w:hyperlink r:id="rId16" w:history="1">
        <w:r w:rsidRPr="00B71E93">
          <w:rPr>
            <w:rStyle w:val="Hyperlink"/>
            <w:rFonts w:cstheme="minorHAnsi"/>
            <w:szCs w:val="22"/>
          </w:rPr>
          <w:t>Panorama</w:t>
        </w:r>
      </w:hyperlink>
      <w:r w:rsidRPr="00B71E93">
        <w:t xml:space="preserve"> Absence </w:t>
      </w:r>
      <w:hyperlink r:id="rId17" w:history="1">
        <w:r w:rsidRPr="00B71E93">
          <w:rPr>
            <w:rStyle w:val="Hyperlink"/>
            <w:rFonts w:cstheme="minorHAnsi"/>
            <w:szCs w:val="22"/>
          </w:rPr>
          <w:t>Dashboard</w:t>
        </w:r>
      </w:hyperlink>
      <w:r w:rsidRPr="00B71E93">
        <w:t xml:space="preserve">, </w:t>
      </w:r>
      <w:hyperlink r:id="rId18" w:anchor="1%3Fpageid=7&amp;sid=9&amp;1" w:history="1">
        <w:r w:rsidRPr="00B71E93">
          <w:rPr>
            <w:rStyle w:val="Hyperlink"/>
            <w:rFonts w:cstheme="minorHAnsi"/>
            <w:szCs w:val="22"/>
          </w:rPr>
          <w:t>Staying in Education Dashboard</w:t>
        </w:r>
      </w:hyperlink>
      <w:r w:rsidRPr="00B71E93">
        <w:t xml:space="preserve"> (secondary school only) and the Student View Dashboard and processes outlined in the </w:t>
      </w:r>
      <w:hyperlink r:id="rId19" w:history="1">
        <w:r w:rsidRPr="00B71E93">
          <w:rPr>
            <w:rStyle w:val="Hyperlink"/>
            <w:rFonts w:cstheme="minorHAnsi"/>
            <w:szCs w:val="22"/>
          </w:rPr>
          <w:t>Schools Guide to Attendance</w:t>
        </w:r>
      </w:hyperlink>
      <w:r w:rsidRPr="00B71E93">
        <w:t>.</w:t>
      </w:r>
    </w:p>
    <w:p w14:paraId="3DEBE11E" w14:textId="77777777" w:rsidR="00BF0DAE" w:rsidRPr="00B71E93" w:rsidRDefault="00BF0DAE" w:rsidP="00624A55">
      <w:pPr>
        <w:rPr>
          <w:lang w:val="en-AU"/>
        </w:rPr>
      </w:pPr>
    </w:p>
    <w:p w14:paraId="2701B7E2" w14:textId="6734AD5F" w:rsidR="00BF0DAE" w:rsidRPr="00B71E93" w:rsidRDefault="00983907" w:rsidP="00BF0DAE">
      <w:pPr>
        <w:pStyle w:val="Heading2"/>
        <w:rPr>
          <w:sz w:val="28"/>
          <w:szCs w:val="28"/>
          <w:lang w:val="en-AU"/>
        </w:rPr>
      </w:pPr>
      <w:r w:rsidRPr="00B71E93">
        <w:rPr>
          <w:sz w:val="28"/>
          <w:szCs w:val="28"/>
          <w:lang w:val="en-AU"/>
        </w:rPr>
        <w:t>Camps</w:t>
      </w:r>
      <w:r w:rsidR="00881A62" w:rsidRPr="00B71E93">
        <w:rPr>
          <w:sz w:val="28"/>
          <w:szCs w:val="28"/>
          <w:lang w:val="en-AU"/>
        </w:rPr>
        <w:t xml:space="preserve"> and physical activity (including</w:t>
      </w:r>
      <w:r w:rsidR="00C934D8" w:rsidRPr="00B71E93">
        <w:rPr>
          <w:sz w:val="28"/>
          <w:szCs w:val="28"/>
          <w:lang w:val="en-AU"/>
        </w:rPr>
        <w:t xml:space="preserve"> sports</w:t>
      </w:r>
      <w:r w:rsidRPr="00B71E93">
        <w:rPr>
          <w:sz w:val="28"/>
          <w:szCs w:val="28"/>
          <w:lang w:val="en-AU"/>
        </w:rPr>
        <w:t xml:space="preserve"> and </w:t>
      </w:r>
      <w:r w:rsidR="00C934D8" w:rsidRPr="00B71E93">
        <w:rPr>
          <w:sz w:val="28"/>
          <w:szCs w:val="28"/>
          <w:lang w:val="en-AU"/>
        </w:rPr>
        <w:t>o</w:t>
      </w:r>
      <w:r w:rsidRPr="00B71E93">
        <w:rPr>
          <w:sz w:val="28"/>
          <w:szCs w:val="28"/>
          <w:lang w:val="en-AU"/>
        </w:rPr>
        <w:t xml:space="preserve">utdoor </w:t>
      </w:r>
      <w:r w:rsidR="00C934D8" w:rsidRPr="00B71E93">
        <w:rPr>
          <w:sz w:val="28"/>
          <w:szCs w:val="28"/>
          <w:lang w:val="en-AU"/>
        </w:rPr>
        <w:t>a</w:t>
      </w:r>
      <w:r w:rsidRPr="00B71E93">
        <w:rPr>
          <w:sz w:val="28"/>
          <w:szCs w:val="28"/>
          <w:lang w:val="en-AU"/>
        </w:rPr>
        <w:t>ctivities</w:t>
      </w:r>
      <w:r w:rsidR="00881A62" w:rsidRPr="00B71E93">
        <w:rPr>
          <w:sz w:val="28"/>
          <w:szCs w:val="28"/>
          <w:lang w:val="en-AU"/>
        </w:rPr>
        <w:t>)</w:t>
      </w:r>
    </w:p>
    <w:p w14:paraId="54BC0622" w14:textId="62BE432C" w:rsidR="00881A62" w:rsidRPr="00B71E93" w:rsidRDefault="00881A62" w:rsidP="009075A5">
      <w:pPr>
        <w:jc w:val="both"/>
        <w:rPr>
          <w:b/>
          <w:bCs/>
          <w:lang w:eastAsia="en-AU"/>
        </w:rPr>
      </w:pPr>
      <w:r w:rsidRPr="00B71E93">
        <w:rPr>
          <w:b/>
          <w:bCs/>
          <w:lang w:eastAsia="en-AU"/>
        </w:rPr>
        <w:t>Camps</w:t>
      </w:r>
    </w:p>
    <w:p w14:paraId="4325FF52" w14:textId="77777777" w:rsidR="00881A62" w:rsidRPr="00B71E93" w:rsidRDefault="00881A62" w:rsidP="009075A5">
      <w:pPr>
        <w:jc w:val="both"/>
        <w:rPr>
          <w:lang w:eastAsia="en-AU"/>
        </w:rPr>
      </w:pPr>
      <w:r w:rsidRPr="00B71E93">
        <w:rPr>
          <w:lang w:eastAsia="en-AU"/>
        </w:rPr>
        <w:t xml:space="preserve">Schools wishing to use their Boost funding on camps are encouraged reach out to the relevant peak body or utilise existing online booking enquiry services. </w:t>
      </w:r>
    </w:p>
    <w:p w14:paraId="7F568D9B" w14:textId="496799BD" w:rsidR="00881A62" w:rsidRPr="00B71E93" w:rsidRDefault="00881A62" w:rsidP="009075A5">
      <w:pPr>
        <w:jc w:val="both"/>
        <w:rPr>
          <w:lang w:eastAsia="en-AU"/>
        </w:rPr>
      </w:pPr>
      <w:r w:rsidRPr="00B71E93">
        <w:rPr>
          <w:lang w:eastAsia="en-AU"/>
        </w:rPr>
        <w:t xml:space="preserve">Schools can access an </w:t>
      </w:r>
      <w:hyperlink r:id="rId20" w:history="1">
        <w:r w:rsidRPr="00B71E93">
          <w:rPr>
            <w:rStyle w:val="Hyperlink"/>
            <w:lang w:eastAsia="en-AU"/>
          </w:rPr>
          <w:t>online booking enquiry service</w:t>
        </w:r>
      </w:hyperlink>
      <w:r w:rsidRPr="00B71E93">
        <w:rPr>
          <w:lang w:eastAsia="en-AU"/>
        </w:rPr>
        <w:t xml:space="preserve"> on the Australia Camps Association (ACA) website </w:t>
      </w:r>
      <w:r w:rsidR="00FF7465" w:rsidRPr="00B71E93">
        <w:rPr>
          <w:lang w:eastAsia="en-AU"/>
        </w:rPr>
        <w:t>as well as</w:t>
      </w:r>
      <w:r w:rsidRPr="00B71E93">
        <w:rPr>
          <w:lang w:eastAsia="en-AU"/>
        </w:rPr>
        <w:t xml:space="preserve"> search for </w:t>
      </w:r>
      <w:hyperlink r:id="rId21" w:history="1">
        <w:r w:rsidRPr="00B71E93">
          <w:rPr>
            <w:rStyle w:val="Hyperlink"/>
            <w:lang w:eastAsia="en-AU"/>
          </w:rPr>
          <w:t>camps</w:t>
        </w:r>
      </w:hyperlink>
      <w:r w:rsidRPr="00B71E93">
        <w:rPr>
          <w:lang w:eastAsia="en-AU"/>
        </w:rPr>
        <w:t xml:space="preserve"> or </w:t>
      </w:r>
      <w:hyperlink r:id="rId22" w:history="1">
        <w:r w:rsidRPr="00B71E93">
          <w:rPr>
            <w:rStyle w:val="Hyperlink"/>
            <w:lang w:eastAsia="en-AU"/>
          </w:rPr>
          <w:t>activities</w:t>
        </w:r>
      </w:hyperlink>
      <w:r w:rsidRPr="00B71E93">
        <w:rPr>
          <w:lang w:eastAsia="en-AU"/>
        </w:rPr>
        <w:t xml:space="preserve">. As ACA is a national organisation, schools will need to filter for Victorian camps and activities. </w:t>
      </w:r>
    </w:p>
    <w:p w14:paraId="49AC668A" w14:textId="77777777" w:rsidR="00881A62" w:rsidRPr="00B71E93" w:rsidRDefault="00881A62" w:rsidP="009075A5">
      <w:pPr>
        <w:jc w:val="both"/>
        <w:rPr>
          <w:b/>
          <w:bCs/>
          <w:lang w:eastAsia="en-AU"/>
        </w:rPr>
      </w:pPr>
      <w:r w:rsidRPr="00B71E93">
        <w:rPr>
          <w:b/>
          <w:bCs/>
          <w:lang w:eastAsia="en-AU"/>
        </w:rPr>
        <w:t xml:space="preserve">Physical activity </w:t>
      </w:r>
    </w:p>
    <w:p w14:paraId="57643C58" w14:textId="375D6BCD" w:rsidR="00881A62" w:rsidRPr="00B71E93" w:rsidRDefault="009075A5" w:rsidP="009075A5">
      <w:pPr>
        <w:jc w:val="both"/>
        <w:rPr>
          <w:b/>
          <w:bCs/>
          <w:color w:val="004C97" w:themeColor="accent5"/>
          <w:sz w:val="24"/>
          <w:lang w:val="en-AU"/>
        </w:rPr>
      </w:pPr>
      <w:r w:rsidRPr="00B71E93">
        <w:rPr>
          <w:lang w:eastAsia="en-AU"/>
        </w:rPr>
        <w:t>Schools wishing to use their Boost funding for</w:t>
      </w:r>
      <w:r w:rsidR="00881A62" w:rsidRPr="00B71E93">
        <w:rPr>
          <w:lang w:eastAsia="en-AU"/>
        </w:rPr>
        <w:t xml:space="preserve"> physical activity, including sports and outdoor activities</w:t>
      </w:r>
      <w:r w:rsidR="00B71E93">
        <w:rPr>
          <w:lang w:eastAsia="en-AU"/>
        </w:rPr>
        <w:t>,</w:t>
      </w:r>
      <w:r w:rsidR="00881A62" w:rsidRPr="00B71E93">
        <w:rPr>
          <w:lang w:eastAsia="en-AU"/>
        </w:rPr>
        <w:t xml:space="preserve"> are recommended to refer to the </w:t>
      </w:r>
      <w:hyperlink r:id="rId23" w:history="1">
        <w:r w:rsidR="00881A62" w:rsidRPr="00B71E93">
          <w:rPr>
            <w:rStyle w:val="Hyperlink"/>
          </w:rPr>
          <w:t>Active Schools Initiative</w:t>
        </w:r>
      </w:hyperlink>
      <w:r w:rsidR="00881A62" w:rsidRPr="00B71E93">
        <w:rPr>
          <w:lang w:eastAsia="en-AU"/>
        </w:rPr>
        <w:t xml:space="preserve"> and </w:t>
      </w:r>
      <w:hyperlink r:id="rId24" w:history="1">
        <w:r w:rsidR="00881A62" w:rsidRPr="00B71E93">
          <w:rPr>
            <w:rStyle w:val="Hyperlink"/>
            <w:lang w:eastAsia="en-AU"/>
          </w:rPr>
          <w:t>Active Schools Toolkit</w:t>
        </w:r>
      </w:hyperlink>
      <w:r w:rsidR="00881A62" w:rsidRPr="00B71E93">
        <w:rPr>
          <w:rStyle w:val="Hyperlink"/>
          <w:lang w:eastAsia="en-AU"/>
        </w:rPr>
        <w:t xml:space="preserve"> </w:t>
      </w:r>
      <w:r w:rsidR="00881A62" w:rsidRPr="00B71E93">
        <w:rPr>
          <w:lang w:eastAsia="en-AU"/>
        </w:rPr>
        <w:t>which supports schools to take a whole school approach to physical activity.</w:t>
      </w:r>
      <w:r w:rsidR="00881A62" w:rsidRPr="00B71E93">
        <w:rPr>
          <w:rStyle w:val="Hyperlink"/>
          <w:color w:val="auto"/>
          <w:u w:val="none"/>
          <w:lang w:eastAsia="en-AU"/>
        </w:rPr>
        <w:t xml:space="preserve"> </w:t>
      </w:r>
    </w:p>
    <w:p w14:paraId="062CDC14" w14:textId="77777777" w:rsidR="0086470C" w:rsidRPr="00B71E93" w:rsidRDefault="0086470C" w:rsidP="00E961F0">
      <w:pPr>
        <w:jc w:val="both"/>
        <w:rPr>
          <w:b/>
          <w:bCs/>
          <w:color w:val="004C97" w:themeColor="accent5"/>
          <w:sz w:val="24"/>
          <w:lang w:val="en-AU"/>
        </w:rPr>
      </w:pPr>
    </w:p>
    <w:p w14:paraId="15D6CA31" w14:textId="77777777" w:rsidR="009075A5" w:rsidRPr="00B71E93" w:rsidRDefault="009075A5" w:rsidP="00E961F0">
      <w:pPr>
        <w:jc w:val="both"/>
        <w:rPr>
          <w:b/>
          <w:bCs/>
          <w:color w:val="004C97" w:themeColor="accent5"/>
          <w:sz w:val="24"/>
          <w:lang w:val="en-AU"/>
        </w:rPr>
      </w:pPr>
    </w:p>
    <w:p w14:paraId="5DCB0827" w14:textId="3F575EA6" w:rsidR="00E961F0" w:rsidRPr="00B71E93" w:rsidRDefault="00E961F0" w:rsidP="00E961F0">
      <w:pPr>
        <w:jc w:val="both"/>
        <w:rPr>
          <w:b/>
          <w:bCs/>
          <w:color w:val="004C97" w:themeColor="accent5"/>
          <w:sz w:val="24"/>
          <w:lang w:val="en-AU"/>
        </w:rPr>
      </w:pPr>
      <w:r w:rsidRPr="00B71E93">
        <w:rPr>
          <w:b/>
          <w:bCs/>
          <w:color w:val="004C97" w:themeColor="accent5"/>
          <w:sz w:val="24"/>
          <w:lang w:val="en-AU"/>
        </w:rPr>
        <w:t xml:space="preserve">Procurement </w:t>
      </w:r>
    </w:p>
    <w:p w14:paraId="39920505" w14:textId="7DF8955A" w:rsidR="00E961F0" w:rsidRPr="00B71E93" w:rsidRDefault="00E961F0" w:rsidP="00E961F0">
      <w:pPr>
        <w:jc w:val="both"/>
        <w:rPr>
          <w:lang w:val="en-AU"/>
        </w:rPr>
      </w:pPr>
      <w:r w:rsidRPr="00B71E93">
        <w:rPr>
          <w:lang w:val="en-AU"/>
        </w:rPr>
        <w:t xml:space="preserve">Government schools </w:t>
      </w:r>
      <w:r w:rsidR="004047FD" w:rsidRPr="00B71E93">
        <w:rPr>
          <w:lang w:val="en-AU"/>
        </w:rPr>
        <w:t>must</w:t>
      </w:r>
      <w:r w:rsidRPr="00B71E93">
        <w:rPr>
          <w:lang w:val="en-AU"/>
        </w:rPr>
        <w:t xml:space="preserve"> follow existing department </w:t>
      </w:r>
      <w:hyperlink r:id="rId25" w:history="1">
        <w:r w:rsidRPr="00B71E93">
          <w:rPr>
            <w:rStyle w:val="Hyperlink"/>
            <w:lang w:val="en-AU"/>
          </w:rPr>
          <w:t>procurement procedures</w:t>
        </w:r>
      </w:hyperlink>
      <w:r w:rsidRPr="00B71E93">
        <w:rPr>
          <w:lang w:val="en-AU"/>
        </w:rPr>
        <w:t xml:space="preserve"> and </w:t>
      </w:r>
      <w:hyperlink r:id="rId26" w:anchor="/app/content/2987/support_and_service_(schools)%252Fprocurement,_funding_and_travel%252Fprocurement%252Fschools_procurement_tools_and_templates" w:history="1">
        <w:r w:rsidRPr="00B71E93">
          <w:rPr>
            <w:rStyle w:val="Hyperlink"/>
            <w:lang w:val="en-AU"/>
          </w:rPr>
          <w:t>templates</w:t>
        </w:r>
      </w:hyperlink>
      <w:r w:rsidRPr="00B71E93">
        <w:rPr>
          <w:lang w:val="en-AU"/>
        </w:rPr>
        <w:t xml:space="preserve"> when engaging staff or services using Boost funding. </w:t>
      </w:r>
    </w:p>
    <w:p w14:paraId="7E27FB8B" w14:textId="77777777" w:rsidR="00405AC1" w:rsidRPr="00B71E93" w:rsidRDefault="00405AC1" w:rsidP="00E961F0">
      <w:pPr>
        <w:jc w:val="both"/>
        <w:rPr>
          <w:b/>
          <w:bCs/>
          <w:color w:val="004C97" w:themeColor="accent5"/>
          <w:sz w:val="24"/>
          <w:lang w:val="en-AU"/>
        </w:rPr>
      </w:pPr>
    </w:p>
    <w:p w14:paraId="31D758D3" w14:textId="6F5A8187" w:rsidR="00E961F0" w:rsidRPr="00B71E93" w:rsidRDefault="00E961F0" w:rsidP="00E961F0">
      <w:pPr>
        <w:jc w:val="both"/>
        <w:rPr>
          <w:b/>
          <w:bCs/>
          <w:color w:val="004C97" w:themeColor="accent5"/>
          <w:sz w:val="24"/>
          <w:lang w:val="en-AU"/>
        </w:rPr>
      </w:pPr>
      <w:r w:rsidRPr="00B71E93">
        <w:rPr>
          <w:b/>
          <w:bCs/>
          <w:color w:val="004C97" w:themeColor="accent5"/>
          <w:sz w:val="24"/>
          <w:lang w:val="en-AU"/>
        </w:rPr>
        <w:t>Funding Arrangements</w:t>
      </w:r>
    </w:p>
    <w:p w14:paraId="2D775F7C" w14:textId="0D863ED0" w:rsidR="00E961F0" w:rsidRPr="00B71E93" w:rsidRDefault="00E961F0" w:rsidP="00E961F0">
      <w:pPr>
        <w:jc w:val="both"/>
        <w:rPr>
          <w:b/>
          <w:bCs/>
        </w:rPr>
      </w:pPr>
      <w:r w:rsidRPr="00B71E93">
        <w:t xml:space="preserve">Victorian government and low-fee non-government schools will receive base Boost funding of $15,000 plus additional per student funding. High-fee non-government schools will receive funding of $7,500 with no additional per student funding. </w:t>
      </w:r>
    </w:p>
    <w:p w14:paraId="5796E0CD" w14:textId="77777777" w:rsidR="00E961F0" w:rsidRPr="00B71E93" w:rsidRDefault="00E961F0" w:rsidP="00E961F0">
      <w:pPr>
        <w:jc w:val="both"/>
        <w:rPr>
          <w:rFonts w:cstheme="minorHAnsi"/>
        </w:rPr>
      </w:pPr>
      <w:r w:rsidRPr="00B71E93">
        <w:rPr>
          <w:rFonts w:cstheme="minorHAnsi"/>
        </w:rPr>
        <w:t xml:space="preserve">Schools are required to spend, or commit to spend, the money by 31 March 2024. </w:t>
      </w:r>
    </w:p>
    <w:p w14:paraId="6BDC8BE2" w14:textId="77777777" w:rsidR="00F36919" w:rsidRDefault="00E961F0" w:rsidP="00E961F0">
      <w:pPr>
        <w:jc w:val="both"/>
      </w:pPr>
      <w:r w:rsidRPr="00B71E93">
        <w:t xml:space="preserve">Victorian government schools will receive their funding </w:t>
      </w:r>
      <w:r w:rsidR="00F36919" w:rsidRPr="00F36919">
        <w:t>allocation through an out-of-cycle offline Student Resource Package (SRP) payment before Friday 30 June 2023. The payments will appear in school SRP cash reports under ‘</w:t>
      </w:r>
      <w:r w:rsidR="00F36919" w:rsidRPr="000242E3">
        <w:rPr>
          <w:i/>
          <w:iCs/>
        </w:rPr>
        <w:t>Student Wellbeing Boost’</w:t>
      </w:r>
      <w:r w:rsidR="00F36919" w:rsidRPr="00F36919">
        <w:t>.</w:t>
      </w:r>
    </w:p>
    <w:p w14:paraId="53DEAD4A" w14:textId="77777777" w:rsidR="00405AC1" w:rsidRPr="00B71E93" w:rsidRDefault="00405AC1" w:rsidP="00E961F0">
      <w:pPr>
        <w:jc w:val="both"/>
        <w:rPr>
          <w:b/>
          <w:bCs/>
          <w:color w:val="004C97" w:themeColor="accent5"/>
          <w:sz w:val="24"/>
          <w:lang w:val="en-AU"/>
        </w:rPr>
      </w:pPr>
    </w:p>
    <w:p w14:paraId="0B3ADECE" w14:textId="5EEA0C17" w:rsidR="00E961F0" w:rsidRPr="00B71E93" w:rsidRDefault="00E961F0" w:rsidP="00E961F0">
      <w:pPr>
        <w:jc w:val="both"/>
        <w:rPr>
          <w:b/>
          <w:bCs/>
          <w:color w:val="004C97" w:themeColor="accent5"/>
          <w:sz w:val="24"/>
          <w:lang w:val="en-AU"/>
        </w:rPr>
      </w:pPr>
      <w:r w:rsidRPr="00B71E93">
        <w:rPr>
          <w:b/>
          <w:bCs/>
          <w:color w:val="004C97" w:themeColor="accent5"/>
          <w:sz w:val="24"/>
          <w:lang w:val="en-AU"/>
        </w:rPr>
        <w:t xml:space="preserve">Further Information </w:t>
      </w:r>
    </w:p>
    <w:p w14:paraId="6C824DE3" w14:textId="3AA4B4DA" w:rsidR="00E961F0" w:rsidRPr="00B71E93" w:rsidRDefault="00E961F0" w:rsidP="006A225B">
      <w:pPr>
        <w:rPr>
          <w:szCs w:val="22"/>
          <w:lang w:eastAsia="en-AU"/>
        </w:rPr>
      </w:pPr>
      <w:r w:rsidRPr="00B71E93">
        <w:rPr>
          <w:szCs w:val="22"/>
          <w:lang w:eastAsia="en-AU"/>
        </w:rPr>
        <w:t>For further information about the Boost,</w:t>
      </w:r>
      <w:r w:rsidR="006A225B" w:rsidRPr="00B71E93">
        <w:rPr>
          <w:szCs w:val="22"/>
          <w:lang w:eastAsia="en-AU"/>
        </w:rPr>
        <w:t xml:space="preserve"> please refer to the below </w:t>
      </w:r>
      <w:hyperlink w:anchor="_Frequently_asked_questions" w:history="1">
        <w:r w:rsidR="006A225B" w:rsidRPr="00B71E93">
          <w:rPr>
            <w:rStyle w:val="Hyperlink"/>
            <w:szCs w:val="22"/>
            <w:lang w:eastAsia="en-AU"/>
          </w:rPr>
          <w:t>FAQs</w:t>
        </w:r>
      </w:hyperlink>
      <w:r w:rsidR="006A225B" w:rsidRPr="00B71E93">
        <w:rPr>
          <w:szCs w:val="22"/>
          <w:lang w:eastAsia="en-AU"/>
        </w:rPr>
        <w:t xml:space="preserve"> or schools</w:t>
      </w:r>
      <w:r w:rsidRPr="00B71E93">
        <w:rPr>
          <w:szCs w:val="22"/>
          <w:lang w:eastAsia="en-AU"/>
        </w:rPr>
        <w:t xml:space="preserve"> can contact the Department of Education by email at </w:t>
      </w:r>
      <w:hyperlink r:id="rId27" w:history="1">
        <w:r w:rsidR="00E96E7D" w:rsidRPr="00B71E93">
          <w:rPr>
            <w:rStyle w:val="Hyperlink"/>
            <w:rFonts w:ascii="Arial" w:hAnsi="Arial" w:cs="Arial"/>
            <w:szCs w:val="22"/>
          </w:rPr>
          <w:t>studentwellbeingboost@education.vic.gov.au</w:t>
        </w:r>
      </w:hyperlink>
      <w:r w:rsidRPr="00B71E93">
        <w:rPr>
          <w:szCs w:val="22"/>
          <w:lang w:eastAsia="en-AU"/>
        </w:rPr>
        <w:t xml:space="preserve">. </w:t>
      </w:r>
    </w:p>
    <w:p w14:paraId="2F1B8BEC" w14:textId="4AE5F225" w:rsidR="0086470C" w:rsidRPr="00B71E93" w:rsidRDefault="0086470C" w:rsidP="00983907">
      <w:pPr>
        <w:rPr>
          <w:lang w:val="en-AU"/>
        </w:rPr>
      </w:pPr>
    </w:p>
    <w:p w14:paraId="5DBC757E" w14:textId="77777777" w:rsidR="00405AC1" w:rsidRPr="00B71E93" w:rsidRDefault="00405AC1" w:rsidP="00405AC1">
      <w:pPr>
        <w:jc w:val="both"/>
        <w:rPr>
          <w:szCs w:val="22"/>
          <w:lang w:eastAsia="en-AU"/>
        </w:rPr>
      </w:pPr>
    </w:p>
    <w:p w14:paraId="3286BC0B" w14:textId="77777777" w:rsidR="00405AC1" w:rsidRPr="00B71E93" w:rsidRDefault="00405AC1" w:rsidP="00405AC1">
      <w:pPr>
        <w:jc w:val="both"/>
        <w:rPr>
          <w:szCs w:val="22"/>
          <w:lang w:eastAsia="en-AU"/>
        </w:rPr>
      </w:pPr>
    </w:p>
    <w:p w14:paraId="7DAD1040" w14:textId="77777777" w:rsidR="00405AC1" w:rsidRPr="00B71E93" w:rsidRDefault="00405AC1" w:rsidP="00405AC1">
      <w:pPr>
        <w:jc w:val="both"/>
        <w:rPr>
          <w:szCs w:val="22"/>
          <w:lang w:eastAsia="en-AU"/>
        </w:rPr>
      </w:pPr>
    </w:p>
    <w:p w14:paraId="2B77C108" w14:textId="77777777" w:rsidR="00405AC1" w:rsidRPr="00B71E93" w:rsidRDefault="00405AC1" w:rsidP="00405AC1">
      <w:pPr>
        <w:jc w:val="both"/>
        <w:rPr>
          <w:szCs w:val="22"/>
          <w:lang w:eastAsia="en-AU"/>
        </w:rPr>
      </w:pPr>
    </w:p>
    <w:p w14:paraId="0BDD751A" w14:textId="77777777" w:rsidR="00405AC1" w:rsidRPr="00B71E93" w:rsidRDefault="00405AC1" w:rsidP="00405AC1">
      <w:pPr>
        <w:jc w:val="both"/>
        <w:rPr>
          <w:szCs w:val="22"/>
          <w:lang w:eastAsia="en-AU"/>
        </w:rPr>
      </w:pPr>
    </w:p>
    <w:p w14:paraId="00B613AC" w14:textId="77777777" w:rsidR="00405AC1" w:rsidRPr="00B71E93" w:rsidRDefault="00405AC1" w:rsidP="00405AC1">
      <w:pPr>
        <w:jc w:val="both"/>
        <w:rPr>
          <w:szCs w:val="22"/>
          <w:lang w:eastAsia="en-AU"/>
        </w:rPr>
      </w:pPr>
    </w:p>
    <w:p w14:paraId="542F2549" w14:textId="77777777" w:rsidR="00405AC1" w:rsidRPr="00B71E93" w:rsidRDefault="00405AC1" w:rsidP="00405AC1">
      <w:pPr>
        <w:jc w:val="both"/>
        <w:rPr>
          <w:szCs w:val="22"/>
          <w:lang w:eastAsia="en-AU"/>
        </w:rPr>
      </w:pPr>
    </w:p>
    <w:p w14:paraId="7BB439BD" w14:textId="77777777" w:rsidR="00405AC1" w:rsidRPr="00B71E93" w:rsidRDefault="00405AC1" w:rsidP="00405AC1">
      <w:pPr>
        <w:jc w:val="both"/>
        <w:rPr>
          <w:szCs w:val="22"/>
          <w:lang w:eastAsia="en-AU"/>
        </w:rPr>
      </w:pPr>
    </w:p>
    <w:p w14:paraId="50DE5BDD" w14:textId="77777777" w:rsidR="00405AC1" w:rsidRPr="00B71E93" w:rsidRDefault="00405AC1" w:rsidP="00405AC1">
      <w:pPr>
        <w:jc w:val="both"/>
        <w:rPr>
          <w:szCs w:val="22"/>
          <w:lang w:eastAsia="en-AU"/>
        </w:rPr>
      </w:pPr>
    </w:p>
    <w:p w14:paraId="58DAD97F" w14:textId="77777777" w:rsidR="00405AC1" w:rsidRPr="00B71E93" w:rsidRDefault="00405AC1" w:rsidP="00405AC1">
      <w:pPr>
        <w:jc w:val="both"/>
        <w:rPr>
          <w:szCs w:val="22"/>
          <w:lang w:eastAsia="en-AU"/>
        </w:rPr>
      </w:pPr>
    </w:p>
    <w:p w14:paraId="6FCE9420" w14:textId="77777777" w:rsidR="00405AC1" w:rsidRPr="00B71E93" w:rsidRDefault="00405AC1" w:rsidP="00405AC1">
      <w:pPr>
        <w:jc w:val="both"/>
        <w:rPr>
          <w:szCs w:val="22"/>
          <w:lang w:eastAsia="en-AU"/>
        </w:rPr>
      </w:pPr>
    </w:p>
    <w:p w14:paraId="4BB49B5A" w14:textId="77777777" w:rsidR="00405AC1" w:rsidRPr="00B71E93" w:rsidRDefault="00405AC1" w:rsidP="00405AC1">
      <w:pPr>
        <w:jc w:val="both"/>
        <w:rPr>
          <w:szCs w:val="22"/>
          <w:lang w:eastAsia="en-AU"/>
        </w:rPr>
      </w:pPr>
    </w:p>
    <w:p w14:paraId="476E790E" w14:textId="77777777" w:rsidR="00405AC1" w:rsidRPr="00B71E93" w:rsidRDefault="00405AC1" w:rsidP="00405AC1">
      <w:pPr>
        <w:jc w:val="both"/>
        <w:rPr>
          <w:szCs w:val="22"/>
          <w:lang w:eastAsia="en-AU"/>
        </w:rPr>
      </w:pPr>
    </w:p>
    <w:p w14:paraId="1457185E" w14:textId="77777777" w:rsidR="00405AC1" w:rsidRPr="00B71E93" w:rsidRDefault="00405AC1" w:rsidP="00405AC1">
      <w:pPr>
        <w:jc w:val="both"/>
        <w:rPr>
          <w:szCs w:val="22"/>
          <w:lang w:eastAsia="en-AU"/>
        </w:rPr>
      </w:pPr>
    </w:p>
    <w:p w14:paraId="1ADB2848" w14:textId="77777777" w:rsidR="00405AC1" w:rsidRPr="00B71E93" w:rsidRDefault="00405AC1" w:rsidP="00405AC1">
      <w:pPr>
        <w:jc w:val="both"/>
        <w:rPr>
          <w:szCs w:val="22"/>
          <w:lang w:eastAsia="en-AU"/>
        </w:rPr>
      </w:pPr>
    </w:p>
    <w:p w14:paraId="2D11C447" w14:textId="77777777" w:rsidR="00405AC1" w:rsidRPr="00B71E93" w:rsidRDefault="00405AC1" w:rsidP="00405AC1">
      <w:pPr>
        <w:jc w:val="both"/>
        <w:rPr>
          <w:szCs w:val="22"/>
          <w:lang w:eastAsia="en-AU"/>
        </w:rPr>
      </w:pPr>
    </w:p>
    <w:p w14:paraId="2C2D222A" w14:textId="77777777" w:rsidR="00405AC1" w:rsidRPr="00B71E93" w:rsidRDefault="00405AC1" w:rsidP="00405AC1">
      <w:pPr>
        <w:jc w:val="both"/>
        <w:rPr>
          <w:szCs w:val="22"/>
          <w:lang w:eastAsia="en-AU"/>
        </w:rPr>
      </w:pPr>
    </w:p>
    <w:p w14:paraId="236C690A" w14:textId="77777777" w:rsidR="00405AC1" w:rsidRPr="00B71E93" w:rsidRDefault="00405AC1" w:rsidP="00405AC1">
      <w:pPr>
        <w:jc w:val="both"/>
        <w:rPr>
          <w:szCs w:val="22"/>
          <w:lang w:eastAsia="en-AU"/>
        </w:rPr>
      </w:pPr>
    </w:p>
    <w:p w14:paraId="5550D155" w14:textId="77777777" w:rsidR="00B0148A" w:rsidRDefault="00B0148A" w:rsidP="00624A55">
      <w:pPr>
        <w:rPr>
          <w:szCs w:val="22"/>
          <w:lang w:eastAsia="en-AU"/>
        </w:rPr>
      </w:pPr>
    </w:p>
    <w:p w14:paraId="3EBEB55E" w14:textId="77777777" w:rsidR="000242E3" w:rsidRPr="00B71E93" w:rsidRDefault="000242E3" w:rsidP="00624A55">
      <w:pPr>
        <w:rPr>
          <w:b/>
          <w:bCs/>
          <w:color w:val="E25205" w:themeColor="accent1"/>
          <w:szCs w:val="22"/>
          <w:lang w:val="en-AU"/>
        </w:rPr>
      </w:pPr>
    </w:p>
    <w:p w14:paraId="60AD00CD" w14:textId="077CAEF6" w:rsidR="00624A55" w:rsidRPr="00B71E93" w:rsidRDefault="00A15353" w:rsidP="006A225B">
      <w:pPr>
        <w:pStyle w:val="Heading1"/>
        <w:rPr>
          <w:lang w:val="en-AU"/>
        </w:rPr>
      </w:pPr>
      <w:bookmarkStart w:id="0" w:name="_Frequently_asked_questions"/>
      <w:bookmarkEnd w:id="0"/>
      <w:r w:rsidRPr="00B71E93">
        <w:rPr>
          <w:lang w:val="en-AU"/>
        </w:rPr>
        <w:t xml:space="preserve">Frequently </w:t>
      </w:r>
      <w:r w:rsidRPr="00B71E93">
        <w:rPr>
          <w:color w:val="E25205"/>
          <w:lang w:val="en-AU"/>
        </w:rPr>
        <w:t>asked questions</w:t>
      </w:r>
      <w:r w:rsidRPr="00B71E93">
        <w:rPr>
          <w:lang w:val="en-AU"/>
        </w:rPr>
        <w:t xml:space="preserve"> (FAQs)</w:t>
      </w:r>
    </w:p>
    <w:tbl>
      <w:tblPr>
        <w:tblStyle w:val="TableGrid"/>
        <w:tblW w:w="0" w:type="auto"/>
        <w:tblLook w:val="04A0" w:firstRow="1" w:lastRow="0" w:firstColumn="1" w:lastColumn="0" w:noHBand="0" w:noVBand="1"/>
      </w:tblPr>
      <w:tblGrid>
        <w:gridCol w:w="2830"/>
        <w:gridCol w:w="6792"/>
      </w:tblGrid>
      <w:tr w:rsidR="00900001" w:rsidRPr="00B71E93" w14:paraId="03825750" w14:textId="77777777" w:rsidTr="00F962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tcPr>
          <w:p w14:paraId="144BED17" w14:textId="13C48906" w:rsidR="00900001" w:rsidRPr="00B71E93" w:rsidRDefault="00900001" w:rsidP="007B556E">
            <w:pPr>
              <w:pStyle w:val="TableHead"/>
            </w:pPr>
            <w:r w:rsidRPr="00B71E93">
              <w:t xml:space="preserve">Question </w:t>
            </w:r>
          </w:p>
        </w:tc>
        <w:tc>
          <w:tcPr>
            <w:tcW w:w="6792" w:type="dxa"/>
          </w:tcPr>
          <w:p w14:paraId="38A74156" w14:textId="0F74D7D2" w:rsidR="00900001" w:rsidRPr="00B71E93" w:rsidRDefault="00900001" w:rsidP="007B556E">
            <w:pPr>
              <w:pStyle w:val="TableHead"/>
              <w:cnfStyle w:val="100000000000" w:firstRow="1" w:lastRow="0" w:firstColumn="0" w:lastColumn="0" w:oddVBand="0" w:evenVBand="0" w:oddHBand="0" w:evenHBand="0" w:firstRowFirstColumn="0" w:firstRowLastColumn="0" w:lastRowFirstColumn="0" w:lastRowLastColumn="0"/>
            </w:pPr>
            <w:r w:rsidRPr="00B71E93">
              <w:t xml:space="preserve">Response </w:t>
            </w:r>
          </w:p>
        </w:tc>
      </w:tr>
      <w:tr w:rsidR="009F64FD" w:rsidRPr="00B71E93" w14:paraId="6FAF31FC"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3A5C4E16" w14:textId="3D74ADB7" w:rsidR="009F64FD" w:rsidRPr="00B71E93" w:rsidRDefault="009F64FD" w:rsidP="00153E21">
            <w:pPr>
              <w:rPr>
                <w:b/>
                <w:bCs/>
                <w:lang w:val="en-AU"/>
              </w:rPr>
            </w:pPr>
            <w:r w:rsidRPr="00B71E93">
              <w:rPr>
                <w:b/>
                <w:bCs/>
                <w:lang w:val="en-AU"/>
              </w:rPr>
              <w:t xml:space="preserve">Why have schools received this funding? </w:t>
            </w:r>
          </w:p>
        </w:tc>
        <w:tc>
          <w:tcPr>
            <w:tcW w:w="6792" w:type="dxa"/>
          </w:tcPr>
          <w:p w14:paraId="3FDF2C31" w14:textId="5E93C228" w:rsidR="009F64FD" w:rsidRPr="00B71E93" w:rsidRDefault="004D0C44" w:rsidP="00027DE2">
            <w:pPr>
              <w:cnfStyle w:val="000000000000" w:firstRow="0" w:lastRow="0" w:firstColumn="0" w:lastColumn="0" w:oddVBand="0" w:evenVBand="0" w:oddHBand="0" w:evenHBand="0" w:firstRowFirstColumn="0" w:firstRowLastColumn="0" w:lastRowFirstColumn="0" w:lastRowLastColumn="0"/>
              <w:rPr>
                <w:lang w:val="en-AU"/>
              </w:rPr>
            </w:pPr>
            <w:r w:rsidRPr="00B71E93">
              <w:rPr>
                <w:lang w:val="en-AU"/>
              </w:rPr>
              <w:t xml:space="preserve">In response to the impact of the coronavirus (COVID-19) pandemic on student mental health and wellbeing, the Australian Government has provided each State and Territory with one-off </w:t>
            </w:r>
            <w:hyperlink r:id="rId28" w:history="1">
              <w:r w:rsidRPr="00B71E93">
                <w:rPr>
                  <w:rStyle w:val="Hyperlink"/>
                  <w:lang w:val="en-AU"/>
                </w:rPr>
                <w:t>Student Wellbeing Boost</w:t>
              </w:r>
            </w:hyperlink>
            <w:r w:rsidRPr="00B71E93">
              <w:rPr>
                <w:lang w:val="en-AU"/>
              </w:rPr>
              <w:t xml:space="preserve"> funding to support students through a range of mental health and wellbeing activities.</w:t>
            </w:r>
          </w:p>
        </w:tc>
      </w:tr>
      <w:tr w:rsidR="00C71012" w:rsidRPr="00B71E93" w14:paraId="0A109FA6"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624FF74B" w14:textId="1B4BFA32" w:rsidR="00C71012" w:rsidRPr="00B71E93" w:rsidRDefault="00C71012" w:rsidP="00C71012">
            <w:pPr>
              <w:rPr>
                <w:b/>
                <w:bCs/>
                <w:lang w:val="en-AU"/>
              </w:rPr>
            </w:pPr>
            <w:r w:rsidRPr="00B71E93">
              <w:rPr>
                <w:b/>
                <w:bCs/>
                <w:lang w:val="en-AU"/>
              </w:rPr>
              <w:t xml:space="preserve">What can schools spend the funding on? </w:t>
            </w:r>
          </w:p>
        </w:tc>
        <w:tc>
          <w:tcPr>
            <w:tcW w:w="6792" w:type="dxa"/>
          </w:tcPr>
          <w:p w14:paraId="4CCA0523" w14:textId="77777777" w:rsidR="00C71012" w:rsidRPr="00B71E93" w:rsidRDefault="00C71012" w:rsidP="00C71012">
            <w:pPr>
              <w:contextualSpacing/>
              <w:cnfStyle w:val="000000000000" w:firstRow="0" w:lastRow="0" w:firstColumn="0" w:lastColumn="0" w:oddVBand="0" w:evenVBand="0" w:oddHBand="0" w:evenHBand="0" w:firstRowFirstColumn="0" w:firstRowLastColumn="0" w:lastRowFirstColumn="0" w:lastRowLastColumn="0"/>
              <w:rPr>
                <w:lang w:eastAsia="en-AU"/>
              </w:rPr>
            </w:pPr>
            <w:r w:rsidRPr="00B71E93">
              <w:rPr>
                <w:lang w:eastAsia="en-AU"/>
              </w:rPr>
              <w:t>Schools must spend their Boost funding on mental health and wellbeing activities, which may include:</w:t>
            </w:r>
          </w:p>
          <w:p w14:paraId="7D33F9A9" w14:textId="77777777" w:rsidR="00C71012" w:rsidRPr="00B71E93" w:rsidRDefault="00C71012" w:rsidP="00C71012">
            <w:pPr>
              <w:pStyle w:val="ListParagraph"/>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B71E93">
              <w:rPr>
                <w:lang w:eastAsia="en-AU"/>
              </w:rPr>
              <w:t xml:space="preserve">extra school mental health professionals, such as psychologists and school </w:t>
            </w:r>
            <w:proofErr w:type="gramStart"/>
            <w:r w:rsidRPr="00B71E93">
              <w:rPr>
                <w:lang w:eastAsia="en-AU"/>
              </w:rPr>
              <w:t>counsellors;</w:t>
            </w:r>
            <w:proofErr w:type="gramEnd"/>
            <w:r w:rsidRPr="00B71E93">
              <w:rPr>
                <w:lang w:eastAsia="en-AU"/>
              </w:rPr>
              <w:t xml:space="preserve"> </w:t>
            </w:r>
          </w:p>
          <w:p w14:paraId="4DFDC274" w14:textId="77777777" w:rsidR="00C71012" w:rsidRPr="00B71E93" w:rsidRDefault="00C71012" w:rsidP="00C71012">
            <w:pPr>
              <w:pStyle w:val="ListParagraph"/>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B71E93">
              <w:rPr>
                <w:lang w:eastAsia="en-AU"/>
              </w:rPr>
              <w:t>camps, excursions, sporting and social activities that improve students’ wellbeing; and</w:t>
            </w:r>
          </w:p>
          <w:p w14:paraId="1B19B1F0" w14:textId="77777777" w:rsidR="00C71012" w:rsidRPr="00B71E93" w:rsidRDefault="00C71012" w:rsidP="00C71012">
            <w:pPr>
              <w:pStyle w:val="ListParagraph"/>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rPr>
                <w:lang w:eastAsia="en-AU"/>
              </w:rPr>
            </w:pPr>
            <w:r w:rsidRPr="00B71E93">
              <w:rPr>
                <w:lang w:eastAsia="en-AU"/>
              </w:rPr>
              <w:t>proven student wellbeing, student engagement and mental health initiatives</w:t>
            </w:r>
          </w:p>
          <w:p w14:paraId="43CBF6D7" w14:textId="77777777" w:rsidR="00C71012" w:rsidRPr="00B71E93" w:rsidRDefault="00C71012" w:rsidP="00C71012">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color w:val="auto"/>
                <w:u w:val="none"/>
                <w:lang w:eastAsia="en-AU"/>
              </w:rPr>
            </w:pPr>
            <w:r w:rsidRPr="00B71E93">
              <w:rPr>
                <w:lang w:val="en-AU"/>
              </w:rPr>
              <w:t xml:space="preserve">The Victorian Department of Education recommends that schools use their Boost funding to complement existing activity, using the </w:t>
            </w:r>
            <w:hyperlink r:id="rId29" w:history="1">
              <w:r w:rsidRPr="00B71E93">
                <w:rPr>
                  <w:rStyle w:val="Hyperlink"/>
                  <w:rFonts w:ascii="Arial" w:eastAsia="Times New Roman" w:hAnsi="Arial" w:cs="Arial"/>
                  <w:lang w:eastAsia="en-AU"/>
                </w:rPr>
                <w:t>Schools Mental Health Menu</w:t>
              </w:r>
            </w:hyperlink>
            <w:r w:rsidRPr="00B71E93">
              <w:rPr>
                <w:rStyle w:val="Hyperlink"/>
                <w:rFonts w:ascii="Arial" w:eastAsia="Times New Roman" w:hAnsi="Arial" w:cs="Arial"/>
                <w:lang w:eastAsia="en-AU"/>
              </w:rPr>
              <w:t xml:space="preserve"> </w:t>
            </w:r>
            <w:r w:rsidRPr="00B71E93">
              <w:rPr>
                <w:rStyle w:val="Hyperlink"/>
                <w:rFonts w:ascii="Arial" w:eastAsia="Times New Roman" w:hAnsi="Arial" w:cs="Arial"/>
                <w:color w:val="auto"/>
                <w:u w:val="none"/>
                <w:lang w:eastAsia="en-AU"/>
              </w:rPr>
              <w:t xml:space="preserve">as a key guide. The Menu includes initiatives that promote student mental health and wellbeing, enable schools to intervene early to support students and provide targeted and more individualised support for students who need it. </w:t>
            </w:r>
          </w:p>
          <w:p w14:paraId="6C8F90A6" w14:textId="77777777" w:rsidR="00C71012" w:rsidRPr="00B71E93" w:rsidRDefault="00C71012" w:rsidP="00C71012">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B71E93">
              <w:rPr>
                <w:rStyle w:val="Hyperlink"/>
                <w:rFonts w:ascii="Arial" w:eastAsia="Times New Roman" w:hAnsi="Arial" w:cs="Arial"/>
                <w:color w:val="auto"/>
                <w:u w:val="none"/>
                <w:lang w:eastAsia="en-AU"/>
              </w:rPr>
              <w:t xml:space="preserve">Victorian schools may also wish to use their Boost funding to expand the FTE allocation for staff funded under the </w:t>
            </w:r>
            <w:hyperlink r:id="rId30" w:history="1">
              <w:r w:rsidRPr="00B71E93">
                <w:rPr>
                  <w:rStyle w:val="Hyperlink"/>
                  <w:rFonts w:ascii="Arial" w:eastAsia="Times New Roman" w:hAnsi="Arial" w:cs="Arial"/>
                  <w:lang w:eastAsia="en-AU"/>
                </w:rPr>
                <w:t>Mental Health in Primary Schools</w:t>
              </w:r>
            </w:hyperlink>
            <w:r w:rsidRPr="00B71E93">
              <w:t xml:space="preserve">, </w:t>
            </w:r>
            <w:hyperlink r:id="rId31" w:history="1">
              <w:r w:rsidRPr="00B71E93">
                <w:rPr>
                  <w:rStyle w:val="Hyperlink"/>
                  <w:rFonts w:ascii="Arial" w:hAnsi="Arial" w:cs="Arial"/>
                </w:rPr>
                <w:t>Mental Health Practitioners</w:t>
              </w:r>
            </w:hyperlink>
            <w:r w:rsidRPr="00B71E93">
              <w:rPr>
                <w:rFonts w:ascii="Arial" w:hAnsi="Arial" w:cs="Arial"/>
              </w:rPr>
              <w:t xml:space="preserve"> and </w:t>
            </w:r>
            <w:hyperlink r:id="rId32" w:history="1">
              <w:r w:rsidRPr="00B71E93">
                <w:rPr>
                  <w:rStyle w:val="Hyperlink"/>
                  <w:rFonts w:ascii="Arial" w:eastAsia="Times New Roman" w:hAnsi="Arial" w:cs="Arial"/>
                  <w:lang w:eastAsia="en-AU"/>
                </w:rPr>
                <w:t>National Student Wellbeing</w:t>
              </w:r>
            </w:hyperlink>
            <w:r w:rsidRPr="00B71E93">
              <w:rPr>
                <w:rFonts w:ascii="Arial" w:eastAsia="Times New Roman" w:hAnsi="Arial" w:cs="Arial"/>
                <w:lang w:eastAsia="en-AU"/>
              </w:rPr>
              <w:t xml:space="preserve"> programs. </w:t>
            </w:r>
          </w:p>
          <w:p w14:paraId="30CED6BB" w14:textId="58165A35" w:rsidR="00CB3D24" w:rsidRPr="00B71E93" w:rsidRDefault="00CB3D24" w:rsidP="00C71012">
            <w:pPr>
              <w:contextualSpacing/>
              <w:cnfStyle w:val="000000000000" w:firstRow="0" w:lastRow="0" w:firstColumn="0" w:lastColumn="0" w:oddVBand="0" w:evenVBand="0" w:oddHBand="0" w:evenHBand="0" w:firstRowFirstColumn="0" w:firstRowLastColumn="0" w:lastRowFirstColumn="0" w:lastRowLastColumn="0"/>
              <w:rPr>
                <w:lang w:eastAsia="en-AU"/>
              </w:rPr>
            </w:pPr>
          </w:p>
        </w:tc>
      </w:tr>
      <w:tr w:rsidR="004C6901" w:rsidRPr="00B71E93" w14:paraId="75B982BB"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7D9437ED" w14:textId="4888586D" w:rsidR="004C6901" w:rsidRPr="00B71E93" w:rsidRDefault="0058311B" w:rsidP="00054A33">
            <w:pPr>
              <w:rPr>
                <w:b/>
                <w:bCs/>
                <w:lang w:val="en-AU"/>
              </w:rPr>
            </w:pPr>
            <w:r w:rsidRPr="00B71E93">
              <w:rPr>
                <w:b/>
                <w:bCs/>
                <w:lang w:val="en-AU"/>
              </w:rPr>
              <w:t xml:space="preserve">Can schools use this funding for any purpose? </w:t>
            </w:r>
          </w:p>
        </w:tc>
        <w:tc>
          <w:tcPr>
            <w:tcW w:w="6792" w:type="dxa"/>
          </w:tcPr>
          <w:p w14:paraId="587AAFDC" w14:textId="6B3C7BE4" w:rsidR="004C6901" w:rsidRPr="00B71E93" w:rsidRDefault="00234065" w:rsidP="00047368">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No. Schools can only use their Boost funding to support student mental health and wellbeing.</w:t>
            </w:r>
          </w:p>
        </w:tc>
      </w:tr>
      <w:tr w:rsidR="004C6901" w:rsidRPr="00B71E93" w14:paraId="6047665D"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4E0C9654" w14:textId="38263749" w:rsidR="004C6901" w:rsidRPr="00B71E93" w:rsidRDefault="000F380B" w:rsidP="00047368">
            <w:pPr>
              <w:rPr>
                <w:b/>
                <w:bCs/>
                <w:lang w:val="en-AU"/>
              </w:rPr>
            </w:pPr>
            <w:r w:rsidRPr="00B71E93">
              <w:rPr>
                <w:b/>
                <w:bCs/>
                <w:lang w:val="en-AU"/>
              </w:rPr>
              <w:t xml:space="preserve">How were funding allocations decided? </w:t>
            </w:r>
          </w:p>
        </w:tc>
        <w:tc>
          <w:tcPr>
            <w:tcW w:w="6792" w:type="dxa"/>
          </w:tcPr>
          <w:p w14:paraId="311A1431" w14:textId="77777777" w:rsidR="00EF3FE7" w:rsidRPr="00B71E93" w:rsidRDefault="00FA628D" w:rsidP="00FA628D">
            <w:pPr>
              <w:cnfStyle w:val="000000000000" w:firstRow="0" w:lastRow="0" w:firstColumn="0" w:lastColumn="0" w:oddVBand="0" w:evenVBand="0" w:oddHBand="0" w:evenHBand="0" w:firstRowFirstColumn="0" w:firstRowLastColumn="0" w:lastRowFirstColumn="0" w:lastRowLastColumn="0"/>
              <w:rPr>
                <w:szCs w:val="22"/>
              </w:rPr>
            </w:pPr>
            <w:r w:rsidRPr="00B71E93">
              <w:rPr>
                <w:szCs w:val="22"/>
                <w:lang w:val="en-AU"/>
              </w:rPr>
              <w:t xml:space="preserve">All Victorian government and low-fee non-government schools will receive base Boost funding of $15,000 plus additional per student funding. </w:t>
            </w:r>
            <w:r w:rsidRPr="00B71E93">
              <w:rPr>
                <w:szCs w:val="22"/>
              </w:rPr>
              <w:t>The base plus enrolment approach is consistent with the approach applied to the Schools Mental Health Fund, Mental Health Practitioners and Mental Health in Primary School program.</w:t>
            </w:r>
          </w:p>
          <w:p w14:paraId="4F649225" w14:textId="504CE5D6" w:rsidR="004C6901" w:rsidRPr="00B71E93" w:rsidRDefault="00FA628D" w:rsidP="00FA628D">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rPr>
              <w:t xml:space="preserve">Enrolment figures were drawn from the August 2022 census. </w:t>
            </w:r>
          </w:p>
        </w:tc>
      </w:tr>
      <w:tr w:rsidR="00903D16" w:rsidRPr="00B71E93" w14:paraId="7AF2CBD7"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6996AD98" w14:textId="21B091AC" w:rsidR="00903D16" w:rsidRPr="00B71E93" w:rsidRDefault="00F148AC" w:rsidP="00047368">
            <w:pPr>
              <w:rPr>
                <w:b/>
                <w:bCs/>
                <w:lang w:val="en-AU"/>
              </w:rPr>
            </w:pPr>
            <w:r w:rsidRPr="00B71E93">
              <w:rPr>
                <w:b/>
                <w:bCs/>
                <w:lang w:val="en-AU"/>
              </w:rPr>
              <w:t xml:space="preserve">When will my school receive the funding? </w:t>
            </w:r>
          </w:p>
        </w:tc>
        <w:tc>
          <w:tcPr>
            <w:tcW w:w="6792" w:type="dxa"/>
          </w:tcPr>
          <w:p w14:paraId="548E878B" w14:textId="44D2848B" w:rsidR="00903D16" w:rsidRPr="00B71E93" w:rsidRDefault="002E76E9" w:rsidP="00624A55">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Boost funding will be distributed to every Victorian school by 30 June 2023.</w:t>
            </w:r>
          </w:p>
        </w:tc>
      </w:tr>
      <w:tr w:rsidR="00A50EF6" w:rsidRPr="00B71E93" w14:paraId="04306AC3"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531612E8" w14:textId="44450850" w:rsidR="00A50EF6" w:rsidRPr="00B71E93" w:rsidRDefault="00A50EF6" w:rsidP="00A50EF6">
            <w:pPr>
              <w:rPr>
                <w:b/>
                <w:bCs/>
                <w:lang w:val="en-AU"/>
              </w:rPr>
            </w:pPr>
            <w:r w:rsidRPr="00B71E93">
              <w:rPr>
                <w:b/>
                <w:bCs/>
                <w:lang w:val="en-AU"/>
              </w:rPr>
              <w:lastRenderedPageBreak/>
              <w:t>How will schools receive the money?</w:t>
            </w:r>
          </w:p>
        </w:tc>
        <w:tc>
          <w:tcPr>
            <w:tcW w:w="6792" w:type="dxa"/>
          </w:tcPr>
          <w:p w14:paraId="10E033D0" w14:textId="35083355" w:rsidR="00A50EF6" w:rsidRPr="000242E3" w:rsidRDefault="000242E3" w:rsidP="000242E3">
            <w:pPr>
              <w:jc w:val="both"/>
              <w:cnfStyle w:val="000000000000" w:firstRow="0" w:lastRow="0" w:firstColumn="0" w:lastColumn="0" w:oddVBand="0" w:evenVBand="0" w:oddHBand="0" w:evenHBand="0" w:firstRowFirstColumn="0" w:firstRowLastColumn="0" w:lastRowFirstColumn="0" w:lastRowLastColumn="0"/>
            </w:pPr>
            <w:r w:rsidRPr="00B71E93">
              <w:t xml:space="preserve">Victorian government schools will receive their funding </w:t>
            </w:r>
            <w:r w:rsidRPr="00F36919">
              <w:t xml:space="preserve">allocation through an out-of-cycle offline Student Resource Package (SRP) payment before Friday 30 June 2023. The payments will appear in school SRP cash reports </w:t>
            </w:r>
            <w:r w:rsidRPr="000242E3">
              <w:t>under ‘</w:t>
            </w:r>
            <w:r w:rsidRPr="000242E3">
              <w:rPr>
                <w:i/>
                <w:iCs/>
              </w:rPr>
              <w:t>Student Wellbeing Boost’</w:t>
            </w:r>
            <w:r w:rsidRPr="000242E3">
              <w:t>.</w:t>
            </w:r>
          </w:p>
        </w:tc>
      </w:tr>
      <w:tr w:rsidR="00F148AC" w:rsidRPr="00B71E93" w14:paraId="1E0DC452"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6458E87A" w14:textId="2621B36D" w:rsidR="00F148AC" w:rsidRPr="00B71E93" w:rsidRDefault="005303EF" w:rsidP="001D4C8B">
            <w:pPr>
              <w:rPr>
                <w:b/>
                <w:bCs/>
                <w:lang w:val="en-AU"/>
              </w:rPr>
            </w:pPr>
            <w:r w:rsidRPr="00B71E93">
              <w:rPr>
                <w:b/>
                <w:bCs/>
                <w:lang w:val="en-AU"/>
              </w:rPr>
              <w:t xml:space="preserve">When does the funding need to be spent by? </w:t>
            </w:r>
          </w:p>
        </w:tc>
        <w:tc>
          <w:tcPr>
            <w:tcW w:w="6792" w:type="dxa"/>
          </w:tcPr>
          <w:p w14:paraId="41DB886E" w14:textId="247CFCB0" w:rsidR="00F148AC" w:rsidRPr="00B71E93" w:rsidRDefault="00B02A4C" w:rsidP="00624A55">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All schools must spend, or commit to spend, the funding by</w:t>
            </w:r>
            <w:r w:rsidR="00D13DD9">
              <w:rPr>
                <w:szCs w:val="22"/>
                <w:lang w:val="en-AU"/>
              </w:rPr>
              <w:t xml:space="preserve"> </w:t>
            </w:r>
            <w:r w:rsidRPr="00B71E93">
              <w:rPr>
                <w:szCs w:val="22"/>
                <w:lang w:val="en-AU"/>
              </w:rPr>
              <w:t>31 March 2024.</w:t>
            </w:r>
          </w:p>
        </w:tc>
      </w:tr>
      <w:tr w:rsidR="00F148AC" w:rsidRPr="00B71E93" w14:paraId="64E0FAEC"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42C242C7" w14:textId="20455FCD" w:rsidR="00F148AC" w:rsidRPr="00B71E93" w:rsidRDefault="00E7457A" w:rsidP="001D4C8B">
            <w:pPr>
              <w:rPr>
                <w:b/>
                <w:bCs/>
                <w:lang w:val="en-AU"/>
              </w:rPr>
            </w:pPr>
            <w:r w:rsidRPr="00B71E93">
              <w:rPr>
                <w:b/>
                <w:bCs/>
                <w:lang w:val="en-AU"/>
              </w:rPr>
              <w:t>What happens if schools don't spend the funding by 31 March 2024?</w:t>
            </w:r>
          </w:p>
        </w:tc>
        <w:tc>
          <w:tcPr>
            <w:tcW w:w="6792" w:type="dxa"/>
          </w:tcPr>
          <w:p w14:paraId="6C17FD62" w14:textId="77777777" w:rsidR="00600EE3" w:rsidRPr="00B71E93" w:rsidRDefault="00600EE3" w:rsidP="00600EE3">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 xml:space="preserve">The funding will not be recalled if it is not spent by the deadline and schools do not need to submit a specific report on how the funding was spent. However, schools should comply with the Department of Education’s </w:t>
            </w:r>
            <w:hyperlink r:id="rId33" w:history="1">
              <w:r w:rsidRPr="00B71E93">
                <w:rPr>
                  <w:rStyle w:val="Hyperlink"/>
                  <w:szCs w:val="22"/>
                  <w:lang w:val="en-AU"/>
                </w:rPr>
                <w:t>procurement procedures</w:t>
              </w:r>
            </w:hyperlink>
            <w:r w:rsidRPr="00B71E93">
              <w:rPr>
                <w:szCs w:val="22"/>
                <w:lang w:val="en-AU"/>
              </w:rPr>
              <w:t xml:space="preserve"> when making purchases, including keeping appropriate records. </w:t>
            </w:r>
          </w:p>
          <w:p w14:paraId="3188B6FE" w14:textId="0CA6D15D" w:rsidR="00F148AC" w:rsidRPr="00B71E93" w:rsidRDefault="00600EE3" w:rsidP="00600EE3">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 xml:space="preserve">If schools are having difficulty spending their funding, please consult the above guidance. Government schools can also contact </w:t>
            </w:r>
            <w:hyperlink r:id="rId34" w:history="1">
              <w:r w:rsidR="00E96E7D" w:rsidRPr="00B71E93">
                <w:rPr>
                  <w:rStyle w:val="Hyperlink"/>
                  <w:rFonts w:ascii="Arial" w:hAnsi="Arial" w:cs="Arial"/>
                  <w:szCs w:val="22"/>
                </w:rPr>
                <w:t>studentwellbeingboost@education.vic.gov.au</w:t>
              </w:r>
            </w:hyperlink>
            <w:r w:rsidR="00E96E7D" w:rsidRPr="00B71E93">
              <w:rPr>
                <w:rFonts w:ascii="Arial" w:hAnsi="Arial" w:cs="Arial"/>
                <w:color w:val="53565A"/>
                <w:szCs w:val="22"/>
              </w:rPr>
              <w:t xml:space="preserve"> </w:t>
            </w:r>
            <w:r w:rsidRPr="00B71E93">
              <w:rPr>
                <w:szCs w:val="22"/>
                <w:lang w:val="en-AU"/>
              </w:rPr>
              <w:t xml:space="preserve">for assistance. </w:t>
            </w:r>
          </w:p>
        </w:tc>
      </w:tr>
      <w:tr w:rsidR="00E7457A" w:rsidRPr="00B71E93" w14:paraId="0B582D6C"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07E1F313" w14:textId="55FF08D7" w:rsidR="00E7457A" w:rsidRPr="00B71E93" w:rsidRDefault="007F05D9" w:rsidP="001D4C8B">
            <w:pPr>
              <w:rPr>
                <w:b/>
                <w:bCs/>
                <w:lang w:val="en-AU"/>
              </w:rPr>
            </w:pPr>
            <w:r w:rsidRPr="00B71E93">
              <w:rPr>
                <w:b/>
                <w:bCs/>
                <w:lang w:val="en-AU"/>
              </w:rPr>
              <w:t>Will schools receive more Boost funding next year?</w:t>
            </w:r>
          </w:p>
        </w:tc>
        <w:tc>
          <w:tcPr>
            <w:tcW w:w="6792" w:type="dxa"/>
          </w:tcPr>
          <w:p w14:paraId="0236CCB7" w14:textId="08BD04A2" w:rsidR="00E7457A" w:rsidRPr="00B71E93" w:rsidRDefault="006C279B" w:rsidP="008521CC">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No. This is one-off funding for every Australian school in 2023 to address COVID-19 impacts on student mental health and wellbeing.</w:t>
            </w:r>
          </w:p>
        </w:tc>
      </w:tr>
      <w:tr w:rsidR="00E7457A" w:rsidRPr="00B71E93" w14:paraId="12BD82A6"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165955ED" w14:textId="5DB9B678" w:rsidR="00E7457A" w:rsidRPr="00B71E93" w:rsidRDefault="00766100" w:rsidP="001D4C8B">
            <w:pPr>
              <w:rPr>
                <w:b/>
                <w:bCs/>
                <w:lang w:val="en-AU"/>
              </w:rPr>
            </w:pPr>
            <w:r w:rsidRPr="00B71E93">
              <w:rPr>
                <w:b/>
                <w:bCs/>
                <w:lang w:val="en-AU"/>
              </w:rPr>
              <w:t xml:space="preserve">What are the acquittal requirements for this funding? </w:t>
            </w:r>
          </w:p>
        </w:tc>
        <w:tc>
          <w:tcPr>
            <w:tcW w:w="6792" w:type="dxa"/>
          </w:tcPr>
          <w:p w14:paraId="1CF865B1" w14:textId="77777777" w:rsidR="00BA5883" w:rsidRPr="00B71E93" w:rsidRDefault="008521CC" w:rsidP="008521CC">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rFonts w:cstheme="minorHAnsi"/>
                <w:szCs w:val="22"/>
              </w:rPr>
              <w:t xml:space="preserve">Schools are required to spend, or commit to spend, the money by 31 March 2024. </w:t>
            </w:r>
            <w:r w:rsidRPr="00B71E93">
              <w:rPr>
                <w:szCs w:val="22"/>
                <w:lang w:val="en-AU"/>
              </w:rPr>
              <w:t xml:space="preserve">Schools do not need to submit a specific report on how the funding was spent. </w:t>
            </w:r>
          </w:p>
          <w:p w14:paraId="7C423378" w14:textId="34DCFD91" w:rsidR="00E7457A" w:rsidRPr="00B71E93" w:rsidRDefault="008521CC" w:rsidP="008521CC">
            <w:pPr>
              <w:cnfStyle w:val="000000000000" w:firstRow="0" w:lastRow="0" w:firstColumn="0" w:lastColumn="0" w:oddVBand="0" w:evenVBand="0" w:oddHBand="0" w:evenHBand="0" w:firstRowFirstColumn="0" w:firstRowLastColumn="0" w:lastRowFirstColumn="0" w:lastRowLastColumn="0"/>
              <w:rPr>
                <w:rFonts w:cstheme="minorHAnsi"/>
                <w:szCs w:val="22"/>
              </w:rPr>
            </w:pPr>
            <w:r w:rsidRPr="00B71E93">
              <w:rPr>
                <w:szCs w:val="22"/>
                <w:lang w:val="en-AU"/>
              </w:rPr>
              <w:t xml:space="preserve">However, schools should comply with the Department of Education’s </w:t>
            </w:r>
            <w:hyperlink r:id="rId35" w:history="1">
              <w:r w:rsidRPr="00B71E93">
                <w:rPr>
                  <w:rStyle w:val="Hyperlink"/>
                  <w:szCs w:val="22"/>
                  <w:lang w:val="en-AU"/>
                </w:rPr>
                <w:t>procurement procedures</w:t>
              </w:r>
            </w:hyperlink>
            <w:r w:rsidRPr="00B71E93">
              <w:rPr>
                <w:szCs w:val="22"/>
                <w:lang w:val="en-AU"/>
              </w:rPr>
              <w:t xml:space="preserve"> when making purchases, including keeping appropriate records.</w:t>
            </w:r>
          </w:p>
        </w:tc>
      </w:tr>
      <w:tr w:rsidR="00BE42A9" w:rsidRPr="00B71E93" w14:paraId="7063F26C"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59A970E0" w14:textId="17C24B1B" w:rsidR="00BE42A9" w:rsidRPr="00B71E93" w:rsidRDefault="00BE42A9" w:rsidP="00BE42A9">
            <w:pPr>
              <w:rPr>
                <w:b/>
                <w:bCs/>
                <w:lang w:val="en-AU"/>
              </w:rPr>
            </w:pPr>
            <w:r w:rsidRPr="00B71E93">
              <w:rPr>
                <w:b/>
                <w:bCs/>
                <w:lang w:val="en-AU"/>
              </w:rPr>
              <w:t>Can schools use this funding to purchase items from the Schools Mental Health Menu?</w:t>
            </w:r>
          </w:p>
        </w:tc>
        <w:tc>
          <w:tcPr>
            <w:tcW w:w="6792" w:type="dxa"/>
          </w:tcPr>
          <w:p w14:paraId="545C34D7" w14:textId="13C802C8" w:rsidR="00BE42A9" w:rsidRPr="00B71E93" w:rsidRDefault="00BE42A9" w:rsidP="00BE42A9">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 xml:space="preserve">Yes. Schools can use the Boost funding to supplement existing funding to purchase items available on the </w:t>
            </w:r>
            <w:hyperlink r:id="rId36" w:history="1">
              <w:r w:rsidRPr="00B71E93">
                <w:rPr>
                  <w:rStyle w:val="Hyperlink"/>
                  <w:rFonts w:ascii="Arial" w:eastAsia="Times New Roman" w:hAnsi="Arial" w:cs="Arial"/>
                  <w:szCs w:val="22"/>
                  <w:lang w:eastAsia="en-AU"/>
                </w:rPr>
                <w:t>Schools Mental Health Menu</w:t>
              </w:r>
            </w:hyperlink>
            <w:r w:rsidRPr="00B71E93">
              <w:rPr>
                <w:rStyle w:val="Hyperlink"/>
                <w:rFonts w:ascii="Arial" w:eastAsia="Times New Roman" w:hAnsi="Arial" w:cs="Arial"/>
                <w:szCs w:val="22"/>
                <w:lang w:eastAsia="en-AU"/>
              </w:rPr>
              <w:t xml:space="preserve">. </w:t>
            </w:r>
          </w:p>
        </w:tc>
      </w:tr>
      <w:tr w:rsidR="00BE42A9" w:rsidRPr="00B71E93" w14:paraId="490655C6"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0433FAEB" w14:textId="7B1F806E" w:rsidR="00BE42A9" w:rsidRPr="00B71E93" w:rsidRDefault="00BE42A9" w:rsidP="00BE42A9">
            <w:pPr>
              <w:rPr>
                <w:b/>
                <w:bCs/>
                <w:lang w:val="en-AU"/>
              </w:rPr>
            </w:pPr>
            <w:r w:rsidRPr="00B71E93">
              <w:rPr>
                <w:b/>
                <w:bCs/>
                <w:lang w:val="en-AU"/>
              </w:rPr>
              <w:t xml:space="preserve">How is this funding different from the Schools Mental Health Fund? </w:t>
            </w:r>
          </w:p>
        </w:tc>
        <w:tc>
          <w:tcPr>
            <w:tcW w:w="6792" w:type="dxa"/>
          </w:tcPr>
          <w:p w14:paraId="028EEAA2" w14:textId="77777777" w:rsidR="00BE42A9" w:rsidRPr="00B71E93" w:rsidRDefault="00BE42A9" w:rsidP="00BE42A9">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 xml:space="preserve">The Schools Mental Health Fund is a Victorian Government commitment with ongoing funding where schools will receive an annual allocation. </w:t>
            </w:r>
          </w:p>
          <w:p w14:paraId="592DB1AE" w14:textId="3FCC0744" w:rsidR="00BE42A9" w:rsidRPr="00B71E93" w:rsidRDefault="00BE42A9" w:rsidP="00BE42A9">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The Student Wellbeing Boost is an Australian Government commitment that provides one-off funding to schools in response to the impact of the coronavirus (COVID-19) pandemic on student mental health and wellbeing.</w:t>
            </w:r>
          </w:p>
        </w:tc>
      </w:tr>
      <w:tr w:rsidR="00BE42A9" w:rsidRPr="00B71E93" w14:paraId="0877758E"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1E73F181" w14:textId="1AA37B4C" w:rsidR="00BE42A9" w:rsidRPr="00B71E93" w:rsidRDefault="00BE42A9" w:rsidP="00BE42A9">
            <w:pPr>
              <w:rPr>
                <w:b/>
                <w:bCs/>
                <w:lang w:val="en-AU"/>
              </w:rPr>
            </w:pPr>
            <w:r w:rsidRPr="00B71E93">
              <w:rPr>
                <w:b/>
                <w:bCs/>
                <w:lang w:val="en-AU"/>
              </w:rPr>
              <w:lastRenderedPageBreak/>
              <w:t xml:space="preserve">My school receives funding for physical activity through Active Schools. Can I use this Boost funding for physical activity? </w:t>
            </w:r>
          </w:p>
        </w:tc>
        <w:tc>
          <w:tcPr>
            <w:tcW w:w="6792" w:type="dxa"/>
          </w:tcPr>
          <w:p w14:paraId="0CBDC783" w14:textId="77777777" w:rsidR="00BE42A9" w:rsidRPr="00B71E93" w:rsidRDefault="00BE42A9" w:rsidP="00BE42A9">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 xml:space="preserve">Yes. Schools who wish to use their Student Wellbeing Boost funding on physical activity and who are in receipt of an Active Schools Grant, PE and Sports Funding Boost and/or an Extracurricular Boost are encouraged to complement existing activities or plans. </w:t>
            </w:r>
          </w:p>
          <w:p w14:paraId="6104993C" w14:textId="679BA934" w:rsidR="00BE42A9" w:rsidRPr="00B71E93" w:rsidRDefault="00BE42A9" w:rsidP="00BE42A9">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If your school is working with a Physical Activity Advisor from the Active Schools Expert Support Service, your school is encouraged to discuss this funding with your Physical Activity Advisor.</w:t>
            </w:r>
          </w:p>
        </w:tc>
      </w:tr>
      <w:tr w:rsidR="00BE42A9" w:rsidRPr="00B71E93" w14:paraId="1F426997"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796006F9" w14:textId="3C7A0B83" w:rsidR="00BE42A9" w:rsidRPr="00B71E93" w:rsidRDefault="00BE42A9" w:rsidP="00BE42A9">
            <w:pPr>
              <w:rPr>
                <w:b/>
                <w:bCs/>
                <w:lang w:val="en-AU"/>
              </w:rPr>
            </w:pPr>
            <w:r w:rsidRPr="00B71E93">
              <w:rPr>
                <w:b/>
                <w:bCs/>
                <w:lang w:val="en-AU"/>
              </w:rPr>
              <w:t>How is this funding different from the Camps, Sports and Excursions Fund?</w:t>
            </w:r>
          </w:p>
        </w:tc>
        <w:tc>
          <w:tcPr>
            <w:tcW w:w="6792" w:type="dxa"/>
          </w:tcPr>
          <w:p w14:paraId="31186DFE" w14:textId="77777777" w:rsidR="00BE42A9" w:rsidRPr="00B71E93" w:rsidRDefault="00BE42A9" w:rsidP="00BE42A9">
            <w:pPr>
              <w:spacing w:before="100" w:beforeAutospacing="1"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B71E93">
              <w:rPr>
                <w:rFonts w:ascii="Arial" w:eastAsia="Times New Roman" w:hAnsi="Arial" w:cs="Arial"/>
                <w:szCs w:val="22"/>
                <w:lang w:val="en-AU" w:eastAsia="en-AU"/>
              </w:rPr>
              <w:t xml:space="preserve">The Camps, Sports and Excursions Fund (CSEF) provides payments for </w:t>
            </w:r>
            <w:r w:rsidRPr="00B71E93">
              <w:rPr>
                <w:rFonts w:ascii="Arial" w:eastAsia="Times New Roman" w:hAnsi="Arial" w:cs="Arial"/>
                <w:szCs w:val="22"/>
                <w:u w:val="single"/>
                <w:lang w:val="en-AU" w:eastAsia="en-AU"/>
              </w:rPr>
              <w:t>eligible</w:t>
            </w:r>
            <w:r w:rsidRPr="00B71E93">
              <w:rPr>
                <w:rFonts w:ascii="Arial" w:eastAsia="Times New Roman" w:hAnsi="Arial" w:cs="Arial"/>
                <w:szCs w:val="22"/>
                <w:lang w:val="en-AU" w:eastAsia="en-AU"/>
              </w:rPr>
              <w:t xml:space="preserve"> students to attend activities like:</w:t>
            </w:r>
          </w:p>
          <w:p w14:paraId="1140751B" w14:textId="77777777" w:rsidR="00BE42A9" w:rsidRPr="00B71E93" w:rsidRDefault="00BE42A9" w:rsidP="00BE42A9">
            <w:pPr>
              <w:numPr>
                <w:ilvl w:val="0"/>
                <w:numId w:val="30"/>
              </w:numPr>
              <w:spacing w:after="100" w:afterAutospacing="1"/>
              <w:ind w:left="714"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B71E93">
              <w:rPr>
                <w:rFonts w:ascii="Arial" w:eastAsia="Times New Roman" w:hAnsi="Arial" w:cs="Arial"/>
                <w:szCs w:val="22"/>
                <w:lang w:val="en-AU" w:eastAsia="en-AU"/>
              </w:rPr>
              <w:t>school camps or trips</w:t>
            </w:r>
          </w:p>
          <w:p w14:paraId="70D93963" w14:textId="77777777" w:rsidR="00BE42A9" w:rsidRPr="00B71E93" w:rsidRDefault="00BE42A9" w:rsidP="00BE42A9">
            <w:pPr>
              <w:numPr>
                <w:ilvl w:val="0"/>
                <w:numId w:val="3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B71E93">
              <w:rPr>
                <w:rFonts w:ascii="Arial" w:eastAsia="Times New Roman" w:hAnsi="Arial" w:cs="Arial"/>
                <w:szCs w:val="22"/>
                <w:lang w:val="en-AU" w:eastAsia="en-AU"/>
              </w:rPr>
              <w:t>swimming and school-organised sport programs</w:t>
            </w:r>
          </w:p>
          <w:p w14:paraId="587B8E17" w14:textId="77777777" w:rsidR="00BE42A9" w:rsidRPr="00B71E93" w:rsidRDefault="00BE42A9" w:rsidP="00BE42A9">
            <w:pPr>
              <w:numPr>
                <w:ilvl w:val="0"/>
                <w:numId w:val="3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B71E93">
              <w:rPr>
                <w:rFonts w:ascii="Arial" w:eastAsia="Times New Roman" w:hAnsi="Arial" w:cs="Arial"/>
                <w:szCs w:val="22"/>
                <w:lang w:val="en-AU" w:eastAsia="en-AU"/>
              </w:rPr>
              <w:t>outdoor education programs</w:t>
            </w:r>
          </w:p>
          <w:p w14:paraId="1706DD67" w14:textId="77777777" w:rsidR="00BE42A9" w:rsidRPr="00B71E93" w:rsidRDefault="00BE42A9" w:rsidP="00BE42A9">
            <w:pPr>
              <w:numPr>
                <w:ilvl w:val="0"/>
                <w:numId w:val="3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B71E93">
              <w:rPr>
                <w:rFonts w:ascii="Arial" w:eastAsia="Times New Roman" w:hAnsi="Arial" w:cs="Arial"/>
                <w:szCs w:val="22"/>
                <w:lang w:val="en-AU" w:eastAsia="en-AU"/>
              </w:rPr>
              <w:t>excursions and incursions.</w:t>
            </w:r>
          </w:p>
          <w:p w14:paraId="73F87F8E" w14:textId="7D68721C" w:rsidR="00BE42A9" w:rsidRPr="00B71E93" w:rsidRDefault="00BE42A9" w:rsidP="00BE42A9">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The Student Wellbeing Boost is an Australian Government commitment that provides one-off funding to schools in response to the impact of the coronavirus (COVID-19) pandemic on student mental health and wellbeing.</w:t>
            </w:r>
          </w:p>
        </w:tc>
      </w:tr>
      <w:tr w:rsidR="00C71012" w14:paraId="329A7D07" w14:textId="77777777" w:rsidTr="00F9620D">
        <w:trPr>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B7DBFF" w:themeFill="accent5" w:themeFillTint="33"/>
          </w:tcPr>
          <w:p w14:paraId="6D77ADB1" w14:textId="6BA027F9" w:rsidR="00C71012" w:rsidRPr="00B71E93" w:rsidRDefault="00C71012" w:rsidP="00C71012">
            <w:pPr>
              <w:rPr>
                <w:b/>
                <w:bCs/>
                <w:lang w:val="en-AU"/>
              </w:rPr>
            </w:pPr>
            <w:r w:rsidRPr="00B71E93">
              <w:rPr>
                <w:b/>
                <w:bCs/>
                <w:lang w:val="en-AU"/>
              </w:rPr>
              <w:t xml:space="preserve">How can my school be involved in a case study? </w:t>
            </w:r>
          </w:p>
        </w:tc>
        <w:tc>
          <w:tcPr>
            <w:tcW w:w="6792" w:type="dxa"/>
          </w:tcPr>
          <w:p w14:paraId="7A2A6CD2" w14:textId="77777777" w:rsidR="00C71012" w:rsidRPr="00B71E93" w:rsidRDefault="00C71012" w:rsidP="00C71012">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 xml:space="preserve">The Australian Government has asked each State and Territory to provide case studies on how schools used their Boost funding to support their wellbeing of their school community. </w:t>
            </w:r>
          </w:p>
          <w:p w14:paraId="234F41C2" w14:textId="489DADBF" w:rsidR="00C71012" w:rsidRPr="00774E86" w:rsidRDefault="00C71012" w:rsidP="00C71012">
            <w:pPr>
              <w:cnfStyle w:val="000000000000" w:firstRow="0" w:lastRow="0" w:firstColumn="0" w:lastColumn="0" w:oddVBand="0" w:evenVBand="0" w:oddHBand="0" w:evenHBand="0" w:firstRowFirstColumn="0" w:firstRowLastColumn="0" w:lastRowFirstColumn="0" w:lastRowLastColumn="0"/>
              <w:rPr>
                <w:szCs w:val="22"/>
                <w:lang w:val="en-AU"/>
              </w:rPr>
            </w:pPr>
            <w:r w:rsidRPr="00B71E93">
              <w:rPr>
                <w:szCs w:val="22"/>
                <w:lang w:val="en-AU"/>
              </w:rPr>
              <w:t xml:space="preserve">If your school would like to be involved in a case study, please contact </w:t>
            </w:r>
            <w:hyperlink r:id="rId37" w:history="1">
              <w:r w:rsidRPr="00B71E93">
                <w:rPr>
                  <w:rStyle w:val="Hyperlink"/>
                  <w:rFonts w:ascii="Arial" w:hAnsi="Arial" w:cs="Arial"/>
                  <w:szCs w:val="22"/>
                </w:rPr>
                <w:t>studentwellbeingboost@education.vic.gov.au</w:t>
              </w:r>
            </w:hyperlink>
            <w:r w:rsidRPr="00B71E93">
              <w:rPr>
                <w:szCs w:val="22"/>
                <w:lang w:val="en-AU"/>
              </w:rPr>
              <w:t>.</w:t>
            </w:r>
          </w:p>
        </w:tc>
      </w:tr>
    </w:tbl>
    <w:p w14:paraId="5A9E2189" w14:textId="32015684" w:rsidR="00E64758" w:rsidRDefault="00E64758" w:rsidP="0016287D">
      <w:pPr>
        <w:spacing w:after="40"/>
        <w:rPr>
          <w:b/>
          <w:color w:val="FF0000"/>
          <w:sz w:val="24"/>
          <w:lang w:val="en-AU"/>
        </w:rPr>
      </w:pPr>
    </w:p>
    <w:p w14:paraId="5D18CEEC" w14:textId="77777777" w:rsidR="0086470C" w:rsidRDefault="0086470C" w:rsidP="0016287D">
      <w:pPr>
        <w:pStyle w:val="FootnoteText"/>
        <w:ind w:right="4507"/>
        <w:rPr>
          <w:sz w:val="12"/>
          <w:szCs w:val="12"/>
        </w:rPr>
      </w:pPr>
    </w:p>
    <w:p w14:paraId="4201084D" w14:textId="77777777" w:rsidR="0086470C" w:rsidRDefault="0086470C" w:rsidP="0016287D">
      <w:pPr>
        <w:pStyle w:val="FootnoteText"/>
        <w:ind w:right="4507"/>
        <w:rPr>
          <w:sz w:val="12"/>
          <w:szCs w:val="12"/>
        </w:rPr>
      </w:pPr>
    </w:p>
    <w:p w14:paraId="211D88F8" w14:textId="77777777" w:rsidR="0086470C" w:rsidRDefault="0086470C" w:rsidP="0016287D">
      <w:pPr>
        <w:pStyle w:val="FootnoteText"/>
        <w:ind w:right="4507"/>
        <w:rPr>
          <w:sz w:val="12"/>
          <w:szCs w:val="12"/>
        </w:rPr>
      </w:pPr>
    </w:p>
    <w:p w14:paraId="0FC78329" w14:textId="77777777" w:rsidR="00BE42A9" w:rsidRDefault="00BE42A9" w:rsidP="0016287D">
      <w:pPr>
        <w:pStyle w:val="FootnoteText"/>
        <w:ind w:right="4507"/>
        <w:rPr>
          <w:sz w:val="12"/>
          <w:szCs w:val="12"/>
        </w:rPr>
      </w:pPr>
    </w:p>
    <w:p w14:paraId="28356EA3" w14:textId="77777777" w:rsidR="00BE42A9" w:rsidRDefault="00BE42A9" w:rsidP="0016287D">
      <w:pPr>
        <w:pStyle w:val="FootnoteText"/>
        <w:ind w:right="4507"/>
        <w:rPr>
          <w:sz w:val="12"/>
          <w:szCs w:val="12"/>
        </w:rPr>
      </w:pPr>
    </w:p>
    <w:p w14:paraId="117ECB1D" w14:textId="77777777" w:rsidR="00BE42A9" w:rsidRDefault="00BE42A9" w:rsidP="0016287D">
      <w:pPr>
        <w:pStyle w:val="FootnoteText"/>
        <w:ind w:right="4507"/>
        <w:rPr>
          <w:sz w:val="12"/>
          <w:szCs w:val="12"/>
        </w:rPr>
      </w:pPr>
    </w:p>
    <w:p w14:paraId="453F4617" w14:textId="77777777" w:rsidR="00BE42A9" w:rsidRDefault="00BE42A9" w:rsidP="0016287D">
      <w:pPr>
        <w:pStyle w:val="FootnoteText"/>
        <w:ind w:right="4507"/>
        <w:rPr>
          <w:sz w:val="12"/>
          <w:szCs w:val="12"/>
        </w:rPr>
      </w:pPr>
    </w:p>
    <w:p w14:paraId="2A30E703" w14:textId="77777777" w:rsidR="00BE42A9" w:rsidRDefault="00BE42A9" w:rsidP="0016287D">
      <w:pPr>
        <w:pStyle w:val="FootnoteText"/>
        <w:ind w:right="4507"/>
        <w:rPr>
          <w:sz w:val="12"/>
          <w:szCs w:val="12"/>
        </w:rPr>
      </w:pPr>
    </w:p>
    <w:p w14:paraId="78216677" w14:textId="77777777" w:rsidR="00BE42A9" w:rsidRDefault="00BE42A9" w:rsidP="0016287D">
      <w:pPr>
        <w:pStyle w:val="FootnoteText"/>
        <w:ind w:right="4507"/>
        <w:rPr>
          <w:sz w:val="12"/>
          <w:szCs w:val="12"/>
        </w:rPr>
      </w:pPr>
    </w:p>
    <w:p w14:paraId="1976991D" w14:textId="77777777" w:rsidR="00BE42A9" w:rsidRDefault="00BE42A9" w:rsidP="0016287D">
      <w:pPr>
        <w:pStyle w:val="FootnoteText"/>
        <w:ind w:right="4507"/>
        <w:rPr>
          <w:sz w:val="12"/>
          <w:szCs w:val="12"/>
        </w:rPr>
      </w:pPr>
    </w:p>
    <w:p w14:paraId="2E78467A" w14:textId="77777777" w:rsidR="00BE42A9" w:rsidRDefault="00BE42A9" w:rsidP="0016287D">
      <w:pPr>
        <w:pStyle w:val="FootnoteText"/>
        <w:ind w:right="4507"/>
        <w:rPr>
          <w:sz w:val="12"/>
          <w:szCs w:val="12"/>
        </w:rPr>
      </w:pPr>
    </w:p>
    <w:p w14:paraId="12A8B351" w14:textId="77777777" w:rsidR="00BE42A9" w:rsidRDefault="00BE42A9" w:rsidP="0016287D">
      <w:pPr>
        <w:pStyle w:val="FootnoteText"/>
        <w:ind w:right="4507"/>
        <w:rPr>
          <w:sz w:val="12"/>
          <w:szCs w:val="12"/>
        </w:rPr>
      </w:pPr>
    </w:p>
    <w:p w14:paraId="637AAE3E" w14:textId="77777777" w:rsidR="00BE42A9" w:rsidRDefault="00BE42A9" w:rsidP="0016287D">
      <w:pPr>
        <w:pStyle w:val="FootnoteText"/>
        <w:ind w:right="4507"/>
        <w:rPr>
          <w:sz w:val="12"/>
          <w:szCs w:val="12"/>
        </w:rPr>
      </w:pPr>
    </w:p>
    <w:p w14:paraId="3D90D913" w14:textId="77777777" w:rsidR="00BE42A9" w:rsidRDefault="00BE42A9" w:rsidP="0016287D">
      <w:pPr>
        <w:pStyle w:val="FootnoteText"/>
        <w:ind w:right="4507"/>
        <w:rPr>
          <w:sz w:val="12"/>
          <w:szCs w:val="12"/>
        </w:rPr>
      </w:pPr>
    </w:p>
    <w:p w14:paraId="72AB5085" w14:textId="77777777" w:rsidR="00BE42A9" w:rsidRDefault="00BE42A9" w:rsidP="0016287D">
      <w:pPr>
        <w:pStyle w:val="FootnoteText"/>
        <w:ind w:right="4507"/>
        <w:rPr>
          <w:sz w:val="12"/>
          <w:szCs w:val="12"/>
        </w:rPr>
      </w:pPr>
    </w:p>
    <w:p w14:paraId="0A3C9A3E" w14:textId="77777777" w:rsidR="00BE42A9" w:rsidRDefault="00BE42A9" w:rsidP="0016287D">
      <w:pPr>
        <w:pStyle w:val="FootnoteText"/>
        <w:ind w:right="4507"/>
        <w:rPr>
          <w:sz w:val="12"/>
          <w:szCs w:val="12"/>
        </w:rPr>
      </w:pPr>
    </w:p>
    <w:p w14:paraId="629AA675" w14:textId="77777777" w:rsidR="00BE42A9" w:rsidRDefault="00BE42A9" w:rsidP="0016287D">
      <w:pPr>
        <w:pStyle w:val="FootnoteText"/>
        <w:ind w:right="4507"/>
        <w:rPr>
          <w:sz w:val="12"/>
          <w:szCs w:val="12"/>
        </w:rPr>
      </w:pPr>
    </w:p>
    <w:p w14:paraId="69735418" w14:textId="77777777" w:rsidR="00BE42A9" w:rsidRDefault="00BE42A9" w:rsidP="0016287D">
      <w:pPr>
        <w:pStyle w:val="FootnoteText"/>
        <w:ind w:right="4507"/>
        <w:rPr>
          <w:sz w:val="12"/>
          <w:szCs w:val="12"/>
        </w:rPr>
      </w:pPr>
    </w:p>
    <w:p w14:paraId="03837978" w14:textId="77777777" w:rsidR="00BE42A9" w:rsidRDefault="00BE42A9" w:rsidP="0016287D">
      <w:pPr>
        <w:pStyle w:val="FootnoteText"/>
        <w:ind w:right="4507"/>
        <w:rPr>
          <w:sz w:val="12"/>
          <w:szCs w:val="12"/>
        </w:rPr>
      </w:pPr>
    </w:p>
    <w:p w14:paraId="1EE8DF41" w14:textId="77777777" w:rsidR="00BE42A9" w:rsidRDefault="00BE42A9" w:rsidP="0016287D">
      <w:pPr>
        <w:pStyle w:val="FootnoteText"/>
        <w:ind w:right="4507"/>
        <w:rPr>
          <w:sz w:val="12"/>
          <w:szCs w:val="12"/>
        </w:rPr>
      </w:pPr>
    </w:p>
    <w:p w14:paraId="5AEFF716" w14:textId="77777777" w:rsidR="00BE42A9" w:rsidRDefault="00BE42A9" w:rsidP="0016287D">
      <w:pPr>
        <w:pStyle w:val="FootnoteText"/>
        <w:ind w:right="4507"/>
        <w:rPr>
          <w:sz w:val="12"/>
          <w:szCs w:val="12"/>
        </w:rPr>
      </w:pPr>
    </w:p>
    <w:p w14:paraId="2DD0829D" w14:textId="77777777" w:rsidR="00BE42A9" w:rsidRDefault="00BE42A9" w:rsidP="0016287D">
      <w:pPr>
        <w:pStyle w:val="FootnoteText"/>
        <w:ind w:right="4507"/>
        <w:rPr>
          <w:sz w:val="12"/>
          <w:szCs w:val="12"/>
        </w:rPr>
      </w:pPr>
    </w:p>
    <w:p w14:paraId="42138F0B" w14:textId="77777777" w:rsidR="00BE42A9" w:rsidRDefault="00BE42A9" w:rsidP="0016287D">
      <w:pPr>
        <w:pStyle w:val="FootnoteText"/>
        <w:ind w:right="4507"/>
        <w:rPr>
          <w:sz w:val="12"/>
          <w:szCs w:val="12"/>
        </w:rPr>
      </w:pPr>
    </w:p>
    <w:p w14:paraId="16CF4939" w14:textId="77777777" w:rsidR="00BE42A9" w:rsidRDefault="00BE42A9" w:rsidP="0016287D">
      <w:pPr>
        <w:pStyle w:val="FootnoteText"/>
        <w:ind w:right="4507"/>
        <w:rPr>
          <w:sz w:val="12"/>
          <w:szCs w:val="12"/>
        </w:rPr>
      </w:pPr>
    </w:p>
    <w:p w14:paraId="02204E30" w14:textId="77777777" w:rsidR="00BE42A9" w:rsidRDefault="00BE42A9" w:rsidP="0016287D">
      <w:pPr>
        <w:pStyle w:val="FootnoteText"/>
        <w:ind w:right="4507"/>
        <w:rPr>
          <w:sz w:val="12"/>
          <w:szCs w:val="12"/>
        </w:rPr>
      </w:pPr>
    </w:p>
    <w:p w14:paraId="1E543C3E" w14:textId="77777777" w:rsidR="00BE42A9" w:rsidRDefault="00BE42A9" w:rsidP="0016287D">
      <w:pPr>
        <w:pStyle w:val="FootnoteText"/>
        <w:ind w:right="4507"/>
        <w:rPr>
          <w:sz w:val="12"/>
          <w:szCs w:val="12"/>
        </w:rPr>
      </w:pPr>
    </w:p>
    <w:p w14:paraId="7BD0E0C9" w14:textId="77777777" w:rsidR="00BE42A9" w:rsidRDefault="00BE42A9" w:rsidP="0016287D">
      <w:pPr>
        <w:pStyle w:val="FootnoteText"/>
        <w:ind w:right="4507"/>
        <w:rPr>
          <w:sz w:val="12"/>
          <w:szCs w:val="12"/>
        </w:rPr>
      </w:pPr>
    </w:p>
    <w:p w14:paraId="17BBD5A1" w14:textId="77777777" w:rsidR="0086470C" w:rsidRDefault="0086470C" w:rsidP="0016287D">
      <w:pPr>
        <w:pStyle w:val="FootnoteText"/>
        <w:ind w:right="4507"/>
        <w:rPr>
          <w:sz w:val="12"/>
          <w:szCs w:val="12"/>
        </w:rPr>
      </w:pPr>
    </w:p>
    <w:p w14:paraId="3950F060" w14:textId="2FF8CFF1" w:rsidR="00122369" w:rsidRPr="00E34721" w:rsidRDefault="0016287D" w:rsidP="007D40FC">
      <w:pPr>
        <w:pStyle w:val="Copyrighttext"/>
        <w:rPr>
          <w:rFonts w:cstheme="minorHAnsi"/>
        </w:rPr>
      </w:pPr>
      <w:r w:rsidRPr="001105FA">
        <w:t xml:space="preserve">© State of Victoria (Department of </w:t>
      </w:r>
      <w:r w:rsidRPr="00BA5883">
        <w:t>Education)</w:t>
      </w:r>
      <w:r w:rsidR="00E77EB9" w:rsidRPr="00BA5883">
        <w:t xml:space="preserve"> 20</w:t>
      </w:r>
      <w:r w:rsidR="00735566" w:rsidRPr="00BA5883">
        <w:t>2</w:t>
      </w:r>
      <w:r w:rsidR="00F20CEC" w:rsidRPr="00BA5883">
        <w:t>3</w:t>
      </w:r>
      <w:r w:rsidR="00E77EB9" w:rsidRPr="00BA5883">
        <w:t>.</w:t>
      </w:r>
      <w:r w:rsidRPr="00BA5883">
        <w:t xml:space="preserve"> </w:t>
      </w:r>
      <w:r w:rsidR="00E34721" w:rsidRPr="00BA5883">
        <w:rPr>
          <w:rFonts w:cstheme="minorHAnsi"/>
          <w:color w:val="000000"/>
        </w:rPr>
        <w:t>Except where otherwise </w:t>
      </w:r>
      <w:hyperlink r:id="rId38" w:history="1">
        <w:r w:rsidR="00E34721" w:rsidRPr="00BA5883">
          <w:rPr>
            <w:rStyle w:val="Hyperlink"/>
            <w:rFonts w:cstheme="minorHAnsi"/>
          </w:rPr>
          <w:t>noted,</w:t>
        </w:r>
      </w:hyperlink>
      <w:r w:rsidR="00E34721" w:rsidRPr="00BA5883">
        <w:rPr>
          <w:rFonts w:cstheme="minorHAnsi"/>
          <w:color w:val="000000"/>
        </w:rPr>
        <w:t xml:space="preserve"> material in this document is provided under a</w:t>
      </w:r>
      <w:r w:rsidR="007D40FC" w:rsidRPr="00BA5883">
        <w:rPr>
          <w:rFonts w:cstheme="minorHAnsi"/>
          <w:color w:val="000000"/>
        </w:rPr>
        <w:t xml:space="preserve"> </w:t>
      </w:r>
      <w:hyperlink r:id="rId39" w:history="1">
        <w:r w:rsidR="00E34721" w:rsidRPr="00BA5883">
          <w:rPr>
            <w:rStyle w:val="Hyperlink"/>
            <w:rFonts w:cstheme="minorHAnsi"/>
          </w:rPr>
          <w:t>Creative Commons Attribution 4.0 International</w:t>
        </w:r>
      </w:hyperlink>
      <w:r w:rsidR="00E34721" w:rsidRPr="00BA5883">
        <w:rPr>
          <w:rFonts w:cstheme="minorHAnsi"/>
        </w:rPr>
        <w:t xml:space="preserve"> </w:t>
      </w:r>
      <w:r w:rsidR="00E34721" w:rsidRPr="00BA5883">
        <w:rPr>
          <w:rFonts w:cstheme="minorHAnsi"/>
          <w:color w:val="000000"/>
        </w:rPr>
        <w:t>Please check the full </w:t>
      </w:r>
      <w:hyperlink r:id="rId40" w:history="1">
        <w:r w:rsidR="00E34721" w:rsidRPr="00BA5883">
          <w:rPr>
            <w:rStyle w:val="Hyperlink"/>
            <w:rFonts w:cstheme="minorHAnsi"/>
          </w:rPr>
          <w:t>copyright notice </w:t>
        </w:r>
      </w:hyperlink>
    </w:p>
    <w:sectPr w:rsidR="00122369" w:rsidRPr="00E34721" w:rsidSect="0086470C">
      <w:headerReference w:type="default" r:id="rId41"/>
      <w:footerReference w:type="even" r:id="rId42"/>
      <w:footerReference w:type="default" r:id="rId43"/>
      <w:pgSz w:w="11900" w:h="16840"/>
      <w:pgMar w:top="1701"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2E77" w14:textId="77777777" w:rsidR="00BC3C4A" w:rsidRDefault="00BC3C4A" w:rsidP="003967DD">
      <w:pPr>
        <w:spacing w:after="0"/>
      </w:pPr>
      <w:r>
        <w:separator/>
      </w:r>
    </w:p>
  </w:endnote>
  <w:endnote w:type="continuationSeparator" w:id="0">
    <w:p w14:paraId="1D85BAE7" w14:textId="77777777" w:rsidR="00BC3C4A" w:rsidRDefault="00BC3C4A" w:rsidP="003967DD">
      <w:pPr>
        <w:spacing w:after="0"/>
      </w:pPr>
      <w:r>
        <w:continuationSeparator/>
      </w:r>
    </w:p>
  </w:endnote>
  <w:endnote w:type="continuationNotice" w:id="1">
    <w:p w14:paraId="33BF7C08" w14:textId="77777777" w:rsidR="00BC3C4A" w:rsidRDefault="00BC3C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2"/>
      <w:gridCol w:w="4810"/>
    </w:tblGrid>
    <w:tr w:rsidR="002572DB" w14:paraId="0049E1B1" w14:textId="77777777">
      <w:trPr>
        <w:trHeight w:hRule="exact" w:val="115"/>
        <w:jc w:val="center"/>
      </w:trPr>
      <w:tc>
        <w:tcPr>
          <w:tcW w:w="4686" w:type="dxa"/>
          <w:shd w:val="clear" w:color="auto" w:fill="E25205" w:themeFill="accent1"/>
          <w:tcMar>
            <w:top w:w="0" w:type="dxa"/>
            <w:bottom w:w="0" w:type="dxa"/>
          </w:tcMar>
        </w:tcPr>
        <w:p w14:paraId="10FCEE18" w14:textId="77777777" w:rsidR="002572DB" w:rsidRDefault="002572DB">
          <w:pPr>
            <w:pStyle w:val="Header"/>
            <w:rPr>
              <w:caps/>
              <w:sz w:val="18"/>
            </w:rPr>
          </w:pPr>
        </w:p>
      </w:tc>
      <w:tc>
        <w:tcPr>
          <w:tcW w:w="4674" w:type="dxa"/>
          <w:shd w:val="clear" w:color="auto" w:fill="E25205" w:themeFill="accent1"/>
          <w:tcMar>
            <w:top w:w="0" w:type="dxa"/>
            <w:bottom w:w="0" w:type="dxa"/>
          </w:tcMar>
        </w:tcPr>
        <w:p w14:paraId="5246C6EA" w14:textId="77777777" w:rsidR="002572DB" w:rsidRDefault="002572DB">
          <w:pPr>
            <w:pStyle w:val="Header"/>
            <w:jc w:val="right"/>
            <w:rPr>
              <w:caps/>
              <w:sz w:val="18"/>
            </w:rPr>
          </w:pPr>
        </w:p>
      </w:tc>
    </w:tr>
    <w:tr w:rsidR="002572DB" w14:paraId="75100626" w14:textId="77777777">
      <w:trPr>
        <w:jc w:val="center"/>
      </w:trPr>
      <w:sdt>
        <w:sdtPr>
          <w:rPr>
            <w:lang w:val="en-AU"/>
          </w:rPr>
          <w:alias w:val="Author"/>
          <w:tag w:val=""/>
          <w:id w:val="1534151868"/>
          <w:placeholder>
            <w:docPart w:val="A31D886E8B7E4041A857825BAC7F8D9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D63FF3F" w14:textId="04921994" w:rsidR="002572DB" w:rsidRDefault="002572DB">
              <w:pPr>
                <w:pStyle w:val="Footer"/>
                <w:rPr>
                  <w:caps/>
                  <w:color w:val="808080" w:themeColor="background1" w:themeShade="80"/>
                  <w:sz w:val="18"/>
                  <w:szCs w:val="18"/>
                </w:rPr>
              </w:pPr>
              <w:r w:rsidRPr="002572DB">
                <w:rPr>
                  <w:lang w:val="en-AU"/>
                </w:rPr>
                <w:t>Student Wellbeing Boost</w:t>
              </w:r>
            </w:p>
          </w:tc>
        </w:sdtContent>
      </w:sdt>
      <w:tc>
        <w:tcPr>
          <w:tcW w:w="4674" w:type="dxa"/>
          <w:shd w:val="clear" w:color="auto" w:fill="auto"/>
          <w:vAlign w:val="center"/>
        </w:tcPr>
        <w:p w14:paraId="7043D35A" w14:textId="77777777" w:rsidR="002572DB" w:rsidRDefault="002572D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19C4" w14:textId="77777777" w:rsidR="00BC3C4A" w:rsidRDefault="00BC3C4A" w:rsidP="003967DD">
      <w:pPr>
        <w:spacing w:after="0"/>
      </w:pPr>
      <w:r>
        <w:separator/>
      </w:r>
    </w:p>
  </w:footnote>
  <w:footnote w:type="continuationSeparator" w:id="0">
    <w:p w14:paraId="3755B4EA" w14:textId="77777777" w:rsidR="00BC3C4A" w:rsidRDefault="00BC3C4A" w:rsidP="003967DD">
      <w:pPr>
        <w:spacing w:after="0"/>
      </w:pPr>
      <w:r>
        <w:continuationSeparator/>
      </w:r>
    </w:p>
  </w:footnote>
  <w:footnote w:type="continuationNotice" w:id="1">
    <w:p w14:paraId="19E1EAA4" w14:textId="77777777" w:rsidR="00BC3C4A" w:rsidRDefault="00BC3C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70526A"/>
    <w:multiLevelType w:val="hybridMultilevel"/>
    <w:tmpl w:val="078A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021D78"/>
    <w:multiLevelType w:val="hybridMultilevel"/>
    <w:tmpl w:val="7D1E7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EC51B7"/>
    <w:multiLevelType w:val="multilevel"/>
    <w:tmpl w:val="4000B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54CAE"/>
    <w:multiLevelType w:val="hybridMultilevel"/>
    <w:tmpl w:val="F54C1258"/>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F052A"/>
    <w:multiLevelType w:val="hybridMultilevel"/>
    <w:tmpl w:val="69D45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05320"/>
    <w:multiLevelType w:val="multilevel"/>
    <w:tmpl w:val="7EEA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5E4D72"/>
    <w:multiLevelType w:val="hybridMultilevel"/>
    <w:tmpl w:val="82487366"/>
    <w:lvl w:ilvl="0" w:tplc="6A18B0AE">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9307F"/>
    <w:multiLevelType w:val="hybridMultilevel"/>
    <w:tmpl w:val="EAC07072"/>
    <w:lvl w:ilvl="0" w:tplc="4A48342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2B4E08"/>
    <w:multiLevelType w:val="hybridMultilevel"/>
    <w:tmpl w:val="20AC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D3485"/>
    <w:multiLevelType w:val="hybridMultilevel"/>
    <w:tmpl w:val="2936781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90549"/>
    <w:multiLevelType w:val="hybridMultilevel"/>
    <w:tmpl w:val="C570117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4CC06A2"/>
    <w:multiLevelType w:val="hybridMultilevel"/>
    <w:tmpl w:val="6286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C63D3A"/>
    <w:multiLevelType w:val="hybridMultilevel"/>
    <w:tmpl w:val="2D68456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8"/>
  </w:num>
  <w:num w:numId="13" w16cid:durableId="1077093040">
    <w:abstractNumId w:val="25"/>
  </w:num>
  <w:num w:numId="14" w16cid:durableId="548568946">
    <w:abstractNumId w:val="26"/>
  </w:num>
  <w:num w:numId="15" w16cid:durableId="1307275789">
    <w:abstractNumId w:val="14"/>
  </w:num>
  <w:num w:numId="16" w16cid:durableId="1422794765">
    <w:abstractNumId w:val="21"/>
  </w:num>
  <w:num w:numId="17" w16cid:durableId="2083717576">
    <w:abstractNumId w:val="16"/>
  </w:num>
  <w:num w:numId="18" w16cid:durableId="1939942806">
    <w:abstractNumId w:val="12"/>
  </w:num>
  <w:num w:numId="19" w16cid:durableId="1171070363">
    <w:abstractNumId w:val="13"/>
  </w:num>
  <w:num w:numId="20" w16cid:durableId="1923564671">
    <w:abstractNumId w:val="28"/>
  </w:num>
  <w:num w:numId="21" w16cid:durableId="1910991584">
    <w:abstractNumId w:val="15"/>
  </w:num>
  <w:num w:numId="22" w16cid:durableId="272172907">
    <w:abstractNumId w:val="11"/>
  </w:num>
  <w:num w:numId="23" w16cid:durableId="1020930792">
    <w:abstractNumId w:val="17"/>
  </w:num>
  <w:num w:numId="24" w16cid:durableId="696271941">
    <w:abstractNumId w:val="24"/>
  </w:num>
  <w:num w:numId="25" w16cid:durableId="781800876">
    <w:abstractNumId w:val="27"/>
  </w:num>
  <w:num w:numId="26" w16cid:durableId="1896548968">
    <w:abstractNumId w:val="22"/>
  </w:num>
  <w:num w:numId="27" w16cid:durableId="1701317224">
    <w:abstractNumId w:val="29"/>
  </w:num>
  <w:num w:numId="28" w16cid:durableId="1756629137">
    <w:abstractNumId w:val="23"/>
  </w:num>
  <w:num w:numId="29" w16cid:durableId="299461403">
    <w:abstractNumId w:val="20"/>
  </w:num>
  <w:num w:numId="30" w16cid:durableId="18204627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42E3"/>
    <w:rsid w:val="000256E2"/>
    <w:rsid w:val="00027DE2"/>
    <w:rsid w:val="00047368"/>
    <w:rsid w:val="00054A33"/>
    <w:rsid w:val="00061378"/>
    <w:rsid w:val="00070F8B"/>
    <w:rsid w:val="00080DA9"/>
    <w:rsid w:val="000861DD"/>
    <w:rsid w:val="000A47D4"/>
    <w:rsid w:val="000C600E"/>
    <w:rsid w:val="000D503D"/>
    <w:rsid w:val="000F380B"/>
    <w:rsid w:val="0011241F"/>
    <w:rsid w:val="00122369"/>
    <w:rsid w:val="00122CA8"/>
    <w:rsid w:val="00150E0F"/>
    <w:rsid w:val="00153E21"/>
    <w:rsid w:val="00157212"/>
    <w:rsid w:val="0016287D"/>
    <w:rsid w:val="001B03CB"/>
    <w:rsid w:val="001C24E2"/>
    <w:rsid w:val="001D0D94"/>
    <w:rsid w:val="001D13F9"/>
    <w:rsid w:val="001D4C8B"/>
    <w:rsid w:val="001F39DD"/>
    <w:rsid w:val="00231554"/>
    <w:rsid w:val="00234065"/>
    <w:rsid w:val="00234F55"/>
    <w:rsid w:val="002512BE"/>
    <w:rsid w:val="00253794"/>
    <w:rsid w:val="002572DB"/>
    <w:rsid w:val="00275FB8"/>
    <w:rsid w:val="002A4A96"/>
    <w:rsid w:val="002C4EEA"/>
    <w:rsid w:val="002E3BED"/>
    <w:rsid w:val="002E76E9"/>
    <w:rsid w:val="002F41D7"/>
    <w:rsid w:val="002F6115"/>
    <w:rsid w:val="0030276C"/>
    <w:rsid w:val="00312720"/>
    <w:rsid w:val="00343AFC"/>
    <w:rsid w:val="0034745C"/>
    <w:rsid w:val="00372731"/>
    <w:rsid w:val="003967DD"/>
    <w:rsid w:val="003A4C39"/>
    <w:rsid w:val="004047FD"/>
    <w:rsid w:val="00405AC1"/>
    <w:rsid w:val="00421D18"/>
    <w:rsid w:val="0042333B"/>
    <w:rsid w:val="00431FB6"/>
    <w:rsid w:val="00443E58"/>
    <w:rsid w:val="0048279C"/>
    <w:rsid w:val="004939F3"/>
    <w:rsid w:val="004A2E74"/>
    <w:rsid w:val="004B2ED6"/>
    <w:rsid w:val="004C6901"/>
    <w:rsid w:val="004D0C44"/>
    <w:rsid w:val="00500ADA"/>
    <w:rsid w:val="00512BBA"/>
    <w:rsid w:val="005303EF"/>
    <w:rsid w:val="00555277"/>
    <w:rsid w:val="00567CF0"/>
    <w:rsid w:val="0058311B"/>
    <w:rsid w:val="00584366"/>
    <w:rsid w:val="005A4F12"/>
    <w:rsid w:val="005B721E"/>
    <w:rsid w:val="005D0046"/>
    <w:rsid w:val="005E0713"/>
    <w:rsid w:val="00600EE3"/>
    <w:rsid w:val="0061571A"/>
    <w:rsid w:val="00624A55"/>
    <w:rsid w:val="00636C22"/>
    <w:rsid w:val="006523D7"/>
    <w:rsid w:val="00657AE0"/>
    <w:rsid w:val="006671CE"/>
    <w:rsid w:val="006952CB"/>
    <w:rsid w:val="006A1F8A"/>
    <w:rsid w:val="006A225B"/>
    <w:rsid w:val="006A25AC"/>
    <w:rsid w:val="006C279B"/>
    <w:rsid w:val="006C3F1F"/>
    <w:rsid w:val="006C45C0"/>
    <w:rsid w:val="006C50F3"/>
    <w:rsid w:val="006E2B9A"/>
    <w:rsid w:val="006F2724"/>
    <w:rsid w:val="00710CED"/>
    <w:rsid w:val="0071191C"/>
    <w:rsid w:val="00725906"/>
    <w:rsid w:val="00732FDC"/>
    <w:rsid w:val="00735566"/>
    <w:rsid w:val="00766100"/>
    <w:rsid w:val="00767573"/>
    <w:rsid w:val="00774E86"/>
    <w:rsid w:val="00795749"/>
    <w:rsid w:val="007A3667"/>
    <w:rsid w:val="007B556E"/>
    <w:rsid w:val="007D3E38"/>
    <w:rsid w:val="007D40FC"/>
    <w:rsid w:val="007E71DF"/>
    <w:rsid w:val="007F05D9"/>
    <w:rsid w:val="008065DA"/>
    <w:rsid w:val="0082073F"/>
    <w:rsid w:val="008521CC"/>
    <w:rsid w:val="00855079"/>
    <w:rsid w:val="0086470C"/>
    <w:rsid w:val="00865C45"/>
    <w:rsid w:val="00872EF2"/>
    <w:rsid w:val="0087579E"/>
    <w:rsid w:val="00881A62"/>
    <w:rsid w:val="00890680"/>
    <w:rsid w:val="00890F30"/>
    <w:rsid w:val="00892E24"/>
    <w:rsid w:val="008B1737"/>
    <w:rsid w:val="008C1170"/>
    <w:rsid w:val="008E67DE"/>
    <w:rsid w:val="008F3D35"/>
    <w:rsid w:val="00900001"/>
    <w:rsid w:val="00903D16"/>
    <w:rsid w:val="009075A5"/>
    <w:rsid w:val="00934E38"/>
    <w:rsid w:val="00952690"/>
    <w:rsid w:val="00954B9A"/>
    <w:rsid w:val="00961654"/>
    <w:rsid w:val="00983907"/>
    <w:rsid w:val="0099358C"/>
    <w:rsid w:val="009D0A00"/>
    <w:rsid w:val="009D6377"/>
    <w:rsid w:val="009F64FD"/>
    <w:rsid w:val="009F6A77"/>
    <w:rsid w:val="00A0356F"/>
    <w:rsid w:val="00A15353"/>
    <w:rsid w:val="00A16146"/>
    <w:rsid w:val="00A31926"/>
    <w:rsid w:val="00A50EF6"/>
    <w:rsid w:val="00A710DF"/>
    <w:rsid w:val="00B0148A"/>
    <w:rsid w:val="00B02A4C"/>
    <w:rsid w:val="00B21562"/>
    <w:rsid w:val="00B37AF4"/>
    <w:rsid w:val="00B37FBC"/>
    <w:rsid w:val="00B448C1"/>
    <w:rsid w:val="00B47FF8"/>
    <w:rsid w:val="00B62726"/>
    <w:rsid w:val="00B707D9"/>
    <w:rsid w:val="00B71E93"/>
    <w:rsid w:val="00B775D4"/>
    <w:rsid w:val="00B8003F"/>
    <w:rsid w:val="00BA5296"/>
    <w:rsid w:val="00BA5883"/>
    <w:rsid w:val="00BC3C4A"/>
    <w:rsid w:val="00BE42A9"/>
    <w:rsid w:val="00BF0DAE"/>
    <w:rsid w:val="00C129C7"/>
    <w:rsid w:val="00C539BB"/>
    <w:rsid w:val="00C71012"/>
    <w:rsid w:val="00C934D8"/>
    <w:rsid w:val="00CA06D3"/>
    <w:rsid w:val="00CB3D24"/>
    <w:rsid w:val="00CC5AA8"/>
    <w:rsid w:val="00CD5993"/>
    <w:rsid w:val="00CE7916"/>
    <w:rsid w:val="00D13DD9"/>
    <w:rsid w:val="00D17E55"/>
    <w:rsid w:val="00D67930"/>
    <w:rsid w:val="00D9777A"/>
    <w:rsid w:val="00DC48EE"/>
    <w:rsid w:val="00DC4D0D"/>
    <w:rsid w:val="00DF519F"/>
    <w:rsid w:val="00E34263"/>
    <w:rsid w:val="00E34721"/>
    <w:rsid w:val="00E4317E"/>
    <w:rsid w:val="00E47519"/>
    <w:rsid w:val="00E5030B"/>
    <w:rsid w:val="00E64758"/>
    <w:rsid w:val="00E7457A"/>
    <w:rsid w:val="00E77EB9"/>
    <w:rsid w:val="00E87E91"/>
    <w:rsid w:val="00E961F0"/>
    <w:rsid w:val="00E96E7D"/>
    <w:rsid w:val="00EA2E3B"/>
    <w:rsid w:val="00EA4628"/>
    <w:rsid w:val="00EA5360"/>
    <w:rsid w:val="00EC0FD7"/>
    <w:rsid w:val="00EE66FB"/>
    <w:rsid w:val="00EF3FE7"/>
    <w:rsid w:val="00EF540D"/>
    <w:rsid w:val="00F148AC"/>
    <w:rsid w:val="00F20CEC"/>
    <w:rsid w:val="00F30055"/>
    <w:rsid w:val="00F36919"/>
    <w:rsid w:val="00F5271F"/>
    <w:rsid w:val="00F720ED"/>
    <w:rsid w:val="00F914FA"/>
    <w:rsid w:val="00F94715"/>
    <w:rsid w:val="00F9620D"/>
    <w:rsid w:val="00FA628D"/>
    <w:rsid w:val="00FD2849"/>
    <w:rsid w:val="00FF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B37AF4"/>
    <w:pPr>
      <w:ind w:left="720"/>
      <w:contextualSpacing/>
    </w:pPr>
  </w:style>
  <w:style w:type="character" w:customStyle="1" w:styleId="TableformatChar">
    <w:name w:val="Table format Char"/>
    <w:basedOn w:val="DefaultParagraphFont"/>
    <w:link w:val="Tableformat"/>
    <w:locked/>
    <w:rsid w:val="00725906"/>
    <w:rPr>
      <w:rFonts w:ascii="Corbel" w:eastAsia="Times New Roman" w:hAnsi="Corbel" w:cs="Arial"/>
      <w:iCs/>
      <w:color w:val="A93C03" w:themeColor="accent1" w:themeShade="BF"/>
      <w:sz w:val="26"/>
      <w:szCs w:val="26"/>
      <w:lang w:val="en-US" w:eastAsia="en-AU"/>
    </w:rPr>
  </w:style>
  <w:style w:type="paragraph" w:customStyle="1" w:styleId="Tableformat">
    <w:name w:val="Table format"/>
    <w:basedOn w:val="Heading2"/>
    <w:link w:val="TableformatChar"/>
    <w:qFormat/>
    <w:rsid w:val="00725906"/>
    <w:pPr>
      <w:keepNext w:val="0"/>
      <w:keepLines w:val="0"/>
      <w:spacing w:before="80" w:after="80"/>
    </w:pPr>
    <w:rPr>
      <w:rFonts w:ascii="Corbel" w:eastAsia="Times New Roman" w:hAnsi="Corbel" w:cs="Arial"/>
      <w:b w:val="0"/>
      <w:iCs/>
      <w:color w:val="A93C03" w:themeColor="accent1" w:themeShade="BF"/>
      <w:sz w:val="26"/>
      <w:lang w:val="en-US" w:eastAsia="en-AU"/>
    </w:rPr>
  </w:style>
  <w:style w:type="character" w:styleId="CommentReference">
    <w:name w:val="annotation reference"/>
    <w:basedOn w:val="DefaultParagraphFont"/>
    <w:uiPriority w:val="99"/>
    <w:semiHidden/>
    <w:unhideWhenUsed/>
    <w:rsid w:val="00881A62"/>
    <w:rPr>
      <w:sz w:val="16"/>
      <w:szCs w:val="16"/>
    </w:rPr>
  </w:style>
  <w:style w:type="paragraph" w:styleId="CommentText">
    <w:name w:val="annotation text"/>
    <w:basedOn w:val="Normal"/>
    <w:link w:val="CommentTextChar"/>
    <w:uiPriority w:val="99"/>
    <w:unhideWhenUsed/>
    <w:rsid w:val="00881A62"/>
    <w:rPr>
      <w:sz w:val="20"/>
      <w:szCs w:val="20"/>
    </w:rPr>
  </w:style>
  <w:style w:type="character" w:customStyle="1" w:styleId="CommentTextChar">
    <w:name w:val="Comment Text Char"/>
    <w:basedOn w:val="DefaultParagraphFont"/>
    <w:link w:val="CommentText"/>
    <w:uiPriority w:val="99"/>
    <w:rsid w:val="00881A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mental-health-primary-schools" TargetMode="External"/><Relationship Id="rId18" Type="http://schemas.openxmlformats.org/officeDocument/2006/relationships/hyperlink" Target="https://datazoneviz.eduweb.vic.gov.au/views/SIEPortal/Portal?:embed=yes&amp;:toolbar=no" TargetMode="External"/><Relationship Id="rId26" Type="http://schemas.openxmlformats.org/officeDocument/2006/relationships/hyperlink" Target="https://edugate.eduweb.vic.gov.au/sites/i/pages/production.aspx" TargetMode="External"/><Relationship Id="rId39" Type="http://schemas.openxmlformats.org/officeDocument/2006/relationships/hyperlink" Target="https://creativecommons.org/licenses/by/4.0/" TargetMode="External"/><Relationship Id="rId21" Type="http://schemas.openxmlformats.org/officeDocument/2006/relationships/hyperlink" Target="https://aus01.safelinks.protection.outlook.com/?url=https%3A%2F%2Fauscamps.asn.au%2Fcamps-activities%2Fsearch-camps&amp;data=05%7C01%7CGemma.Buckley2%40education.vic.gov.au%7Cada12cd4cb8b468024d708db1ba784fa%7Cd96cb3371a8744cfb69b3cec334a4c1f%7C0%7C0%7C638134178529016415%7CUnknown%7CTWFpbGZsb3d8eyJWIjoiMC4wLjAwMDAiLCJQIjoiV2luMzIiLCJBTiI6Ik1haWwiLCJXVCI6Mn0%3D%7C3000%7C%7C%7C&amp;sdata=49DxCjxFmdBq7a3n5es66F84NtlqCq4B0Uns5MZnXG8%3D&amp;reserved=0" TargetMode="External"/><Relationship Id="rId34" Type="http://schemas.openxmlformats.org/officeDocument/2006/relationships/hyperlink" Target="mailto:studentwellbeingboost@education.vic.gov.au"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gate.eduweb.vic.gov.au/edrms/keyprocess/TEB/Panorama/Pages/panorama.aspx" TargetMode="External"/><Relationship Id="rId29" Type="http://schemas.openxmlformats.org/officeDocument/2006/relationships/hyperlink" Target="https://www.education.vic.gov.au/school/teachers/health/mentalhealth/mental-health-menu/Pages/Menu.aspx?Redirect=1" TargetMode="External"/><Relationship Id="rId20" Type="http://schemas.openxmlformats.org/officeDocument/2006/relationships/hyperlink" Target="https://aus01.safelinks.protection.outlook.com/?url=https%3A%2F%2Fauscamps.secure.force.com%2FBookingEnquiry&amp;data=05%7C01%7CGemma.Buckley2%40education.vic.gov.au%7Cada12cd4cb8b468024d708db1ba784fa%7Cd96cb3371a8744cfb69b3cec334a4c1f%7C0%7C0%7C638134178529016415%7CUnknown%7CTWFpbGZsb3d8eyJWIjoiMC4wLjAwMDAiLCJQIjoiV2luMzIiLCJBTiI6Ik1haWwiLCJXVCI6Mn0%3D%7C3000%7C%7C%7C&amp;sdata=HH9SS4k0QbNyUNL72T3chPWrOPJoCNSNsA%2F8pEEPit8%3D&amp;reserved=0" TargetMode="External"/><Relationship Id="rId41" Type="http://schemas.openxmlformats.org/officeDocument/2006/relationships/header" Target="header1.xml"/><Relationship Id="rId45"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teachingresources/discipline/physed/Pages/activeschoolstoolkit.aspx" TargetMode="External"/><Relationship Id="rId32" Type="http://schemas.openxmlformats.org/officeDocument/2006/relationships/hyperlink" Target="https://www.vic.gov.au/national-student-wellbeing-program/program-guidance" TargetMode="External"/><Relationship Id="rId37" Type="http://schemas.openxmlformats.org/officeDocument/2006/relationships/hyperlink" Target="mailto:studentwellbeingboost@education.vic.gov.au" TargetMode="External"/><Relationship Id="rId40" Type="http://schemas.openxmlformats.org/officeDocument/2006/relationships/hyperlink" Target="https://www.education.vic.gov.au/Pages/copyright.aspx" TargetMode="External"/><Relationship Id="rId5" Type="http://schemas.openxmlformats.org/officeDocument/2006/relationships/customXml" Target="../customXml/item5.xml"/><Relationship Id="rId15" Type="http://schemas.openxmlformats.org/officeDocument/2006/relationships/hyperlink" Target="https://www.vic.gov.au/national-student-wellbeing-program/program-guidance" TargetMode="External"/><Relationship Id="rId23" Type="http://schemas.openxmlformats.org/officeDocument/2006/relationships/hyperlink" Target="https://www.vic.gov.au/active-schools" TargetMode="External"/><Relationship Id="rId28" Type="http://schemas.openxmlformats.org/officeDocument/2006/relationships/hyperlink" Target="https://ministers.education.gov.au/clare/half-billion-dollar-investment-student-wellbeing" TargetMode="External"/><Relationship Id="rId36" Type="http://schemas.openxmlformats.org/officeDocument/2006/relationships/hyperlink" Target="https://www.education.vic.gov.au/school/teachers/health/mentalhealth/mental-health-menu/Pages/Menu.aspx?Redirect=1" TargetMode="External"/><Relationship Id="rId10" Type="http://schemas.openxmlformats.org/officeDocument/2006/relationships/footnotes" Target="footnotes.xml"/><Relationship Id="rId19" Type="http://schemas.openxmlformats.org/officeDocument/2006/relationships/hyperlink" Target="https://www.education.vic.gov.au/PAL/schools-guide-to-attendance.pdf" TargetMode="External"/><Relationship Id="rId31" Type="http://schemas.openxmlformats.org/officeDocument/2006/relationships/hyperlink" Target="https://www.vic.gov.au/mental-health-practitioners-secondary-and-specialist-school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mental-health-practitioners-secondary-and-specialist-schools" TargetMode="External"/><Relationship Id="rId22" Type="http://schemas.openxmlformats.org/officeDocument/2006/relationships/hyperlink" Target="https://aus01.safelinks.protection.outlook.com/?url=https%3A%2F%2Fauscamps.asn.au%2Fcamps-activities%2Fsearch-activity-providers&amp;data=05%7C01%7CGemma.Buckley2%40education.vic.gov.au%7Cada12cd4cb8b468024d708db1ba784fa%7Cd96cb3371a8744cfb69b3cec334a4c1f%7C0%7C0%7C638134178529016415%7CUnknown%7CTWFpbGZsb3d8eyJWIjoiMC4wLjAwMDAiLCJQIjoiV2luMzIiLCJBTiI6Ik1haWwiLCJXVCI6Mn0%3D%7C3000%7C%7C%7C&amp;sdata=uwClCO77ekE7%2F4mglsVBVZ85bc0t5OIYG96DmKOwKec%3D&amp;reserved=0" TargetMode="External"/><Relationship Id="rId27" Type="http://schemas.openxmlformats.org/officeDocument/2006/relationships/hyperlink" Target="mailto:studentwellbeingboost@education.vic.gov.au" TargetMode="External"/><Relationship Id="rId30" Type="http://schemas.openxmlformats.org/officeDocument/2006/relationships/hyperlink" Target="https://www.vic.gov.au/mental-health-primary-schools" TargetMode="External"/><Relationship Id="rId35" Type="http://schemas.openxmlformats.org/officeDocument/2006/relationships/hyperlink" Target="https://edugate.eduweb.vic.gov.au/edrms/PD/SPP/Schools%20Procurement%20Procedure%20Document.pdf"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education.vic.gov.au/school/teachers/health/mentalhealth/mental-health-menu/Pages/Menu.aspx?Redirect=1" TargetMode="External"/><Relationship Id="rId17" Type="http://schemas.openxmlformats.org/officeDocument/2006/relationships/hyperlink" Target="https://panorama.eduweb.vic.gov.au/_layouts/15/AccessDenied.aspx?Source=https%3A%2F%2Fpanorama%2Eeduweb%2Evic%2Egov%2Eau%2FPages%2Fdefault%2Easpx%3F%5Fq%3D%257B%2522searchQuery%2522%253A%2522%2522%252C%2522selectedRefiners%2522%253A%255B%255D%252C%2522sort%2522%253A%255B%255D%252C%2522filter%2522%253A%257B%2522results%2522%253A%255B%255D%257D%252C%2522selectedTabTitle%2522%253A%2522All%2522%252C%2522termPickerQuery%2522%253A%255B%257B%2522termSetId%2522%253A%2522488c245f%2D4f4c%2D45bd%2D8405%2D033cc36c2199%2522%252C%2522guid%2522%253A%252280fc699a%2D20a7%2D4d8c%2D9fe3%2D2234ebf35940%2522%252C%2522title%2522%253A%2522Your%2BSchool%2522%252C%2522parentid%2522%253A%252298607d86%2D4685%2D4020%2Db1b3%2D86d2639e9ef6%2522%257D%255D%257D&amp;Type=item&amp;name=80226220%2D78b9%2D4697%2Dae32%2D2a31518c673d&amp;listItemId=5" TargetMode="External"/><Relationship Id="rId25" Type="http://schemas.openxmlformats.org/officeDocument/2006/relationships/hyperlink" Target="https://edugate.eduweb.vic.gov.au/edrms/PD/SPP/Schools%20Procurement%20Procedure%20Document.pdf" TargetMode="External"/><Relationship Id="rId33" Type="http://schemas.openxmlformats.org/officeDocument/2006/relationships/hyperlink" Target="https://edugate.eduweb.vic.gov.au/edrms/PD/SPP/Schools%20Procurement%20Procedure%20Document.pdf" TargetMode="External"/><Relationship Id="rId38" Type="http://schemas.openxmlformats.org/officeDocument/2006/relationships/hyperlink" Target="https://www.education.vic.gov.au/Pages/copyright.aspx" TargetMode="External"/><Relationship Id="rId4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D886E8B7E4041A857825BAC7F8D9B"/>
        <w:category>
          <w:name w:val="General"/>
          <w:gallery w:val="placeholder"/>
        </w:category>
        <w:types>
          <w:type w:val="bbPlcHdr"/>
        </w:types>
        <w:behaviors>
          <w:behavior w:val="content"/>
        </w:behaviors>
        <w:guid w:val="{1F1E35BE-1055-418D-967C-1D0C33719822}"/>
      </w:docPartPr>
      <w:docPartBody>
        <w:p w:rsidR="00F73012" w:rsidRDefault="00060768" w:rsidP="00060768">
          <w:pPr>
            <w:pStyle w:val="A31D886E8B7E4041A857825BAC7F8D9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68"/>
    <w:rsid w:val="00060768"/>
    <w:rsid w:val="00634A8B"/>
    <w:rsid w:val="00F73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768"/>
    <w:rPr>
      <w:color w:val="808080"/>
    </w:rPr>
  </w:style>
  <w:style w:type="paragraph" w:customStyle="1" w:styleId="A31D886E8B7E4041A857825BAC7F8D9B">
    <w:name w:val="A31D886E8B7E4041A857825BAC7F8D9B"/>
    <w:rsid w:val="00060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8DFD4D0D641F14A8740AEE5D2D17706" ma:contentTypeVersion="7" ma:contentTypeDescription="DET Document" ma:contentTypeScope="" ma:versionID="089ef145acf4388efa51c71cfddc6b07">
  <xsd:schema xmlns:xsd="http://www.w3.org/2001/XMLSchema" xmlns:xs="http://www.w3.org/2001/XMLSchema" xmlns:p="http://schemas.microsoft.com/office/2006/metadata/properties" xmlns:ns2="http://schemas.microsoft.com/Sharepoint/v3" xmlns:ns3="0e0f53ac-411f-49b8-b5fb-b40e5e5836dd" targetNamespace="http://schemas.microsoft.com/office/2006/metadata/properties" ma:root="true" ma:fieldsID="93368f79c71c1380388f6f68d34f67d6" ns2:_="" ns3:_="">
    <xsd:import namespace="http://schemas.microsoft.com/Sharepoint/v3"/>
    <xsd:import namespace="0e0f53ac-411f-49b8-b5fb-b40e5e5836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f53ac-411f-49b8-b5fb-b40e5e5836dd"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accb045e-bd72-49d0-a9bd-e22eaac071e2}" ma:internalName="TaxCatchAll" ma:readOnly="false" ma:showField="CatchAllData" ma:web="0e0f53ac-411f-49b8-b5fb-b40e5e5836d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ccb045e-bd72-49d0-a9bd-e22eaac071e2}" ma:internalName="TaxCatchAllLabel" ma:readOnly="true" ma:showField="CatchAllDataLabel" ma:web="0e0f53ac-411f-49b8-b5fb-b40e5e5836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61CB0-6C6B-47FC-B270-9E0B0D435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f53ac-411f-49b8-b5fb-b40e5e583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06238-E95B-4B0D-87E7-9D6AE1EEA836}"/>
</file>

<file path=customXml/itemProps3.xml><?xml version="1.0" encoding="utf-8"?>
<ds:datastoreItem xmlns:ds="http://schemas.openxmlformats.org/officeDocument/2006/customXml" ds:itemID="{803D72E2-31F5-4C8A-9077-91155E1718E5}">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e0f53ac-411f-49b8-b5fb-b40e5e5836dd"/>
    <ds:schemaRef ds:uri="http://purl.org/dc/elements/1.1/"/>
    <ds:schemaRef ds:uri="http://schemas.microsoft.com/office/2006/metadata/properties"/>
    <ds:schemaRef ds:uri="http://www.w3.org/XML/1998/namespace"/>
    <ds:schemaRef ds:uri="http://schemas.microsoft.com/Sharepoint/v3"/>
    <ds:schemaRef ds:uri="http://purl.org/dc/te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Wellbeing Boost</dc:creator>
  <cp:keywords/>
  <dc:description/>
  <cp:lastModifiedBy>Carly Horadam</cp:lastModifiedBy>
  <cp:revision>2</cp:revision>
  <cp:lastPrinted>2023-05-17T03:53:00Z</cp:lastPrinted>
  <dcterms:created xsi:type="dcterms:W3CDTF">2023-06-12T23:34:00Z</dcterms:created>
  <dcterms:modified xsi:type="dcterms:W3CDTF">2023-06-12T23:34:00Z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{e259d927-7c5e-401c-bd95-ed411a903af5}</vt:lpwstr>
  </property>
  <property fmtid="{D5CDD505-2E9C-101B-9397-08002B2CF9AE}" pid="6" name="RecordPoint_ActiveItemListId">
    <vt:lpwstr>{73788c10-be0a-461a-bce8-5e48678f23c3}</vt:lpwstr>
  </property>
  <property fmtid="{D5CDD505-2E9C-101B-9397-08002B2CF9AE}" pid="7" name="RecordPoint_ActiveItemUniqueId">
    <vt:lpwstr>{ed7be2c5-d342-4b48-b9d2-fecbe7bdda3b}</vt:lpwstr>
  </property>
  <property fmtid="{D5CDD505-2E9C-101B-9397-08002B2CF9AE}" pid="8" name="RecordPoint_ActiveItemWebId">
    <vt:lpwstr>{d315de26-2090-4f16-9d23-8514ecb664fe}</vt:lpwstr>
  </property>
  <property fmtid="{D5CDD505-2E9C-101B-9397-08002B2CF9AE}" pid="9" name="RecordPoint_RecordNumberSubmitted">
    <vt:lpwstr>R20230270439</vt:lpwstr>
  </property>
  <property fmtid="{D5CDD505-2E9C-101B-9397-08002B2CF9AE}" pid="10" name="DET_EDRMS_RCS">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Completed">
    <vt:lpwstr>2023-06-06T16:23:43.6848872+10:00</vt:lpwstr>
  </property>
</Properties>
</file>