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1C1E" w14:textId="289BB975" w:rsidR="00DC5B1F" w:rsidRPr="00833928" w:rsidRDefault="00DC5B1F" w:rsidP="00DC5B1F">
      <w:pPr>
        <w:pStyle w:val="Title"/>
        <w:jc w:val="center"/>
        <w:rPr>
          <w:rFonts w:asciiTheme="minorHAnsi" w:hAnsiTheme="minorHAnsi"/>
          <w:lang w:val="en"/>
        </w:rPr>
      </w:pPr>
    </w:p>
    <w:p w14:paraId="02B8CC95" w14:textId="77777777" w:rsidR="00DC5B1F" w:rsidRPr="00260C1D" w:rsidRDefault="00DC5B1F" w:rsidP="00DC5B1F">
      <w:pPr>
        <w:pStyle w:val="Title"/>
        <w:jc w:val="center"/>
        <w:rPr>
          <w:rFonts w:asciiTheme="minorHAnsi" w:eastAsia="Segoe UI" w:hAnsiTheme="minorHAnsi" w:cstheme="minorHAnsi"/>
          <w:lang w:val="en" w:eastAsia="en-AU"/>
        </w:rPr>
      </w:pPr>
    </w:p>
    <w:p w14:paraId="71DAA91D" w14:textId="7ED8996F" w:rsidR="00DC5B1F" w:rsidRPr="00260C1D" w:rsidRDefault="00DC5B1F" w:rsidP="00DC5B1F">
      <w:pPr>
        <w:pStyle w:val="Title"/>
        <w:jc w:val="center"/>
        <w:rPr>
          <w:rFonts w:asciiTheme="minorHAnsi" w:eastAsia="Segoe UI" w:hAnsiTheme="minorHAnsi" w:cstheme="minorHAnsi"/>
          <w:lang w:val="en" w:eastAsia="en-AU"/>
        </w:rPr>
      </w:pPr>
    </w:p>
    <w:p w14:paraId="6E91CA9D" w14:textId="77777777" w:rsidR="00DC5B1F" w:rsidRPr="00260C1D" w:rsidRDefault="00DC5B1F" w:rsidP="00DC5B1F">
      <w:pPr>
        <w:pStyle w:val="Title"/>
        <w:jc w:val="center"/>
        <w:rPr>
          <w:rFonts w:asciiTheme="minorHAnsi" w:eastAsia="Segoe UI" w:hAnsiTheme="minorHAnsi" w:cstheme="minorHAnsi"/>
          <w:lang w:val="en" w:eastAsia="en-AU"/>
        </w:rPr>
      </w:pPr>
    </w:p>
    <w:p w14:paraId="3C2D92B9" w14:textId="77777777" w:rsidR="00DC5B1F" w:rsidRPr="00260C1D" w:rsidRDefault="00DC5B1F" w:rsidP="00DC5B1F">
      <w:pPr>
        <w:pStyle w:val="Title"/>
        <w:jc w:val="center"/>
        <w:rPr>
          <w:rFonts w:asciiTheme="minorHAnsi" w:eastAsia="Segoe UI" w:hAnsiTheme="minorHAnsi" w:cstheme="minorHAnsi"/>
          <w:lang w:val="en" w:eastAsia="en-AU"/>
        </w:rPr>
      </w:pPr>
    </w:p>
    <w:p w14:paraId="5240BABF" w14:textId="77777777" w:rsidR="00DC5B1F" w:rsidRPr="00260C1D" w:rsidRDefault="00DC5B1F" w:rsidP="00DC5B1F">
      <w:pPr>
        <w:pStyle w:val="Title"/>
        <w:jc w:val="center"/>
        <w:rPr>
          <w:rFonts w:asciiTheme="minorHAnsi" w:eastAsia="Segoe UI" w:hAnsiTheme="minorHAnsi" w:cstheme="minorHAnsi"/>
          <w:lang w:val="en" w:eastAsia="en-AU"/>
        </w:rPr>
      </w:pPr>
    </w:p>
    <w:p w14:paraId="44017019" w14:textId="60EEDB1A" w:rsidR="00DC5B1F" w:rsidRPr="00260C1D" w:rsidRDefault="00DC5B1F" w:rsidP="00833928">
      <w:pPr>
        <w:pStyle w:val="Title"/>
        <w:tabs>
          <w:tab w:val="left" w:pos="5715"/>
        </w:tabs>
        <w:jc w:val="center"/>
        <w:rPr>
          <w:rFonts w:asciiTheme="minorHAnsi" w:eastAsia="Segoe UI" w:hAnsiTheme="minorHAnsi" w:cstheme="minorHAnsi"/>
          <w:lang w:val="en" w:eastAsia="en-AU"/>
        </w:rPr>
      </w:pPr>
    </w:p>
    <w:p w14:paraId="3FD14CF6" w14:textId="73660E3D" w:rsidR="004E59C0" w:rsidRPr="00260C1D" w:rsidRDefault="002A5C97" w:rsidP="61484B2C">
      <w:pPr>
        <w:pStyle w:val="Title"/>
        <w:jc w:val="center"/>
        <w:rPr>
          <w:rFonts w:asciiTheme="minorHAnsi" w:eastAsia="Segoe UI" w:hAnsiTheme="minorHAnsi" w:cstheme="minorBidi"/>
          <w:b/>
          <w:bCs/>
          <w:color w:val="323E4F" w:themeColor="text2" w:themeShade="BF"/>
          <w:sz w:val="72"/>
          <w:szCs w:val="72"/>
          <w:lang w:val="en" w:eastAsia="en-AU"/>
        </w:rPr>
      </w:pPr>
      <w:r w:rsidRPr="61484B2C">
        <w:rPr>
          <w:rFonts w:asciiTheme="minorHAnsi" w:eastAsia="Segoe UI" w:hAnsiTheme="minorHAnsi" w:cstheme="minorBidi"/>
          <w:b/>
          <w:bCs/>
          <w:color w:val="323E4F" w:themeColor="text2" w:themeShade="BF"/>
          <w:sz w:val="72"/>
          <w:szCs w:val="72"/>
          <w:lang w:val="en" w:eastAsia="en-AU"/>
        </w:rPr>
        <w:t>202</w:t>
      </w:r>
      <w:r w:rsidR="007043D5">
        <w:rPr>
          <w:rFonts w:asciiTheme="minorHAnsi" w:eastAsia="Segoe UI" w:hAnsiTheme="minorHAnsi" w:cstheme="minorBidi"/>
          <w:b/>
          <w:bCs/>
          <w:color w:val="323E4F" w:themeColor="text2" w:themeShade="BF"/>
          <w:sz w:val="72"/>
          <w:szCs w:val="72"/>
          <w:lang w:val="en" w:eastAsia="en-AU"/>
        </w:rPr>
        <w:t>4</w:t>
      </w:r>
      <w:r w:rsidR="00F446B7" w:rsidRPr="61484B2C">
        <w:rPr>
          <w:rFonts w:asciiTheme="minorHAnsi" w:eastAsia="Segoe UI" w:hAnsiTheme="minorHAnsi" w:cstheme="minorBidi"/>
          <w:b/>
          <w:bCs/>
          <w:color w:val="323E4F" w:themeColor="text2" w:themeShade="BF"/>
          <w:sz w:val="72"/>
          <w:szCs w:val="72"/>
          <w:lang w:val="en" w:eastAsia="en-AU"/>
        </w:rPr>
        <w:t xml:space="preserve"> </w:t>
      </w:r>
      <w:r w:rsidR="007043D5">
        <w:rPr>
          <w:rFonts w:asciiTheme="minorHAnsi" w:eastAsia="Segoe UI" w:hAnsiTheme="minorHAnsi" w:cstheme="minorBidi"/>
          <w:b/>
          <w:bCs/>
          <w:color w:val="323E4F" w:themeColor="text2" w:themeShade="BF"/>
          <w:sz w:val="72"/>
          <w:szCs w:val="72"/>
          <w:lang w:val="en" w:eastAsia="en-AU"/>
        </w:rPr>
        <w:t>INDICATIVE</w:t>
      </w:r>
    </w:p>
    <w:p w14:paraId="02E21818" w14:textId="3E6B7009" w:rsidR="00C13317" w:rsidRPr="00260C1D" w:rsidRDefault="001E6AD4" w:rsidP="57E6AA50">
      <w:pPr>
        <w:pStyle w:val="Title"/>
        <w:jc w:val="center"/>
        <w:rPr>
          <w:rFonts w:asciiTheme="minorHAnsi" w:hAnsiTheme="minorHAnsi" w:cstheme="minorBidi"/>
          <w:lang w:val="en" w:eastAsia="en-AU"/>
        </w:rPr>
      </w:pPr>
      <w:r w:rsidRPr="57E6AA50">
        <w:rPr>
          <w:rFonts w:asciiTheme="minorHAnsi" w:eastAsia="Segoe UI" w:hAnsiTheme="minorHAnsi" w:cstheme="minorBidi"/>
          <w:b/>
          <w:bCs/>
          <w:color w:val="323E4F" w:themeColor="text2" w:themeShade="BF"/>
          <w:sz w:val="72"/>
          <w:szCs w:val="72"/>
          <w:lang w:val="en" w:eastAsia="en-AU"/>
        </w:rPr>
        <w:t>STUDENT RESOURCE PACKAGE</w:t>
      </w:r>
      <w:r w:rsidR="00194BEE" w:rsidRPr="57E6AA50">
        <w:rPr>
          <w:rFonts w:asciiTheme="minorHAnsi" w:eastAsia="Segoe UI" w:hAnsiTheme="minorHAnsi" w:cstheme="minorBidi"/>
          <w:b/>
          <w:bCs/>
          <w:color w:val="323E4F" w:themeColor="text2" w:themeShade="BF"/>
          <w:sz w:val="72"/>
          <w:szCs w:val="72"/>
          <w:lang w:val="en" w:eastAsia="en-AU"/>
        </w:rPr>
        <w:t xml:space="preserve"> GUIDE </w:t>
      </w:r>
      <w:r>
        <w:br/>
      </w:r>
    </w:p>
    <w:p w14:paraId="67918995" w14:textId="5B41B5A3" w:rsidR="00C13317" w:rsidRPr="00260C1D" w:rsidRDefault="00C13317" w:rsidP="00C13317">
      <w:pPr>
        <w:pStyle w:val="Title"/>
        <w:jc w:val="center"/>
        <w:rPr>
          <w:rFonts w:asciiTheme="minorHAnsi" w:hAnsiTheme="minorHAnsi" w:cstheme="minorHAnsi"/>
          <w:lang w:val="en" w:eastAsia="en-AU"/>
        </w:rPr>
      </w:pPr>
      <w:r w:rsidRPr="00260C1D">
        <w:rPr>
          <w:rFonts w:asciiTheme="minorHAnsi" w:hAnsiTheme="minorHAnsi" w:cstheme="minorHAnsi"/>
          <w:lang w:val="en" w:eastAsia="en-AU"/>
        </w:rPr>
        <w:br w:type="page"/>
      </w:r>
    </w:p>
    <w:p w14:paraId="56ED9C61" w14:textId="0A77E11E" w:rsidR="00DC5B1F" w:rsidRPr="00260C1D" w:rsidRDefault="00DC5B1F" w:rsidP="001E6AD4">
      <w:pPr>
        <w:rPr>
          <w:rFonts w:cstheme="minorHAnsi"/>
          <w:lang w:val="en" w:eastAsia="en-AU"/>
        </w:rPr>
      </w:pPr>
    </w:p>
    <w:sdt>
      <w:sdtPr>
        <w:rPr>
          <w:rFonts w:asciiTheme="minorHAnsi" w:eastAsiaTheme="minorHAnsi" w:hAnsiTheme="minorHAnsi" w:cstheme="minorBidi"/>
          <w:color w:val="000000"/>
          <w:sz w:val="22"/>
          <w:szCs w:val="22"/>
          <w:lang w:val="en-AU"/>
        </w:rPr>
        <w:id w:val="84042412"/>
        <w:docPartObj>
          <w:docPartGallery w:val="Table of Contents"/>
          <w:docPartUnique/>
        </w:docPartObj>
      </w:sdtPr>
      <w:sdtEndPr>
        <w:rPr>
          <w:rFonts w:cstheme="minorHAnsi"/>
          <w:b/>
        </w:rPr>
      </w:sdtEndPr>
      <w:sdtContent>
        <w:p w14:paraId="1DBFF339" w14:textId="7A64A7AB" w:rsidR="00787CC6" w:rsidRPr="00260C1D" w:rsidRDefault="00787CC6" w:rsidP="003D144A">
          <w:pPr>
            <w:pStyle w:val="TOCHeading"/>
          </w:pPr>
          <w:r w:rsidRPr="00260C1D">
            <w:t>Contents</w:t>
          </w:r>
        </w:p>
        <w:p w14:paraId="6F9CA375" w14:textId="387996DB" w:rsidR="007A6EA2" w:rsidRDefault="007016CD" w:rsidP="007A6EA2">
          <w:pPr>
            <w:pStyle w:val="TOC1"/>
            <w:rPr>
              <w:rFonts w:eastAsiaTheme="minorEastAsia"/>
              <w:noProof/>
              <w:kern w:val="2"/>
              <w:lang w:eastAsia="en-AU"/>
              <w14:ligatures w14:val="standardContextual"/>
            </w:rPr>
          </w:pPr>
          <w:r w:rsidRPr="00260C1D">
            <w:rPr>
              <w:rFonts w:cstheme="minorHAnsi"/>
              <w:color w:val="222A35" w:themeColor="text2" w:themeShade="80"/>
            </w:rPr>
            <w:fldChar w:fldCharType="begin"/>
          </w:r>
          <w:r w:rsidRPr="00260C1D">
            <w:rPr>
              <w:rFonts w:cstheme="minorHAnsi"/>
              <w:color w:val="222A35" w:themeColor="text2" w:themeShade="80"/>
            </w:rPr>
            <w:instrText xml:space="preserve"> TOC \o "1-2" \h \z </w:instrText>
          </w:r>
          <w:r w:rsidRPr="00260C1D">
            <w:rPr>
              <w:rFonts w:cstheme="minorHAnsi"/>
              <w:color w:val="222A35" w:themeColor="text2" w:themeShade="80"/>
            </w:rPr>
            <w:fldChar w:fldCharType="separate"/>
          </w:r>
          <w:hyperlink w:anchor="_Toc153791879" w:history="1">
            <w:r w:rsidR="007A6EA2" w:rsidRPr="00CE4BB9">
              <w:rPr>
                <w:rStyle w:val="Hyperlink"/>
                <w:noProof/>
                <w:lang w:val="en"/>
              </w:rPr>
              <w:t>Core Student Learning Allocation funding (Student-based Funding)</w:t>
            </w:r>
            <w:r w:rsidR="007A6EA2">
              <w:rPr>
                <w:noProof/>
                <w:webHidden/>
              </w:rPr>
              <w:tab/>
            </w:r>
            <w:r w:rsidR="007A6EA2">
              <w:rPr>
                <w:noProof/>
                <w:webHidden/>
              </w:rPr>
              <w:fldChar w:fldCharType="begin"/>
            </w:r>
            <w:r w:rsidR="007A6EA2">
              <w:rPr>
                <w:noProof/>
                <w:webHidden/>
              </w:rPr>
              <w:instrText xml:space="preserve"> PAGEREF _Toc153791879 \h </w:instrText>
            </w:r>
            <w:r w:rsidR="007A6EA2">
              <w:rPr>
                <w:noProof/>
                <w:webHidden/>
              </w:rPr>
            </w:r>
            <w:r w:rsidR="007A6EA2">
              <w:rPr>
                <w:noProof/>
                <w:webHidden/>
              </w:rPr>
              <w:fldChar w:fldCharType="separate"/>
            </w:r>
            <w:r w:rsidR="007A6EA2">
              <w:rPr>
                <w:noProof/>
                <w:webHidden/>
              </w:rPr>
              <w:t>8</w:t>
            </w:r>
            <w:r w:rsidR="007A6EA2">
              <w:rPr>
                <w:noProof/>
                <w:webHidden/>
              </w:rPr>
              <w:fldChar w:fldCharType="end"/>
            </w:r>
          </w:hyperlink>
        </w:p>
        <w:p w14:paraId="6737B4EB" w14:textId="426044C3" w:rsidR="007A6EA2" w:rsidRDefault="00000000">
          <w:pPr>
            <w:pStyle w:val="TOC2"/>
            <w:rPr>
              <w:rFonts w:eastAsiaTheme="minorEastAsia"/>
              <w:noProof/>
              <w:kern w:val="2"/>
              <w:lang w:eastAsia="en-AU"/>
              <w14:ligatures w14:val="standardContextual"/>
            </w:rPr>
          </w:pPr>
          <w:hyperlink w:anchor="_Toc153791880" w:history="1">
            <w:r w:rsidR="007A6EA2" w:rsidRPr="00CE4BB9">
              <w:rPr>
                <w:rStyle w:val="Hyperlink"/>
                <w:noProof/>
              </w:rPr>
              <w:t>Student per capita funding Years Prep-12 Students (Reference 1)</w:t>
            </w:r>
            <w:r w:rsidR="007A6EA2">
              <w:rPr>
                <w:noProof/>
                <w:webHidden/>
              </w:rPr>
              <w:tab/>
            </w:r>
            <w:r w:rsidR="007A6EA2">
              <w:rPr>
                <w:noProof/>
                <w:webHidden/>
              </w:rPr>
              <w:fldChar w:fldCharType="begin"/>
            </w:r>
            <w:r w:rsidR="007A6EA2">
              <w:rPr>
                <w:noProof/>
                <w:webHidden/>
              </w:rPr>
              <w:instrText xml:space="preserve"> PAGEREF _Toc153791880 \h </w:instrText>
            </w:r>
            <w:r w:rsidR="007A6EA2">
              <w:rPr>
                <w:noProof/>
                <w:webHidden/>
              </w:rPr>
            </w:r>
            <w:r w:rsidR="007A6EA2">
              <w:rPr>
                <w:noProof/>
                <w:webHidden/>
              </w:rPr>
              <w:fldChar w:fldCharType="separate"/>
            </w:r>
            <w:r w:rsidR="007A6EA2">
              <w:rPr>
                <w:noProof/>
                <w:webHidden/>
              </w:rPr>
              <w:t>9</w:t>
            </w:r>
            <w:r w:rsidR="007A6EA2">
              <w:rPr>
                <w:noProof/>
                <w:webHidden/>
              </w:rPr>
              <w:fldChar w:fldCharType="end"/>
            </w:r>
          </w:hyperlink>
        </w:p>
        <w:p w14:paraId="5F247E0D" w14:textId="59BFC881" w:rsidR="007A6EA2" w:rsidRDefault="00000000">
          <w:pPr>
            <w:pStyle w:val="TOC2"/>
            <w:rPr>
              <w:rFonts w:eastAsiaTheme="minorEastAsia"/>
              <w:noProof/>
              <w:kern w:val="2"/>
              <w:lang w:eastAsia="en-AU"/>
              <w14:ligatures w14:val="standardContextual"/>
            </w:rPr>
          </w:pPr>
          <w:hyperlink w:anchor="_Toc153791881" w:history="1">
            <w:r w:rsidR="007A6EA2" w:rsidRPr="00CE4BB9">
              <w:rPr>
                <w:rStyle w:val="Hyperlink"/>
                <w:noProof/>
              </w:rPr>
              <w:t>Enrolment Linked Base (Reference 2)</w:t>
            </w:r>
            <w:r w:rsidR="007A6EA2">
              <w:rPr>
                <w:noProof/>
                <w:webHidden/>
              </w:rPr>
              <w:tab/>
            </w:r>
            <w:r w:rsidR="007A6EA2">
              <w:rPr>
                <w:noProof/>
                <w:webHidden/>
              </w:rPr>
              <w:fldChar w:fldCharType="begin"/>
            </w:r>
            <w:r w:rsidR="007A6EA2">
              <w:rPr>
                <w:noProof/>
                <w:webHidden/>
              </w:rPr>
              <w:instrText xml:space="preserve"> PAGEREF _Toc153791881 \h </w:instrText>
            </w:r>
            <w:r w:rsidR="007A6EA2">
              <w:rPr>
                <w:noProof/>
                <w:webHidden/>
              </w:rPr>
            </w:r>
            <w:r w:rsidR="007A6EA2">
              <w:rPr>
                <w:noProof/>
                <w:webHidden/>
              </w:rPr>
              <w:fldChar w:fldCharType="separate"/>
            </w:r>
            <w:r w:rsidR="007A6EA2">
              <w:rPr>
                <w:noProof/>
                <w:webHidden/>
              </w:rPr>
              <w:t>11</w:t>
            </w:r>
            <w:r w:rsidR="007A6EA2">
              <w:rPr>
                <w:noProof/>
                <w:webHidden/>
              </w:rPr>
              <w:fldChar w:fldCharType="end"/>
            </w:r>
          </w:hyperlink>
        </w:p>
        <w:p w14:paraId="16049B08" w14:textId="66D98EA8" w:rsidR="007A6EA2" w:rsidRDefault="00000000">
          <w:pPr>
            <w:pStyle w:val="TOC2"/>
            <w:rPr>
              <w:rFonts w:eastAsiaTheme="minorEastAsia"/>
              <w:noProof/>
              <w:kern w:val="2"/>
              <w:lang w:eastAsia="en-AU"/>
              <w14:ligatures w14:val="standardContextual"/>
            </w:rPr>
          </w:pPr>
          <w:hyperlink w:anchor="_Toc153791882" w:history="1">
            <w:r w:rsidR="007A6EA2" w:rsidRPr="00CE4BB9">
              <w:rPr>
                <w:rStyle w:val="Hyperlink"/>
                <w:noProof/>
              </w:rPr>
              <w:t>Small School Base (Reference 3)</w:t>
            </w:r>
            <w:r w:rsidR="007A6EA2">
              <w:rPr>
                <w:noProof/>
                <w:webHidden/>
              </w:rPr>
              <w:tab/>
            </w:r>
            <w:r w:rsidR="007A6EA2">
              <w:rPr>
                <w:noProof/>
                <w:webHidden/>
              </w:rPr>
              <w:fldChar w:fldCharType="begin"/>
            </w:r>
            <w:r w:rsidR="007A6EA2">
              <w:rPr>
                <w:noProof/>
                <w:webHidden/>
              </w:rPr>
              <w:instrText xml:space="preserve"> PAGEREF _Toc153791882 \h </w:instrText>
            </w:r>
            <w:r w:rsidR="007A6EA2">
              <w:rPr>
                <w:noProof/>
                <w:webHidden/>
              </w:rPr>
            </w:r>
            <w:r w:rsidR="007A6EA2">
              <w:rPr>
                <w:noProof/>
                <w:webHidden/>
              </w:rPr>
              <w:fldChar w:fldCharType="separate"/>
            </w:r>
            <w:r w:rsidR="007A6EA2">
              <w:rPr>
                <w:noProof/>
                <w:webHidden/>
              </w:rPr>
              <w:t>13</w:t>
            </w:r>
            <w:r w:rsidR="007A6EA2">
              <w:rPr>
                <w:noProof/>
                <w:webHidden/>
              </w:rPr>
              <w:fldChar w:fldCharType="end"/>
            </w:r>
          </w:hyperlink>
        </w:p>
        <w:p w14:paraId="49BC415F" w14:textId="1095F231" w:rsidR="007A6EA2" w:rsidRDefault="00000000">
          <w:pPr>
            <w:pStyle w:val="TOC2"/>
            <w:rPr>
              <w:rFonts w:eastAsiaTheme="minorEastAsia"/>
              <w:noProof/>
              <w:kern w:val="2"/>
              <w:lang w:eastAsia="en-AU"/>
              <w14:ligatures w14:val="standardContextual"/>
            </w:rPr>
          </w:pPr>
          <w:hyperlink w:anchor="_Toc153791883" w:history="1">
            <w:r w:rsidR="007A6EA2" w:rsidRPr="00CE4BB9">
              <w:rPr>
                <w:rStyle w:val="Hyperlink"/>
                <w:noProof/>
              </w:rPr>
              <w:t>Rural School Size Adjustment Factor (Reference 4)</w:t>
            </w:r>
            <w:r w:rsidR="007A6EA2">
              <w:rPr>
                <w:noProof/>
                <w:webHidden/>
              </w:rPr>
              <w:tab/>
            </w:r>
            <w:r w:rsidR="007A6EA2">
              <w:rPr>
                <w:noProof/>
                <w:webHidden/>
              </w:rPr>
              <w:fldChar w:fldCharType="begin"/>
            </w:r>
            <w:r w:rsidR="007A6EA2">
              <w:rPr>
                <w:noProof/>
                <w:webHidden/>
              </w:rPr>
              <w:instrText xml:space="preserve"> PAGEREF _Toc153791883 \h </w:instrText>
            </w:r>
            <w:r w:rsidR="007A6EA2">
              <w:rPr>
                <w:noProof/>
                <w:webHidden/>
              </w:rPr>
            </w:r>
            <w:r w:rsidR="007A6EA2">
              <w:rPr>
                <w:noProof/>
                <w:webHidden/>
              </w:rPr>
              <w:fldChar w:fldCharType="separate"/>
            </w:r>
            <w:r w:rsidR="007A6EA2">
              <w:rPr>
                <w:noProof/>
                <w:webHidden/>
              </w:rPr>
              <w:t>15</w:t>
            </w:r>
            <w:r w:rsidR="007A6EA2">
              <w:rPr>
                <w:noProof/>
                <w:webHidden/>
              </w:rPr>
              <w:fldChar w:fldCharType="end"/>
            </w:r>
          </w:hyperlink>
        </w:p>
        <w:p w14:paraId="5624AD95" w14:textId="75F90591" w:rsidR="007A6EA2" w:rsidRDefault="00000000">
          <w:pPr>
            <w:pStyle w:val="TOC2"/>
            <w:rPr>
              <w:rFonts w:eastAsiaTheme="minorEastAsia"/>
              <w:noProof/>
              <w:kern w:val="2"/>
              <w:lang w:eastAsia="en-AU"/>
              <w14:ligatures w14:val="standardContextual"/>
            </w:rPr>
          </w:pPr>
          <w:hyperlink w:anchor="_Toc153791884" w:history="1">
            <w:r w:rsidR="007A6EA2" w:rsidRPr="00CE4BB9">
              <w:rPr>
                <w:rStyle w:val="Hyperlink"/>
                <w:noProof/>
              </w:rPr>
              <w:t>Core Index Stages 1-3 (Reference 5)</w:t>
            </w:r>
            <w:r w:rsidR="007A6EA2">
              <w:rPr>
                <w:noProof/>
                <w:webHidden/>
              </w:rPr>
              <w:tab/>
            </w:r>
            <w:r w:rsidR="007A6EA2">
              <w:rPr>
                <w:noProof/>
                <w:webHidden/>
              </w:rPr>
              <w:fldChar w:fldCharType="begin"/>
            </w:r>
            <w:r w:rsidR="007A6EA2">
              <w:rPr>
                <w:noProof/>
                <w:webHidden/>
              </w:rPr>
              <w:instrText xml:space="preserve"> PAGEREF _Toc153791884 \h </w:instrText>
            </w:r>
            <w:r w:rsidR="007A6EA2">
              <w:rPr>
                <w:noProof/>
                <w:webHidden/>
              </w:rPr>
            </w:r>
            <w:r w:rsidR="007A6EA2">
              <w:rPr>
                <w:noProof/>
                <w:webHidden/>
              </w:rPr>
              <w:fldChar w:fldCharType="separate"/>
            </w:r>
            <w:r w:rsidR="007A6EA2">
              <w:rPr>
                <w:noProof/>
                <w:webHidden/>
              </w:rPr>
              <w:t>17</w:t>
            </w:r>
            <w:r w:rsidR="007A6EA2">
              <w:rPr>
                <w:noProof/>
                <w:webHidden/>
              </w:rPr>
              <w:fldChar w:fldCharType="end"/>
            </w:r>
          </w:hyperlink>
        </w:p>
        <w:p w14:paraId="5823FF53" w14:textId="572B653D" w:rsidR="007A6EA2" w:rsidRDefault="00000000">
          <w:pPr>
            <w:pStyle w:val="TOC2"/>
            <w:rPr>
              <w:rFonts w:eastAsiaTheme="minorEastAsia"/>
              <w:noProof/>
              <w:kern w:val="2"/>
              <w:lang w:eastAsia="en-AU"/>
              <w14:ligatures w14:val="standardContextual"/>
            </w:rPr>
          </w:pPr>
          <w:hyperlink w:anchor="_Toc153791885" w:history="1">
            <w:r w:rsidR="007A6EA2" w:rsidRPr="00CE4BB9">
              <w:rPr>
                <w:rStyle w:val="Hyperlink"/>
                <w:noProof/>
              </w:rPr>
              <w:t>Size Adjustment Supplementation (Reference 6)</w:t>
            </w:r>
            <w:r w:rsidR="007A6EA2">
              <w:rPr>
                <w:noProof/>
                <w:webHidden/>
              </w:rPr>
              <w:tab/>
            </w:r>
            <w:r w:rsidR="007A6EA2">
              <w:rPr>
                <w:noProof/>
                <w:webHidden/>
              </w:rPr>
              <w:fldChar w:fldCharType="begin"/>
            </w:r>
            <w:r w:rsidR="007A6EA2">
              <w:rPr>
                <w:noProof/>
                <w:webHidden/>
              </w:rPr>
              <w:instrText xml:space="preserve"> PAGEREF _Toc153791885 \h </w:instrText>
            </w:r>
            <w:r w:rsidR="007A6EA2">
              <w:rPr>
                <w:noProof/>
                <w:webHidden/>
              </w:rPr>
            </w:r>
            <w:r w:rsidR="007A6EA2">
              <w:rPr>
                <w:noProof/>
                <w:webHidden/>
              </w:rPr>
              <w:fldChar w:fldCharType="separate"/>
            </w:r>
            <w:r w:rsidR="007A6EA2">
              <w:rPr>
                <w:noProof/>
                <w:webHidden/>
              </w:rPr>
              <w:t>19</w:t>
            </w:r>
            <w:r w:rsidR="007A6EA2">
              <w:rPr>
                <w:noProof/>
                <w:webHidden/>
              </w:rPr>
              <w:fldChar w:fldCharType="end"/>
            </w:r>
          </w:hyperlink>
        </w:p>
        <w:p w14:paraId="7806F6F4" w14:textId="751B2CDC" w:rsidR="007A6EA2" w:rsidRDefault="00000000">
          <w:pPr>
            <w:pStyle w:val="TOC2"/>
            <w:rPr>
              <w:rFonts w:eastAsiaTheme="minorEastAsia"/>
              <w:noProof/>
              <w:kern w:val="2"/>
              <w:lang w:eastAsia="en-AU"/>
              <w14:ligatures w14:val="standardContextual"/>
            </w:rPr>
          </w:pPr>
          <w:hyperlink w:anchor="_Toc153791886" w:history="1">
            <w:r w:rsidR="007A6EA2" w:rsidRPr="00CE4BB9">
              <w:rPr>
                <w:rStyle w:val="Hyperlink"/>
                <w:noProof/>
              </w:rPr>
              <w:t>Approved Early Education Program (Reference 7)</w:t>
            </w:r>
            <w:r w:rsidR="007A6EA2">
              <w:rPr>
                <w:noProof/>
                <w:webHidden/>
              </w:rPr>
              <w:tab/>
            </w:r>
            <w:r w:rsidR="007A6EA2">
              <w:rPr>
                <w:noProof/>
                <w:webHidden/>
              </w:rPr>
              <w:fldChar w:fldCharType="begin"/>
            </w:r>
            <w:r w:rsidR="007A6EA2">
              <w:rPr>
                <w:noProof/>
                <w:webHidden/>
              </w:rPr>
              <w:instrText xml:space="preserve"> PAGEREF _Toc153791886 \h </w:instrText>
            </w:r>
            <w:r w:rsidR="007A6EA2">
              <w:rPr>
                <w:noProof/>
                <w:webHidden/>
              </w:rPr>
            </w:r>
            <w:r w:rsidR="007A6EA2">
              <w:rPr>
                <w:noProof/>
                <w:webHidden/>
              </w:rPr>
              <w:fldChar w:fldCharType="separate"/>
            </w:r>
            <w:r w:rsidR="007A6EA2">
              <w:rPr>
                <w:noProof/>
                <w:webHidden/>
              </w:rPr>
              <w:t>20</w:t>
            </w:r>
            <w:r w:rsidR="007A6EA2">
              <w:rPr>
                <w:noProof/>
                <w:webHidden/>
              </w:rPr>
              <w:fldChar w:fldCharType="end"/>
            </w:r>
          </w:hyperlink>
        </w:p>
        <w:p w14:paraId="3E3CECBF" w14:textId="2118F1BE" w:rsidR="007A6EA2" w:rsidRDefault="00000000">
          <w:pPr>
            <w:pStyle w:val="TOC2"/>
            <w:rPr>
              <w:rFonts w:eastAsiaTheme="minorEastAsia"/>
              <w:noProof/>
              <w:kern w:val="2"/>
              <w:lang w:eastAsia="en-AU"/>
              <w14:ligatures w14:val="standardContextual"/>
            </w:rPr>
          </w:pPr>
          <w:hyperlink w:anchor="_Toc153791887" w:history="1">
            <w:r w:rsidR="007A6EA2" w:rsidRPr="00CE4BB9">
              <w:rPr>
                <w:rStyle w:val="Hyperlink"/>
                <w:noProof/>
              </w:rPr>
              <w:t>Principal Salary Adjustment (Reference 8)</w:t>
            </w:r>
            <w:r w:rsidR="007A6EA2">
              <w:rPr>
                <w:noProof/>
                <w:webHidden/>
              </w:rPr>
              <w:tab/>
            </w:r>
            <w:r w:rsidR="007A6EA2">
              <w:rPr>
                <w:noProof/>
                <w:webHidden/>
              </w:rPr>
              <w:fldChar w:fldCharType="begin"/>
            </w:r>
            <w:r w:rsidR="007A6EA2">
              <w:rPr>
                <w:noProof/>
                <w:webHidden/>
              </w:rPr>
              <w:instrText xml:space="preserve"> PAGEREF _Toc153791887 \h </w:instrText>
            </w:r>
            <w:r w:rsidR="007A6EA2">
              <w:rPr>
                <w:noProof/>
                <w:webHidden/>
              </w:rPr>
            </w:r>
            <w:r w:rsidR="007A6EA2">
              <w:rPr>
                <w:noProof/>
                <w:webHidden/>
              </w:rPr>
              <w:fldChar w:fldCharType="separate"/>
            </w:r>
            <w:r w:rsidR="007A6EA2">
              <w:rPr>
                <w:noProof/>
                <w:webHidden/>
              </w:rPr>
              <w:t>21</w:t>
            </w:r>
            <w:r w:rsidR="007A6EA2">
              <w:rPr>
                <w:noProof/>
                <w:webHidden/>
              </w:rPr>
              <w:fldChar w:fldCharType="end"/>
            </w:r>
          </w:hyperlink>
        </w:p>
        <w:p w14:paraId="425329D6" w14:textId="18277CBD" w:rsidR="007A6EA2" w:rsidRDefault="00000000">
          <w:pPr>
            <w:pStyle w:val="TOC2"/>
            <w:rPr>
              <w:rFonts w:eastAsiaTheme="minorEastAsia"/>
              <w:noProof/>
              <w:kern w:val="2"/>
              <w:lang w:eastAsia="en-AU"/>
              <w14:ligatures w14:val="standardContextual"/>
            </w:rPr>
          </w:pPr>
          <w:hyperlink w:anchor="_Toc153791888" w:history="1">
            <w:r w:rsidR="007A6EA2" w:rsidRPr="00CE4BB9">
              <w:rPr>
                <w:rStyle w:val="Hyperlink"/>
                <w:noProof/>
              </w:rPr>
              <w:t>Language and Learning Disabilities Support Program (Reference 10)</w:t>
            </w:r>
            <w:r w:rsidR="007A6EA2">
              <w:rPr>
                <w:noProof/>
                <w:webHidden/>
              </w:rPr>
              <w:tab/>
            </w:r>
            <w:r w:rsidR="007A6EA2">
              <w:rPr>
                <w:noProof/>
                <w:webHidden/>
              </w:rPr>
              <w:fldChar w:fldCharType="begin"/>
            </w:r>
            <w:r w:rsidR="007A6EA2">
              <w:rPr>
                <w:noProof/>
                <w:webHidden/>
              </w:rPr>
              <w:instrText xml:space="preserve"> PAGEREF _Toc153791888 \h </w:instrText>
            </w:r>
            <w:r w:rsidR="007A6EA2">
              <w:rPr>
                <w:noProof/>
                <w:webHidden/>
              </w:rPr>
            </w:r>
            <w:r w:rsidR="007A6EA2">
              <w:rPr>
                <w:noProof/>
                <w:webHidden/>
              </w:rPr>
              <w:fldChar w:fldCharType="separate"/>
            </w:r>
            <w:r w:rsidR="007A6EA2">
              <w:rPr>
                <w:noProof/>
                <w:webHidden/>
              </w:rPr>
              <w:t>22</w:t>
            </w:r>
            <w:r w:rsidR="007A6EA2">
              <w:rPr>
                <w:noProof/>
                <w:webHidden/>
              </w:rPr>
              <w:fldChar w:fldCharType="end"/>
            </w:r>
          </w:hyperlink>
        </w:p>
        <w:p w14:paraId="0B78D767" w14:textId="17C25808" w:rsidR="007A6EA2" w:rsidRDefault="00000000">
          <w:pPr>
            <w:pStyle w:val="TOC2"/>
            <w:rPr>
              <w:rFonts w:eastAsiaTheme="minorEastAsia"/>
              <w:noProof/>
              <w:kern w:val="2"/>
              <w:lang w:eastAsia="en-AU"/>
              <w14:ligatures w14:val="standardContextual"/>
            </w:rPr>
          </w:pPr>
          <w:hyperlink w:anchor="_Toc153791889" w:history="1">
            <w:r w:rsidR="007A6EA2" w:rsidRPr="00CE4BB9">
              <w:rPr>
                <w:rStyle w:val="Hyperlink"/>
                <w:noProof/>
              </w:rPr>
              <w:t>Mental Health Practitioners (Reference 119)</w:t>
            </w:r>
            <w:r w:rsidR="007A6EA2">
              <w:rPr>
                <w:noProof/>
                <w:webHidden/>
              </w:rPr>
              <w:tab/>
            </w:r>
            <w:r w:rsidR="007A6EA2">
              <w:rPr>
                <w:noProof/>
                <w:webHidden/>
              </w:rPr>
              <w:fldChar w:fldCharType="begin"/>
            </w:r>
            <w:r w:rsidR="007A6EA2">
              <w:rPr>
                <w:noProof/>
                <w:webHidden/>
              </w:rPr>
              <w:instrText xml:space="preserve"> PAGEREF _Toc153791889 \h </w:instrText>
            </w:r>
            <w:r w:rsidR="007A6EA2">
              <w:rPr>
                <w:noProof/>
                <w:webHidden/>
              </w:rPr>
            </w:r>
            <w:r w:rsidR="007A6EA2">
              <w:rPr>
                <w:noProof/>
                <w:webHidden/>
              </w:rPr>
              <w:fldChar w:fldCharType="separate"/>
            </w:r>
            <w:r w:rsidR="007A6EA2">
              <w:rPr>
                <w:noProof/>
                <w:webHidden/>
              </w:rPr>
              <w:t>25</w:t>
            </w:r>
            <w:r w:rsidR="007A6EA2">
              <w:rPr>
                <w:noProof/>
                <w:webHidden/>
              </w:rPr>
              <w:fldChar w:fldCharType="end"/>
            </w:r>
          </w:hyperlink>
        </w:p>
        <w:p w14:paraId="35EC4A08" w14:textId="0100F625" w:rsidR="007A6EA2" w:rsidRDefault="00000000">
          <w:pPr>
            <w:pStyle w:val="TOC2"/>
            <w:rPr>
              <w:rFonts w:eastAsiaTheme="minorEastAsia"/>
              <w:noProof/>
              <w:kern w:val="2"/>
              <w:lang w:eastAsia="en-AU"/>
              <w14:ligatures w14:val="standardContextual"/>
            </w:rPr>
          </w:pPr>
          <w:hyperlink w:anchor="_Toc153791890" w:history="1">
            <w:r w:rsidR="007A6EA2" w:rsidRPr="00CE4BB9">
              <w:rPr>
                <w:rStyle w:val="Hyperlink"/>
                <w:noProof/>
              </w:rPr>
              <w:t>Camps Payment (Reference 144)</w:t>
            </w:r>
            <w:r w:rsidR="007A6EA2">
              <w:rPr>
                <w:noProof/>
                <w:webHidden/>
              </w:rPr>
              <w:tab/>
            </w:r>
            <w:r w:rsidR="007A6EA2">
              <w:rPr>
                <w:noProof/>
                <w:webHidden/>
              </w:rPr>
              <w:fldChar w:fldCharType="begin"/>
            </w:r>
            <w:r w:rsidR="007A6EA2">
              <w:rPr>
                <w:noProof/>
                <w:webHidden/>
              </w:rPr>
              <w:instrText xml:space="preserve"> PAGEREF _Toc153791890 \h </w:instrText>
            </w:r>
            <w:r w:rsidR="007A6EA2">
              <w:rPr>
                <w:noProof/>
                <w:webHidden/>
              </w:rPr>
            </w:r>
            <w:r w:rsidR="007A6EA2">
              <w:rPr>
                <w:noProof/>
                <w:webHidden/>
              </w:rPr>
              <w:fldChar w:fldCharType="separate"/>
            </w:r>
            <w:r w:rsidR="007A6EA2">
              <w:rPr>
                <w:noProof/>
                <w:webHidden/>
              </w:rPr>
              <w:t>27</w:t>
            </w:r>
            <w:r w:rsidR="007A6EA2">
              <w:rPr>
                <w:noProof/>
                <w:webHidden/>
              </w:rPr>
              <w:fldChar w:fldCharType="end"/>
            </w:r>
          </w:hyperlink>
        </w:p>
        <w:p w14:paraId="44E0F6EA" w14:textId="7067E464" w:rsidR="007A6EA2" w:rsidRDefault="00000000" w:rsidP="007A6EA2">
          <w:pPr>
            <w:pStyle w:val="TOC1"/>
            <w:rPr>
              <w:rFonts w:eastAsiaTheme="minorEastAsia"/>
              <w:noProof/>
              <w:kern w:val="2"/>
              <w:lang w:eastAsia="en-AU"/>
              <w14:ligatures w14:val="standardContextual"/>
            </w:rPr>
          </w:pPr>
          <w:hyperlink w:anchor="_Toc153791891" w:history="1">
            <w:r w:rsidR="007A6EA2" w:rsidRPr="00CE4BB9">
              <w:rPr>
                <w:rStyle w:val="Hyperlink"/>
                <w:noProof/>
              </w:rPr>
              <w:t>Equity Funding (Student-based Funding)</w:t>
            </w:r>
            <w:r w:rsidR="007A6EA2">
              <w:rPr>
                <w:noProof/>
                <w:webHidden/>
              </w:rPr>
              <w:tab/>
            </w:r>
            <w:r w:rsidR="007A6EA2">
              <w:rPr>
                <w:noProof/>
                <w:webHidden/>
              </w:rPr>
              <w:fldChar w:fldCharType="begin"/>
            </w:r>
            <w:r w:rsidR="007A6EA2">
              <w:rPr>
                <w:noProof/>
                <w:webHidden/>
              </w:rPr>
              <w:instrText xml:space="preserve"> PAGEREF _Toc153791891 \h </w:instrText>
            </w:r>
            <w:r w:rsidR="007A6EA2">
              <w:rPr>
                <w:noProof/>
                <w:webHidden/>
              </w:rPr>
            </w:r>
            <w:r w:rsidR="007A6EA2">
              <w:rPr>
                <w:noProof/>
                <w:webHidden/>
              </w:rPr>
              <w:fldChar w:fldCharType="separate"/>
            </w:r>
            <w:r w:rsidR="007A6EA2">
              <w:rPr>
                <w:noProof/>
                <w:webHidden/>
              </w:rPr>
              <w:t>29</w:t>
            </w:r>
            <w:r w:rsidR="007A6EA2">
              <w:rPr>
                <w:noProof/>
                <w:webHidden/>
              </w:rPr>
              <w:fldChar w:fldCharType="end"/>
            </w:r>
          </w:hyperlink>
        </w:p>
        <w:p w14:paraId="056D38F7" w14:textId="43FA4A99" w:rsidR="007A6EA2" w:rsidRDefault="00000000">
          <w:pPr>
            <w:pStyle w:val="TOC2"/>
            <w:rPr>
              <w:rFonts w:eastAsiaTheme="minorEastAsia"/>
              <w:noProof/>
              <w:kern w:val="2"/>
              <w:lang w:eastAsia="en-AU"/>
              <w14:ligatures w14:val="standardContextual"/>
            </w:rPr>
          </w:pPr>
          <w:hyperlink w:anchor="_Toc153791892" w:history="1">
            <w:r w:rsidR="007A6EA2" w:rsidRPr="00CE4BB9">
              <w:rPr>
                <w:rStyle w:val="Hyperlink"/>
                <w:noProof/>
              </w:rPr>
              <w:t>Equity (Social Disadvantage) (Reference 11)</w:t>
            </w:r>
            <w:r w:rsidR="007A6EA2">
              <w:rPr>
                <w:noProof/>
                <w:webHidden/>
              </w:rPr>
              <w:tab/>
            </w:r>
            <w:r w:rsidR="007A6EA2">
              <w:rPr>
                <w:noProof/>
                <w:webHidden/>
              </w:rPr>
              <w:fldChar w:fldCharType="begin"/>
            </w:r>
            <w:r w:rsidR="007A6EA2">
              <w:rPr>
                <w:noProof/>
                <w:webHidden/>
              </w:rPr>
              <w:instrText xml:space="preserve"> PAGEREF _Toc153791892 \h </w:instrText>
            </w:r>
            <w:r w:rsidR="007A6EA2">
              <w:rPr>
                <w:noProof/>
                <w:webHidden/>
              </w:rPr>
            </w:r>
            <w:r w:rsidR="007A6EA2">
              <w:rPr>
                <w:noProof/>
                <w:webHidden/>
              </w:rPr>
              <w:fldChar w:fldCharType="separate"/>
            </w:r>
            <w:r w:rsidR="007A6EA2">
              <w:rPr>
                <w:noProof/>
                <w:webHidden/>
              </w:rPr>
              <w:t>31</w:t>
            </w:r>
            <w:r w:rsidR="007A6EA2">
              <w:rPr>
                <w:noProof/>
                <w:webHidden/>
              </w:rPr>
              <w:fldChar w:fldCharType="end"/>
            </w:r>
          </w:hyperlink>
        </w:p>
        <w:p w14:paraId="4A2F19EC" w14:textId="1979C563" w:rsidR="007A6EA2" w:rsidRDefault="00000000">
          <w:pPr>
            <w:pStyle w:val="TOC2"/>
            <w:rPr>
              <w:rFonts w:eastAsiaTheme="minorEastAsia"/>
              <w:noProof/>
              <w:kern w:val="2"/>
              <w:lang w:eastAsia="en-AU"/>
              <w14:ligatures w14:val="standardContextual"/>
            </w:rPr>
          </w:pPr>
          <w:hyperlink w:anchor="_Toc153791893" w:history="1">
            <w:r w:rsidR="007A6EA2" w:rsidRPr="00CE4BB9">
              <w:rPr>
                <w:rStyle w:val="Hyperlink"/>
                <w:noProof/>
              </w:rPr>
              <w:t>Equity (Catch Up) (Reference 12)</w:t>
            </w:r>
            <w:r w:rsidR="007A6EA2">
              <w:rPr>
                <w:noProof/>
                <w:webHidden/>
              </w:rPr>
              <w:tab/>
            </w:r>
            <w:r w:rsidR="007A6EA2">
              <w:rPr>
                <w:noProof/>
                <w:webHidden/>
              </w:rPr>
              <w:fldChar w:fldCharType="begin"/>
            </w:r>
            <w:r w:rsidR="007A6EA2">
              <w:rPr>
                <w:noProof/>
                <w:webHidden/>
              </w:rPr>
              <w:instrText xml:space="preserve"> PAGEREF _Toc153791893 \h </w:instrText>
            </w:r>
            <w:r w:rsidR="007A6EA2">
              <w:rPr>
                <w:noProof/>
                <w:webHidden/>
              </w:rPr>
            </w:r>
            <w:r w:rsidR="007A6EA2">
              <w:rPr>
                <w:noProof/>
                <w:webHidden/>
              </w:rPr>
              <w:fldChar w:fldCharType="separate"/>
            </w:r>
            <w:r w:rsidR="007A6EA2">
              <w:rPr>
                <w:noProof/>
                <w:webHidden/>
              </w:rPr>
              <w:t>37</w:t>
            </w:r>
            <w:r w:rsidR="007A6EA2">
              <w:rPr>
                <w:noProof/>
                <w:webHidden/>
              </w:rPr>
              <w:fldChar w:fldCharType="end"/>
            </w:r>
          </w:hyperlink>
        </w:p>
        <w:p w14:paraId="0C024370" w14:textId="75C2813B" w:rsidR="007A6EA2" w:rsidRDefault="00000000">
          <w:pPr>
            <w:pStyle w:val="TOC2"/>
            <w:rPr>
              <w:rFonts w:eastAsiaTheme="minorEastAsia"/>
              <w:noProof/>
              <w:kern w:val="2"/>
              <w:lang w:eastAsia="en-AU"/>
              <w14:ligatures w14:val="standardContextual"/>
            </w:rPr>
          </w:pPr>
          <w:hyperlink w:anchor="_Toc153791894" w:history="1">
            <w:r w:rsidR="007A6EA2" w:rsidRPr="00CE4BB9">
              <w:rPr>
                <w:rStyle w:val="Hyperlink"/>
                <w:noProof/>
              </w:rPr>
              <w:t>Mobility (Reference 14)</w:t>
            </w:r>
            <w:r w:rsidR="007A6EA2">
              <w:rPr>
                <w:noProof/>
                <w:webHidden/>
              </w:rPr>
              <w:tab/>
            </w:r>
            <w:r w:rsidR="007A6EA2">
              <w:rPr>
                <w:noProof/>
                <w:webHidden/>
              </w:rPr>
              <w:fldChar w:fldCharType="begin"/>
            </w:r>
            <w:r w:rsidR="007A6EA2">
              <w:rPr>
                <w:noProof/>
                <w:webHidden/>
              </w:rPr>
              <w:instrText xml:space="preserve"> PAGEREF _Toc153791894 \h </w:instrText>
            </w:r>
            <w:r w:rsidR="007A6EA2">
              <w:rPr>
                <w:noProof/>
                <w:webHidden/>
              </w:rPr>
            </w:r>
            <w:r w:rsidR="007A6EA2">
              <w:rPr>
                <w:noProof/>
                <w:webHidden/>
              </w:rPr>
              <w:fldChar w:fldCharType="separate"/>
            </w:r>
            <w:r w:rsidR="007A6EA2">
              <w:rPr>
                <w:noProof/>
                <w:webHidden/>
              </w:rPr>
              <w:t>41</w:t>
            </w:r>
            <w:r w:rsidR="007A6EA2">
              <w:rPr>
                <w:noProof/>
                <w:webHidden/>
              </w:rPr>
              <w:fldChar w:fldCharType="end"/>
            </w:r>
          </w:hyperlink>
        </w:p>
        <w:p w14:paraId="4DE1C4DA" w14:textId="31861320" w:rsidR="007A6EA2" w:rsidRDefault="00000000">
          <w:pPr>
            <w:pStyle w:val="TOC2"/>
            <w:rPr>
              <w:rFonts w:eastAsiaTheme="minorEastAsia"/>
              <w:noProof/>
              <w:kern w:val="2"/>
              <w:lang w:eastAsia="en-AU"/>
              <w14:ligatures w14:val="standardContextual"/>
            </w:rPr>
          </w:pPr>
          <w:hyperlink w:anchor="_Toc153791895" w:history="1">
            <w:r w:rsidR="007A6EA2" w:rsidRPr="00CE4BB9">
              <w:rPr>
                <w:rStyle w:val="Hyperlink"/>
                <w:noProof/>
              </w:rPr>
              <w:t>Program for Students with Disabilities Levels 1-6 (Reference 15)</w:t>
            </w:r>
            <w:r w:rsidR="007A6EA2">
              <w:rPr>
                <w:noProof/>
                <w:webHidden/>
              </w:rPr>
              <w:tab/>
            </w:r>
            <w:r w:rsidR="007A6EA2">
              <w:rPr>
                <w:noProof/>
                <w:webHidden/>
              </w:rPr>
              <w:fldChar w:fldCharType="begin"/>
            </w:r>
            <w:r w:rsidR="007A6EA2">
              <w:rPr>
                <w:noProof/>
                <w:webHidden/>
              </w:rPr>
              <w:instrText xml:space="preserve"> PAGEREF _Toc153791895 \h </w:instrText>
            </w:r>
            <w:r w:rsidR="007A6EA2">
              <w:rPr>
                <w:noProof/>
                <w:webHidden/>
              </w:rPr>
            </w:r>
            <w:r w:rsidR="007A6EA2">
              <w:rPr>
                <w:noProof/>
                <w:webHidden/>
              </w:rPr>
              <w:fldChar w:fldCharType="separate"/>
            </w:r>
            <w:r w:rsidR="007A6EA2">
              <w:rPr>
                <w:noProof/>
                <w:webHidden/>
              </w:rPr>
              <w:t>42</w:t>
            </w:r>
            <w:r w:rsidR="007A6EA2">
              <w:rPr>
                <w:noProof/>
                <w:webHidden/>
              </w:rPr>
              <w:fldChar w:fldCharType="end"/>
            </w:r>
          </w:hyperlink>
        </w:p>
        <w:p w14:paraId="6949BCA1" w14:textId="7DADCD72" w:rsidR="007A6EA2" w:rsidRDefault="00000000">
          <w:pPr>
            <w:pStyle w:val="TOC2"/>
            <w:rPr>
              <w:rFonts w:eastAsiaTheme="minorEastAsia"/>
              <w:noProof/>
              <w:kern w:val="2"/>
              <w:lang w:eastAsia="en-AU"/>
              <w14:ligatures w14:val="standardContextual"/>
            </w:rPr>
          </w:pPr>
          <w:hyperlink w:anchor="_Toc153791896" w:history="1">
            <w:r w:rsidR="007A6EA2" w:rsidRPr="00CE4BB9">
              <w:rPr>
                <w:rStyle w:val="Hyperlink"/>
                <w:noProof/>
              </w:rPr>
              <w:t>Program for Students with Disabilities — Transition Support Funding (Reference 66)</w:t>
            </w:r>
            <w:r w:rsidR="007A6EA2">
              <w:rPr>
                <w:noProof/>
                <w:webHidden/>
              </w:rPr>
              <w:tab/>
            </w:r>
            <w:r w:rsidR="007A6EA2">
              <w:rPr>
                <w:noProof/>
                <w:webHidden/>
              </w:rPr>
              <w:fldChar w:fldCharType="begin"/>
            </w:r>
            <w:r w:rsidR="007A6EA2">
              <w:rPr>
                <w:noProof/>
                <w:webHidden/>
              </w:rPr>
              <w:instrText xml:space="preserve"> PAGEREF _Toc153791896 \h </w:instrText>
            </w:r>
            <w:r w:rsidR="007A6EA2">
              <w:rPr>
                <w:noProof/>
                <w:webHidden/>
              </w:rPr>
            </w:r>
            <w:r w:rsidR="007A6EA2">
              <w:rPr>
                <w:noProof/>
                <w:webHidden/>
              </w:rPr>
              <w:fldChar w:fldCharType="separate"/>
            </w:r>
            <w:r w:rsidR="007A6EA2">
              <w:rPr>
                <w:noProof/>
                <w:webHidden/>
              </w:rPr>
              <w:t>45</w:t>
            </w:r>
            <w:r w:rsidR="007A6EA2">
              <w:rPr>
                <w:noProof/>
                <w:webHidden/>
              </w:rPr>
              <w:fldChar w:fldCharType="end"/>
            </w:r>
          </w:hyperlink>
        </w:p>
        <w:p w14:paraId="4CD659BC" w14:textId="54FADB45" w:rsidR="007A6EA2" w:rsidRDefault="00000000">
          <w:pPr>
            <w:pStyle w:val="TOC2"/>
            <w:rPr>
              <w:rFonts w:eastAsiaTheme="minorEastAsia"/>
              <w:noProof/>
              <w:kern w:val="2"/>
              <w:lang w:eastAsia="en-AU"/>
              <w14:ligatures w14:val="standardContextual"/>
            </w:rPr>
          </w:pPr>
          <w:hyperlink w:anchor="_Toc153791897" w:history="1">
            <w:r w:rsidR="007A6EA2" w:rsidRPr="00CE4BB9">
              <w:rPr>
                <w:rStyle w:val="Hyperlink"/>
                <w:noProof/>
              </w:rPr>
              <w:t>Special School Complexity Allowance (Reference 18)</w:t>
            </w:r>
            <w:r w:rsidR="007A6EA2">
              <w:rPr>
                <w:noProof/>
                <w:webHidden/>
              </w:rPr>
              <w:tab/>
            </w:r>
            <w:r w:rsidR="007A6EA2">
              <w:rPr>
                <w:noProof/>
                <w:webHidden/>
              </w:rPr>
              <w:fldChar w:fldCharType="begin"/>
            </w:r>
            <w:r w:rsidR="007A6EA2">
              <w:rPr>
                <w:noProof/>
                <w:webHidden/>
              </w:rPr>
              <w:instrText xml:space="preserve"> PAGEREF _Toc153791897 \h </w:instrText>
            </w:r>
            <w:r w:rsidR="007A6EA2">
              <w:rPr>
                <w:noProof/>
                <w:webHidden/>
              </w:rPr>
            </w:r>
            <w:r w:rsidR="007A6EA2">
              <w:rPr>
                <w:noProof/>
                <w:webHidden/>
              </w:rPr>
              <w:fldChar w:fldCharType="separate"/>
            </w:r>
            <w:r w:rsidR="007A6EA2">
              <w:rPr>
                <w:noProof/>
                <w:webHidden/>
              </w:rPr>
              <w:t>48</w:t>
            </w:r>
            <w:r w:rsidR="007A6EA2">
              <w:rPr>
                <w:noProof/>
                <w:webHidden/>
              </w:rPr>
              <w:fldChar w:fldCharType="end"/>
            </w:r>
          </w:hyperlink>
        </w:p>
        <w:p w14:paraId="563D54B1" w14:textId="4863E611" w:rsidR="007A6EA2" w:rsidRDefault="00000000">
          <w:pPr>
            <w:pStyle w:val="TOC2"/>
            <w:rPr>
              <w:rFonts w:eastAsiaTheme="minorEastAsia"/>
              <w:noProof/>
              <w:kern w:val="2"/>
              <w:lang w:eastAsia="en-AU"/>
              <w14:ligatures w14:val="standardContextual"/>
            </w:rPr>
          </w:pPr>
          <w:hyperlink w:anchor="_Toc153791898" w:history="1">
            <w:r w:rsidR="007A6EA2" w:rsidRPr="00CE4BB9">
              <w:rPr>
                <w:rStyle w:val="Hyperlink"/>
                <w:noProof/>
              </w:rPr>
              <w:t>Paramedical and Interpreter Staff Salaries (Reference 19)</w:t>
            </w:r>
            <w:r w:rsidR="007A6EA2">
              <w:rPr>
                <w:noProof/>
                <w:webHidden/>
              </w:rPr>
              <w:tab/>
            </w:r>
            <w:r w:rsidR="007A6EA2">
              <w:rPr>
                <w:noProof/>
                <w:webHidden/>
              </w:rPr>
              <w:fldChar w:fldCharType="begin"/>
            </w:r>
            <w:r w:rsidR="007A6EA2">
              <w:rPr>
                <w:noProof/>
                <w:webHidden/>
              </w:rPr>
              <w:instrText xml:space="preserve"> PAGEREF _Toc153791898 \h </w:instrText>
            </w:r>
            <w:r w:rsidR="007A6EA2">
              <w:rPr>
                <w:noProof/>
                <w:webHidden/>
              </w:rPr>
            </w:r>
            <w:r w:rsidR="007A6EA2">
              <w:rPr>
                <w:noProof/>
                <w:webHidden/>
              </w:rPr>
              <w:fldChar w:fldCharType="separate"/>
            </w:r>
            <w:r w:rsidR="007A6EA2">
              <w:rPr>
                <w:noProof/>
                <w:webHidden/>
              </w:rPr>
              <w:t>50</w:t>
            </w:r>
            <w:r w:rsidR="007A6EA2">
              <w:rPr>
                <w:noProof/>
                <w:webHidden/>
              </w:rPr>
              <w:fldChar w:fldCharType="end"/>
            </w:r>
          </w:hyperlink>
        </w:p>
        <w:p w14:paraId="09E6EA83" w14:textId="4F302720" w:rsidR="007A6EA2" w:rsidRDefault="00000000">
          <w:pPr>
            <w:pStyle w:val="TOC2"/>
            <w:rPr>
              <w:rFonts w:eastAsiaTheme="minorEastAsia"/>
              <w:noProof/>
              <w:kern w:val="2"/>
              <w:lang w:eastAsia="en-AU"/>
              <w14:ligatures w14:val="standardContextual"/>
            </w:rPr>
          </w:pPr>
          <w:hyperlink w:anchor="_Toc153791899" w:history="1">
            <w:r w:rsidR="007A6EA2" w:rsidRPr="00CE4BB9">
              <w:rPr>
                <w:rStyle w:val="Hyperlink"/>
                <w:noProof/>
              </w:rPr>
              <w:t>Medical Intervention Support (Reference 20)</w:t>
            </w:r>
            <w:r w:rsidR="007A6EA2">
              <w:rPr>
                <w:noProof/>
                <w:webHidden/>
              </w:rPr>
              <w:tab/>
            </w:r>
            <w:r w:rsidR="007A6EA2">
              <w:rPr>
                <w:noProof/>
                <w:webHidden/>
              </w:rPr>
              <w:fldChar w:fldCharType="begin"/>
            </w:r>
            <w:r w:rsidR="007A6EA2">
              <w:rPr>
                <w:noProof/>
                <w:webHidden/>
              </w:rPr>
              <w:instrText xml:space="preserve"> PAGEREF _Toc153791899 \h </w:instrText>
            </w:r>
            <w:r w:rsidR="007A6EA2">
              <w:rPr>
                <w:noProof/>
                <w:webHidden/>
              </w:rPr>
            </w:r>
            <w:r w:rsidR="007A6EA2">
              <w:rPr>
                <w:noProof/>
                <w:webHidden/>
              </w:rPr>
              <w:fldChar w:fldCharType="separate"/>
            </w:r>
            <w:r w:rsidR="007A6EA2">
              <w:rPr>
                <w:noProof/>
                <w:webHidden/>
              </w:rPr>
              <w:t>51</w:t>
            </w:r>
            <w:r w:rsidR="007A6EA2">
              <w:rPr>
                <w:noProof/>
                <w:webHidden/>
              </w:rPr>
              <w:fldChar w:fldCharType="end"/>
            </w:r>
          </w:hyperlink>
        </w:p>
        <w:p w14:paraId="7ABF5FC1" w14:textId="200C43D1" w:rsidR="007A6EA2" w:rsidRDefault="00000000">
          <w:pPr>
            <w:pStyle w:val="TOC2"/>
            <w:rPr>
              <w:rFonts w:eastAsiaTheme="minorEastAsia"/>
              <w:noProof/>
              <w:kern w:val="2"/>
              <w:lang w:eastAsia="en-AU"/>
              <w14:ligatures w14:val="standardContextual"/>
            </w:rPr>
          </w:pPr>
          <w:hyperlink w:anchor="_Toc153791900" w:history="1">
            <w:r w:rsidR="007A6EA2" w:rsidRPr="00CE4BB9">
              <w:rPr>
                <w:rStyle w:val="Hyperlink"/>
                <w:noProof/>
              </w:rPr>
              <w:t>Special School Transport Administration (Reference 25)</w:t>
            </w:r>
            <w:r w:rsidR="007A6EA2">
              <w:rPr>
                <w:noProof/>
                <w:webHidden/>
              </w:rPr>
              <w:tab/>
            </w:r>
            <w:r w:rsidR="007A6EA2">
              <w:rPr>
                <w:noProof/>
                <w:webHidden/>
              </w:rPr>
              <w:fldChar w:fldCharType="begin"/>
            </w:r>
            <w:r w:rsidR="007A6EA2">
              <w:rPr>
                <w:noProof/>
                <w:webHidden/>
              </w:rPr>
              <w:instrText xml:space="preserve"> PAGEREF _Toc153791900 \h </w:instrText>
            </w:r>
            <w:r w:rsidR="007A6EA2">
              <w:rPr>
                <w:noProof/>
                <w:webHidden/>
              </w:rPr>
            </w:r>
            <w:r w:rsidR="007A6EA2">
              <w:rPr>
                <w:noProof/>
                <w:webHidden/>
              </w:rPr>
              <w:fldChar w:fldCharType="separate"/>
            </w:r>
            <w:r w:rsidR="007A6EA2">
              <w:rPr>
                <w:noProof/>
                <w:webHidden/>
              </w:rPr>
              <w:t>52</w:t>
            </w:r>
            <w:r w:rsidR="007A6EA2">
              <w:rPr>
                <w:noProof/>
                <w:webHidden/>
              </w:rPr>
              <w:fldChar w:fldCharType="end"/>
            </w:r>
          </w:hyperlink>
        </w:p>
        <w:p w14:paraId="1AC969D9" w14:textId="6E652833" w:rsidR="007A6EA2" w:rsidRDefault="00000000">
          <w:pPr>
            <w:pStyle w:val="TOC2"/>
            <w:rPr>
              <w:rFonts w:eastAsiaTheme="minorEastAsia"/>
              <w:noProof/>
              <w:kern w:val="2"/>
              <w:lang w:eastAsia="en-AU"/>
              <w14:ligatures w14:val="standardContextual"/>
            </w:rPr>
          </w:pPr>
          <w:hyperlink w:anchor="_Toc153791901" w:history="1">
            <w:r w:rsidR="007A6EA2" w:rsidRPr="00CE4BB9">
              <w:rPr>
                <w:rStyle w:val="Hyperlink"/>
                <w:noProof/>
              </w:rPr>
              <w:t>EAL Program Funding (Reference 26)</w:t>
            </w:r>
            <w:r w:rsidR="007A6EA2">
              <w:rPr>
                <w:noProof/>
                <w:webHidden/>
              </w:rPr>
              <w:tab/>
            </w:r>
            <w:r w:rsidR="007A6EA2">
              <w:rPr>
                <w:noProof/>
                <w:webHidden/>
              </w:rPr>
              <w:fldChar w:fldCharType="begin"/>
            </w:r>
            <w:r w:rsidR="007A6EA2">
              <w:rPr>
                <w:noProof/>
                <w:webHidden/>
              </w:rPr>
              <w:instrText xml:space="preserve"> PAGEREF _Toc153791901 \h </w:instrText>
            </w:r>
            <w:r w:rsidR="007A6EA2">
              <w:rPr>
                <w:noProof/>
                <w:webHidden/>
              </w:rPr>
            </w:r>
            <w:r w:rsidR="007A6EA2">
              <w:rPr>
                <w:noProof/>
                <w:webHidden/>
              </w:rPr>
              <w:fldChar w:fldCharType="separate"/>
            </w:r>
            <w:r w:rsidR="007A6EA2">
              <w:rPr>
                <w:noProof/>
                <w:webHidden/>
              </w:rPr>
              <w:t>53</w:t>
            </w:r>
            <w:r w:rsidR="007A6EA2">
              <w:rPr>
                <w:noProof/>
                <w:webHidden/>
              </w:rPr>
              <w:fldChar w:fldCharType="end"/>
            </w:r>
          </w:hyperlink>
        </w:p>
        <w:p w14:paraId="3BEE71B0" w14:textId="2FDCC6CA" w:rsidR="007A6EA2" w:rsidRDefault="00000000">
          <w:pPr>
            <w:pStyle w:val="TOC2"/>
            <w:rPr>
              <w:rFonts w:eastAsiaTheme="minorEastAsia"/>
              <w:noProof/>
              <w:kern w:val="2"/>
              <w:lang w:eastAsia="en-AU"/>
              <w14:ligatures w14:val="standardContextual"/>
            </w:rPr>
          </w:pPr>
          <w:hyperlink w:anchor="_Toc153791902" w:history="1">
            <w:r w:rsidR="007A6EA2" w:rsidRPr="00CE4BB9">
              <w:rPr>
                <w:rStyle w:val="Hyperlink"/>
                <w:noProof/>
              </w:rPr>
              <w:t>EAL Contingency (Reference 27)</w:t>
            </w:r>
            <w:r w:rsidR="007A6EA2">
              <w:rPr>
                <w:noProof/>
                <w:webHidden/>
              </w:rPr>
              <w:tab/>
            </w:r>
            <w:r w:rsidR="007A6EA2">
              <w:rPr>
                <w:noProof/>
                <w:webHidden/>
              </w:rPr>
              <w:fldChar w:fldCharType="begin"/>
            </w:r>
            <w:r w:rsidR="007A6EA2">
              <w:rPr>
                <w:noProof/>
                <w:webHidden/>
              </w:rPr>
              <w:instrText xml:space="preserve"> PAGEREF _Toc153791902 \h </w:instrText>
            </w:r>
            <w:r w:rsidR="007A6EA2">
              <w:rPr>
                <w:noProof/>
                <w:webHidden/>
              </w:rPr>
            </w:r>
            <w:r w:rsidR="007A6EA2">
              <w:rPr>
                <w:noProof/>
                <w:webHidden/>
              </w:rPr>
              <w:fldChar w:fldCharType="separate"/>
            </w:r>
            <w:r w:rsidR="007A6EA2">
              <w:rPr>
                <w:noProof/>
                <w:webHidden/>
              </w:rPr>
              <w:t>58</w:t>
            </w:r>
            <w:r w:rsidR="007A6EA2">
              <w:rPr>
                <w:noProof/>
                <w:webHidden/>
              </w:rPr>
              <w:fldChar w:fldCharType="end"/>
            </w:r>
          </w:hyperlink>
        </w:p>
        <w:p w14:paraId="458C4E32" w14:textId="40C103AF" w:rsidR="007A6EA2" w:rsidRDefault="00000000">
          <w:pPr>
            <w:pStyle w:val="TOC2"/>
            <w:rPr>
              <w:rFonts w:eastAsiaTheme="minorEastAsia"/>
              <w:noProof/>
              <w:kern w:val="2"/>
              <w:lang w:eastAsia="en-AU"/>
              <w14:ligatures w14:val="standardContextual"/>
            </w:rPr>
          </w:pPr>
          <w:hyperlink w:anchor="_Toc153791903" w:history="1">
            <w:r w:rsidR="007A6EA2" w:rsidRPr="00CE4BB9">
              <w:rPr>
                <w:rStyle w:val="Hyperlink"/>
                <w:noProof/>
              </w:rPr>
              <w:t>Disability Inclusion Tier 2 School Level Funding (Reference 137)</w:t>
            </w:r>
            <w:r w:rsidR="007A6EA2">
              <w:rPr>
                <w:noProof/>
                <w:webHidden/>
              </w:rPr>
              <w:tab/>
            </w:r>
            <w:r w:rsidR="007A6EA2">
              <w:rPr>
                <w:noProof/>
                <w:webHidden/>
              </w:rPr>
              <w:fldChar w:fldCharType="begin"/>
            </w:r>
            <w:r w:rsidR="007A6EA2">
              <w:rPr>
                <w:noProof/>
                <w:webHidden/>
              </w:rPr>
              <w:instrText xml:space="preserve"> PAGEREF _Toc153791903 \h </w:instrText>
            </w:r>
            <w:r w:rsidR="007A6EA2">
              <w:rPr>
                <w:noProof/>
                <w:webHidden/>
              </w:rPr>
            </w:r>
            <w:r w:rsidR="007A6EA2">
              <w:rPr>
                <w:noProof/>
                <w:webHidden/>
              </w:rPr>
              <w:fldChar w:fldCharType="separate"/>
            </w:r>
            <w:r w:rsidR="007A6EA2">
              <w:rPr>
                <w:noProof/>
                <w:webHidden/>
              </w:rPr>
              <w:t>61</w:t>
            </w:r>
            <w:r w:rsidR="007A6EA2">
              <w:rPr>
                <w:noProof/>
                <w:webHidden/>
              </w:rPr>
              <w:fldChar w:fldCharType="end"/>
            </w:r>
          </w:hyperlink>
        </w:p>
        <w:p w14:paraId="32A0A52A" w14:textId="14818F5C" w:rsidR="007A6EA2" w:rsidRDefault="00000000">
          <w:pPr>
            <w:pStyle w:val="TOC2"/>
            <w:rPr>
              <w:rFonts w:eastAsiaTheme="minorEastAsia"/>
              <w:noProof/>
              <w:kern w:val="2"/>
              <w:lang w:eastAsia="en-AU"/>
              <w14:ligatures w14:val="standardContextual"/>
            </w:rPr>
          </w:pPr>
          <w:hyperlink w:anchor="_Toc153791904" w:history="1">
            <w:r w:rsidR="007A6EA2" w:rsidRPr="00CE4BB9">
              <w:rPr>
                <w:rStyle w:val="Hyperlink"/>
                <w:noProof/>
              </w:rPr>
              <w:t>Disability Inclusion Tier 3 student-level funding (Reference 138)</w:t>
            </w:r>
            <w:r w:rsidR="007A6EA2">
              <w:rPr>
                <w:noProof/>
                <w:webHidden/>
              </w:rPr>
              <w:tab/>
            </w:r>
            <w:r w:rsidR="007A6EA2">
              <w:rPr>
                <w:noProof/>
                <w:webHidden/>
              </w:rPr>
              <w:fldChar w:fldCharType="begin"/>
            </w:r>
            <w:r w:rsidR="007A6EA2">
              <w:rPr>
                <w:noProof/>
                <w:webHidden/>
              </w:rPr>
              <w:instrText xml:space="preserve"> PAGEREF _Toc153791904 \h </w:instrText>
            </w:r>
            <w:r w:rsidR="007A6EA2">
              <w:rPr>
                <w:noProof/>
                <w:webHidden/>
              </w:rPr>
            </w:r>
            <w:r w:rsidR="007A6EA2">
              <w:rPr>
                <w:noProof/>
                <w:webHidden/>
              </w:rPr>
              <w:fldChar w:fldCharType="separate"/>
            </w:r>
            <w:r w:rsidR="007A6EA2">
              <w:rPr>
                <w:noProof/>
                <w:webHidden/>
              </w:rPr>
              <w:t>64</w:t>
            </w:r>
            <w:r w:rsidR="007A6EA2">
              <w:rPr>
                <w:noProof/>
                <w:webHidden/>
              </w:rPr>
              <w:fldChar w:fldCharType="end"/>
            </w:r>
          </w:hyperlink>
        </w:p>
        <w:p w14:paraId="57ECFD4B" w14:textId="2ED9B1C0" w:rsidR="007A6EA2" w:rsidRDefault="00000000">
          <w:pPr>
            <w:pStyle w:val="TOC2"/>
            <w:rPr>
              <w:rFonts w:eastAsiaTheme="minorEastAsia"/>
              <w:noProof/>
              <w:kern w:val="2"/>
              <w:lang w:eastAsia="en-AU"/>
              <w14:ligatures w14:val="standardContextual"/>
            </w:rPr>
          </w:pPr>
          <w:hyperlink w:anchor="_Toc153791905" w:history="1">
            <w:r w:rsidR="007A6EA2" w:rsidRPr="00CE4BB9">
              <w:rPr>
                <w:rStyle w:val="Hyperlink"/>
                <w:noProof/>
              </w:rPr>
              <w:t>Disability Inclusion Transition Funding (Reference 140)</w:t>
            </w:r>
            <w:r w:rsidR="007A6EA2">
              <w:rPr>
                <w:noProof/>
                <w:webHidden/>
              </w:rPr>
              <w:tab/>
            </w:r>
            <w:r w:rsidR="007A6EA2">
              <w:rPr>
                <w:noProof/>
                <w:webHidden/>
              </w:rPr>
              <w:fldChar w:fldCharType="begin"/>
            </w:r>
            <w:r w:rsidR="007A6EA2">
              <w:rPr>
                <w:noProof/>
                <w:webHidden/>
              </w:rPr>
              <w:instrText xml:space="preserve"> PAGEREF _Toc153791905 \h </w:instrText>
            </w:r>
            <w:r w:rsidR="007A6EA2">
              <w:rPr>
                <w:noProof/>
                <w:webHidden/>
              </w:rPr>
            </w:r>
            <w:r w:rsidR="007A6EA2">
              <w:rPr>
                <w:noProof/>
                <w:webHidden/>
              </w:rPr>
              <w:fldChar w:fldCharType="separate"/>
            </w:r>
            <w:r w:rsidR="007A6EA2">
              <w:rPr>
                <w:noProof/>
                <w:webHidden/>
              </w:rPr>
              <w:t>68</w:t>
            </w:r>
            <w:r w:rsidR="007A6EA2">
              <w:rPr>
                <w:noProof/>
                <w:webHidden/>
              </w:rPr>
              <w:fldChar w:fldCharType="end"/>
            </w:r>
          </w:hyperlink>
        </w:p>
        <w:p w14:paraId="39BE1990" w14:textId="2D0C85DE" w:rsidR="007A6EA2" w:rsidRDefault="00000000" w:rsidP="007A6EA2">
          <w:pPr>
            <w:pStyle w:val="TOC1"/>
            <w:rPr>
              <w:rFonts w:eastAsiaTheme="minorEastAsia"/>
              <w:noProof/>
              <w:kern w:val="2"/>
              <w:lang w:eastAsia="en-AU"/>
              <w14:ligatures w14:val="standardContextual"/>
            </w:rPr>
          </w:pPr>
          <w:hyperlink w:anchor="_Toc153791906" w:history="1">
            <w:r w:rsidR="007A6EA2" w:rsidRPr="00CE4BB9">
              <w:rPr>
                <w:rStyle w:val="Hyperlink"/>
                <w:noProof/>
              </w:rPr>
              <w:t>School Infrastructure</w:t>
            </w:r>
            <w:r w:rsidR="007A6EA2">
              <w:rPr>
                <w:noProof/>
                <w:webHidden/>
              </w:rPr>
              <w:tab/>
            </w:r>
            <w:r w:rsidR="007A6EA2">
              <w:rPr>
                <w:noProof/>
                <w:webHidden/>
              </w:rPr>
              <w:fldChar w:fldCharType="begin"/>
            </w:r>
            <w:r w:rsidR="007A6EA2">
              <w:rPr>
                <w:noProof/>
                <w:webHidden/>
              </w:rPr>
              <w:instrText xml:space="preserve"> PAGEREF _Toc153791906 \h </w:instrText>
            </w:r>
            <w:r w:rsidR="007A6EA2">
              <w:rPr>
                <w:noProof/>
                <w:webHidden/>
              </w:rPr>
            </w:r>
            <w:r w:rsidR="007A6EA2">
              <w:rPr>
                <w:noProof/>
                <w:webHidden/>
              </w:rPr>
              <w:fldChar w:fldCharType="separate"/>
            </w:r>
            <w:r w:rsidR="007A6EA2">
              <w:rPr>
                <w:noProof/>
                <w:webHidden/>
              </w:rPr>
              <w:t>71</w:t>
            </w:r>
            <w:r w:rsidR="007A6EA2">
              <w:rPr>
                <w:noProof/>
                <w:webHidden/>
              </w:rPr>
              <w:fldChar w:fldCharType="end"/>
            </w:r>
          </w:hyperlink>
        </w:p>
        <w:p w14:paraId="4CE771B1" w14:textId="73856295" w:rsidR="007A6EA2" w:rsidRDefault="00000000">
          <w:pPr>
            <w:pStyle w:val="TOC2"/>
            <w:rPr>
              <w:rFonts w:eastAsiaTheme="minorEastAsia"/>
              <w:noProof/>
              <w:kern w:val="2"/>
              <w:lang w:eastAsia="en-AU"/>
              <w14:ligatures w14:val="standardContextual"/>
            </w:rPr>
          </w:pPr>
          <w:hyperlink w:anchor="_Toc153791907" w:history="1">
            <w:r w:rsidR="007A6EA2" w:rsidRPr="00CE4BB9">
              <w:rPr>
                <w:rStyle w:val="Hyperlink"/>
                <w:noProof/>
              </w:rPr>
              <w:t>Contract cleaning (Reference 28)</w:t>
            </w:r>
            <w:r w:rsidR="007A6EA2">
              <w:rPr>
                <w:noProof/>
                <w:webHidden/>
              </w:rPr>
              <w:tab/>
            </w:r>
            <w:r w:rsidR="007A6EA2">
              <w:rPr>
                <w:noProof/>
                <w:webHidden/>
              </w:rPr>
              <w:fldChar w:fldCharType="begin"/>
            </w:r>
            <w:r w:rsidR="007A6EA2">
              <w:rPr>
                <w:noProof/>
                <w:webHidden/>
              </w:rPr>
              <w:instrText xml:space="preserve"> PAGEREF _Toc153791907 \h </w:instrText>
            </w:r>
            <w:r w:rsidR="007A6EA2">
              <w:rPr>
                <w:noProof/>
                <w:webHidden/>
              </w:rPr>
            </w:r>
            <w:r w:rsidR="007A6EA2">
              <w:rPr>
                <w:noProof/>
                <w:webHidden/>
              </w:rPr>
              <w:fldChar w:fldCharType="separate"/>
            </w:r>
            <w:r w:rsidR="007A6EA2">
              <w:rPr>
                <w:noProof/>
                <w:webHidden/>
              </w:rPr>
              <w:t>72</w:t>
            </w:r>
            <w:r w:rsidR="007A6EA2">
              <w:rPr>
                <w:noProof/>
                <w:webHidden/>
              </w:rPr>
              <w:fldChar w:fldCharType="end"/>
            </w:r>
          </w:hyperlink>
        </w:p>
        <w:p w14:paraId="66017EF9" w14:textId="34119B52" w:rsidR="007A6EA2" w:rsidRDefault="00000000">
          <w:pPr>
            <w:pStyle w:val="TOC2"/>
            <w:rPr>
              <w:rFonts w:eastAsiaTheme="minorEastAsia"/>
              <w:noProof/>
              <w:kern w:val="2"/>
              <w:lang w:eastAsia="en-AU"/>
              <w14:ligatures w14:val="standardContextual"/>
            </w:rPr>
          </w:pPr>
          <w:hyperlink w:anchor="_Toc153791908" w:history="1">
            <w:r w:rsidR="007A6EA2" w:rsidRPr="00CE4BB9">
              <w:rPr>
                <w:rStyle w:val="Hyperlink"/>
                <w:noProof/>
              </w:rPr>
              <w:t>Cross Infection Prevention Allowance (Reference 29)</w:t>
            </w:r>
            <w:r w:rsidR="007A6EA2">
              <w:rPr>
                <w:noProof/>
                <w:webHidden/>
              </w:rPr>
              <w:tab/>
            </w:r>
            <w:r w:rsidR="007A6EA2">
              <w:rPr>
                <w:noProof/>
                <w:webHidden/>
              </w:rPr>
              <w:fldChar w:fldCharType="begin"/>
            </w:r>
            <w:r w:rsidR="007A6EA2">
              <w:rPr>
                <w:noProof/>
                <w:webHidden/>
              </w:rPr>
              <w:instrText xml:space="preserve"> PAGEREF _Toc153791908 \h </w:instrText>
            </w:r>
            <w:r w:rsidR="007A6EA2">
              <w:rPr>
                <w:noProof/>
                <w:webHidden/>
              </w:rPr>
            </w:r>
            <w:r w:rsidR="007A6EA2">
              <w:rPr>
                <w:noProof/>
                <w:webHidden/>
              </w:rPr>
              <w:fldChar w:fldCharType="separate"/>
            </w:r>
            <w:r w:rsidR="007A6EA2">
              <w:rPr>
                <w:noProof/>
                <w:webHidden/>
              </w:rPr>
              <w:t>75</w:t>
            </w:r>
            <w:r w:rsidR="007A6EA2">
              <w:rPr>
                <w:noProof/>
                <w:webHidden/>
              </w:rPr>
              <w:fldChar w:fldCharType="end"/>
            </w:r>
          </w:hyperlink>
        </w:p>
        <w:p w14:paraId="6270F0F8" w14:textId="60889D79" w:rsidR="007A6EA2" w:rsidRDefault="00000000">
          <w:pPr>
            <w:pStyle w:val="TOC2"/>
            <w:rPr>
              <w:rFonts w:eastAsiaTheme="minorEastAsia"/>
              <w:noProof/>
              <w:kern w:val="2"/>
              <w:lang w:eastAsia="en-AU"/>
              <w14:ligatures w14:val="standardContextual"/>
            </w:rPr>
          </w:pPr>
          <w:hyperlink w:anchor="_Toc153791909" w:history="1">
            <w:r w:rsidR="007A6EA2" w:rsidRPr="00CE4BB9">
              <w:rPr>
                <w:rStyle w:val="Hyperlink"/>
                <w:noProof/>
              </w:rPr>
              <w:t>Cleaning Minimum Allowance (Reference 30)</w:t>
            </w:r>
            <w:r w:rsidR="007A6EA2">
              <w:rPr>
                <w:noProof/>
                <w:webHidden/>
              </w:rPr>
              <w:tab/>
            </w:r>
            <w:r w:rsidR="007A6EA2">
              <w:rPr>
                <w:noProof/>
                <w:webHidden/>
              </w:rPr>
              <w:fldChar w:fldCharType="begin"/>
            </w:r>
            <w:r w:rsidR="007A6EA2">
              <w:rPr>
                <w:noProof/>
                <w:webHidden/>
              </w:rPr>
              <w:instrText xml:space="preserve"> PAGEREF _Toc153791909 \h </w:instrText>
            </w:r>
            <w:r w:rsidR="007A6EA2">
              <w:rPr>
                <w:noProof/>
                <w:webHidden/>
              </w:rPr>
            </w:r>
            <w:r w:rsidR="007A6EA2">
              <w:rPr>
                <w:noProof/>
                <w:webHidden/>
              </w:rPr>
              <w:fldChar w:fldCharType="separate"/>
            </w:r>
            <w:r w:rsidR="007A6EA2">
              <w:rPr>
                <w:noProof/>
                <w:webHidden/>
              </w:rPr>
              <w:t>76</w:t>
            </w:r>
            <w:r w:rsidR="007A6EA2">
              <w:rPr>
                <w:noProof/>
                <w:webHidden/>
              </w:rPr>
              <w:fldChar w:fldCharType="end"/>
            </w:r>
          </w:hyperlink>
        </w:p>
        <w:p w14:paraId="21D9441F" w14:textId="5E75D003" w:rsidR="007A6EA2" w:rsidRDefault="00000000">
          <w:pPr>
            <w:pStyle w:val="TOC2"/>
            <w:rPr>
              <w:rFonts w:eastAsiaTheme="minorEastAsia"/>
              <w:noProof/>
              <w:kern w:val="2"/>
              <w:lang w:eastAsia="en-AU"/>
              <w14:ligatures w14:val="standardContextual"/>
            </w:rPr>
          </w:pPr>
          <w:hyperlink w:anchor="_Toc153791910" w:history="1">
            <w:r w:rsidR="007A6EA2" w:rsidRPr="00CE4BB9">
              <w:rPr>
                <w:rStyle w:val="Hyperlink"/>
                <w:noProof/>
              </w:rPr>
              <w:t>Grounds Allowance (Reference 31)</w:t>
            </w:r>
            <w:r w:rsidR="007A6EA2">
              <w:rPr>
                <w:noProof/>
                <w:webHidden/>
              </w:rPr>
              <w:tab/>
            </w:r>
            <w:r w:rsidR="007A6EA2">
              <w:rPr>
                <w:noProof/>
                <w:webHidden/>
              </w:rPr>
              <w:fldChar w:fldCharType="begin"/>
            </w:r>
            <w:r w:rsidR="007A6EA2">
              <w:rPr>
                <w:noProof/>
                <w:webHidden/>
              </w:rPr>
              <w:instrText xml:space="preserve"> PAGEREF _Toc153791910 \h </w:instrText>
            </w:r>
            <w:r w:rsidR="007A6EA2">
              <w:rPr>
                <w:noProof/>
                <w:webHidden/>
              </w:rPr>
            </w:r>
            <w:r w:rsidR="007A6EA2">
              <w:rPr>
                <w:noProof/>
                <w:webHidden/>
              </w:rPr>
              <w:fldChar w:fldCharType="separate"/>
            </w:r>
            <w:r w:rsidR="007A6EA2">
              <w:rPr>
                <w:noProof/>
                <w:webHidden/>
              </w:rPr>
              <w:t>77</w:t>
            </w:r>
            <w:r w:rsidR="007A6EA2">
              <w:rPr>
                <w:noProof/>
                <w:webHidden/>
              </w:rPr>
              <w:fldChar w:fldCharType="end"/>
            </w:r>
          </w:hyperlink>
        </w:p>
        <w:p w14:paraId="27170D90" w14:textId="0DC782FD" w:rsidR="007A6EA2" w:rsidRDefault="00000000">
          <w:pPr>
            <w:pStyle w:val="TOC2"/>
            <w:rPr>
              <w:rFonts w:eastAsiaTheme="minorEastAsia"/>
              <w:noProof/>
              <w:kern w:val="2"/>
              <w:lang w:eastAsia="en-AU"/>
              <w14:ligatures w14:val="standardContextual"/>
            </w:rPr>
          </w:pPr>
          <w:hyperlink w:anchor="_Toc153791911" w:history="1">
            <w:r w:rsidR="007A6EA2" w:rsidRPr="00CE4BB9">
              <w:rPr>
                <w:rStyle w:val="Hyperlink"/>
                <w:noProof/>
              </w:rPr>
              <w:t>Building Area Allowance (Reference 32)</w:t>
            </w:r>
            <w:r w:rsidR="007A6EA2">
              <w:rPr>
                <w:noProof/>
                <w:webHidden/>
              </w:rPr>
              <w:tab/>
            </w:r>
            <w:r w:rsidR="007A6EA2">
              <w:rPr>
                <w:noProof/>
                <w:webHidden/>
              </w:rPr>
              <w:fldChar w:fldCharType="begin"/>
            </w:r>
            <w:r w:rsidR="007A6EA2">
              <w:rPr>
                <w:noProof/>
                <w:webHidden/>
              </w:rPr>
              <w:instrText xml:space="preserve"> PAGEREF _Toc153791911 \h </w:instrText>
            </w:r>
            <w:r w:rsidR="007A6EA2">
              <w:rPr>
                <w:noProof/>
                <w:webHidden/>
              </w:rPr>
            </w:r>
            <w:r w:rsidR="007A6EA2">
              <w:rPr>
                <w:noProof/>
                <w:webHidden/>
              </w:rPr>
              <w:fldChar w:fldCharType="separate"/>
            </w:r>
            <w:r w:rsidR="007A6EA2">
              <w:rPr>
                <w:noProof/>
                <w:webHidden/>
              </w:rPr>
              <w:t>78</w:t>
            </w:r>
            <w:r w:rsidR="007A6EA2">
              <w:rPr>
                <w:noProof/>
                <w:webHidden/>
              </w:rPr>
              <w:fldChar w:fldCharType="end"/>
            </w:r>
          </w:hyperlink>
        </w:p>
        <w:p w14:paraId="3A701EE9" w14:textId="487F01BC" w:rsidR="007A6EA2" w:rsidRDefault="00000000">
          <w:pPr>
            <w:pStyle w:val="TOC2"/>
            <w:rPr>
              <w:rFonts w:eastAsiaTheme="minorEastAsia"/>
              <w:noProof/>
              <w:kern w:val="2"/>
              <w:lang w:eastAsia="en-AU"/>
              <w14:ligatures w14:val="standardContextual"/>
            </w:rPr>
          </w:pPr>
          <w:hyperlink w:anchor="_Toc153791912" w:history="1">
            <w:r w:rsidR="007A6EA2" w:rsidRPr="00CE4BB9">
              <w:rPr>
                <w:rStyle w:val="Hyperlink"/>
                <w:noProof/>
              </w:rPr>
              <w:t>Split-Site/Multi-Site Allowance (Reference 33)</w:t>
            </w:r>
            <w:r w:rsidR="007A6EA2">
              <w:rPr>
                <w:noProof/>
                <w:webHidden/>
              </w:rPr>
              <w:tab/>
            </w:r>
            <w:r w:rsidR="007A6EA2">
              <w:rPr>
                <w:noProof/>
                <w:webHidden/>
              </w:rPr>
              <w:fldChar w:fldCharType="begin"/>
            </w:r>
            <w:r w:rsidR="007A6EA2">
              <w:rPr>
                <w:noProof/>
                <w:webHidden/>
              </w:rPr>
              <w:instrText xml:space="preserve"> PAGEREF _Toc153791912 \h </w:instrText>
            </w:r>
            <w:r w:rsidR="007A6EA2">
              <w:rPr>
                <w:noProof/>
                <w:webHidden/>
              </w:rPr>
            </w:r>
            <w:r w:rsidR="007A6EA2">
              <w:rPr>
                <w:noProof/>
                <w:webHidden/>
              </w:rPr>
              <w:fldChar w:fldCharType="separate"/>
            </w:r>
            <w:r w:rsidR="007A6EA2">
              <w:rPr>
                <w:noProof/>
                <w:webHidden/>
              </w:rPr>
              <w:t>79</w:t>
            </w:r>
            <w:r w:rsidR="007A6EA2">
              <w:rPr>
                <w:noProof/>
                <w:webHidden/>
              </w:rPr>
              <w:fldChar w:fldCharType="end"/>
            </w:r>
          </w:hyperlink>
        </w:p>
        <w:p w14:paraId="7A5EA310" w14:textId="45859AEF" w:rsidR="007A6EA2" w:rsidRDefault="00000000">
          <w:pPr>
            <w:pStyle w:val="TOC2"/>
            <w:rPr>
              <w:rFonts w:eastAsiaTheme="minorEastAsia"/>
              <w:noProof/>
              <w:kern w:val="2"/>
              <w:lang w:eastAsia="en-AU"/>
              <w14:ligatures w14:val="standardContextual"/>
            </w:rPr>
          </w:pPr>
          <w:hyperlink w:anchor="_Toc153791913" w:history="1">
            <w:r w:rsidR="007A6EA2" w:rsidRPr="00CE4BB9">
              <w:rPr>
                <w:rStyle w:val="Hyperlink"/>
                <w:noProof/>
              </w:rPr>
              <w:t>Utilities (Reference 34)</w:t>
            </w:r>
            <w:r w:rsidR="007A6EA2">
              <w:rPr>
                <w:noProof/>
                <w:webHidden/>
              </w:rPr>
              <w:tab/>
            </w:r>
            <w:r w:rsidR="007A6EA2">
              <w:rPr>
                <w:noProof/>
                <w:webHidden/>
              </w:rPr>
              <w:fldChar w:fldCharType="begin"/>
            </w:r>
            <w:r w:rsidR="007A6EA2">
              <w:rPr>
                <w:noProof/>
                <w:webHidden/>
              </w:rPr>
              <w:instrText xml:space="preserve"> PAGEREF _Toc153791913 \h </w:instrText>
            </w:r>
            <w:r w:rsidR="007A6EA2">
              <w:rPr>
                <w:noProof/>
                <w:webHidden/>
              </w:rPr>
            </w:r>
            <w:r w:rsidR="007A6EA2">
              <w:rPr>
                <w:noProof/>
                <w:webHidden/>
              </w:rPr>
              <w:fldChar w:fldCharType="separate"/>
            </w:r>
            <w:r w:rsidR="007A6EA2">
              <w:rPr>
                <w:noProof/>
                <w:webHidden/>
              </w:rPr>
              <w:t>80</w:t>
            </w:r>
            <w:r w:rsidR="007A6EA2">
              <w:rPr>
                <w:noProof/>
                <w:webHidden/>
              </w:rPr>
              <w:fldChar w:fldCharType="end"/>
            </w:r>
          </w:hyperlink>
        </w:p>
        <w:p w14:paraId="1BA29586" w14:textId="0597A9FA" w:rsidR="007A6EA2" w:rsidRDefault="00000000">
          <w:pPr>
            <w:pStyle w:val="TOC2"/>
            <w:rPr>
              <w:rFonts w:eastAsiaTheme="minorEastAsia"/>
              <w:noProof/>
              <w:kern w:val="2"/>
              <w:lang w:eastAsia="en-AU"/>
              <w14:ligatures w14:val="standardContextual"/>
            </w:rPr>
          </w:pPr>
          <w:hyperlink w:anchor="_Toc153791914" w:history="1">
            <w:r w:rsidR="007A6EA2" w:rsidRPr="00CE4BB9">
              <w:rPr>
                <w:rStyle w:val="Hyperlink"/>
                <w:noProof/>
              </w:rPr>
              <w:t>Maintenance and Minor Works (Reference 35)</w:t>
            </w:r>
            <w:r w:rsidR="007A6EA2">
              <w:rPr>
                <w:noProof/>
                <w:webHidden/>
              </w:rPr>
              <w:tab/>
            </w:r>
            <w:r w:rsidR="007A6EA2">
              <w:rPr>
                <w:noProof/>
                <w:webHidden/>
              </w:rPr>
              <w:fldChar w:fldCharType="begin"/>
            </w:r>
            <w:r w:rsidR="007A6EA2">
              <w:rPr>
                <w:noProof/>
                <w:webHidden/>
              </w:rPr>
              <w:instrText xml:space="preserve"> PAGEREF _Toc153791914 \h </w:instrText>
            </w:r>
            <w:r w:rsidR="007A6EA2">
              <w:rPr>
                <w:noProof/>
                <w:webHidden/>
              </w:rPr>
            </w:r>
            <w:r w:rsidR="007A6EA2">
              <w:rPr>
                <w:noProof/>
                <w:webHidden/>
              </w:rPr>
              <w:fldChar w:fldCharType="separate"/>
            </w:r>
            <w:r w:rsidR="007A6EA2">
              <w:rPr>
                <w:noProof/>
                <w:webHidden/>
              </w:rPr>
              <w:t>83</w:t>
            </w:r>
            <w:r w:rsidR="007A6EA2">
              <w:rPr>
                <w:noProof/>
                <w:webHidden/>
              </w:rPr>
              <w:fldChar w:fldCharType="end"/>
            </w:r>
          </w:hyperlink>
        </w:p>
        <w:p w14:paraId="474F0122" w14:textId="664FD69E" w:rsidR="007A6EA2" w:rsidRDefault="00000000">
          <w:pPr>
            <w:pStyle w:val="TOC2"/>
            <w:rPr>
              <w:rFonts w:eastAsiaTheme="minorEastAsia"/>
              <w:noProof/>
              <w:kern w:val="2"/>
              <w:lang w:eastAsia="en-AU"/>
              <w14:ligatures w14:val="standardContextual"/>
            </w:rPr>
          </w:pPr>
          <w:hyperlink w:anchor="_Toc153791915" w:history="1">
            <w:r w:rsidR="007A6EA2" w:rsidRPr="00CE4BB9">
              <w:rPr>
                <w:rStyle w:val="Hyperlink"/>
                <w:noProof/>
              </w:rPr>
              <w:t>Annual Contracts (Reference 36)</w:t>
            </w:r>
            <w:r w:rsidR="007A6EA2">
              <w:rPr>
                <w:noProof/>
                <w:webHidden/>
              </w:rPr>
              <w:tab/>
            </w:r>
            <w:r w:rsidR="007A6EA2">
              <w:rPr>
                <w:noProof/>
                <w:webHidden/>
              </w:rPr>
              <w:fldChar w:fldCharType="begin"/>
            </w:r>
            <w:r w:rsidR="007A6EA2">
              <w:rPr>
                <w:noProof/>
                <w:webHidden/>
              </w:rPr>
              <w:instrText xml:space="preserve"> PAGEREF _Toc153791915 \h </w:instrText>
            </w:r>
            <w:r w:rsidR="007A6EA2">
              <w:rPr>
                <w:noProof/>
                <w:webHidden/>
              </w:rPr>
            </w:r>
            <w:r w:rsidR="007A6EA2">
              <w:rPr>
                <w:noProof/>
                <w:webHidden/>
              </w:rPr>
              <w:fldChar w:fldCharType="separate"/>
            </w:r>
            <w:r w:rsidR="007A6EA2">
              <w:rPr>
                <w:noProof/>
                <w:webHidden/>
              </w:rPr>
              <w:t>87</w:t>
            </w:r>
            <w:r w:rsidR="007A6EA2">
              <w:rPr>
                <w:noProof/>
                <w:webHidden/>
              </w:rPr>
              <w:fldChar w:fldCharType="end"/>
            </w:r>
          </w:hyperlink>
        </w:p>
        <w:p w14:paraId="3CEB4BD2" w14:textId="067CBD22" w:rsidR="007A6EA2" w:rsidRDefault="00000000">
          <w:pPr>
            <w:pStyle w:val="TOC2"/>
            <w:rPr>
              <w:rFonts w:eastAsiaTheme="minorEastAsia"/>
              <w:noProof/>
              <w:kern w:val="2"/>
              <w:lang w:eastAsia="en-AU"/>
              <w14:ligatures w14:val="standardContextual"/>
            </w:rPr>
          </w:pPr>
          <w:hyperlink w:anchor="_Toc153791916" w:history="1">
            <w:r w:rsidR="007A6EA2" w:rsidRPr="00CE4BB9">
              <w:rPr>
                <w:rStyle w:val="Hyperlink"/>
                <w:noProof/>
              </w:rPr>
              <w:t>Workers’ Compensation (Reference 37)</w:t>
            </w:r>
            <w:r w:rsidR="007A6EA2">
              <w:rPr>
                <w:noProof/>
                <w:webHidden/>
              </w:rPr>
              <w:tab/>
            </w:r>
            <w:r w:rsidR="007A6EA2">
              <w:rPr>
                <w:noProof/>
                <w:webHidden/>
              </w:rPr>
              <w:fldChar w:fldCharType="begin"/>
            </w:r>
            <w:r w:rsidR="007A6EA2">
              <w:rPr>
                <w:noProof/>
                <w:webHidden/>
              </w:rPr>
              <w:instrText xml:space="preserve"> PAGEREF _Toc153791916 \h </w:instrText>
            </w:r>
            <w:r w:rsidR="007A6EA2">
              <w:rPr>
                <w:noProof/>
                <w:webHidden/>
              </w:rPr>
            </w:r>
            <w:r w:rsidR="007A6EA2">
              <w:rPr>
                <w:noProof/>
                <w:webHidden/>
              </w:rPr>
              <w:fldChar w:fldCharType="separate"/>
            </w:r>
            <w:r w:rsidR="007A6EA2">
              <w:rPr>
                <w:noProof/>
                <w:webHidden/>
              </w:rPr>
              <w:t>89</w:t>
            </w:r>
            <w:r w:rsidR="007A6EA2">
              <w:rPr>
                <w:noProof/>
                <w:webHidden/>
              </w:rPr>
              <w:fldChar w:fldCharType="end"/>
            </w:r>
          </w:hyperlink>
        </w:p>
        <w:p w14:paraId="29C8824B" w14:textId="28FA8214" w:rsidR="007A6EA2" w:rsidRDefault="00000000" w:rsidP="007A6EA2">
          <w:pPr>
            <w:pStyle w:val="TOC1"/>
            <w:rPr>
              <w:rFonts w:eastAsiaTheme="minorEastAsia"/>
              <w:noProof/>
              <w:kern w:val="2"/>
              <w:lang w:eastAsia="en-AU"/>
              <w14:ligatures w14:val="standardContextual"/>
            </w:rPr>
          </w:pPr>
          <w:hyperlink w:anchor="_Toc153791917" w:history="1">
            <w:r w:rsidR="007A6EA2" w:rsidRPr="00CE4BB9">
              <w:rPr>
                <w:rStyle w:val="Hyperlink"/>
                <w:noProof/>
              </w:rPr>
              <w:t>School Specific Programs</w:t>
            </w:r>
            <w:r w:rsidR="007A6EA2">
              <w:rPr>
                <w:noProof/>
                <w:webHidden/>
              </w:rPr>
              <w:tab/>
            </w:r>
            <w:r w:rsidR="007A6EA2">
              <w:rPr>
                <w:noProof/>
                <w:webHidden/>
              </w:rPr>
              <w:fldChar w:fldCharType="begin"/>
            </w:r>
            <w:r w:rsidR="007A6EA2">
              <w:rPr>
                <w:noProof/>
                <w:webHidden/>
              </w:rPr>
              <w:instrText xml:space="preserve"> PAGEREF _Toc153791917 \h </w:instrText>
            </w:r>
            <w:r w:rsidR="007A6EA2">
              <w:rPr>
                <w:noProof/>
                <w:webHidden/>
              </w:rPr>
            </w:r>
            <w:r w:rsidR="007A6EA2">
              <w:rPr>
                <w:noProof/>
                <w:webHidden/>
              </w:rPr>
              <w:fldChar w:fldCharType="separate"/>
            </w:r>
            <w:r w:rsidR="007A6EA2">
              <w:rPr>
                <w:noProof/>
                <w:webHidden/>
              </w:rPr>
              <w:t>91</w:t>
            </w:r>
            <w:r w:rsidR="007A6EA2">
              <w:rPr>
                <w:noProof/>
                <w:webHidden/>
              </w:rPr>
              <w:fldChar w:fldCharType="end"/>
            </w:r>
          </w:hyperlink>
        </w:p>
        <w:p w14:paraId="0C3B4A45" w14:textId="7F6BA033" w:rsidR="007A6EA2" w:rsidRDefault="00000000">
          <w:pPr>
            <w:pStyle w:val="TOC2"/>
            <w:rPr>
              <w:rFonts w:eastAsiaTheme="minorEastAsia"/>
              <w:noProof/>
              <w:kern w:val="2"/>
              <w:lang w:eastAsia="en-AU"/>
              <w14:ligatures w14:val="standardContextual"/>
            </w:rPr>
          </w:pPr>
          <w:hyperlink w:anchor="_Toc153791918" w:history="1">
            <w:r w:rsidR="007A6EA2" w:rsidRPr="00CE4BB9">
              <w:rPr>
                <w:rStyle w:val="Hyperlink"/>
                <w:noProof/>
              </w:rPr>
              <w:t>P-12 Complexity Allowance (Reference 38)</w:t>
            </w:r>
            <w:r w:rsidR="007A6EA2">
              <w:rPr>
                <w:noProof/>
                <w:webHidden/>
              </w:rPr>
              <w:tab/>
            </w:r>
            <w:r w:rsidR="007A6EA2">
              <w:rPr>
                <w:noProof/>
                <w:webHidden/>
              </w:rPr>
              <w:fldChar w:fldCharType="begin"/>
            </w:r>
            <w:r w:rsidR="007A6EA2">
              <w:rPr>
                <w:noProof/>
                <w:webHidden/>
              </w:rPr>
              <w:instrText xml:space="preserve"> PAGEREF _Toc153791918 \h </w:instrText>
            </w:r>
            <w:r w:rsidR="007A6EA2">
              <w:rPr>
                <w:noProof/>
                <w:webHidden/>
              </w:rPr>
            </w:r>
            <w:r w:rsidR="007A6EA2">
              <w:rPr>
                <w:noProof/>
                <w:webHidden/>
              </w:rPr>
              <w:fldChar w:fldCharType="separate"/>
            </w:r>
            <w:r w:rsidR="007A6EA2">
              <w:rPr>
                <w:noProof/>
                <w:webHidden/>
              </w:rPr>
              <w:t>92</w:t>
            </w:r>
            <w:r w:rsidR="007A6EA2">
              <w:rPr>
                <w:noProof/>
                <w:webHidden/>
              </w:rPr>
              <w:fldChar w:fldCharType="end"/>
            </w:r>
          </w:hyperlink>
        </w:p>
        <w:p w14:paraId="599CF66E" w14:textId="7672E23B" w:rsidR="007A6EA2" w:rsidRDefault="00000000">
          <w:pPr>
            <w:pStyle w:val="TOC2"/>
            <w:rPr>
              <w:rFonts w:eastAsiaTheme="minorEastAsia"/>
              <w:noProof/>
              <w:kern w:val="2"/>
              <w:lang w:eastAsia="en-AU"/>
              <w14:ligatures w14:val="standardContextual"/>
            </w:rPr>
          </w:pPr>
          <w:hyperlink w:anchor="_Toc153791919" w:history="1">
            <w:r w:rsidR="007A6EA2" w:rsidRPr="00CE4BB9">
              <w:rPr>
                <w:rStyle w:val="Hyperlink"/>
                <w:noProof/>
              </w:rPr>
              <w:t>Location Index Funding (Reference 39)</w:t>
            </w:r>
            <w:r w:rsidR="007A6EA2">
              <w:rPr>
                <w:noProof/>
                <w:webHidden/>
              </w:rPr>
              <w:tab/>
            </w:r>
            <w:r w:rsidR="007A6EA2">
              <w:rPr>
                <w:noProof/>
                <w:webHidden/>
              </w:rPr>
              <w:fldChar w:fldCharType="begin"/>
            </w:r>
            <w:r w:rsidR="007A6EA2">
              <w:rPr>
                <w:noProof/>
                <w:webHidden/>
              </w:rPr>
              <w:instrText xml:space="preserve"> PAGEREF _Toc153791919 \h </w:instrText>
            </w:r>
            <w:r w:rsidR="007A6EA2">
              <w:rPr>
                <w:noProof/>
                <w:webHidden/>
              </w:rPr>
            </w:r>
            <w:r w:rsidR="007A6EA2">
              <w:rPr>
                <w:noProof/>
                <w:webHidden/>
              </w:rPr>
              <w:fldChar w:fldCharType="separate"/>
            </w:r>
            <w:r w:rsidR="007A6EA2">
              <w:rPr>
                <w:noProof/>
                <w:webHidden/>
              </w:rPr>
              <w:t>93</w:t>
            </w:r>
            <w:r w:rsidR="007A6EA2">
              <w:rPr>
                <w:noProof/>
                <w:webHidden/>
              </w:rPr>
              <w:fldChar w:fldCharType="end"/>
            </w:r>
          </w:hyperlink>
        </w:p>
        <w:p w14:paraId="75A6D118" w14:textId="2EFEBDF7" w:rsidR="007A6EA2" w:rsidRDefault="00000000">
          <w:pPr>
            <w:pStyle w:val="TOC2"/>
            <w:rPr>
              <w:rFonts w:eastAsiaTheme="minorEastAsia"/>
              <w:noProof/>
              <w:kern w:val="2"/>
              <w:lang w:eastAsia="en-AU"/>
              <w14:ligatures w14:val="standardContextual"/>
            </w:rPr>
          </w:pPr>
          <w:hyperlink w:anchor="_Toc153791920" w:history="1">
            <w:r w:rsidR="007A6EA2" w:rsidRPr="00CE4BB9">
              <w:rPr>
                <w:rStyle w:val="Hyperlink"/>
                <w:noProof/>
              </w:rPr>
              <w:t>MARC/MACC Teachers (Reference 40)</w:t>
            </w:r>
            <w:r w:rsidR="007A6EA2">
              <w:rPr>
                <w:noProof/>
                <w:webHidden/>
              </w:rPr>
              <w:tab/>
            </w:r>
            <w:r w:rsidR="007A6EA2">
              <w:rPr>
                <w:noProof/>
                <w:webHidden/>
              </w:rPr>
              <w:fldChar w:fldCharType="begin"/>
            </w:r>
            <w:r w:rsidR="007A6EA2">
              <w:rPr>
                <w:noProof/>
                <w:webHidden/>
              </w:rPr>
              <w:instrText xml:space="preserve"> PAGEREF _Toc153791920 \h </w:instrText>
            </w:r>
            <w:r w:rsidR="007A6EA2">
              <w:rPr>
                <w:noProof/>
                <w:webHidden/>
              </w:rPr>
            </w:r>
            <w:r w:rsidR="007A6EA2">
              <w:rPr>
                <w:noProof/>
                <w:webHidden/>
              </w:rPr>
              <w:fldChar w:fldCharType="separate"/>
            </w:r>
            <w:r w:rsidR="007A6EA2">
              <w:rPr>
                <w:noProof/>
                <w:webHidden/>
              </w:rPr>
              <w:t>95</w:t>
            </w:r>
            <w:r w:rsidR="007A6EA2">
              <w:rPr>
                <w:noProof/>
                <w:webHidden/>
              </w:rPr>
              <w:fldChar w:fldCharType="end"/>
            </w:r>
          </w:hyperlink>
        </w:p>
        <w:p w14:paraId="1BB07E95" w14:textId="4EC3C0B8" w:rsidR="007A6EA2" w:rsidRDefault="00000000">
          <w:pPr>
            <w:pStyle w:val="TOC2"/>
            <w:rPr>
              <w:rFonts w:eastAsiaTheme="minorEastAsia"/>
              <w:noProof/>
              <w:kern w:val="2"/>
              <w:lang w:eastAsia="en-AU"/>
              <w14:ligatures w14:val="standardContextual"/>
            </w:rPr>
          </w:pPr>
          <w:hyperlink w:anchor="_Toc153791921" w:history="1">
            <w:r w:rsidR="007A6EA2" w:rsidRPr="00CE4BB9">
              <w:rPr>
                <w:rStyle w:val="Hyperlink"/>
                <w:noProof/>
              </w:rPr>
              <w:t>Instrumental Music Programs (Reference 41)</w:t>
            </w:r>
            <w:r w:rsidR="007A6EA2">
              <w:rPr>
                <w:noProof/>
                <w:webHidden/>
              </w:rPr>
              <w:tab/>
            </w:r>
            <w:r w:rsidR="007A6EA2">
              <w:rPr>
                <w:noProof/>
                <w:webHidden/>
              </w:rPr>
              <w:fldChar w:fldCharType="begin"/>
            </w:r>
            <w:r w:rsidR="007A6EA2">
              <w:rPr>
                <w:noProof/>
                <w:webHidden/>
              </w:rPr>
              <w:instrText xml:space="preserve"> PAGEREF _Toc153791921 \h </w:instrText>
            </w:r>
            <w:r w:rsidR="007A6EA2">
              <w:rPr>
                <w:noProof/>
                <w:webHidden/>
              </w:rPr>
            </w:r>
            <w:r w:rsidR="007A6EA2">
              <w:rPr>
                <w:noProof/>
                <w:webHidden/>
              </w:rPr>
              <w:fldChar w:fldCharType="separate"/>
            </w:r>
            <w:r w:rsidR="007A6EA2">
              <w:rPr>
                <w:noProof/>
                <w:webHidden/>
              </w:rPr>
              <w:t>97</w:t>
            </w:r>
            <w:r w:rsidR="007A6EA2">
              <w:rPr>
                <w:noProof/>
                <w:webHidden/>
              </w:rPr>
              <w:fldChar w:fldCharType="end"/>
            </w:r>
          </w:hyperlink>
        </w:p>
        <w:p w14:paraId="5CF4CD27" w14:textId="386B0E52" w:rsidR="007A6EA2" w:rsidRDefault="00000000">
          <w:pPr>
            <w:pStyle w:val="TOC2"/>
            <w:rPr>
              <w:rFonts w:eastAsiaTheme="minorEastAsia"/>
              <w:noProof/>
              <w:kern w:val="2"/>
              <w:lang w:eastAsia="en-AU"/>
              <w14:ligatures w14:val="standardContextual"/>
            </w:rPr>
          </w:pPr>
          <w:hyperlink w:anchor="_Toc153791922" w:history="1">
            <w:r w:rsidR="007A6EA2" w:rsidRPr="00CE4BB9">
              <w:rPr>
                <w:rStyle w:val="Hyperlink"/>
                <w:noProof/>
              </w:rPr>
              <w:t>Bus coordination (Reference 43)</w:t>
            </w:r>
            <w:r w:rsidR="007A6EA2">
              <w:rPr>
                <w:noProof/>
                <w:webHidden/>
              </w:rPr>
              <w:tab/>
            </w:r>
            <w:r w:rsidR="007A6EA2">
              <w:rPr>
                <w:noProof/>
                <w:webHidden/>
              </w:rPr>
              <w:fldChar w:fldCharType="begin"/>
            </w:r>
            <w:r w:rsidR="007A6EA2">
              <w:rPr>
                <w:noProof/>
                <w:webHidden/>
              </w:rPr>
              <w:instrText xml:space="preserve"> PAGEREF _Toc153791922 \h </w:instrText>
            </w:r>
            <w:r w:rsidR="007A6EA2">
              <w:rPr>
                <w:noProof/>
                <w:webHidden/>
              </w:rPr>
            </w:r>
            <w:r w:rsidR="007A6EA2">
              <w:rPr>
                <w:noProof/>
                <w:webHidden/>
              </w:rPr>
              <w:fldChar w:fldCharType="separate"/>
            </w:r>
            <w:r w:rsidR="007A6EA2">
              <w:rPr>
                <w:noProof/>
                <w:webHidden/>
              </w:rPr>
              <w:t>98</w:t>
            </w:r>
            <w:r w:rsidR="007A6EA2">
              <w:rPr>
                <w:noProof/>
                <w:webHidden/>
              </w:rPr>
              <w:fldChar w:fldCharType="end"/>
            </w:r>
          </w:hyperlink>
        </w:p>
        <w:p w14:paraId="366F45C2" w14:textId="6C50719D" w:rsidR="007A6EA2" w:rsidRDefault="00000000">
          <w:pPr>
            <w:pStyle w:val="TOC2"/>
            <w:rPr>
              <w:rFonts w:eastAsiaTheme="minorEastAsia"/>
              <w:noProof/>
              <w:kern w:val="2"/>
              <w:lang w:eastAsia="en-AU"/>
              <w14:ligatures w14:val="standardContextual"/>
            </w:rPr>
          </w:pPr>
          <w:hyperlink w:anchor="_Toc153791923" w:history="1">
            <w:r w:rsidR="007A6EA2" w:rsidRPr="00CE4BB9">
              <w:rPr>
                <w:rStyle w:val="Hyperlink"/>
                <w:noProof/>
              </w:rPr>
              <w:t>Country Area Program Grant (Reference 45)</w:t>
            </w:r>
            <w:r w:rsidR="007A6EA2">
              <w:rPr>
                <w:noProof/>
                <w:webHidden/>
              </w:rPr>
              <w:tab/>
            </w:r>
            <w:r w:rsidR="007A6EA2">
              <w:rPr>
                <w:noProof/>
                <w:webHidden/>
              </w:rPr>
              <w:fldChar w:fldCharType="begin"/>
            </w:r>
            <w:r w:rsidR="007A6EA2">
              <w:rPr>
                <w:noProof/>
                <w:webHidden/>
              </w:rPr>
              <w:instrText xml:space="preserve"> PAGEREF _Toc153791923 \h </w:instrText>
            </w:r>
            <w:r w:rsidR="007A6EA2">
              <w:rPr>
                <w:noProof/>
                <w:webHidden/>
              </w:rPr>
            </w:r>
            <w:r w:rsidR="007A6EA2">
              <w:rPr>
                <w:noProof/>
                <w:webHidden/>
              </w:rPr>
              <w:fldChar w:fldCharType="separate"/>
            </w:r>
            <w:r w:rsidR="007A6EA2">
              <w:rPr>
                <w:noProof/>
                <w:webHidden/>
              </w:rPr>
              <w:t>99</w:t>
            </w:r>
            <w:r w:rsidR="007A6EA2">
              <w:rPr>
                <w:noProof/>
                <w:webHidden/>
              </w:rPr>
              <w:fldChar w:fldCharType="end"/>
            </w:r>
          </w:hyperlink>
        </w:p>
        <w:p w14:paraId="65D3EF3A" w14:textId="5FD1C711" w:rsidR="007A6EA2" w:rsidRDefault="00000000">
          <w:pPr>
            <w:pStyle w:val="TOC2"/>
            <w:rPr>
              <w:rFonts w:eastAsiaTheme="minorEastAsia"/>
              <w:noProof/>
              <w:kern w:val="2"/>
              <w:lang w:eastAsia="en-AU"/>
              <w14:ligatures w14:val="standardContextual"/>
            </w:rPr>
          </w:pPr>
          <w:hyperlink w:anchor="_Toc153791924" w:history="1">
            <w:r w:rsidR="007A6EA2" w:rsidRPr="00CE4BB9">
              <w:rPr>
                <w:rStyle w:val="Hyperlink"/>
                <w:noProof/>
              </w:rPr>
              <w:t>MARC/MACC Grant (Reference 46)</w:t>
            </w:r>
            <w:r w:rsidR="007A6EA2">
              <w:rPr>
                <w:noProof/>
                <w:webHidden/>
              </w:rPr>
              <w:tab/>
            </w:r>
            <w:r w:rsidR="007A6EA2">
              <w:rPr>
                <w:noProof/>
                <w:webHidden/>
              </w:rPr>
              <w:fldChar w:fldCharType="begin"/>
            </w:r>
            <w:r w:rsidR="007A6EA2">
              <w:rPr>
                <w:noProof/>
                <w:webHidden/>
              </w:rPr>
              <w:instrText xml:space="preserve"> PAGEREF _Toc153791924 \h </w:instrText>
            </w:r>
            <w:r w:rsidR="007A6EA2">
              <w:rPr>
                <w:noProof/>
                <w:webHidden/>
              </w:rPr>
            </w:r>
            <w:r w:rsidR="007A6EA2">
              <w:rPr>
                <w:noProof/>
                <w:webHidden/>
              </w:rPr>
              <w:fldChar w:fldCharType="separate"/>
            </w:r>
            <w:r w:rsidR="007A6EA2">
              <w:rPr>
                <w:noProof/>
                <w:webHidden/>
              </w:rPr>
              <w:t>101</w:t>
            </w:r>
            <w:r w:rsidR="007A6EA2">
              <w:rPr>
                <w:noProof/>
                <w:webHidden/>
              </w:rPr>
              <w:fldChar w:fldCharType="end"/>
            </w:r>
          </w:hyperlink>
        </w:p>
        <w:p w14:paraId="0E8D766A" w14:textId="76F49B2E" w:rsidR="007A6EA2" w:rsidRDefault="00000000">
          <w:pPr>
            <w:pStyle w:val="TOC2"/>
            <w:rPr>
              <w:rFonts w:eastAsiaTheme="minorEastAsia"/>
              <w:noProof/>
              <w:kern w:val="2"/>
              <w:lang w:eastAsia="en-AU"/>
              <w14:ligatures w14:val="standardContextual"/>
            </w:rPr>
          </w:pPr>
          <w:hyperlink w:anchor="_Toc153791925" w:history="1">
            <w:r w:rsidR="007A6EA2" w:rsidRPr="00CE4BB9">
              <w:rPr>
                <w:rStyle w:val="Hyperlink"/>
                <w:noProof/>
              </w:rPr>
              <w:t>Alternative Settings Teachers (Reference 47)</w:t>
            </w:r>
            <w:r w:rsidR="007A6EA2">
              <w:rPr>
                <w:noProof/>
                <w:webHidden/>
              </w:rPr>
              <w:tab/>
            </w:r>
            <w:r w:rsidR="007A6EA2">
              <w:rPr>
                <w:noProof/>
                <w:webHidden/>
              </w:rPr>
              <w:fldChar w:fldCharType="begin"/>
            </w:r>
            <w:r w:rsidR="007A6EA2">
              <w:rPr>
                <w:noProof/>
                <w:webHidden/>
              </w:rPr>
              <w:instrText xml:space="preserve"> PAGEREF _Toc153791925 \h </w:instrText>
            </w:r>
            <w:r w:rsidR="007A6EA2">
              <w:rPr>
                <w:noProof/>
                <w:webHidden/>
              </w:rPr>
            </w:r>
            <w:r w:rsidR="007A6EA2">
              <w:rPr>
                <w:noProof/>
                <w:webHidden/>
              </w:rPr>
              <w:fldChar w:fldCharType="separate"/>
            </w:r>
            <w:r w:rsidR="007A6EA2">
              <w:rPr>
                <w:noProof/>
                <w:webHidden/>
              </w:rPr>
              <w:t>102</w:t>
            </w:r>
            <w:r w:rsidR="007A6EA2">
              <w:rPr>
                <w:noProof/>
                <w:webHidden/>
              </w:rPr>
              <w:fldChar w:fldCharType="end"/>
            </w:r>
          </w:hyperlink>
        </w:p>
        <w:p w14:paraId="64047B06" w14:textId="1EA8F314" w:rsidR="007A6EA2" w:rsidRDefault="00000000">
          <w:pPr>
            <w:pStyle w:val="TOC2"/>
            <w:rPr>
              <w:rFonts w:eastAsiaTheme="minorEastAsia"/>
              <w:noProof/>
              <w:kern w:val="2"/>
              <w:lang w:eastAsia="en-AU"/>
              <w14:ligatures w14:val="standardContextual"/>
            </w:rPr>
          </w:pPr>
          <w:hyperlink w:anchor="_Toc153791926" w:history="1">
            <w:r w:rsidR="007A6EA2" w:rsidRPr="00CE4BB9">
              <w:rPr>
                <w:rStyle w:val="Hyperlink"/>
                <w:noProof/>
              </w:rPr>
              <w:t>Ancillary Settings Teachers (Reference 48)</w:t>
            </w:r>
            <w:r w:rsidR="007A6EA2">
              <w:rPr>
                <w:noProof/>
                <w:webHidden/>
              </w:rPr>
              <w:tab/>
            </w:r>
            <w:r w:rsidR="007A6EA2">
              <w:rPr>
                <w:noProof/>
                <w:webHidden/>
              </w:rPr>
              <w:fldChar w:fldCharType="begin"/>
            </w:r>
            <w:r w:rsidR="007A6EA2">
              <w:rPr>
                <w:noProof/>
                <w:webHidden/>
              </w:rPr>
              <w:instrText xml:space="preserve"> PAGEREF _Toc153791926 \h </w:instrText>
            </w:r>
            <w:r w:rsidR="007A6EA2">
              <w:rPr>
                <w:noProof/>
                <w:webHidden/>
              </w:rPr>
            </w:r>
            <w:r w:rsidR="007A6EA2">
              <w:rPr>
                <w:noProof/>
                <w:webHidden/>
              </w:rPr>
              <w:fldChar w:fldCharType="separate"/>
            </w:r>
            <w:r w:rsidR="007A6EA2">
              <w:rPr>
                <w:noProof/>
                <w:webHidden/>
              </w:rPr>
              <w:t>103</w:t>
            </w:r>
            <w:r w:rsidR="007A6EA2">
              <w:rPr>
                <w:noProof/>
                <w:webHidden/>
              </w:rPr>
              <w:fldChar w:fldCharType="end"/>
            </w:r>
          </w:hyperlink>
        </w:p>
        <w:p w14:paraId="1AF09011" w14:textId="0397BCBB" w:rsidR="007A6EA2" w:rsidRDefault="00000000">
          <w:pPr>
            <w:pStyle w:val="TOC2"/>
            <w:rPr>
              <w:rFonts w:eastAsiaTheme="minorEastAsia"/>
              <w:noProof/>
              <w:kern w:val="2"/>
              <w:lang w:eastAsia="en-AU"/>
              <w14:ligatures w14:val="standardContextual"/>
            </w:rPr>
          </w:pPr>
          <w:hyperlink w:anchor="_Toc153791927" w:history="1">
            <w:r w:rsidR="007A6EA2" w:rsidRPr="00CE4BB9">
              <w:rPr>
                <w:rStyle w:val="Hyperlink"/>
                <w:noProof/>
              </w:rPr>
              <w:t>Alternative programs — regional grants (Reference 49)</w:t>
            </w:r>
            <w:r w:rsidR="007A6EA2">
              <w:rPr>
                <w:noProof/>
                <w:webHidden/>
              </w:rPr>
              <w:tab/>
            </w:r>
            <w:r w:rsidR="007A6EA2">
              <w:rPr>
                <w:noProof/>
                <w:webHidden/>
              </w:rPr>
              <w:fldChar w:fldCharType="begin"/>
            </w:r>
            <w:r w:rsidR="007A6EA2">
              <w:rPr>
                <w:noProof/>
                <w:webHidden/>
              </w:rPr>
              <w:instrText xml:space="preserve"> PAGEREF _Toc153791927 \h </w:instrText>
            </w:r>
            <w:r w:rsidR="007A6EA2">
              <w:rPr>
                <w:noProof/>
                <w:webHidden/>
              </w:rPr>
            </w:r>
            <w:r w:rsidR="007A6EA2">
              <w:rPr>
                <w:noProof/>
                <w:webHidden/>
              </w:rPr>
              <w:fldChar w:fldCharType="separate"/>
            </w:r>
            <w:r w:rsidR="007A6EA2">
              <w:rPr>
                <w:noProof/>
                <w:webHidden/>
              </w:rPr>
              <w:t>104</w:t>
            </w:r>
            <w:r w:rsidR="007A6EA2">
              <w:rPr>
                <w:noProof/>
                <w:webHidden/>
              </w:rPr>
              <w:fldChar w:fldCharType="end"/>
            </w:r>
          </w:hyperlink>
        </w:p>
        <w:p w14:paraId="19D38B75" w14:textId="30CB36A0" w:rsidR="007A6EA2" w:rsidRDefault="00000000">
          <w:pPr>
            <w:pStyle w:val="TOC2"/>
            <w:rPr>
              <w:rFonts w:eastAsiaTheme="minorEastAsia"/>
              <w:noProof/>
              <w:kern w:val="2"/>
              <w:lang w:eastAsia="en-AU"/>
              <w14:ligatures w14:val="standardContextual"/>
            </w:rPr>
          </w:pPr>
          <w:hyperlink w:anchor="_Toc153791928" w:history="1">
            <w:r w:rsidR="007A6EA2" w:rsidRPr="00CE4BB9">
              <w:rPr>
                <w:rStyle w:val="Hyperlink"/>
                <w:noProof/>
              </w:rPr>
              <w:t>Joint Community Program (Reference 123)</w:t>
            </w:r>
            <w:r w:rsidR="007A6EA2">
              <w:rPr>
                <w:noProof/>
                <w:webHidden/>
              </w:rPr>
              <w:tab/>
            </w:r>
            <w:r w:rsidR="007A6EA2">
              <w:rPr>
                <w:noProof/>
                <w:webHidden/>
              </w:rPr>
              <w:fldChar w:fldCharType="begin"/>
            </w:r>
            <w:r w:rsidR="007A6EA2">
              <w:rPr>
                <w:noProof/>
                <w:webHidden/>
              </w:rPr>
              <w:instrText xml:space="preserve"> PAGEREF _Toc153791928 \h </w:instrText>
            </w:r>
            <w:r w:rsidR="007A6EA2">
              <w:rPr>
                <w:noProof/>
                <w:webHidden/>
              </w:rPr>
            </w:r>
            <w:r w:rsidR="007A6EA2">
              <w:rPr>
                <w:noProof/>
                <w:webHidden/>
              </w:rPr>
              <w:fldChar w:fldCharType="separate"/>
            </w:r>
            <w:r w:rsidR="007A6EA2">
              <w:rPr>
                <w:noProof/>
                <w:webHidden/>
              </w:rPr>
              <w:t>105</w:t>
            </w:r>
            <w:r w:rsidR="007A6EA2">
              <w:rPr>
                <w:noProof/>
                <w:webHidden/>
              </w:rPr>
              <w:fldChar w:fldCharType="end"/>
            </w:r>
          </w:hyperlink>
        </w:p>
        <w:p w14:paraId="6399D295" w14:textId="654037D5" w:rsidR="007A6EA2" w:rsidRDefault="00000000">
          <w:pPr>
            <w:pStyle w:val="TOC2"/>
            <w:rPr>
              <w:rFonts w:eastAsiaTheme="minorEastAsia"/>
              <w:noProof/>
              <w:kern w:val="2"/>
              <w:lang w:eastAsia="en-AU"/>
              <w14:ligatures w14:val="standardContextual"/>
            </w:rPr>
          </w:pPr>
          <w:hyperlink w:anchor="_Toc153791929" w:history="1">
            <w:r w:rsidR="007A6EA2" w:rsidRPr="00CE4BB9">
              <w:rPr>
                <w:rStyle w:val="Hyperlink"/>
                <w:noProof/>
              </w:rPr>
              <w:t>Designated Bilingual Program (Reference 124)</w:t>
            </w:r>
            <w:r w:rsidR="007A6EA2">
              <w:rPr>
                <w:noProof/>
                <w:webHidden/>
              </w:rPr>
              <w:tab/>
            </w:r>
            <w:r w:rsidR="007A6EA2">
              <w:rPr>
                <w:noProof/>
                <w:webHidden/>
              </w:rPr>
              <w:fldChar w:fldCharType="begin"/>
            </w:r>
            <w:r w:rsidR="007A6EA2">
              <w:rPr>
                <w:noProof/>
                <w:webHidden/>
              </w:rPr>
              <w:instrText xml:space="preserve"> PAGEREF _Toc153791929 \h </w:instrText>
            </w:r>
            <w:r w:rsidR="007A6EA2">
              <w:rPr>
                <w:noProof/>
                <w:webHidden/>
              </w:rPr>
            </w:r>
            <w:r w:rsidR="007A6EA2">
              <w:rPr>
                <w:noProof/>
                <w:webHidden/>
              </w:rPr>
              <w:fldChar w:fldCharType="separate"/>
            </w:r>
            <w:r w:rsidR="007A6EA2">
              <w:rPr>
                <w:noProof/>
                <w:webHidden/>
              </w:rPr>
              <w:t>106</w:t>
            </w:r>
            <w:r w:rsidR="007A6EA2">
              <w:rPr>
                <w:noProof/>
                <w:webHidden/>
              </w:rPr>
              <w:fldChar w:fldCharType="end"/>
            </w:r>
          </w:hyperlink>
        </w:p>
        <w:p w14:paraId="1F30781F" w14:textId="213B1C7B" w:rsidR="007A6EA2" w:rsidRDefault="00000000">
          <w:pPr>
            <w:pStyle w:val="TOC2"/>
            <w:rPr>
              <w:rFonts w:eastAsiaTheme="minorEastAsia"/>
              <w:noProof/>
              <w:kern w:val="2"/>
              <w:lang w:eastAsia="en-AU"/>
              <w14:ligatures w14:val="standardContextual"/>
            </w:rPr>
          </w:pPr>
          <w:hyperlink w:anchor="_Toc153791930" w:history="1">
            <w:r w:rsidR="007A6EA2" w:rsidRPr="00CE4BB9">
              <w:rPr>
                <w:rStyle w:val="Hyperlink"/>
                <w:noProof/>
              </w:rPr>
              <w:t>Science and Technology (Reference 145)</w:t>
            </w:r>
            <w:r w:rsidR="007A6EA2">
              <w:rPr>
                <w:noProof/>
                <w:webHidden/>
              </w:rPr>
              <w:tab/>
            </w:r>
            <w:r w:rsidR="007A6EA2">
              <w:rPr>
                <w:noProof/>
                <w:webHidden/>
              </w:rPr>
              <w:fldChar w:fldCharType="begin"/>
            </w:r>
            <w:r w:rsidR="007A6EA2">
              <w:rPr>
                <w:noProof/>
                <w:webHidden/>
              </w:rPr>
              <w:instrText xml:space="preserve"> PAGEREF _Toc153791930 \h </w:instrText>
            </w:r>
            <w:r w:rsidR="007A6EA2">
              <w:rPr>
                <w:noProof/>
                <w:webHidden/>
              </w:rPr>
            </w:r>
            <w:r w:rsidR="007A6EA2">
              <w:rPr>
                <w:noProof/>
                <w:webHidden/>
              </w:rPr>
              <w:fldChar w:fldCharType="separate"/>
            </w:r>
            <w:r w:rsidR="007A6EA2">
              <w:rPr>
                <w:noProof/>
                <w:webHidden/>
              </w:rPr>
              <w:t>107</w:t>
            </w:r>
            <w:r w:rsidR="007A6EA2">
              <w:rPr>
                <w:noProof/>
                <w:webHidden/>
              </w:rPr>
              <w:fldChar w:fldCharType="end"/>
            </w:r>
          </w:hyperlink>
        </w:p>
        <w:p w14:paraId="217CF682" w14:textId="66C9ACA7" w:rsidR="007A6EA2" w:rsidRDefault="00000000" w:rsidP="007A6EA2">
          <w:pPr>
            <w:pStyle w:val="TOC1"/>
            <w:rPr>
              <w:rFonts w:eastAsiaTheme="minorEastAsia"/>
              <w:noProof/>
              <w:kern w:val="2"/>
              <w:lang w:eastAsia="en-AU"/>
              <w14:ligatures w14:val="standardContextual"/>
            </w:rPr>
          </w:pPr>
          <w:hyperlink w:anchor="_Toc153791931" w:history="1">
            <w:r w:rsidR="007A6EA2" w:rsidRPr="00CE4BB9">
              <w:rPr>
                <w:rStyle w:val="Hyperlink"/>
                <w:noProof/>
              </w:rPr>
              <w:t>Targeted Initiatives</w:t>
            </w:r>
            <w:r w:rsidR="007A6EA2">
              <w:rPr>
                <w:noProof/>
                <w:webHidden/>
              </w:rPr>
              <w:tab/>
            </w:r>
            <w:r w:rsidR="007A6EA2">
              <w:rPr>
                <w:noProof/>
                <w:webHidden/>
              </w:rPr>
              <w:fldChar w:fldCharType="begin"/>
            </w:r>
            <w:r w:rsidR="007A6EA2">
              <w:rPr>
                <w:noProof/>
                <w:webHidden/>
              </w:rPr>
              <w:instrText xml:space="preserve"> PAGEREF _Toc153791931 \h </w:instrText>
            </w:r>
            <w:r w:rsidR="007A6EA2">
              <w:rPr>
                <w:noProof/>
                <w:webHidden/>
              </w:rPr>
            </w:r>
            <w:r w:rsidR="007A6EA2">
              <w:rPr>
                <w:noProof/>
                <w:webHidden/>
              </w:rPr>
              <w:fldChar w:fldCharType="separate"/>
            </w:r>
            <w:r w:rsidR="007A6EA2">
              <w:rPr>
                <w:noProof/>
                <w:webHidden/>
              </w:rPr>
              <w:t>108</w:t>
            </w:r>
            <w:r w:rsidR="007A6EA2">
              <w:rPr>
                <w:noProof/>
                <w:webHidden/>
              </w:rPr>
              <w:fldChar w:fldCharType="end"/>
            </w:r>
          </w:hyperlink>
        </w:p>
        <w:p w14:paraId="5209AA60" w14:textId="4AC4BA51" w:rsidR="007A6EA2" w:rsidRDefault="00000000">
          <w:pPr>
            <w:pStyle w:val="TOC2"/>
            <w:rPr>
              <w:rFonts w:eastAsiaTheme="minorEastAsia"/>
              <w:noProof/>
              <w:kern w:val="2"/>
              <w:lang w:eastAsia="en-AU"/>
              <w14:ligatures w14:val="standardContextual"/>
            </w:rPr>
          </w:pPr>
          <w:hyperlink w:anchor="_Toc153791932" w:history="1">
            <w:r w:rsidR="007A6EA2" w:rsidRPr="00CE4BB9">
              <w:rPr>
                <w:rStyle w:val="Hyperlink"/>
                <w:noProof/>
              </w:rPr>
              <w:t>Primary Welfare (Reference 50)</w:t>
            </w:r>
            <w:r w:rsidR="007A6EA2">
              <w:rPr>
                <w:noProof/>
                <w:webHidden/>
              </w:rPr>
              <w:tab/>
            </w:r>
            <w:r w:rsidR="007A6EA2">
              <w:rPr>
                <w:noProof/>
                <w:webHidden/>
              </w:rPr>
              <w:fldChar w:fldCharType="begin"/>
            </w:r>
            <w:r w:rsidR="007A6EA2">
              <w:rPr>
                <w:noProof/>
                <w:webHidden/>
              </w:rPr>
              <w:instrText xml:space="preserve"> PAGEREF _Toc153791932 \h </w:instrText>
            </w:r>
            <w:r w:rsidR="007A6EA2">
              <w:rPr>
                <w:noProof/>
                <w:webHidden/>
              </w:rPr>
            </w:r>
            <w:r w:rsidR="007A6EA2">
              <w:rPr>
                <w:noProof/>
                <w:webHidden/>
              </w:rPr>
              <w:fldChar w:fldCharType="separate"/>
            </w:r>
            <w:r w:rsidR="007A6EA2">
              <w:rPr>
                <w:noProof/>
                <w:webHidden/>
              </w:rPr>
              <w:t>110</w:t>
            </w:r>
            <w:r w:rsidR="007A6EA2">
              <w:rPr>
                <w:noProof/>
                <w:webHidden/>
              </w:rPr>
              <w:fldChar w:fldCharType="end"/>
            </w:r>
          </w:hyperlink>
        </w:p>
        <w:p w14:paraId="57D9F3D9" w14:textId="69EB9F29" w:rsidR="007A6EA2" w:rsidRDefault="00000000">
          <w:pPr>
            <w:pStyle w:val="TOC2"/>
            <w:rPr>
              <w:rFonts w:eastAsiaTheme="minorEastAsia"/>
              <w:noProof/>
              <w:kern w:val="2"/>
              <w:lang w:eastAsia="en-AU"/>
              <w14:ligatures w14:val="standardContextual"/>
            </w:rPr>
          </w:pPr>
          <w:hyperlink w:anchor="_Toc153791933" w:history="1">
            <w:r w:rsidR="007A6EA2" w:rsidRPr="00CE4BB9">
              <w:rPr>
                <w:rStyle w:val="Hyperlink"/>
                <w:noProof/>
              </w:rPr>
              <w:t>Late Enrolment and Senior Secondary Re-engagement (Reference 53)</w:t>
            </w:r>
            <w:r w:rsidR="007A6EA2">
              <w:rPr>
                <w:noProof/>
                <w:webHidden/>
              </w:rPr>
              <w:tab/>
            </w:r>
            <w:r w:rsidR="007A6EA2">
              <w:rPr>
                <w:noProof/>
                <w:webHidden/>
              </w:rPr>
              <w:fldChar w:fldCharType="begin"/>
            </w:r>
            <w:r w:rsidR="007A6EA2">
              <w:rPr>
                <w:noProof/>
                <w:webHidden/>
              </w:rPr>
              <w:instrText xml:space="preserve"> PAGEREF _Toc153791933 \h </w:instrText>
            </w:r>
            <w:r w:rsidR="007A6EA2">
              <w:rPr>
                <w:noProof/>
                <w:webHidden/>
              </w:rPr>
            </w:r>
            <w:r w:rsidR="007A6EA2">
              <w:rPr>
                <w:noProof/>
                <w:webHidden/>
              </w:rPr>
              <w:fldChar w:fldCharType="separate"/>
            </w:r>
            <w:r w:rsidR="007A6EA2">
              <w:rPr>
                <w:noProof/>
                <w:webHidden/>
              </w:rPr>
              <w:t>112</w:t>
            </w:r>
            <w:r w:rsidR="007A6EA2">
              <w:rPr>
                <w:noProof/>
                <w:webHidden/>
              </w:rPr>
              <w:fldChar w:fldCharType="end"/>
            </w:r>
          </w:hyperlink>
        </w:p>
        <w:p w14:paraId="5F6CB6E7" w14:textId="7C3EF8DB" w:rsidR="007A6EA2" w:rsidRDefault="00000000">
          <w:pPr>
            <w:pStyle w:val="TOC2"/>
            <w:rPr>
              <w:rFonts w:eastAsiaTheme="minorEastAsia"/>
              <w:noProof/>
              <w:kern w:val="2"/>
              <w:lang w:eastAsia="en-AU"/>
              <w14:ligatures w14:val="standardContextual"/>
            </w:rPr>
          </w:pPr>
          <w:hyperlink w:anchor="_Toc153791934" w:history="1">
            <w:r w:rsidR="007A6EA2" w:rsidRPr="00CE4BB9">
              <w:rPr>
                <w:rStyle w:val="Hyperlink"/>
                <w:noProof/>
              </w:rPr>
              <w:t>Doctors in Secondary Schools — School program lead funding (Reference 64)</w:t>
            </w:r>
            <w:r w:rsidR="007A6EA2">
              <w:rPr>
                <w:noProof/>
                <w:webHidden/>
              </w:rPr>
              <w:tab/>
            </w:r>
            <w:r w:rsidR="007A6EA2">
              <w:rPr>
                <w:noProof/>
                <w:webHidden/>
              </w:rPr>
              <w:fldChar w:fldCharType="begin"/>
            </w:r>
            <w:r w:rsidR="007A6EA2">
              <w:rPr>
                <w:noProof/>
                <w:webHidden/>
              </w:rPr>
              <w:instrText xml:space="preserve"> PAGEREF _Toc153791934 \h </w:instrText>
            </w:r>
            <w:r w:rsidR="007A6EA2">
              <w:rPr>
                <w:noProof/>
                <w:webHidden/>
              </w:rPr>
            </w:r>
            <w:r w:rsidR="007A6EA2">
              <w:rPr>
                <w:noProof/>
                <w:webHidden/>
              </w:rPr>
              <w:fldChar w:fldCharType="separate"/>
            </w:r>
            <w:r w:rsidR="007A6EA2">
              <w:rPr>
                <w:noProof/>
                <w:webHidden/>
              </w:rPr>
              <w:t>115</w:t>
            </w:r>
            <w:r w:rsidR="007A6EA2">
              <w:rPr>
                <w:noProof/>
                <w:webHidden/>
              </w:rPr>
              <w:fldChar w:fldCharType="end"/>
            </w:r>
          </w:hyperlink>
        </w:p>
        <w:p w14:paraId="68B1AB69" w14:textId="15F4419B" w:rsidR="007A6EA2" w:rsidRDefault="00000000">
          <w:pPr>
            <w:pStyle w:val="TOC2"/>
            <w:rPr>
              <w:rFonts w:eastAsiaTheme="minorEastAsia"/>
              <w:noProof/>
              <w:kern w:val="2"/>
              <w:lang w:eastAsia="en-AU"/>
              <w14:ligatures w14:val="standardContextual"/>
            </w:rPr>
          </w:pPr>
          <w:hyperlink w:anchor="_Toc153791935" w:history="1">
            <w:r w:rsidR="007A6EA2" w:rsidRPr="00CE4BB9">
              <w:rPr>
                <w:rStyle w:val="Hyperlink"/>
                <w:noProof/>
              </w:rPr>
              <w:t>Respectful Relationships (Reference 86)</w:t>
            </w:r>
            <w:r w:rsidR="007A6EA2">
              <w:rPr>
                <w:noProof/>
                <w:webHidden/>
              </w:rPr>
              <w:tab/>
            </w:r>
            <w:r w:rsidR="007A6EA2">
              <w:rPr>
                <w:noProof/>
                <w:webHidden/>
              </w:rPr>
              <w:fldChar w:fldCharType="begin"/>
            </w:r>
            <w:r w:rsidR="007A6EA2">
              <w:rPr>
                <w:noProof/>
                <w:webHidden/>
              </w:rPr>
              <w:instrText xml:space="preserve"> PAGEREF _Toc153791935 \h </w:instrText>
            </w:r>
            <w:r w:rsidR="007A6EA2">
              <w:rPr>
                <w:noProof/>
                <w:webHidden/>
              </w:rPr>
            </w:r>
            <w:r w:rsidR="007A6EA2">
              <w:rPr>
                <w:noProof/>
                <w:webHidden/>
              </w:rPr>
              <w:fldChar w:fldCharType="separate"/>
            </w:r>
            <w:r w:rsidR="007A6EA2">
              <w:rPr>
                <w:noProof/>
                <w:webHidden/>
              </w:rPr>
              <w:t>117</w:t>
            </w:r>
            <w:r w:rsidR="007A6EA2">
              <w:rPr>
                <w:noProof/>
                <w:webHidden/>
              </w:rPr>
              <w:fldChar w:fldCharType="end"/>
            </w:r>
          </w:hyperlink>
        </w:p>
        <w:p w14:paraId="0309BFC7" w14:textId="1960AF6D" w:rsidR="007A6EA2" w:rsidRDefault="00000000">
          <w:pPr>
            <w:pStyle w:val="TOC2"/>
            <w:rPr>
              <w:rFonts w:eastAsiaTheme="minorEastAsia"/>
              <w:noProof/>
              <w:kern w:val="2"/>
              <w:lang w:eastAsia="en-AU"/>
              <w14:ligatures w14:val="standardContextual"/>
            </w:rPr>
          </w:pPr>
          <w:hyperlink w:anchor="_Toc153791936" w:history="1">
            <w:r w:rsidR="007A6EA2" w:rsidRPr="00CE4BB9">
              <w:rPr>
                <w:rStyle w:val="Hyperlink"/>
                <w:noProof/>
              </w:rPr>
              <w:t>Career Education Funding (Reference 91)</w:t>
            </w:r>
            <w:r w:rsidR="007A6EA2">
              <w:rPr>
                <w:noProof/>
                <w:webHidden/>
              </w:rPr>
              <w:tab/>
            </w:r>
            <w:r w:rsidR="007A6EA2">
              <w:rPr>
                <w:noProof/>
                <w:webHidden/>
              </w:rPr>
              <w:fldChar w:fldCharType="begin"/>
            </w:r>
            <w:r w:rsidR="007A6EA2">
              <w:rPr>
                <w:noProof/>
                <w:webHidden/>
              </w:rPr>
              <w:instrText xml:space="preserve"> PAGEREF _Toc153791936 \h </w:instrText>
            </w:r>
            <w:r w:rsidR="007A6EA2">
              <w:rPr>
                <w:noProof/>
                <w:webHidden/>
              </w:rPr>
            </w:r>
            <w:r w:rsidR="007A6EA2">
              <w:rPr>
                <w:noProof/>
                <w:webHidden/>
              </w:rPr>
              <w:fldChar w:fldCharType="separate"/>
            </w:r>
            <w:r w:rsidR="007A6EA2">
              <w:rPr>
                <w:noProof/>
                <w:webHidden/>
              </w:rPr>
              <w:t>118</w:t>
            </w:r>
            <w:r w:rsidR="007A6EA2">
              <w:rPr>
                <w:noProof/>
                <w:webHidden/>
              </w:rPr>
              <w:fldChar w:fldCharType="end"/>
            </w:r>
          </w:hyperlink>
        </w:p>
        <w:p w14:paraId="280EE699" w14:textId="62568657" w:rsidR="007A6EA2" w:rsidRDefault="00000000">
          <w:pPr>
            <w:pStyle w:val="TOC2"/>
            <w:rPr>
              <w:rFonts w:eastAsiaTheme="minorEastAsia"/>
              <w:noProof/>
              <w:kern w:val="2"/>
              <w:lang w:eastAsia="en-AU"/>
              <w14:ligatures w14:val="standardContextual"/>
            </w:rPr>
          </w:pPr>
          <w:hyperlink w:anchor="_Toc153791937" w:history="1">
            <w:r w:rsidR="007A6EA2" w:rsidRPr="00CE4BB9">
              <w:rPr>
                <w:rStyle w:val="Hyperlink"/>
                <w:noProof/>
              </w:rPr>
              <w:t>Swimming in Schools (Reference 115)</w:t>
            </w:r>
            <w:r w:rsidR="007A6EA2">
              <w:rPr>
                <w:noProof/>
                <w:webHidden/>
              </w:rPr>
              <w:tab/>
            </w:r>
            <w:r w:rsidR="007A6EA2">
              <w:rPr>
                <w:noProof/>
                <w:webHidden/>
              </w:rPr>
              <w:fldChar w:fldCharType="begin"/>
            </w:r>
            <w:r w:rsidR="007A6EA2">
              <w:rPr>
                <w:noProof/>
                <w:webHidden/>
              </w:rPr>
              <w:instrText xml:space="preserve"> PAGEREF _Toc153791937 \h </w:instrText>
            </w:r>
            <w:r w:rsidR="007A6EA2">
              <w:rPr>
                <w:noProof/>
                <w:webHidden/>
              </w:rPr>
            </w:r>
            <w:r w:rsidR="007A6EA2">
              <w:rPr>
                <w:noProof/>
                <w:webHidden/>
              </w:rPr>
              <w:fldChar w:fldCharType="separate"/>
            </w:r>
            <w:r w:rsidR="007A6EA2">
              <w:rPr>
                <w:noProof/>
                <w:webHidden/>
              </w:rPr>
              <w:t>121</w:t>
            </w:r>
            <w:r w:rsidR="007A6EA2">
              <w:rPr>
                <w:noProof/>
                <w:webHidden/>
              </w:rPr>
              <w:fldChar w:fldCharType="end"/>
            </w:r>
          </w:hyperlink>
        </w:p>
        <w:p w14:paraId="5EB142FD" w14:textId="6B03D212" w:rsidR="007A6EA2" w:rsidRDefault="00000000">
          <w:pPr>
            <w:pStyle w:val="TOC2"/>
            <w:rPr>
              <w:rFonts w:eastAsiaTheme="minorEastAsia"/>
              <w:noProof/>
              <w:kern w:val="2"/>
              <w:lang w:eastAsia="en-AU"/>
              <w14:ligatures w14:val="standardContextual"/>
            </w:rPr>
          </w:pPr>
          <w:hyperlink w:anchor="_Toc153791938" w:history="1">
            <w:r w:rsidR="007A6EA2" w:rsidRPr="00CE4BB9">
              <w:rPr>
                <w:rStyle w:val="Hyperlink"/>
                <w:noProof/>
              </w:rPr>
              <w:t>Head Start (Reference 116)</w:t>
            </w:r>
            <w:r w:rsidR="007A6EA2">
              <w:rPr>
                <w:noProof/>
                <w:webHidden/>
              </w:rPr>
              <w:tab/>
            </w:r>
            <w:r w:rsidR="007A6EA2">
              <w:rPr>
                <w:noProof/>
                <w:webHidden/>
              </w:rPr>
              <w:fldChar w:fldCharType="begin"/>
            </w:r>
            <w:r w:rsidR="007A6EA2">
              <w:rPr>
                <w:noProof/>
                <w:webHidden/>
              </w:rPr>
              <w:instrText xml:space="preserve"> PAGEREF _Toc153791938 \h </w:instrText>
            </w:r>
            <w:r w:rsidR="007A6EA2">
              <w:rPr>
                <w:noProof/>
                <w:webHidden/>
              </w:rPr>
            </w:r>
            <w:r w:rsidR="007A6EA2">
              <w:rPr>
                <w:noProof/>
                <w:webHidden/>
              </w:rPr>
              <w:fldChar w:fldCharType="separate"/>
            </w:r>
            <w:r w:rsidR="007A6EA2">
              <w:rPr>
                <w:noProof/>
                <w:webHidden/>
              </w:rPr>
              <w:t>123</w:t>
            </w:r>
            <w:r w:rsidR="007A6EA2">
              <w:rPr>
                <w:noProof/>
                <w:webHidden/>
              </w:rPr>
              <w:fldChar w:fldCharType="end"/>
            </w:r>
          </w:hyperlink>
        </w:p>
        <w:p w14:paraId="5163D8B9" w14:textId="1E16EA73" w:rsidR="007A6EA2" w:rsidRDefault="00000000">
          <w:pPr>
            <w:pStyle w:val="TOC2"/>
            <w:rPr>
              <w:rFonts w:eastAsiaTheme="minorEastAsia"/>
              <w:noProof/>
              <w:kern w:val="2"/>
              <w:lang w:eastAsia="en-AU"/>
              <w14:ligatures w14:val="standardContextual"/>
            </w:rPr>
          </w:pPr>
          <w:hyperlink w:anchor="_Toc153791939" w:history="1">
            <w:r w:rsidR="007A6EA2" w:rsidRPr="00CE4BB9">
              <w:rPr>
                <w:rStyle w:val="Hyperlink"/>
                <w:noProof/>
              </w:rPr>
              <w:t>National Student Wellbeing Program (NSWP) (Reference 117)</w:t>
            </w:r>
            <w:r w:rsidR="007A6EA2">
              <w:rPr>
                <w:noProof/>
                <w:webHidden/>
              </w:rPr>
              <w:tab/>
            </w:r>
            <w:r w:rsidR="007A6EA2">
              <w:rPr>
                <w:noProof/>
                <w:webHidden/>
              </w:rPr>
              <w:fldChar w:fldCharType="begin"/>
            </w:r>
            <w:r w:rsidR="007A6EA2">
              <w:rPr>
                <w:noProof/>
                <w:webHidden/>
              </w:rPr>
              <w:instrText xml:space="preserve"> PAGEREF _Toc153791939 \h </w:instrText>
            </w:r>
            <w:r w:rsidR="007A6EA2">
              <w:rPr>
                <w:noProof/>
                <w:webHidden/>
              </w:rPr>
            </w:r>
            <w:r w:rsidR="007A6EA2">
              <w:rPr>
                <w:noProof/>
                <w:webHidden/>
              </w:rPr>
              <w:fldChar w:fldCharType="separate"/>
            </w:r>
            <w:r w:rsidR="007A6EA2">
              <w:rPr>
                <w:noProof/>
                <w:webHidden/>
              </w:rPr>
              <w:t>124</w:t>
            </w:r>
            <w:r w:rsidR="007A6EA2">
              <w:rPr>
                <w:noProof/>
                <w:webHidden/>
              </w:rPr>
              <w:fldChar w:fldCharType="end"/>
            </w:r>
          </w:hyperlink>
        </w:p>
        <w:p w14:paraId="7E7E11DC" w14:textId="2A7A18D1" w:rsidR="007A6EA2" w:rsidRDefault="00000000">
          <w:pPr>
            <w:pStyle w:val="TOC2"/>
            <w:rPr>
              <w:rFonts w:eastAsiaTheme="minorEastAsia"/>
              <w:noProof/>
              <w:kern w:val="2"/>
              <w:lang w:eastAsia="en-AU"/>
              <w14:ligatures w14:val="standardContextual"/>
            </w:rPr>
          </w:pPr>
          <w:hyperlink w:anchor="_Toc153791940" w:history="1">
            <w:r w:rsidR="007A6EA2" w:rsidRPr="00CE4BB9">
              <w:rPr>
                <w:rStyle w:val="Hyperlink"/>
                <w:noProof/>
              </w:rPr>
              <w:t>Middle Years Literacy and Numeracy Support Initiative (Reference 118)</w:t>
            </w:r>
            <w:r w:rsidR="007A6EA2">
              <w:rPr>
                <w:noProof/>
                <w:webHidden/>
              </w:rPr>
              <w:tab/>
            </w:r>
            <w:r w:rsidR="007A6EA2">
              <w:rPr>
                <w:noProof/>
                <w:webHidden/>
              </w:rPr>
              <w:fldChar w:fldCharType="begin"/>
            </w:r>
            <w:r w:rsidR="007A6EA2">
              <w:rPr>
                <w:noProof/>
                <w:webHidden/>
              </w:rPr>
              <w:instrText xml:space="preserve"> PAGEREF _Toc153791940 \h </w:instrText>
            </w:r>
            <w:r w:rsidR="007A6EA2">
              <w:rPr>
                <w:noProof/>
                <w:webHidden/>
              </w:rPr>
            </w:r>
            <w:r w:rsidR="007A6EA2">
              <w:rPr>
                <w:noProof/>
                <w:webHidden/>
              </w:rPr>
              <w:fldChar w:fldCharType="separate"/>
            </w:r>
            <w:r w:rsidR="007A6EA2">
              <w:rPr>
                <w:noProof/>
                <w:webHidden/>
              </w:rPr>
              <w:t>125</w:t>
            </w:r>
            <w:r w:rsidR="007A6EA2">
              <w:rPr>
                <w:noProof/>
                <w:webHidden/>
              </w:rPr>
              <w:fldChar w:fldCharType="end"/>
            </w:r>
          </w:hyperlink>
        </w:p>
        <w:p w14:paraId="45803143" w14:textId="074FA740" w:rsidR="007A6EA2" w:rsidRDefault="00000000">
          <w:pPr>
            <w:pStyle w:val="TOC2"/>
            <w:rPr>
              <w:rFonts w:eastAsiaTheme="minorEastAsia"/>
              <w:noProof/>
              <w:kern w:val="2"/>
              <w:lang w:eastAsia="en-AU"/>
              <w14:ligatures w14:val="standardContextual"/>
            </w:rPr>
          </w:pPr>
          <w:hyperlink w:anchor="_Toc153791941" w:history="1">
            <w:r w:rsidR="007A6EA2" w:rsidRPr="00CE4BB9">
              <w:rPr>
                <w:rStyle w:val="Hyperlink"/>
                <w:noProof/>
              </w:rPr>
              <w:t>Student Excellence Program Funding (Reference 120)</w:t>
            </w:r>
            <w:r w:rsidR="007A6EA2">
              <w:rPr>
                <w:noProof/>
                <w:webHidden/>
              </w:rPr>
              <w:tab/>
            </w:r>
            <w:r w:rsidR="007A6EA2">
              <w:rPr>
                <w:noProof/>
                <w:webHidden/>
              </w:rPr>
              <w:fldChar w:fldCharType="begin"/>
            </w:r>
            <w:r w:rsidR="007A6EA2">
              <w:rPr>
                <w:noProof/>
                <w:webHidden/>
              </w:rPr>
              <w:instrText xml:space="preserve"> PAGEREF _Toc153791941 \h </w:instrText>
            </w:r>
            <w:r w:rsidR="007A6EA2">
              <w:rPr>
                <w:noProof/>
                <w:webHidden/>
              </w:rPr>
            </w:r>
            <w:r w:rsidR="007A6EA2">
              <w:rPr>
                <w:noProof/>
                <w:webHidden/>
              </w:rPr>
              <w:fldChar w:fldCharType="separate"/>
            </w:r>
            <w:r w:rsidR="007A6EA2">
              <w:rPr>
                <w:noProof/>
                <w:webHidden/>
              </w:rPr>
              <w:t>128</w:t>
            </w:r>
            <w:r w:rsidR="007A6EA2">
              <w:rPr>
                <w:noProof/>
                <w:webHidden/>
              </w:rPr>
              <w:fldChar w:fldCharType="end"/>
            </w:r>
          </w:hyperlink>
        </w:p>
        <w:p w14:paraId="61EEB96B" w14:textId="18175049" w:rsidR="007A6EA2" w:rsidRDefault="00000000">
          <w:pPr>
            <w:pStyle w:val="TOC2"/>
            <w:rPr>
              <w:rFonts w:eastAsiaTheme="minorEastAsia"/>
              <w:noProof/>
              <w:kern w:val="2"/>
              <w:lang w:eastAsia="en-AU"/>
              <w14:ligatures w14:val="standardContextual"/>
            </w:rPr>
          </w:pPr>
          <w:hyperlink w:anchor="_Toc153791942" w:history="1">
            <w:r w:rsidR="007A6EA2" w:rsidRPr="00CE4BB9">
              <w:rPr>
                <w:rStyle w:val="Hyperlink"/>
                <w:noProof/>
              </w:rPr>
              <w:t>VCE Revision Lectures (Reference 121)</w:t>
            </w:r>
            <w:r w:rsidR="007A6EA2">
              <w:rPr>
                <w:noProof/>
                <w:webHidden/>
              </w:rPr>
              <w:tab/>
            </w:r>
            <w:r w:rsidR="007A6EA2">
              <w:rPr>
                <w:noProof/>
                <w:webHidden/>
              </w:rPr>
              <w:fldChar w:fldCharType="begin"/>
            </w:r>
            <w:r w:rsidR="007A6EA2">
              <w:rPr>
                <w:noProof/>
                <w:webHidden/>
              </w:rPr>
              <w:instrText xml:space="preserve"> PAGEREF _Toc153791942 \h </w:instrText>
            </w:r>
            <w:r w:rsidR="007A6EA2">
              <w:rPr>
                <w:noProof/>
                <w:webHidden/>
              </w:rPr>
            </w:r>
            <w:r w:rsidR="007A6EA2">
              <w:rPr>
                <w:noProof/>
                <w:webHidden/>
              </w:rPr>
              <w:fldChar w:fldCharType="separate"/>
            </w:r>
            <w:r w:rsidR="007A6EA2">
              <w:rPr>
                <w:noProof/>
                <w:webHidden/>
              </w:rPr>
              <w:t>131</w:t>
            </w:r>
            <w:r w:rsidR="007A6EA2">
              <w:rPr>
                <w:noProof/>
                <w:webHidden/>
              </w:rPr>
              <w:fldChar w:fldCharType="end"/>
            </w:r>
          </w:hyperlink>
        </w:p>
        <w:p w14:paraId="1E4C3529" w14:textId="02A721EC" w:rsidR="007A6EA2" w:rsidRDefault="00000000">
          <w:pPr>
            <w:pStyle w:val="TOC2"/>
            <w:rPr>
              <w:rFonts w:eastAsiaTheme="minorEastAsia"/>
              <w:noProof/>
              <w:kern w:val="2"/>
              <w:lang w:eastAsia="en-AU"/>
              <w14:ligatures w14:val="standardContextual"/>
            </w:rPr>
          </w:pPr>
          <w:hyperlink w:anchor="_Toc153791943" w:history="1">
            <w:r w:rsidR="007A6EA2" w:rsidRPr="00CE4BB9">
              <w:rPr>
                <w:rStyle w:val="Hyperlink"/>
                <w:noProof/>
              </w:rPr>
              <w:t>Primary Mathematics and Science Specialists Initiative (Reference 125)</w:t>
            </w:r>
            <w:r w:rsidR="007A6EA2">
              <w:rPr>
                <w:noProof/>
                <w:webHidden/>
              </w:rPr>
              <w:tab/>
            </w:r>
            <w:r w:rsidR="007A6EA2">
              <w:rPr>
                <w:noProof/>
                <w:webHidden/>
              </w:rPr>
              <w:fldChar w:fldCharType="begin"/>
            </w:r>
            <w:r w:rsidR="007A6EA2">
              <w:rPr>
                <w:noProof/>
                <w:webHidden/>
              </w:rPr>
              <w:instrText xml:space="preserve"> PAGEREF _Toc153791943 \h </w:instrText>
            </w:r>
            <w:r w:rsidR="007A6EA2">
              <w:rPr>
                <w:noProof/>
                <w:webHidden/>
              </w:rPr>
            </w:r>
            <w:r w:rsidR="007A6EA2">
              <w:rPr>
                <w:noProof/>
                <w:webHidden/>
              </w:rPr>
              <w:fldChar w:fldCharType="separate"/>
            </w:r>
            <w:r w:rsidR="007A6EA2">
              <w:rPr>
                <w:noProof/>
                <w:webHidden/>
              </w:rPr>
              <w:t>133</w:t>
            </w:r>
            <w:r w:rsidR="007A6EA2">
              <w:rPr>
                <w:noProof/>
                <w:webHidden/>
              </w:rPr>
              <w:fldChar w:fldCharType="end"/>
            </w:r>
          </w:hyperlink>
        </w:p>
        <w:p w14:paraId="6CA01FF6" w14:textId="13DC875F" w:rsidR="007A6EA2" w:rsidRDefault="00000000">
          <w:pPr>
            <w:pStyle w:val="TOC2"/>
            <w:rPr>
              <w:rFonts w:eastAsiaTheme="minorEastAsia"/>
              <w:noProof/>
              <w:kern w:val="2"/>
              <w:lang w:eastAsia="en-AU"/>
              <w14:ligatures w14:val="standardContextual"/>
            </w:rPr>
          </w:pPr>
          <w:hyperlink w:anchor="_Toc153791944" w:history="1">
            <w:r w:rsidR="007A6EA2" w:rsidRPr="00CE4BB9">
              <w:rPr>
                <w:rStyle w:val="Hyperlink"/>
                <w:noProof/>
              </w:rPr>
              <w:t>Transition Funding (Rural) (Reference 126)</w:t>
            </w:r>
            <w:r w:rsidR="007A6EA2">
              <w:rPr>
                <w:noProof/>
                <w:webHidden/>
              </w:rPr>
              <w:tab/>
            </w:r>
            <w:r w:rsidR="007A6EA2">
              <w:rPr>
                <w:noProof/>
                <w:webHidden/>
              </w:rPr>
              <w:fldChar w:fldCharType="begin"/>
            </w:r>
            <w:r w:rsidR="007A6EA2">
              <w:rPr>
                <w:noProof/>
                <w:webHidden/>
              </w:rPr>
              <w:instrText xml:space="preserve"> PAGEREF _Toc153791944 \h </w:instrText>
            </w:r>
            <w:r w:rsidR="007A6EA2">
              <w:rPr>
                <w:noProof/>
                <w:webHidden/>
              </w:rPr>
            </w:r>
            <w:r w:rsidR="007A6EA2">
              <w:rPr>
                <w:noProof/>
                <w:webHidden/>
              </w:rPr>
              <w:fldChar w:fldCharType="separate"/>
            </w:r>
            <w:r w:rsidR="007A6EA2">
              <w:rPr>
                <w:noProof/>
                <w:webHidden/>
              </w:rPr>
              <w:t>134</w:t>
            </w:r>
            <w:r w:rsidR="007A6EA2">
              <w:rPr>
                <w:noProof/>
                <w:webHidden/>
              </w:rPr>
              <w:fldChar w:fldCharType="end"/>
            </w:r>
          </w:hyperlink>
        </w:p>
        <w:p w14:paraId="55F717CD" w14:textId="10DB562F" w:rsidR="007A6EA2" w:rsidRDefault="00000000">
          <w:pPr>
            <w:pStyle w:val="TOC2"/>
            <w:rPr>
              <w:rFonts w:eastAsiaTheme="minorEastAsia"/>
              <w:noProof/>
              <w:kern w:val="2"/>
              <w:lang w:eastAsia="en-AU"/>
              <w14:ligatures w14:val="standardContextual"/>
            </w:rPr>
          </w:pPr>
          <w:hyperlink w:anchor="_Toc153791945" w:history="1">
            <w:r w:rsidR="007A6EA2" w:rsidRPr="00CE4BB9">
              <w:rPr>
                <w:rStyle w:val="Hyperlink"/>
                <w:noProof/>
              </w:rPr>
              <w:t>Jobs, Skills and Pathways Coordination (Reference 127)</w:t>
            </w:r>
            <w:r w:rsidR="007A6EA2">
              <w:rPr>
                <w:noProof/>
                <w:webHidden/>
              </w:rPr>
              <w:tab/>
            </w:r>
            <w:r w:rsidR="007A6EA2">
              <w:rPr>
                <w:noProof/>
                <w:webHidden/>
              </w:rPr>
              <w:fldChar w:fldCharType="begin"/>
            </w:r>
            <w:r w:rsidR="007A6EA2">
              <w:rPr>
                <w:noProof/>
                <w:webHidden/>
              </w:rPr>
              <w:instrText xml:space="preserve"> PAGEREF _Toc153791945 \h </w:instrText>
            </w:r>
            <w:r w:rsidR="007A6EA2">
              <w:rPr>
                <w:noProof/>
                <w:webHidden/>
              </w:rPr>
            </w:r>
            <w:r w:rsidR="007A6EA2">
              <w:rPr>
                <w:noProof/>
                <w:webHidden/>
              </w:rPr>
              <w:fldChar w:fldCharType="separate"/>
            </w:r>
            <w:r w:rsidR="007A6EA2">
              <w:rPr>
                <w:noProof/>
                <w:webHidden/>
              </w:rPr>
              <w:t>136</w:t>
            </w:r>
            <w:r w:rsidR="007A6EA2">
              <w:rPr>
                <w:noProof/>
                <w:webHidden/>
              </w:rPr>
              <w:fldChar w:fldCharType="end"/>
            </w:r>
          </w:hyperlink>
        </w:p>
        <w:p w14:paraId="035901FF" w14:textId="7405B9D3" w:rsidR="007A6EA2" w:rsidRDefault="00000000">
          <w:pPr>
            <w:pStyle w:val="TOC2"/>
            <w:rPr>
              <w:rFonts w:eastAsiaTheme="minorEastAsia"/>
              <w:noProof/>
              <w:kern w:val="2"/>
              <w:lang w:eastAsia="en-AU"/>
              <w14:ligatures w14:val="standardContextual"/>
            </w:rPr>
          </w:pPr>
          <w:hyperlink w:anchor="_Toc153791946" w:history="1">
            <w:r w:rsidR="007A6EA2" w:rsidRPr="00CE4BB9">
              <w:rPr>
                <w:rStyle w:val="Hyperlink"/>
                <w:noProof/>
              </w:rPr>
              <w:t>Tutor Learning Initiative (Reference 129)</w:t>
            </w:r>
            <w:r w:rsidR="007A6EA2">
              <w:rPr>
                <w:noProof/>
                <w:webHidden/>
              </w:rPr>
              <w:tab/>
            </w:r>
            <w:r w:rsidR="007A6EA2">
              <w:rPr>
                <w:noProof/>
                <w:webHidden/>
              </w:rPr>
              <w:fldChar w:fldCharType="begin"/>
            </w:r>
            <w:r w:rsidR="007A6EA2">
              <w:rPr>
                <w:noProof/>
                <w:webHidden/>
              </w:rPr>
              <w:instrText xml:space="preserve"> PAGEREF _Toc153791946 \h </w:instrText>
            </w:r>
            <w:r w:rsidR="007A6EA2">
              <w:rPr>
                <w:noProof/>
                <w:webHidden/>
              </w:rPr>
            </w:r>
            <w:r w:rsidR="007A6EA2">
              <w:rPr>
                <w:noProof/>
                <w:webHidden/>
              </w:rPr>
              <w:fldChar w:fldCharType="separate"/>
            </w:r>
            <w:r w:rsidR="007A6EA2">
              <w:rPr>
                <w:noProof/>
                <w:webHidden/>
              </w:rPr>
              <w:t>138</w:t>
            </w:r>
            <w:r w:rsidR="007A6EA2">
              <w:rPr>
                <w:noProof/>
                <w:webHidden/>
              </w:rPr>
              <w:fldChar w:fldCharType="end"/>
            </w:r>
          </w:hyperlink>
        </w:p>
        <w:p w14:paraId="08AE440B" w14:textId="29C5EBCE" w:rsidR="007A6EA2" w:rsidRDefault="00000000">
          <w:pPr>
            <w:pStyle w:val="TOC2"/>
            <w:rPr>
              <w:rFonts w:eastAsiaTheme="minorEastAsia"/>
              <w:noProof/>
              <w:kern w:val="2"/>
              <w:lang w:eastAsia="en-AU"/>
              <w14:ligatures w14:val="standardContextual"/>
            </w:rPr>
          </w:pPr>
          <w:hyperlink w:anchor="_Toc153791947" w:history="1">
            <w:r w:rsidR="007A6EA2" w:rsidRPr="00CE4BB9">
              <w:rPr>
                <w:rStyle w:val="Hyperlink"/>
                <w:noProof/>
              </w:rPr>
              <w:t>Mental Health in Primary Schools (Reference 130)</w:t>
            </w:r>
            <w:r w:rsidR="007A6EA2">
              <w:rPr>
                <w:noProof/>
                <w:webHidden/>
              </w:rPr>
              <w:tab/>
            </w:r>
            <w:r w:rsidR="007A6EA2">
              <w:rPr>
                <w:noProof/>
                <w:webHidden/>
              </w:rPr>
              <w:fldChar w:fldCharType="begin"/>
            </w:r>
            <w:r w:rsidR="007A6EA2">
              <w:rPr>
                <w:noProof/>
                <w:webHidden/>
              </w:rPr>
              <w:instrText xml:space="preserve"> PAGEREF _Toc153791947 \h </w:instrText>
            </w:r>
            <w:r w:rsidR="007A6EA2">
              <w:rPr>
                <w:noProof/>
                <w:webHidden/>
              </w:rPr>
            </w:r>
            <w:r w:rsidR="007A6EA2">
              <w:rPr>
                <w:noProof/>
                <w:webHidden/>
              </w:rPr>
              <w:fldChar w:fldCharType="separate"/>
            </w:r>
            <w:r w:rsidR="007A6EA2">
              <w:rPr>
                <w:noProof/>
                <w:webHidden/>
              </w:rPr>
              <w:t>142</w:t>
            </w:r>
            <w:r w:rsidR="007A6EA2">
              <w:rPr>
                <w:noProof/>
                <w:webHidden/>
              </w:rPr>
              <w:fldChar w:fldCharType="end"/>
            </w:r>
          </w:hyperlink>
        </w:p>
        <w:p w14:paraId="20751A83" w14:textId="03085115" w:rsidR="007A6EA2" w:rsidRDefault="00000000">
          <w:pPr>
            <w:pStyle w:val="TOC2"/>
            <w:rPr>
              <w:rFonts w:eastAsiaTheme="minorEastAsia"/>
              <w:noProof/>
              <w:kern w:val="2"/>
              <w:lang w:eastAsia="en-AU"/>
              <w14:ligatures w14:val="standardContextual"/>
            </w:rPr>
          </w:pPr>
          <w:hyperlink w:anchor="_Toc153791948" w:history="1">
            <w:r w:rsidR="007A6EA2" w:rsidRPr="00CE4BB9">
              <w:rPr>
                <w:rStyle w:val="Hyperlink"/>
                <w:noProof/>
              </w:rPr>
              <w:t>Mental Health Practitioners in Specialist Schools (Reference 131)</w:t>
            </w:r>
            <w:r w:rsidR="007A6EA2">
              <w:rPr>
                <w:noProof/>
                <w:webHidden/>
              </w:rPr>
              <w:tab/>
            </w:r>
            <w:r w:rsidR="007A6EA2">
              <w:rPr>
                <w:noProof/>
                <w:webHidden/>
              </w:rPr>
              <w:fldChar w:fldCharType="begin"/>
            </w:r>
            <w:r w:rsidR="007A6EA2">
              <w:rPr>
                <w:noProof/>
                <w:webHidden/>
              </w:rPr>
              <w:instrText xml:space="preserve"> PAGEREF _Toc153791948 \h </w:instrText>
            </w:r>
            <w:r w:rsidR="007A6EA2">
              <w:rPr>
                <w:noProof/>
                <w:webHidden/>
              </w:rPr>
            </w:r>
            <w:r w:rsidR="007A6EA2">
              <w:rPr>
                <w:noProof/>
                <w:webHidden/>
              </w:rPr>
              <w:fldChar w:fldCharType="separate"/>
            </w:r>
            <w:r w:rsidR="007A6EA2">
              <w:rPr>
                <w:noProof/>
                <w:webHidden/>
              </w:rPr>
              <w:t>145</w:t>
            </w:r>
            <w:r w:rsidR="007A6EA2">
              <w:rPr>
                <w:noProof/>
                <w:webHidden/>
              </w:rPr>
              <w:fldChar w:fldCharType="end"/>
            </w:r>
          </w:hyperlink>
        </w:p>
        <w:p w14:paraId="4786D620" w14:textId="3D548EE9" w:rsidR="007A6EA2" w:rsidRDefault="00000000">
          <w:pPr>
            <w:pStyle w:val="TOC2"/>
            <w:rPr>
              <w:rFonts w:eastAsiaTheme="minorEastAsia"/>
              <w:noProof/>
              <w:kern w:val="2"/>
              <w:lang w:eastAsia="en-AU"/>
              <w14:ligatures w14:val="standardContextual"/>
            </w:rPr>
          </w:pPr>
          <w:hyperlink w:anchor="_Toc153791949" w:history="1">
            <w:r w:rsidR="007A6EA2" w:rsidRPr="00CE4BB9">
              <w:rPr>
                <w:rStyle w:val="Hyperlink"/>
                <w:noProof/>
              </w:rPr>
              <w:t>Secondary Mathematics and Science Initiative (Reference 133)</w:t>
            </w:r>
            <w:r w:rsidR="007A6EA2">
              <w:rPr>
                <w:noProof/>
                <w:webHidden/>
              </w:rPr>
              <w:tab/>
            </w:r>
            <w:r w:rsidR="007A6EA2">
              <w:rPr>
                <w:noProof/>
                <w:webHidden/>
              </w:rPr>
              <w:fldChar w:fldCharType="begin"/>
            </w:r>
            <w:r w:rsidR="007A6EA2">
              <w:rPr>
                <w:noProof/>
                <w:webHidden/>
              </w:rPr>
              <w:instrText xml:space="preserve"> PAGEREF _Toc153791949 \h </w:instrText>
            </w:r>
            <w:r w:rsidR="007A6EA2">
              <w:rPr>
                <w:noProof/>
                <w:webHidden/>
              </w:rPr>
            </w:r>
            <w:r w:rsidR="007A6EA2">
              <w:rPr>
                <w:noProof/>
                <w:webHidden/>
              </w:rPr>
              <w:fldChar w:fldCharType="separate"/>
            </w:r>
            <w:r w:rsidR="007A6EA2">
              <w:rPr>
                <w:noProof/>
                <w:webHidden/>
              </w:rPr>
              <w:t>146</w:t>
            </w:r>
            <w:r w:rsidR="007A6EA2">
              <w:rPr>
                <w:noProof/>
                <w:webHidden/>
              </w:rPr>
              <w:fldChar w:fldCharType="end"/>
            </w:r>
          </w:hyperlink>
        </w:p>
        <w:p w14:paraId="1AD16EDB" w14:textId="77ACE6A2" w:rsidR="007A6EA2" w:rsidRDefault="00000000">
          <w:pPr>
            <w:pStyle w:val="TOC2"/>
            <w:rPr>
              <w:rFonts w:eastAsiaTheme="minorEastAsia"/>
              <w:noProof/>
              <w:kern w:val="2"/>
              <w:lang w:eastAsia="en-AU"/>
              <w14:ligatures w14:val="standardContextual"/>
            </w:rPr>
          </w:pPr>
          <w:hyperlink w:anchor="_Toc153791950" w:history="1">
            <w:r w:rsidR="007A6EA2" w:rsidRPr="00CE4BB9">
              <w:rPr>
                <w:rStyle w:val="Hyperlink"/>
                <w:noProof/>
              </w:rPr>
              <w:t>Outside School Hours Care (OSHC) Establishment Grant Initiative (Reference 134)</w:t>
            </w:r>
            <w:r w:rsidR="007A6EA2">
              <w:rPr>
                <w:noProof/>
                <w:webHidden/>
              </w:rPr>
              <w:tab/>
            </w:r>
            <w:r w:rsidR="007A6EA2">
              <w:rPr>
                <w:noProof/>
                <w:webHidden/>
              </w:rPr>
              <w:fldChar w:fldCharType="begin"/>
            </w:r>
            <w:r w:rsidR="007A6EA2">
              <w:rPr>
                <w:noProof/>
                <w:webHidden/>
              </w:rPr>
              <w:instrText xml:space="preserve"> PAGEREF _Toc153791950 \h </w:instrText>
            </w:r>
            <w:r w:rsidR="007A6EA2">
              <w:rPr>
                <w:noProof/>
                <w:webHidden/>
              </w:rPr>
            </w:r>
            <w:r w:rsidR="007A6EA2">
              <w:rPr>
                <w:noProof/>
                <w:webHidden/>
              </w:rPr>
              <w:fldChar w:fldCharType="separate"/>
            </w:r>
            <w:r w:rsidR="007A6EA2">
              <w:rPr>
                <w:noProof/>
                <w:webHidden/>
              </w:rPr>
              <w:t>147</w:t>
            </w:r>
            <w:r w:rsidR="007A6EA2">
              <w:rPr>
                <w:noProof/>
                <w:webHidden/>
              </w:rPr>
              <w:fldChar w:fldCharType="end"/>
            </w:r>
          </w:hyperlink>
        </w:p>
        <w:p w14:paraId="6F968A3E" w14:textId="45E91107" w:rsidR="007A6EA2" w:rsidRDefault="00000000">
          <w:pPr>
            <w:pStyle w:val="TOC2"/>
            <w:rPr>
              <w:rFonts w:eastAsiaTheme="minorEastAsia"/>
              <w:noProof/>
              <w:kern w:val="2"/>
              <w:lang w:eastAsia="en-AU"/>
              <w14:ligatures w14:val="standardContextual"/>
            </w:rPr>
          </w:pPr>
          <w:hyperlink w:anchor="_Toc153791951" w:history="1">
            <w:r w:rsidR="007A6EA2" w:rsidRPr="00CE4BB9">
              <w:rPr>
                <w:rStyle w:val="Hyperlink"/>
                <w:noProof/>
              </w:rPr>
              <w:t>Teach Today &amp; Teach Tomorrow Programs (Reference 135)</w:t>
            </w:r>
            <w:r w:rsidR="007A6EA2">
              <w:rPr>
                <w:noProof/>
                <w:webHidden/>
              </w:rPr>
              <w:tab/>
            </w:r>
            <w:r w:rsidR="007A6EA2">
              <w:rPr>
                <w:noProof/>
                <w:webHidden/>
              </w:rPr>
              <w:fldChar w:fldCharType="begin"/>
            </w:r>
            <w:r w:rsidR="007A6EA2">
              <w:rPr>
                <w:noProof/>
                <w:webHidden/>
              </w:rPr>
              <w:instrText xml:space="preserve"> PAGEREF _Toc153791951 \h </w:instrText>
            </w:r>
            <w:r w:rsidR="007A6EA2">
              <w:rPr>
                <w:noProof/>
                <w:webHidden/>
              </w:rPr>
            </w:r>
            <w:r w:rsidR="007A6EA2">
              <w:rPr>
                <w:noProof/>
                <w:webHidden/>
              </w:rPr>
              <w:fldChar w:fldCharType="separate"/>
            </w:r>
            <w:r w:rsidR="007A6EA2">
              <w:rPr>
                <w:noProof/>
                <w:webHidden/>
              </w:rPr>
              <w:t>149</w:t>
            </w:r>
            <w:r w:rsidR="007A6EA2">
              <w:rPr>
                <w:noProof/>
                <w:webHidden/>
              </w:rPr>
              <w:fldChar w:fldCharType="end"/>
            </w:r>
          </w:hyperlink>
        </w:p>
        <w:p w14:paraId="7D425FAF" w14:textId="27D309E9" w:rsidR="007A6EA2" w:rsidRDefault="00000000">
          <w:pPr>
            <w:pStyle w:val="TOC2"/>
            <w:rPr>
              <w:rFonts w:eastAsiaTheme="minorEastAsia"/>
              <w:noProof/>
              <w:kern w:val="2"/>
              <w:lang w:eastAsia="en-AU"/>
              <w14:ligatures w14:val="standardContextual"/>
            </w:rPr>
          </w:pPr>
          <w:hyperlink w:anchor="_Toc153791952" w:history="1">
            <w:r w:rsidR="007A6EA2" w:rsidRPr="00CE4BB9">
              <w:rPr>
                <w:rStyle w:val="Hyperlink"/>
                <w:noProof/>
              </w:rPr>
              <w:t>Inclusion Outreach Coaching (IOC) Initiative (Reference 136)</w:t>
            </w:r>
            <w:r w:rsidR="007A6EA2">
              <w:rPr>
                <w:noProof/>
                <w:webHidden/>
              </w:rPr>
              <w:tab/>
            </w:r>
            <w:r w:rsidR="007A6EA2">
              <w:rPr>
                <w:noProof/>
                <w:webHidden/>
              </w:rPr>
              <w:fldChar w:fldCharType="begin"/>
            </w:r>
            <w:r w:rsidR="007A6EA2">
              <w:rPr>
                <w:noProof/>
                <w:webHidden/>
              </w:rPr>
              <w:instrText xml:space="preserve"> PAGEREF _Toc153791952 \h </w:instrText>
            </w:r>
            <w:r w:rsidR="007A6EA2">
              <w:rPr>
                <w:noProof/>
                <w:webHidden/>
              </w:rPr>
            </w:r>
            <w:r w:rsidR="007A6EA2">
              <w:rPr>
                <w:noProof/>
                <w:webHidden/>
              </w:rPr>
              <w:fldChar w:fldCharType="separate"/>
            </w:r>
            <w:r w:rsidR="007A6EA2">
              <w:rPr>
                <w:noProof/>
                <w:webHidden/>
              </w:rPr>
              <w:t>151</w:t>
            </w:r>
            <w:r w:rsidR="007A6EA2">
              <w:rPr>
                <w:noProof/>
                <w:webHidden/>
              </w:rPr>
              <w:fldChar w:fldCharType="end"/>
            </w:r>
          </w:hyperlink>
        </w:p>
        <w:p w14:paraId="765DC3D1" w14:textId="1678CDA5" w:rsidR="007A6EA2" w:rsidRDefault="00000000">
          <w:pPr>
            <w:pStyle w:val="TOC2"/>
            <w:rPr>
              <w:rFonts w:eastAsiaTheme="minorEastAsia"/>
              <w:noProof/>
              <w:kern w:val="2"/>
              <w:lang w:eastAsia="en-AU"/>
              <w14:ligatures w14:val="standardContextual"/>
            </w:rPr>
          </w:pPr>
          <w:hyperlink w:anchor="_Toc153791953" w:history="1">
            <w:r w:rsidR="007A6EA2" w:rsidRPr="00CE4BB9">
              <w:rPr>
                <w:rStyle w:val="Hyperlink"/>
                <w:noProof/>
              </w:rPr>
              <w:t>School Mental Health Fund (Reference 139)</w:t>
            </w:r>
            <w:r w:rsidR="007A6EA2">
              <w:rPr>
                <w:noProof/>
                <w:webHidden/>
              </w:rPr>
              <w:tab/>
            </w:r>
            <w:r w:rsidR="007A6EA2">
              <w:rPr>
                <w:noProof/>
                <w:webHidden/>
              </w:rPr>
              <w:fldChar w:fldCharType="begin"/>
            </w:r>
            <w:r w:rsidR="007A6EA2">
              <w:rPr>
                <w:noProof/>
                <w:webHidden/>
              </w:rPr>
              <w:instrText xml:space="preserve"> PAGEREF _Toc153791953 \h </w:instrText>
            </w:r>
            <w:r w:rsidR="007A6EA2">
              <w:rPr>
                <w:noProof/>
                <w:webHidden/>
              </w:rPr>
            </w:r>
            <w:r w:rsidR="007A6EA2">
              <w:rPr>
                <w:noProof/>
                <w:webHidden/>
              </w:rPr>
              <w:fldChar w:fldCharType="separate"/>
            </w:r>
            <w:r w:rsidR="007A6EA2">
              <w:rPr>
                <w:noProof/>
                <w:webHidden/>
              </w:rPr>
              <w:t>153</w:t>
            </w:r>
            <w:r w:rsidR="007A6EA2">
              <w:rPr>
                <w:noProof/>
                <w:webHidden/>
              </w:rPr>
              <w:fldChar w:fldCharType="end"/>
            </w:r>
          </w:hyperlink>
        </w:p>
        <w:p w14:paraId="062E23E3" w14:textId="000EC4F6" w:rsidR="007A6EA2" w:rsidRDefault="00000000">
          <w:pPr>
            <w:pStyle w:val="TOC2"/>
            <w:rPr>
              <w:rFonts w:eastAsiaTheme="minorEastAsia"/>
              <w:noProof/>
              <w:kern w:val="2"/>
              <w:lang w:eastAsia="en-AU"/>
              <w14:ligatures w14:val="standardContextual"/>
            </w:rPr>
          </w:pPr>
          <w:hyperlink w:anchor="_Toc153791954" w:history="1">
            <w:r w:rsidR="007A6EA2" w:rsidRPr="00CE4BB9">
              <w:rPr>
                <w:rStyle w:val="Hyperlink"/>
                <w:noProof/>
              </w:rPr>
              <w:t>Casual Relief Teacher (CRT) Travel Fund (Reference 141)</w:t>
            </w:r>
            <w:r w:rsidR="007A6EA2">
              <w:rPr>
                <w:noProof/>
                <w:webHidden/>
              </w:rPr>
              <w:tab/>
            </w:r>
            <w:r w:rsidR="007A6EA2">
              <w:rPr>
                <w:noProof/>
                <w:webHidden/>
              </w:rPr>
              <w:fldChar w:fldCharType="begin"/>
            </w:r>
            <w:r w:rsidR="007A6EA2">
              <w:rPr>
                <w:noProof/>
                <w:webHidden/>
              </w:rPr>
              <w:instrText xml:space="preserve"> PAGEREF _Toc153791954 \h </w:instrText>
            </w:r>
            <w:r w:rsidR="007A6EA2">
              <w:rPr>
                <w:noProof/>
                <w:webHidden/>
              </w:rPr>
            </w:r>
            <w:r w:rsidR="007A6EA2">
              <w:rPr>
                <w:noProof/>
                <w:webHidden/>
              </w:rPr>
              <w:fldChar w:fldCharType="separate"/>
            </w:r>
            <w:r w:rsidR="007A6EA2">
              <w:rPr>
                <w:noProof/>
                <w:webHidden/>
              </w:rPr>
              <w:t>155</w:t>
            </w:r>
            <w:r w:rsidR="007A6EA2">
              <w:rPr>
                <w:noProof/>
                <w:webHidden/>
              </w:rPr>
              <w:fldChar w:fldCharType="end"/>
            </w:r>
          </w:hyperlink>
        </w:p>
        <w:p w14:paraId="332371CA" w14:textId="59867E5E" w:rsidR="007A6EA2" w:rsidRDefault="00000000">
          <w:pPr>
            <w:pStyle w:val="TOC2"/>
            <w:rPr>
              <w:rFonts w:eastAsiaTheme="minorEastAsia"/>
              <w:noProof/>
              <w:kern w:val="2"/>
              <w:lang w:eastAsia="en-AU"/>
              <w14:ligatures w14:val="standardContextual"/>
            </w:rPr>
          </w:pPr>
          <w:hyperlink w:anchor="_Toc153791955" w:history="1">
            <w:r w:rsidR="007A6EA2" w:rsidRPr="00CE4BB9">
              <w:rPr>
                <w:rStyle w:val="Hyperlink"/>
                <w:noProof/>
              </w:rPr>
              <w:t>Active Schools (Reference 142)</w:t>
            </w:r>
            <w:r w:rsidR="007A6EA2">
              <w:rPr>
                <w:noProof/>
                <w:webHidden/>
              </w:rPr>
              <w:tab/>
            </w:r>
            <w:r w:rsidR="007A6EA2">
              <w:rPr>
                <w:noProof/>
                <w:webHidden/>
              </w:rPr>
              <w:fldChar w:fldCharType="begin"/>
            </w:r>
            <w:r w:rsidR="007A6EA2">
              <w:rPr>
                <w:noProof/>
                <w:webHidden/>
              </w:rPr>
              <w:instrText xml:space="preserve"> PAGEREF _Toc153791955 \h </w:instrText>
            </w:r>
            <w:r w:rsidR="007A6EA2">
              <w:rPr>
                <w:noProof/>
                <w:webHidden/>
              </w:rPr>
            </w:r>
            <w:r w:rsidR="007A6EA2">
              <w:rPr>
                <w:noProof/>
                <w:webHidden/>
              </w:rPr>
              <w:fldChar w:fldCharType="separate"/>
            </w:r>
            <w:r w:rsidR="007A6EA2">
              <w:rPr>
                <w:noProof/>
                <w:webHidden/>
              </w:rPr>
              <w:t>156</w:t>
            </w:r>
            <w:r w:rsidR="007A6EA2">
              <w:rPr>
                <w:noProof/>
                <w:webHidden/>
              </w:rPr>
              <w:fldChar w:fldCharType="end"/>
            </w:r>
          </w:hyperlink>
        </w:p>
        <w:p w14:paraId="71D1204E" w14:textId="60CBA486" w:rsidR="007A6EA2" w:rsidRDefault="00000000">
          <w:pPr>
            <w:pStyle w:val="TOC2"/>
            <w:rPr>
              <w:rFonts w:eastAsiaTheme="minorEastAsia"/>
              <w:noProof/>
              <w:kern w:val="2"/>
              <w:lang w:eastAsia="en-AU"/>
              <w14:ligatures w14:val="standardContextual"/>
            </w:rPr>
          </w:pPr>
          <w:hyperlink w:anchor="_Toc153791956" w:history="1">
            <w:r w:rsidR="007A6EA2" w:rsidRPr="00CE4BB9">
              <w:rPr>
                <w:rStyle w:val="Hyperlink"/>
                <w:noProof/>
              </w:rPr>
              <w:t>Vocational Education and Training Delivered to School Students (Reference 143)</w:t>
            </w:r>
            <w:r w:rsidR="007A6EA2">
              <w:rPr>
                <w:noProof/>
                <w:webHidden/>
              </w:rPr>
              <w:tab/>
            </w:r>
            <w:r w:rsidR="007A6EA2">
              <w:rPr>
                <w:noProof/>
                <w:webHidden/>
              </w:rPr>
              <w:fldChar w:fldCharType="begin"/>
            </w:r>
            <w:r w:rsidR="007A6EA2">
              <w:rPr>
                <w:noProof/>
                <w:webHidden/>
              </w:rPr>
              <w:instrText xml:space="preserve"> PAGEREF _Toc153791956 \h </w:instrText>
            </w:r>
            <w:r w:rsidR="007A6EA2">
              <w:rPr>
                <w:noProof/>
                <w:webHidden/>
              </w:rPr>
            </w:r>
            <w:r w:rsidR="007A6EA2">
              <w:rPr>
                <w:noProof/>
                <w:webHidden/>
              </w:rPr>
              <w:fldChar w:fldCharType="separate"/>
            </w:r>
            <w:r w:rsidR="007A6EA2">
              <w:rPr>
                <w:noProof/>
                <w:webHidden/>
              </w:rPr>
              <w:t>158</w:t>
            </w:r>
            <w:r w:rsidR="007A6EA2">
              <w:rPr>
                <w:noProof/>
                <w:webHidden/>
              </w:rPr>
              <w:fldChar w:fldCharType="end"/>
            </w:r>
          </w:hyperlink>
        </w:p>
        <w:p w14:paraId="7ED14CF0" w14:textId="5FB46A56" w:rsidR="007A6EA2" w:rsidRDefault="00000000">
          <w:pPr>
            <w:pStyle w:val="TOC2"/>
            <w:rPr>
              <w:rFonts w:eastAsiaTheme="minorEastAsia"/>
              <w:noProof/>
              <w:kern w:val="2"/>
              <w:lang w:eastAsia="en-AU"/>
              <w14:ligatures w14:val="standardContextual"/>
            </w:rPr>
          </w:pPr>
          <w:hyperlink w:anchor="_Toc153791957" w:history="1">
            <w:r w:rsidR="007A6EA2" w:rsidRPr="00CE4BB9">
              <w:rPr>
                <w:rStyle w:val="Hyperlink"/>
                <w:noProof/>
              </w:rPr>
              <w:t>NDIS Navigators (Reference 146)</w:t>
            </w:r>
            <w:r w:rsidR="007A6EA2">
              <w:rPr>
                <w:noProof/>
                <w:webHidden/>
              </w:rPr>
              <w:tab/>
            </w:r>
            <w:r w:rsidR="007A6EA2">
              <w:rPr>
                <w:noProof/>
                <w:webHidden/>
              </w:rPr>
              <w:fldChar w:fldCharType="begin"/>
            </w:r>
            <w:r w:rsidR="007A6EA2">
              <w:rPr>
                <w:noProof/>
                <w:webHidden/>
              </w:rPr>
              <w:instrText xml:space="preserve"> PAGEREF _Toc153791957 \h </w:instrText>
            </w:r>
            <w:r w:rsidR="007A6EA2">
              <w:rPr>
                <w:noProof/>
                <w:webHidden/>
              </w:rPr>
            </w:r>
            <w:r w:rsidR="007A6EA2">
              <w:rPr>
                <w:noProof/>
                <w:webHidden/>
              </w:rPr>
              <w:fldChar w:fldCharType="separate"/>
            </w:r>
            <w:r w:rsidR="007A6EA2">
              <w:rPr>
                <w:noProof/>
                <w:webHidden/>
              </w:rPr>
              <w:t>163</w:t>
            </w:r>
            <w:r w:rsidR="007A6EA2">
              <w:rPr>
                <w:noProof/>
                <w:webHidden/>
              </w:rPr>
              <w:fldChar w:fldCharType="end"/>
            </w:r>
          </w:hyperlink>
        </w:p>
        <w:p w14:paraId="3E819616" w14:textId="0AE259ED" w:rsidR="007A6EA2" w:rsidRDefault="00000000">
          <w:pPr>
            <w:pStyle w:val="TOC2"/>
            <w:rPr>
              <w:rFonts w:eastAsiaTheme="minorEastAsia"/>
              <w:noProof/>
              <w:kern w:val="2"/>
              <w:lang w:eastAsia="en-AU"/>
              <w14:ligatures w14:val="standardContextual"/>
            </w:rPr>
          </w:pPr>
          <w:hyperlink w:anchor="_Toc153791958" w:history="1">
            <w:r w:rsidR="007A6EA2" w:rsidRPr="00CE4BB9">
              <w:rPr>
                <w:rStyle w:val="Hyperlink"/>
                <w:noProof/>
              </w:rPr>
              <w:t>Specialist School Activity Boost (Reference 147)</w:t>
            </w:r>
            <w:r w:rsidR="007A6EA2">
              <w:rPr>
                <w:noProof/>
                <w:webHidden/>
              </w:rPr>
              <w:tab/>
            </w:r>
            <w:r w:rsidR="007A6EA2">
              <w:rPr>
                <w:noProof/>
                <w:webHidden/>
              </w:rPr>
              <w:fldChar w:fldCharType="begin"/>
            </w:r>
            <w:r w:rsidR="007A6EA2">
              <w:rPr>
                <w:noProof/>
                <w:webHidden/>
              </w:rPr>
              <w:instrText xml:space="preserve"> PAGEREF _Toc153791958 \h </w:instrText>
            </w:r>
            <w:r w:rsidR="007A6EA2">
              <w:rPr>
                <w:noProof/>
                <w:webHidden/>
              </w:rPr>
            </w:r>
            <w:r w:rsidR="007A6EA2">
              <w:rPr>
                <w:noProof/>
                <w:webHidden/>
              </w:rPr>
              <w:fldChar w:fldCharType="separate"/>
            </w:r>
            <w:r w:rsidR="007A6EA2">
              <w:rPr>
                <w:noProof/>
                <w:webHidden/>
              </w:rPr>
              <w:t>164</w:t>
            </w:r>
            <w:r w:rsidR="007A6EA2">
              <w:rPr>
                <w:noProof/>
                <w:webHidden/>
              </w:rPr>
              <w:fldChar w:fldCharType="end"/>
            </w:r>
          </w:hyperlink>
        </w:p>
        <w:p w14:paraId="0C67B06C" w14:textId="6474D4FC" w:rsidR="007A6EA2" w:rsidRDefault="00000000" w:rsidP="007A6EA2">
          <w:pPr>
            <w:pStyle w:val="TOC1"/>
            <w:rPr>
              <w:rFonts w:eastAsiaTheme="minorEastAsia"/>
              <w:noProof/>
              <w:kern w:val="2"/>
              <w:lang w:eastAsia="en-AU"/>
              <w14:ligatures w14:val="standardContextual"/>
            </w:rPr>
          </w:pPr>
          <w:hyperlink w:anchor="_Toc153791959" w:history="1">
            <w:r w:rsidR="007A6EA2" w:rsidRPr="00CE4BB9">
              <w:rPr>
                <w:rStyle w:val="Hyperlink"/>
                <w:noProof/>
              </w:rPr>
              <w:t>Managing the Budget</w:t>
            </w:r>
            <w:r w:rsidR="007A6EA2">
              <w:rPr>
                <w:noProof/>
                <w:webHidden/>
              </w:rPr>
              <w:tab/>
            </w:r>
            <w:r w:rsidR="007A6EA2">
              <w:rPr>
                <w:noProof/>
                <w:webHidden/>
              </w:rPr>
              <w:fldChar w:fldCharType="begin"/>
            </w:r>
            <w:r w:rsidR="007A6EA2">
              <w:rPr>
                <w:noProof/>
                <w:webHidden/>
              </w:rPr>
              <w:instrText xml:space="preserve"> PAGEREF _Toc153791959 \h </w:instrText>
            </w:r>
            <w:r w:rsidR="007A6EA2">
              <w:rPr>
                <w:noProof/>
                <w:webHidden/>
              </w:rPr>
            </w:r>
            <w:r w:rsidR="007A6EA2">
              <w:rPr>
                <w:noProof/>
                <w:webHidden/>
              </w:rPr>
              <w:fldChar w:fldCharType="separate"/>
            </w:r>
            <w:r w:rsidR="007A6EA2">
              <w:rPr>
                <w:noProof/>
                <w:webHidden/>
              </w:rPr>
              <w:t>166</w:t>
            </w:r>
            <w:r w:rsidR="007A6EA2">
              <w:rPr>
                <w:noProof/>
                <w:webHidden/>
              </w:rPr>
              <w:fldChar w:fldCharType="end"/>
            </w:r>
          </w:hyperlink>
        </w:p>
        <w:p w14:paraId="00E7DE54" w14:textId="71A15E15" w:rsidR="007A6EA2" w:rsidRDefault="00000000">
          <w:pPr>
            <w:pStyle w:val="TOC2"/>
            <w:rPr>
              <w:rFonts w:eastAsiaTheme="minorEastAsia"/>
              <w:noProof/>
              <w:kern w:val="2"/>
              <w:lang w:eastAsia="en-AU"/>
              <w14:ligatures w14:val="standardContextual"/>
            </w:rPr>
          </w:pPr>
          <w:hyperlink w:anchor="_Toc153791960" w:history="1">
            <w:r w:rsidR="007A6EA2" w:rsidRPr="00CE4BB9">
              <w:rPr>
                <w:rStyle w:val="Hyperlink"/>
                <w:noProof/>
              </w:rPr>
              <w:t>Salary and Related Expenditure</w:t>
            </w:r>
            <w:r w:rsidR="007A6EA2">
              <w:rPr>
                <w:noProof/>
                <w:webHidden/>
              </w:rPr>
              <w:tab/>
            </w:r>
            <w:r w:rsidR="007A6EA2">
              <w:rPr>
                <w:noProof/>
                <w:webHidden/>
              </w:rPr>
              <w:fldChar w:fldCharType="begin"/>
            </w:r>
            <w:r w:rsidR="007A6EA2">
              <w:rPr>
                <w:noProof/>
                <w:webHidden/>
              </w:rPr>
              <w:instrText xml:space="preserve"> PAGEREF _Toc153791960 \h </w:instrText>
            </w:r>
            <w:r w:rsidR="007A6EA2">
              <w:rPr>
                <w:noProof/>
                <w:webHidden/>
              </w:rPr>
            </w:r>
            <w:r w:rsidR="007A6EA2">
              <w:rPr>
                <w:noProof/>
                <w:webHidden/>
              </w:rPr>
              <w:fldChar w:fldCharType="separate"/>
            </w:r>
            <w:r w:rsidR="007A6EA2">
              <w:rPr>
                <w:noProof/>
                <w:webHidden/>
              </w:rPr>
              <w:t>168</w:t>
            </w:r>
            <w:r w:rsidR="007A6EA2">
              <w:rPr>
                <w:noProof/>
                <w:webHidden/>
              </w:rPr>
              <w:fldChar w:fldCharType="end"/>
            </w:r>
          </w:hyperlink>
        </w:p>
        <w:p w14:paraId="5A48EDBE" w14:textId="0B136394" w:rsidR="007A6EA2" w:rsidRDefault="00000000">
          <w:pPr>
            <w:pStyle w:val="TOC2"/>
            <w:rPr>
              <w:rFonts w:eastAsiaTheme="minorEastAsia"/>
              <w:noProof/>
              <w:kern w:val="2"/>
              <w:lang w:eastAsia="en-AU"/>
              <w14:ligatures w14:val="standardContextual"/>
            </w:rPr>
          </w:pPr>
          <w:hyperlink w:anchor="_Toc153791961" w:history="1">
            <w:r w:rsidR="007A6EA2" w:rsidRPr="00CE4BB9">
              <w:rPr>
                <w:rStyle w:val="Hyperlink"/>
                <w:noProof/>
              </w:rPr>
              <w:t>Relief staffing</w:t>
            </w:r>
            <w:r w:rsidR="007A6EA2">
              <w:rPr>
                <w:noProof/>
                <w:webHidden/>
              </w:rPr>
              <w:tab/>
            </w:r>
            <w:r w:rsidR="007A6EA2">
              <w:rPr>
                <w:noProof/>
                <w:webHidden/>
              </w:rPr>
              <w:fldChar w:fldCharType="begin"/>
            </w:r>
            <w:r w:rsidR="007A6EA2">
              <w:rPr>
                <w:noProof/>
                <w:webHidden/>
              </w:rPr>
              <w:instrText xml:space="preserve"> PAGEREF _Toc153791961 \h </w:instrText>
            </w:r>
            <w:r w:rsidR="007A6EA2">
              <w:rPr>
                <w:noProof/>
                <w:webHidden/>
              </w:rPr>
            </w:r>
            <w:r w:rsidR="007A6EA2">
              <w:rPr>
                <w:noProof/>
                <w:webHidden/>
              </w:rPr>
              <w:fldChar w:fldCharType="separate"/>
            </w:r>
            <w:r w:rsidR="007A6EA2">
              <w:rPr>
                <w:noProof/>
                <w:webHidden/>
              </w:rPr>
              <w:t>174</w:t>
            </w:r>
            <w:r w:rsidR="007A6EA2">
              <w:rPr>
                <w:noProof/>
                <w:webHidden/>
              </w:rPr>
              <w:fldChar w:fldCharType="end"/>
            </w:r>
          </w:hyperlink>
        </w:p>
        <w:p w14:paraId="3AD578D4" w14:textId="19711938" w:rsidR="007A6EA2" w:rsidRDefault="00000000">
          <w:pPr>
            <w:pStyle w:val="TOC2"/>
            <w:rPr>
              <w:rFonts w:eastAsiaTheme="minorEastAsia"/>
              <w:noProof/>
              <w:kern w:val="2"/>
              <w:lang w:eastAsia="en-AU"/>
              <w14:ligatures w14:val="standardContextual"/>
            </w:rPr>
          </w:pPr>
          <w:hyperlink w:anchor="_Toc153791962" w:history="1">
            <w:r w:rsidR="007A6EA2" w:rsidRPr="00CE4BB9">
              <w:rPr>
                <w:rStyle w:val="Hyperlink"/>
                <w:noProof/>
              </w:rPr>
              <w:t>Surplus or deficit</w:t>
            </w:r>
            <w:r w:rsidR="007A6EA2">
              <w:rPr>
                <w:noProof/>
                <w:webHidden/>
              </w:rPr>
              <w:tab/>
            </w:r>
            <w:r w:rsidR="007A6EA2">
              <w:rPr>
                <w:noProof/>
                <w:webHidden/>
              </w:rPr>
              <w:fldChar w:fldCharType="begin"/>
            </w:r>
            <w:r w:rsidR="007A6EA2">
              <w:rPr>
                <w:noProof/>
                <w:webHidden/>
              </w:rPr>
              <w:instrText xml:space="preserve"> PAGEREF _Toc153791962 \h </w:instrText>
            </w:r>
            <w:r w:rsidR="007A6EA2">
              <w:rPr>
                <w:noProof/>
                <w:webHidden/>
              </w:rPr>
            </w:r>
            <w:r w:rsidR="007A6EA2">
              <w:rPr>
                <w:noProof/>
                <w:webHidden/>
              </w:rPr>
              <w:fldChar w:fldCharType="separate"/>
            </w:r>
            <w:r w:rsidR="007A6EA2">
              <w:rPr>
                <w:noProof/>
                <w:webHidden/>
              </w:rPr>
              <w:t>182</w:t>
            </w:r>
            <w:r w:rsidR="007A6EA2">
              <w:rPr>
                <w:noProof/>
                <w:webHidden/>
              </w:rPr>
              <w:fldChar w:fldCharType="end"/>
            </w:r>
          </w:hyperlink>
        </w:p>
        <w:p w14:paraId="2A89240D" w14:textId="4C5C6228" w:rsidR="007A6EA2" w:rsidRDefault="00000000">
          <w:pPr>
            <w:pStyle w:val="TOC2"/>
            <w:rPr>
              <w:rFonts w:eastAsiaTheme="minorEastAsia"/>
              <w:noProof/>
              <w:kern w:val="2"/>
              <w:lang w:eastAsia="en-AU"/>
              <w14:ligatures w14:val="standardContextual"/>
            </w:rPr>
          </w:pPr>
          <w:hyperlink w:anchor="_Toc153791963" w:history="1">
            <w:r w:rsidR="007A6EA2" w:rsidRPr="00CE4BB9">
              <w:rPr>
                <w:rStyle w:val="Hyperlink"/>
                <w:noProof/>
              </w:rPr>
              <w:t>Credit Carryover Policy</w:t>
            </w:r>
            <w:r w:rsidR="007A6EA2">
              <w:rPr>
                <w:noProof/>
                <w:webHidden/>
              </w:rPr>
              <w:tab/>
            </w:r>
            <w:r w:rsidR="007A6EA2">
              <w:rPr>
                <w:noProof/>
                <w:webHidden/>
              </w:rPr>
              <w:fldChar w:fldCharType="begin"/>
            </w:r>
            <w:r w:rsidR="007A6EA2">
              <w:rPr>
                <w:noProof/>
                <w:webHidden/>
              </w:rPr>
              <w:instrText xml:space="preserve"> PAGEREF _Toc153791963 \h </w:instrText>
            </w:r>
            <w:r w:rsidR="007A6EA2">
              <w:rPr>
                <w:noProof/>
                <w:webHidden/>
              </w:rPr>
            </w:r>
            <w:r w:rsidR="007A6EA2">
              <w:rPr>
                <w:noProof/>
                <w:webHidden/>
              </w:rPr>
              <w:fldChar w:fldCharType="separate"/>
            </w:r>
            <w:r w:rsidR="007A6EA2">
              <w:rPr>
                <w:noProof/>
                <w:webHidden/>
              </w:rPr>
              <w:t>183</w:t>
            </w:r>
            <w:r w:rsidR="007A6EA2">
              <w:rPr>
                <w:noProof/>
                <w:webHidden/>
              </w:rPr>
              <w:fldChar w:fldCharType="end"/>
            </w:r>
          </w:hyperlink>
        </w:p>
        <w:p w14:paraId="6A38C1B0" w14:textId="394B2276" w:rsidR="007A6EA2" w:rsidRDefault="00000000">
          <w:pPr>
            <w:pStyle w:val="TOC2"/>
            <w:rPr>
              <w:rFonts w:eastAsiaTheme="minorEastAsia"/>
              <w:noProof/>
              <w:kern w:val="2"/>
              <w:lang w:eastAsia="en-AU"/>
              <w14:ligatures w14:val="standardContextual"/>
            </w:rPr>
          </w:pPr>
          <w:hyperlink w:anchor="_Toc153791964" w:history="1">
            <w:r w:rsidR="007A6EA2" w:rsidRPr="00CE4BB9">
              <w:rPr>
                <w:rStyle w:val="Hyperlink"/>
                <w:noProof/>
              </w:rPr>
              <w:t>Reports</w:t>
            </w:r>
            <w:r w:rsidR="007A6EA2">
              <w:rPr>
                <w:noProof/>
                <w:webHidden/>
              </w:rPr>
              <w:tab/>
            </w:r>
            <w:r w:rsidR="007A6EA2">
              <w:rPr>
                <w:noProof/>
                <w:webHidden/>
              </w:rPr>
              <w:fldChar w:fldCharType="begin"/>
            </w:r>
            <w:r w:rsidR="007A6EA2">
              <w:rPr>
                <w:noProof/>
                <w:webHidden/>
              </w:rPr>
              <w:instrText xml:space="preserve"> PAGEREF _Toc153791964 \h </w:instrText>
            </w:r>
            <w:r w:rsidR="007A6EA2">
              <w:rPr>
                <w:noProof/>
                <w:webHidden/>
              </w:rPr>
            </w:r>
            <w:r w:rsidR="007A6EA2">
              <w:rPr>
                <w:noProof/>
                <w:webHidden/>
              </w:rPr>
              <w:fldChar w:fldCharType="separate"/>
            </w:r>
            <w:r w:rsidR="007A6EA2">
              <w:rPr>
                <w:noProof/>
                <w:webHidden/>
              </w:rPr>
              <w:t>187</w:t>
            </w:r>
            <w:r w:rsidR="007A6EA2">
              <w:rPr>
                <w:noProof/>
                <w:webHidden/>
              </w:rPr>
              <w:fldChar w:fldCharType="end"/>
            </w:r>
          </w:hyperlink>
        </w:p>
        <w:p w14:paraId="1E6B7B45" w14:textId="0EBB133A" w:rsidR="007A6EA2" w:rsidRDefault="00000000">
          <w:pPr>
            <w:pStyle w:val="TOC2"/>
            <w:rPr>
              <w:rFonts w:eastAsiaTheme="minorEastAsia"/>
              <w:noProof/>
              <w:kern w:val="2"/>
              <w:lang w:eastAsia="en-AU"/>
              <w14:ligatures w14:val="standardContextual"/>
            </w:rPr>
          </w:pPr>
          <w:hyperlink w:anchor="_Toc153791965" w:history="1">
            <w:r w:rsidR="007A6EA2" w:rsidRPr="00CE4BB9">
              <w:rPr>
                <w:rStyle w:val="Hyperlink"/>
                <w:noProof/>
              </w:rPr>
              <w:t>Planning</w:t>
            </w:r>
            <w:r w:rsidR="007A6EA2">
              <w:rPr>
                <w:noProof/>
                <w:webHidden/>
              </w:rPr>
              <w:tab/>
            </w:r>
            <w:r w:rsidR="007A6EA2">
              <w:rPr>
                <w:noProof/>
                <w:webHidden/>
              </w:rPr>
              <w:fldChar w:fldCharType="begin"/>
            </w:r>
            <w:r w:rsidR="007A6EA2">
              <w:rPr>
                <w:noProof/>
                <w:webHidden/>
              </w:rPr>
              <w:instrText xml:space="preserve"> PAGEREF _Toc153791965 \h </w:instrText>
            </w:r>
            <w:r w:rsidR="007A6EA2">
              <w:rPr>
                <w:noProof/>
                <w:webHidden/>
              </w:rPr>
            </w:r>
            <w:r w:rsidR="007A6EA2">
              <w:rPr>
                <w:noProof/>
                <w:webHidden/>
              </w:rPr>
              <w:fldChar w:fldCharType="separate"/>
            </w:r>
            <w:r w:rsidR="007A6EA2">
              <w:rPr>
                <w:noProof/>
                <w:webHidden/>
              </w:rPr>
              <w:t>189</w:t>
            </w:r>
            <w:r w:rsidR="007A6EA2">
              <w:rPr>
                <w:noProof/>
                <w:webHidden/>
              </w:rPr>
              <w:fldChar w:fldCharType="end"/>
            </w:r>
          </w:hyperlink>
        </w:p>
        <w:p w14:paraId="1C64C2FC" w14:textId="0DCD96EB" w:rsidR="007A6EA2" w:rsidRDefault="00000000">
          <w:pPr>
            <w:pStyle w:val="TOC2"/>
            <w:rPr>
              <w:rFonts w:eastAsiaTheme="minorEastAsia"/>
              <w:noProof/>
              <w:kern w:val="2"/>
              <w:lang w:eastAsia="en-AU"/>
              <w14:ligatures w14:val="standardContextual"/>
            </w:rPr>
          </w:pPr>
          <w:hyperlink w:anchor="_Toc153791966" w:history="1">
            <w:r w:rsidR="007A6EA2" w:rsidRPr="00CE4BB9">
              <w:rPr>
                <w:rStyle w:val="Hyperlink"/>
                <w:noProof/>
              </w:rPr>
              <w:t>Reconciliation</w:t>
            </w:r>
            <w:r w:rsidR="007A6EA2">
              <w:rPr>
                <w:noProof/>
                <w:webHidden/>
              </w:rPr>
              <w:tab/>
            </w:r>
            <w:r w:rsidR="007A6EA2">
              <w:rPr>
                <w:noProof/>
                <w:webHidden/>
              </w:rPr>
              <w:fldChar w:fldCharType="begin"/>
            </w:r>
            <w:r w:rsidR="007A6EA2">
              <w:rPr>
                <w:noProof/>
                <w:webHidden/>
              </w:rPr>
              <w:instrText xml:space="preserve"> PAGEREF _Toc153791966 \h </w:instrText>
            </w:r>
            <w:r w:rsidR="007A6EA2">
              <w:rPr>
                <w:noProof/>
                <w:webHidden/>
              </w:rPr>
            </w:r>
            <w:r w:rsidR="007A6EA2">
              <w:rPr>
                <w:noProof/>
                <w:webHidden/>
              </w:rPr>
              <w:fldChar w:fldCharType="separate"/>
            </w:r>
            <w:r w:rsidR="007A6EA2">
              <w:rPr>
                <w:noProof/>
                <w:webHidden/>
              </w:rPr>
              <w:t>190</w:t>
            </w:r>
            <w:r w:rsidR="007A6EA2">
              <w:rPr>
                <w:noProof/>
                <w:webHidden/>
              </w:rPr>
              <w:fldChar w:fldCharType="end"/>
            </w:r>
          </w:hyperlink>
        </w:p>
        <w:p w14:paraId="60990ADF" w14:textId="5634C2BB" w:rsidR="007A6EA2" w:rsidRDefault="00000000">
          <w:pPr>
            <w:pStyle w:val="TOC2"/>
            <w:rPr>
              <w:rFonts w:eastAsiaTheme="minorEastAsia"/>
              <w:noProof/>
              <w:kern w:val="2"/>
              <w:lang w:eastAsia="en-AU"/>
              <w14:ligatures w14:val="standardContextual"/>
            </w:rPr>
          </w:pPr>
          <w:hyperlink w:anchor="_Toc153791967" w:history="1">
            <w:r w:rsidR="007A6EA2" w:rsidRPr="00CE4BB9">
              <w:rPr>
                <w:rStyle w:val="Hyperlink"/>
                <w:noProof/>
              </w:rPr>
              <w:t>Cash</w:t>
            </w:r>
            <w:r w:rsidR="007A6EA2">
              <w:rPr>
                <w:noProof/>
                <w:webHidden/>
              </w:rPr>
              <w:tab/>
            </w:r>
            <w:r w:rsidR="007A6EA2">
              <w:rPr>
                <w:noProof/>
                <w:webHidden/>
              </w:rPr>
              <w:fldChar w:fldCharType="begin"/>
            </w:r>
            <w:r w:rsidR="007A6EA2">
              <w:rPr>
                <w:noProof/>
                <w:webHidden/>
              </w:rPr>
              <w:instrText xml:space="preserve"> PAGEREF _Toc153791967 \h </w:instrText>
            </w:r>
            <w:r w:rsidR="007A6EA2">
              <w:rPr>
                <w:noProof/>
                <w:webHidden/>
              </w:rPr>
            </w:r>
            <w:r w:rsidR="007A6EA2">
              <w:rPr>
                <w:noProof/>
                <w:webHidden/>
              </w:rPr>
              <w:fldChar w:fldCharType="separate"/>
            </w:r>
            <w:r w:rsidR="007A6EA2">
              <w:rPr>
                <w:noProof/>
                <w:webHidden/>
              </w:rPr>
              <w:t>192</w:t>
            </w:r>
            <w:r w:rsidR="007A6EA2">
              <w:rPr>
                <w:noProof/>
                <w:webHidden/>
              </w:rPr>
              <w:fldChar w:fldCharType="end"/>
            </w:r>
          </w:hyperlink>
        </w:p>
        <w:p w14:paraId="6A42F83B" w14:textId="1E7BF2A4" w:rsidR="007A6EA2" w:rsidRDefault="00000000">
          <w:pPr>
            <w:pStyle w:val="TOC2"/>
            <w:rPr>
              <w:rFonts w:eastAsiaTheme="minorEastAsia"/>
              <w:noProof/>
              <w:kern w:val="2"/>
              <w:lang w:eastAsia="en-AU"/>
              <w14:ligatures w14:val="standardContextual"/>
            </w:rPr>
          </w:pPr>
          <w:hyperlink w:anchor="_Toc153791968" w:history="1">
            <w:r w:rsidR="007A6EA2" w:rsidRPr="00CE4BB9">
              <w:rPr>
                <w:rStyle w:val="Hyperlink"/>
                <w:noProof/>
              </w:rPr>
              <w:t>Deficit management and workforce bridging</w:t>
            </w:r>
            <w:r w:rsidR="007A6EA2">
              <w:rPr>
                <w:noProof/>
                <w:webHidden/>
              </w:rPr>
              <w:tab/>
            </w:r>
            <w:r w:rsidR="007A6EA2">
              <w:rPr>
                <w:noProof/>
                <w:webHidden/>
              </w:rPr>
              <w:fldChar w:fldCharType="begin"/>
            </w:r>
            <w:r w:rsidR="007A6EA2">
              <w:rPr>
                <w:noProof/>
                <w:webHidden/>
              </w:rPr>
              <w:instrText xml:space="preserve"> PAGEREF _Toc153791968 \h </w:instrText>
            </w:r>
            <w:r w:rsidR="007A6EA2">
              <w:rPr>
                <w:noProof/>
                <w:webHidden/>
              </w:rPr>
            </w:r>
            <w:r w:rsidR="007A6EA2">
              <w:rPr>
                <w:noProof/>
                <w:webHidden/>
              </w:rPr>
              <w:fldChar w:fldCharType="separate"/>
            </w:r>
            <w:r w:rsidR="007A6EA2">
              <w:rPr>
                <w:noProof/>
                <w:webHidden/>
              </w:rPr>
              <w:t>199</w:t>
            </w:r>
            <w:r w:rsidR="007A6EA2">
              <w:rPr>
                <w:noProof/>
                <w:webHidden/>
              </w:rPr>
              <w:fldChar w:fldCharType="end"/>
            </w:r>
          </w:hyperlink>
        </w:p>
        <w:p w14:paraId="2639ECDE" w14:textId="54322A4F" w:rsidR="007A6EA2" w:rsidRDefault="00000000">
          <w:pPr>
            <w:pStyle w:val="TOC2"/>
            <w:rPr>
              <w:rFonts w:eastAsiaTheme="minorEastAsia"/>
              <w:noProof/>
              <w:kern w:val="2"/>
              <w:lang w:eastAsia="en-AU"/>
              <w14:ligatures w14:val="standardContextual"/>
            </w:rPr>
          </w:pPr>
          <w:hyperlink w:anchor="_Toc153791969" w:history="1">
            <w:r w:rsidR="007A6EA2" w:rsidRPr="00CE4BB9">
              <w:rPr>
                <w:rStyle w:val="Hyperlink"/>
                <w:noProof/>
              </w:rPr>
              <w:t>Principal classification budget</w:t>
            </w:r>
            <w:r w:rsidR="007A6EA2">
              <w:rPr>
                <w:noProof/>
                <w:webHidden/>
              </w:rPr>
              <w:tab/>
            </w:r>
            <w:r w:rsidR="007A6EA2">
              <w:rPr>
                <w:noProof/>
                <w:webHidden/>
              </w:rPr>
              <w:fldChar w:fldCharType="begin"/>
            </w:r>
            <w:r w:rsidR="007A6EA2">
              <w:rPr>
                <w:noProof/>
                <w:webHidden/>
              </w:rPr>
              <w:instrText xml:space="preserve"> PAGEREF _Toc153791969 \h </w:instrText>
            </w:r>
            <w:r w:rsidR="007A6EA2">
              <w:rPr>
                <w:noProof/>
                <w:webHidden/>
              </w:rPr>
            </w:r>
            <w:r w:rsidR="007A6EA2">
              <w:rPr>
                <w:noProof/>
                <w:webHidden/>
              </w:rPr>
              <w:fldChar w:fldCharType="separate"/>
            </w:r>
            <w:r w:rsidR="007A6EA2">
              <w:rPr>
                <w:noProof/>
                <w:webHidden/>
              </w:rPr>
              <w:t>202</w:t>
            </w:r>
            <w:r w:rsidR="007A6EA2">
              <w:rPr>
                <w:noProof/>
                <w:webHidden/>
              </w:rPr>
              <w:fldChar w:fldCharType="end"/>
            </w:r>
          </w:hyperlink>
        </w:p>
        <w:p w14:paraId="1740B6AD" w14:textId="4E1C9597" w:rsidR="007A6EA2" w:rsidRDefault="00000000">
          <w:pPr>
            <w:pStyle w:val="TOC2"/>
            <w:rPr>
              <w:rFonts w:eastAsiaTheme="minorEastAsia"/>
              <w:noProof/>
              <w:kern w:val="2"/>
              <w:lang w:eastAsia="en-AU"/>
              <w14:ligatures w14:val="standardContextual"/>
            </w:rPr>
          </w:pPr>
          <w:hyperlink w:anchor="_Toc153791970" w:history="1">
            <w:r w:rsidR="007A6EA2" w:rsidRPr="00CE4BB9">
              <w:rPr>
                <w:rStyle w:val="Hyperlink"/>
                <w:noProof/>
              </w:rPr>
              <w:t>Enrolment Variation Funding</w:t>
            </w:r>
            <w:r w:rsidR="007A6EA2">
              <w:rPr>
                <w:noProof/>
                <w:webHidden/>
              </w:rPr>
              <w:tab/>
            </w:r>
            <w:r w:rsidR="007A6EA2">
              <w:rPr>
                <w:noProof/>
                <w:webHidden/>
              </w:rPr>
              <w:fldChar w:fldCharType="begin"/>
            </w:r>
            <w:r w:rsidR="007A6EA2">
              <w:rPr>
                <w:noProof/>
                <w:webHidden/>
              </w:rPr>
              <w:instrText xml:space="preserve"> PAGEREF _Toc153791970 \h </w:instrText>
            </w:r>
            <w:r w:rsidR="007A6EA2">
              <w:rPr>
                <w:noProof/>
                <w:webHidden/>
              </w:rPr>
            </w:r>
            <w:r w:rsidR="007A6EA2">
              <w:rPr>
                <w:noProof/>
                <w:webHidden/>
              </w:rPr>
              <w:fldChar w:fldCharType="separate"/>
            </w:r>
            <w:r w:rsidR="007A6EA2">
              <w:rPr>
                <w:noProof/>
                <w:webHidden/>
              </w:rPr>
              <w:t>203</w:t>
            </w:r>
            <w:r w:rsidR="007A6EA2">
              <w:rPr>
                <w:noProof/>
                <w:webHidden/>
              </w:rPr>
              <w:fldChar w:fldCharType="end"/>
            </w:r>
          </w:hyperlink>
        </w:p>
        <w:p w14:paraId="67E28987" w14:textId="18EA6FB0" w:rsidR="00787CC6" w:rsidRPr="00260C1D" w:rsidRDefault="007016CD">
          <w:pPr>
            <w:rPr>
              <w:rFonts w:cstheme="minorHAnsi"/>
            </w:rPr>
          </w:pPr>
          <w:r w:rsidRPr="00260C1D">
            <w:rPr>
              <w:rFonts w:cstheme="minorHAnsi"/>
              <w:color w:val="222A35" w:themeColor="text2" w:themeShade="80"/>
            </w:rPr>
            <w:fldChar w:fldCharType="end"/>
          </w:r>
        </w:p>
      </w:sdtContent>
    </w:sdt>
    <w:p w14:paraId="4AE73D1B" w14:textId="77777777" w:rsidR="006D204B" w:rsidRPr="00260C1D" w:rsidRDefault="006D204B">
      <w:pPr>
        <w:rPr>
          <w:rFonts w:eastAsia="Segoe UI" w:cstheme="minorHAnsi"/>
          <w:b/>
          <w:color w:val="323E4F" w:themeColor="text2" w:themeShade="BF"/>
          <w:kern w:val="36"/>
          <w:sz w:val="48"/>
          <w:szCs w:val="48"/>
          <w:lang w:val="en" w:eastAsia="en-AU"/>
        </w:rPr>
      </w:pPr>
      <w:r w:rsidRPr="00260C1D">
        <w:rPr>
          <w:rFonts w:cstheme="minorHAnsi"/>
          <w:lang w:val="en"/>
        </w:rPr>
        <w:br w:type="page"/>
      </w:r>
    </w:p>
    <w:p w14:paraId="25375CC7" w14:textId="4BC74E34" w:rsidR="00ED4312" w:rsidRPr="00260C1D" w:rsidRDefault="00ED4312" w:rsidP="003D144A">
      <w:pPr>
        <w:pStyle w:val="Heading1"/>
        <w:rPr>
          <w:lang w:val="en"/>
        </w:rPr>
      </w:pPr>
      <w:bookmarkStart w:id="0" w:name="_Toc141965226"/>
      <w:bookmarkStart w:id="1" w:name="_Toc145339556"/>
      <w:bookmarkStart w:id="2" w:name="_Toc153791879"/>
      <w:r w:rsidRPr="00260C1D">
        <w:rPr>
          <w:lang w:val="en"/>
        </w:rPr>
        <w:lastRenderedPageBreak/>
        <w:t>Core Student Learning Allocation funding (Student</w:t>
      </w:r>
      <w:r w:rsidR="00E710D1">
        <w:rPr>
          <w:lang w:val="en"/>
        </w:rPr>
        <w:t>-b</w:t>
      </w:r>
      <w:r w:rsidRPr="00260C1D">
        <w:rPr>
          <w:lang w:val="en"/>
        </w:rPr>
        <w:t>ased Funding)</w:t>
      </w:r>
      <w:bookmarkEnd w:id="0"/>
      <w:bookmarkEnd w:id="1"/>
      <w:bookmarkEnd w:id="2"/>
    </w:p>
    <w:p w14:paraId="16308921" w14:textId="77777777" w:rsidR="00ED4312" w:rsidRPr="00B148A2" w:rsidRDefault="00ED4312" w:rsidP="00B148A2">
      <w:pPr>
        <w:spacing w:after="0" w:line="312" w:lineRule="atLeast"/>
        <w:outlineLvl w:val="1"/>
        <w:rPr>
          <w:rFonts w:eastAsia="Segoe UI" w:cstheme="minorHAnsi"/>
          <w:b/>
          <w:color w:val="011A3C"/>
          <w:sz w:val="36"/>
          <w:szCs w:val="36"/>
          <w:lang w:val="en" w:eastAsia="en-AU"/>
        </w:rPr>
      </w:pPr>
      <w:r w:rsidRPr="00B148A2">
        <w:rPr>
          <w:rFonts w:eastAsia="Segoe UI" w:cstheme="minorHAnsi"/>
          <w:b/>
          <w:color w:val="011A3C"/>
          <w:sz w:val="36"/>
          <w:szCs w:val="36"/>
          <w:lang w:val="en" w:eastAsia="en-AU"/>
        </w:rPr>
        <w:t>Policy</w:t>
      </w:r>
    </w:p>
    <w:p w14:paraId="5F096DD6" w14:textId="692FB5A6" w:rsidR="00ED4312" w:rsidRPr="00260C1D" w:rsidRDefault="00ED4312" w:rsidP="00ED4312">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This policy provides information about how funding is allocated to schools through the Student Resource </w:t>
      </w:r>
      <w:r w:rsidR="00E913EB" w:rsidRPr="00260C1D">
        <w:rPr>
          <w:rFonts w:eastAsia="Segoe UI" w:cstheme="minorHAnsi"/>
          <w:color w:val="011A3C"/>
          <w:sz w:val="24"/>
          <w:szCs w:val="24"/>
          <w:lang w:val="en" w:eastAsia="en-AU"/>
        </w:rPr>
        <w:t>Package (</w:t>
      </w:r>
      <w:r w:rsidR="001039D9" w:rsidRPr="00260C1D">
        <w:rPr>
          <w:rFonts w:eastAsia="Segoe UI" w:cstheme="minorHAnsi"/>
          <w:color w:val="011A3C"/>
          <w:sz w:val="24"/>
          <w:szCs w:val="24"/>
          <w:lang w:val="en" w:eastAsia="en-AU"/>
        </w:rPr>
        <w:t>SRP)</w:t>
      </w:r>
      <w:r w:rsidRPr="00260C1D">
        <w:rPr>
          <w:rFonts w:eastAsia="Segoe UI" w:cstheme="minorHAnsi"/>
          <w:color w:val="011A3C"/>
          <w:sz w:val="24"/>
          <w:szCs w:val="24"/>
          <w:lang w:val="en" w:eastAsia="en-AU"/>
        </w:rPr>
        <w:t xml:space="preserve"> for core student learning needs.</w:t>
      </w:r>
    </w:p>
    <w:p w14:paraId="07C78316" w14:textId="77777777" w:rsidR="00ED4312" w:rsidRPr="00260C1D" w:rsidRDefault="00ED4312" w:rsidP="00B148A2">
      <w:pPr>
        <w:spacing w:after="0" w:line="312" w:lineRule="atLeast"/>
        <w:outlineLvl w:val="1"/>
        <w:rPr>
          <w:rFonts w:eastAsia="Segoe UI" w:cstheme="minorHAnsi"/>
          <w:b/>
          <w:color w:val="011A3C"/>
          <w:sz w:val="36"/>
          <w:szCs w:val="36"/>
          <w:lang w:val="en" w:eastAsia="en-AU"/>
        </w:rPr>
      </w:pPr>
      <w:r w:rsidRPr="00260C1D">
        <w:rPr>
          <w:rFonts w:eastAsia="Segoe UI" w:cstheme="minorHAnsi"/>
          <w:b/>
          <w:color w:val="011A3C"/>
          <w:sz w:val="36"/>
          <w:szCs w:val="36"/>
          <w:lang w:val="en" w:eastAsia="en-AU"/>
        </w:rPr>
        <w:t>Details</w:t>
      </w:r>
    </w:p>
    <w:p w14:paraId="0BFC9C64" w14:textId="7BF1E1E0" w:rsidR="00ED4312" w:rsidRPr="00260C1D" w:rsidRDefault="00ED4312" w:rsidP="00B148A2">
      <w:pPr>
        <w:spacing w:after="0"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Core student learning allocation funding is one of two types of </w:t>
      </w:r>
      <w:r w:rsidR="00DD35AA" w:rsidRPr="00260C1D">
        <w:rPr>
          <w:rFonts w:eastAsia="Segoe UI" w:cstheme="minorHAnsi"/>
          <w:color w:val="011A3C"/>
          <w:sz w:val="24"/>
          <w:szCs w:val="24"/>
          <w:lang w:val="en" w:eastAsia="en-AU"/>
        </w:rPr>
        <w:t>student-based</w:t>
      </w:r>
      <w:r w:rsidRPr="00260C1D">
        <w:rPr>
          <w:rFonts w:eastAsia="Segoe UI" w:cstheme="minorHAnsi"/>
          <w:color w:val="011A3C"/>
          <w:sz w:val="24"/>
          <w:szCs w:val="24"/>
          <w:lang w:val="en" w:eastAsia="en-AU"/>
        </w:rPr>
        <w:t xml:space="preserve"> funding. The other type of student</w:t>
      </w:r>
      <w:r w:rsidR="00E710D1">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based funding is </w:t>
      </w:r>
      <w:hyperlink r:id="rId11" w:history="1">
        <w:r w:rsidRPr="00260C1D">
          <w:rPr>
            <w:rFonts w:eastAsia="Segoe UI" w:cstheme="minorHAnsi"/>
            <w:color w:val="011A3C"/>
            <w:sz w:val="24"/>
            <w:szCs w:val="24"/>
            <w:lang w:val="en" w:eastAsia="en-AU"/>
          </w:rPr>
          <w:t>Equity funding</w:t>
        </w:r>
      </w:hyperlink>
      <w:r w:rsidRPr="00260C1D">
        <w:rPr>
          <w:rFonts w:eastAsia="Segoe UI" w:cstheme="minorHAnsi"/>
          <w:color w:val="011A3C"/>
          <w:sz w:val="24"/>
          <w:szCs w:val="24"/>
          <w:lang w:val="en" w:eastAsia="en-AU"/>
        </w:rPr>
        <w:t>.</w:t>
      </w:r>
    </w:p>
    <w:p w14:paraId="7508610C" w14:textId="245B9AF7" w:rsidR="00ED4312" w:rsidRPr="00260C1D" w:rsidRDefault="00ED4312" w:rsidP="00715277">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Student</w:t>
      </w:r>
      <w:r w:rsidR="00E710D1">
        <w:rPr>
          <w:rFonts w:eastAsia="Segoe UI" w:cstheme="minorHAnsi"/>
          <w:color w:val="011A3C"/>
          <w:sz w:val="24"/>
          <w:szCs w:val="24"/>
          <w:lang w:val="en" w:eastAsia="en-AU"/>
        </w:rPr>
        <w:t>-</w:t>
      </w:r>
      <w:r w:rsidRPr="00260C1D">
        <w:rPr>
          <w:rFonts w:eastAsia="Segoe UI" w:cstheme="minorHAnsi"/>
          <w:color w:val="011A3C"/>
          <w:sz w:val="24"/>
          <w:szCs w:val="24"/>
          <w:lang w:val="en" w:eastAsia="en-AU"/>
        </w:rPr>
        <w:t>based funding represents the main funding source for all schools and comprises approximately 90% of the total SRP provided to schools. This funding is designed to cover core teaching and learning, leadership, teaching support, professional development, relief teaching, payroll tax and superannuation costs for the school. </w:t>
      </w:r>
    </w:p>
    <w:p w14:paraId="73D1DF94" w14:textId="5A3F1508" w:rsidR="00930B6B" w:rsidRPr="00260C1D" w:rsidRDefault="00ED4312" w:rsidP="004D307F">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Core Student Learning Allocation is designed to </w:t>
      </w:r>
      <w:proofErr w:type="spellStart"/>
      <w:r w:rsidRPr="00260C1D">
        <w:rPr>
          <w:rFonts w:eastAsia="Segoe UI" w:cstheme="minorHAnsi"/>
          <w:color w:val="011A3C"/>
          <w:sz w:val="24"/>
          <w:szCs w:val="24"/>
          <w:lang w:val="en" w:eastAsia="en-AU"/>
        </w:rPr>
        <w:t>recognise</w:t>
      </w:r>
      <w:proofErr w:type="spellEnd"/>
      <w:r w:rsidRPr="00260C1D">
        <w:rPr>
          <w:rFonts w:eastAsia="Segoe UI" w:cstheme="minorHAnsi"/>
          <w:color w:val="011A3C"/>
          <w:sz w:val="24"/>
          <w:szCs w:val="24"/>
          <w:lang w:val="en" w:eastAsia="en-AU"/>
        </w:rPr>
        <w:t xml:space="preserve"> the differing costs associated with different levels of learning, different types and sizes of schools, and the additional costs imposed by rurality and isolation. The specific types of Core Student Learning Allocation funding are listed below.</w:t>
      </w:r>
    </w:p>
    <w:p w14:paraId="111EABF7" w14:textId="3A24423E" w:rsidR="00ED4312" w:rsidRPr="00260C1D" w:rsidRDefault="00F45270" w:rsidP="00ED4312">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Each </w:t>
      </w:r>
      <w:r w:rsidR="00ED4312" w:rsidRPr="00260C1D">
        <w:rPr>
          <w:rFonts w:eastAsia="Segoe UI" w:cstheme="minorHAnsi"/>
          <w:color w:val="011A3C"/>
          <w:sz w:val="24"/>
          <w:szCs w:val="24"/>
          <w:lang w:val="en" w:eastAsia="en-AU"/>
        </w:rPr>
        <w:t>of the specific types of Core Student Learning Allocation funding</w:t>
      </w:r>
      <w:r w:rsidRPr="00260C1D">
        <w:rPr>
          <w:rFonts w:eastAsia="Segoe UI" w:cstheme="minorHAnsi"/>
          <w:color w:val="011A3C"/>
          <w:sz w:val="24"/>
          <w:szCs w:val="24"/>
          <w:lang w:val="en" w:eastAsia="en-AU"/>
        </w:rPr>
        <w:t xml:space="preserve"> are listed below:</w:t>
      </w:r>
    </w:p>
    <w:p w14:paraId="60B7E4D1" w14:textId="77777777" w:rsidR="00ED4312" w:rsidRPr="00260C1D" w:rsidRDefault="00ED4312" w:rsidP="00F56244">
      <w:pPr>
        <w:pStyle w:val="ListParagraph"/>
        <w:numPr>
          <w:ilvl w:val="0"/>
          <w:numId w:val="55"/>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Student per capita funding Years Prep-12 Students</w:t>
      </w:r>
    </w:p>
    <w:p w14:paraId="09D207B6" w14:textId="77777777" w:rsidR="00ED4312" w:rsidRPr="00260C1D" w:rsidRDefault="00ED4312" w:rsidP="00F56244">
      <w:pPr>
        <w:pStyle w:val="ListParagraph"/>
        <w:numPr>
          <w:ilvl w:val="0"/>
          <w:numId w:val="55"/>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Enrolment Linked Base</w:t>
      </w:r>
    </w:p>
    <w:p w14:paraId="597E862A" w14:textId="77777777" w:rsidR="00ED4312" w:rsidRPr="00260C1D" w:rsidRDefault="00ED4312" w:rsidP="00F56244">
      <w:pPr>
        <w:pStyle w:val="ListParagraph"/>
        <w:numPr>
          <w:ilvl w:val="0"/>
          <w:numId w:val="55"/>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Small School Base</w:t>
      </w:r>
    </w:p>
    <w:p w14:paraId="65EDEA2C" w14:textId="77777777" w:rsidR="00ED4312" w:rsidRPr="00260C1D" w:rsidRDefault="00ED4312" w:rsidP="00F56244">
      <w:pPr>
        <w:pStyle w:val="ListParagraph"/>
        <w:numPr>
          <w:ilvl w:val="0"/>
          <w:numId w:val="55"/>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Rural School Size Adjustment Factor</w:t>
      </w:r>
    </w:p>
    <w:p w14:paraId="733D8FEB" w14:textId="77777777" w:rsidR="00ED4312" w:rsidRPr="00260C1D" w:rsidRDefault="00ED4312" w:rsidP="00F56244">
      <w:pPr>
        <w:pStyle w:val="ListParagraph"/>
        <w:numPr>
          <w:ilvl w:val="0"/>
          <w:numId w:val="55"/>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Core Index Stages 1-3</w:t>
      </w:r>
    </w:p>
    <w:p w14:paraId="1BC726D4" w14:textId="77777777" w:rsidR="00ED4312" w:rsidRPr="00260C1D" w:rsidRDefault="00ED4312" w:rsidP="00F56244">
      <w:pPr>
        <w:pStyle w:val="ListParagraph"/>
        <w:numPr>
          <w:ilvl w:val="0"/>
          <w:numId w:val="55"/>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Size Adjustment Supplementation</w:t>
      </w:r>
    </w:p>
    <w:p w14:paraId="4229619E" w14:textId="77777777" w:rsidR="00ED4312" w:rsidRPr="00260C1D" w:rsidRDefault="00ED4312" w:rsidP="00F56244">
      <w:pPr>
        <w:pStyle w:val="ListParagraph"/>
        <w:numPr>
          <w:ilvl w:val="0"/>
          <w:numId w:val="55"/>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Approved Early Education Program</w:t>
      </w:r>
    </w:p>
    <w:p w14:paraId="38EA3029" w14:textId="71608A5D" w:rsidR="00CE78A9" w:rsidRPr="00260C1D" w:rsidRDefault="00CE78A9" w:rsidP="00F56244">
      <w:pPr>
        <w:pStyle w:val="ListParagraph"/>
        <w:numPr>
          <w:ilvl w:val="0"/>
          <w:numId w:val="55"/>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Principal Salary Adjustment</w:t>
      </w:r>
    </w:p>
    <w:p w14:paraId="4892B2A1" w14:textId="69B3FC7D" w:rsidR="00ED4312" w:rsidRPr="00260C1D" w:rsidRDefault="00ED4312" w:rsidP="00F56244">
      <w:pPr>
        <w:pStyle w:val="ListParagraph"/>
        <w:numPr>
          <w:ilvl w:val="0"/>
          <w:numId w:val="55"/>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Language and Learning Disabilities Support Program</w:t>
      </w:r>
    </w:p>
    <w:p w14:paraId="3EDBA839" w14:textId="1A06E234" w:rsidR="00ED4312" w:rsidRDefault="00ED4312" w:rsidP="00F56244">
      <w:pPr>
        <w:pStyle w:val="ListParagraph"/>
        <w:numPr>
          <w:ilvl w:val="0"/>
          <w:numId w:val="55"/>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Mental Health</w:t>
      </w:r>
      <w:r w:rsidR="00D47403" w:rsidRPr="00260C1D">
        <w:rPr>
          <w:rFonts w:eastAsia="Segoe UI" w:cstheme="minorHAnsi"/>
          <w:color w:val="011A3C"/>
          <w:sz w:val="24"/>
          <w:szCs w:val="24"/>
          <w:lang w:val="en" w:eastAsia="en-AU"/>
        </w:rPr>
        <w:t xml:space="preserve"> Practitioners</w:t>
      </w:r>
    </w:p>
    <w:p w14:paraId="080A2067" w14:textId="0084A305" w:rsidR="00030F31" w:rsidRPr="00260C1D" w:rsidRDefault="003B0EFD" w:rsidP="00F56244">
      <w:pPr>
        <w:pStyle w:val="ListParagraph"/>
        <w:numPr>
          <w:ilvl w:val="0"/>
          <w:numId w:val="55"/>
        </w:numPr>
        <w:spacing w:before="100" w:beforeAutospacing="1" w:after="100" w:afterAutospacing="1" w:line="360" w:lineRule="atLeast"/>
        <w:rPr>
          <w:rFonts w:eastAsia="Segoe UI" w:cstheme="minorHAnsi"/>
          <w:color w:val="011A3C"/>
          <w:sz w:val="24"/>
          <w:szCs w:val="24"/>
          <w:lang w:val="en" w:eastAsia="en-AU"/>
        </w:rPr>
      </w:pPr>
      <w:r w:rsidRPr="003B0EFD">
        <w:rPr>
          <w:rFonts w:eastAsia="Segoe UI" w:cstheme="minorHAnsi"/>
          <w:color w:val="011A3C"/>
          <w:sz w:val="24"/>
          <w:szCs w:val="24"/>
          <w:lang w:val="en" w:eastAsia="en-AU"/>
        </w:rPr>
        <w:t>Camps Payment</w:t>
      </w:r>
    </w:p>
    <w:p w14:paraId="0892F10F" w14:textId="77777777" w:rsidR="0094634B" w:rsidRPr="00260C1D" w:rsidRDefault="0094634B" w:rsidP="0094634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Not all types of funding are available to all schools. Funding is assessed according to school or campus type and student need.</w:t>
      </w:r>
    </w:p>
    <w:p w14:paraId="7C98A508" w14:textId="38BCF2B3" w:rsidR="009E681D" w:rsidRPr="00260C1D" w:rsidRDefault="0094634B" w:rsidP="0094634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are expected to use SRP funds for the purpose for which it was allocated.</w:t>
      </w:r>
    </w:p>
    <w:p w14:paraId="5CB2F173" w14:textId="6954B86A" w:rsidR="001167A8" w:rsidRPr="00260C1D" w:rsidRDefault="001167A8" w:rsidP="00532A33">
      <w:pPr>
        <w:pStyle w:val="Heading2"/>
      </w:pPr>
      <w:bookmarkStart w:id="3" w:name="_Toc141965227"/>
      <w:bookmarkStart w:id="4" w:name="_Toc145339557"/>
      <w:bookmarkStart w:id="5" w:name="_Toc153791880"/>
      <w:r w:rsidRPr="00260C1D">
        <w:lastRenderedPageBreak/>
        <w:t xml:space="preserve">Student per capita </w:t>
      </w:r>
      <w:r w:rsidR="00CD2C77">
        <w:t>f</w:t>
      </w:r>
      <w:r w:rsidRPr="00260C1D">
        <w:t>unding Years Prep-12 Students (Reference 1)</w:t>
      </w:r>
      <w:bookmarkEnd w:id="3"/>
      <w:bookmarkEnd w:id="4"/>
      <w:bookmarkEnd w:id="5"/>
    </w:p>
    <w:p w14:paraId="57E5A1A4" w14:textId="5ECC43B7" w:rsidR="001167A8" w:rsidRPr="00260C1D" w:rsidRDefault="001167A8" w:rsidP="001167A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In the Student Resource Package, the majority of funding provided to schools has been specified as per-student rates (i.e. in student per capita form). </w:t>
      </w:r>
    </w:p>
    <w:p w14:paraId="1F76FAC1" w14:textId="70E0F5E6" w:rsidR="001167A8" w:rsidRPr="00260C1D" w:rsidRDefault="001167A8" w:rsidP="001167A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Research conducted by The University of Melbourne has allowed the differing costs associated with delivering effective educational outcomes at the various levels of learning to be </w:t>
      </w:r>
      <w:proofErr w:type="spellStart"/>
      <w:r w:rsidRPr="00260C1D">
        <w:rPr>
          <w:rFonts w:eastAsia="Segoe UI" w:cstheme="minorHAnsi"/>
          <w:color w:val="011A3C"/>
          <w:sz w:val="24"/>
          <w:szCs w:val="24"/>
          <w:lang w:val="en" w:eastAsia="en-AU"/>
        </w:rPr>
        <w:t>recognised</w:t>
      </w:r>
      <w:proofErr w:type="spellEnd"/>
      <w:r w:rsidRPr="00260C1D">
        <w:rPr>
          <w:rFonts w:eastAsia="Segoe UI" w:cstheme="minorHAnsi"/>
          <w:color w:val="011A3C"/>
          <w:sz w:val="24"/>
          <w:szCs w:val="24"/>
          <w:lang w:val="en" w:eastAsia="en-AU"/>
        </w:rPr>
        <w:t xml:space="preserve"> by differing rates. The relativities are an initial assessment of the most effective way of allocating existing funds. These relativities may be adjusted over time through further research and a rolling benchmark process.</w:t>
      </w:r>
    </w:p>
    <w:p w14:paraId="327E805A" w14:textId="77777777" w:rsidR="001167A8" w:rsidRPr="00260C1D" w:rsidRDefault="001167A8" w:rsidP="001167A8">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3A0EC60D" w14:textId="7C8FFDC6" w:rsidR="001167A8" w:rsidRPr="00260C1D" w:rsidRDefault="001167A8" w:rsidP="001167A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with the following campus types are eligible for the student per capita funding at </w:t>
      </w:r>
      <w:r w:rsidR="00286FA1">
        <w:rPr>
          <w:rFonts w:eastAsia="Segoe UI" w:cstheme="minorHAnsi"/>
          <w:color w:val="011A3C"/>
          <w:sz w:val="24"/>
          <w:szCs w:val="24"/>
          <w:lang w:val="en" w:eastAsia="en-AU"/>
        </w:rPr>
        <w:t xml:space="preserve">a </w:t>
      </w:r>
      <w:r w:rsidRPr="00260C1D">
        <w:rPr>
          <w:rFonts w:eastAsia="Segoe UI" w:cstheme="minorHAnsi"/>
          <w:color w:val="011A3C"/>
          <w:sz w:val="24"/>
          <w:szCs w:val="24"/>
          <w:lang w:val="en" w:eastAsia="en-AU"/>
        </w:rPr>
        <w:t>campus level</w:t>
      </w:r>
      <w:r w:rsidR="004A1E55">
        <w:rPr>
          <w:rFonts w:eastAsia="Segoe UI" w:cstheme="minorHAnsi"/>
          <w:color w:val="011A3C"/>
          <w:sz w:val="24"/>
          <w:szCs w:val="24"/>
          <w:lang w:val="en" w:eastAsia="en-AU"/>
        </w:rPr>
        <w:t>:</w:t>
      </w:r>
    </w:p>
    <w:p w14:paraId="63D0B3E4" w14:textId="77777777" w:rsidR="001167A8" w:rsidRPr="00260C1D" w:rsidRDefault="001167A8" w:rsidP="00F56244">
      <w:pPr>
        <w:pStyle w:val="ListParagraph"/>
        <w:numPr>
          <w:ilvl w:val="0"/>
          <w:numId w:val="56"/>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Primary</w:t>
      </w:r>
    </w:p>
    <w:p w14:paraId="5892237E" w14:textId="77777777" w:rsidR="001167A8" w:rsidRPr="00260C1D" w:rsidRDefault="001167A8" w:rsidP="00F56244">
      <w:pPr>
        <w:pStyle w:val="ListParagraph"/>
        <w:numPr>
          <w:ilvl w:val="0"/>
          <w:numId w:val="56"/>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Secondary</w:t>
      </w:r>
    </w:p>
    <w:p w14:paraId="796887AA" w14:textId="77777777" w:rsidR="001167A8" w:rsidRPr="00260C1D" w:rsidRDefault="001167A8" w:rsidP="00F56244">
      <w:pPr>
        <w:pStyle w:val="ListParagraph"/>
        <w:numPr>
          <w:ilvl w:val="0"/>
          <w:numId w:val="56"/>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Primary/Secondary Combined</w:t>
      </w:r>
    </w:p>
    <w:p w14:paraId="79EFF6FA" w14:textId="246D6EF5" w:rsidR="000F760D" w:rsidRDefault="000F760D" w:rsidP="00F56244">
      <w:pPr>
        <w:pStyle w:val="ListParagraph"/>
        <w:numPr>
          <w:ilvl w:val="0"/>
          <w:numId w:val="56"/>
        </w:numPr>
        <w:spacing w:before="100" w:beforeAutospacing="1" w:after="100" w:afterAutospacing="1" w:line="360" w:lineRule="atLeast"/>
        <w:rPr>
          <w:rFonts w:eastAsia="Segoe UI" w:cstheme="minorHAnsi"/>
          <w:color w:val="011A3C"/>
          <w:sz w:val="24"/>
          <w:szCs w:val="24"/>
          <w:lang w:val="en" w:eastAsia="en-AU"/>
        </w:rPr>
      </w:pPr>
      <w:bookmarkStart w:id="6" w:name="_Hlk46933012"/>
      <w:r w:rsidRPr="00260C1D">
        <w:rPr>
          <w:rFonts w:eastAsia="Segoe UI" w:cstheme="minorHAnsi"/>
          <w:color w:val="011A3C"/>
          <w:sz w:val="24"/>
          <w:szCs w:val="24"/>
          <w:lang w:val="en" w:eastAsia="en-AU"/>
        </w:rPr>
        <w:t>Community</w:t>
      </w:r>
    </w:p>
    <w:p w14:paraId="6022226F" w14:textId="77777777" w:rsidR="00BF5DFF" w:rsidRPr="000B5288" w:rsidRDefault="00BF5DFF" w:rsidP="00BF5DFF">
      <w:pPr>
        <w:pStyle w:val="ListParagraph"/>
        <w:numPr>
          <w:ilvl w:val="0"/>
          <w:numId w:val="57"/>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Training Center</w:t>
      </w:r>
    </w:p>
    <w:p w14:paraId="15466128" w14:textId="08F6862A" w:rsidR="00BF5DFF" w:rsidRDefault="00BF5DFF" w:rsidP="00AB7A20">
      <w:pPr>
        <w:spacing w:before="100" w:beforeAutospacing="1" w:after="100" w:afterAutospacing="1" w:line="360" w:lineRule="atLeast"/>
        <w:rPr>
          <w:lang w:val="en" w:eastAsia="en-AU"/>
        </w:rPr>
      </w:pPr>
      <w:r>
        <w:rPr>
          <w:rFonts w:eastAsia="Segoe UI" w:cstheme="minorHAnsi"/>
          <w:color w:val="011A3C"/>
          <w:sz w:val="24"/>
          <w:szCs w:val="24"/>
          <w:lang w:val="en" w:eastAsia="en-AU"/>
        </w:rPr>
        <w:t xml:space="preserve">The following </w:t>
      </w:r>
      <w:r w:rsidR="00232E3D">
        <w:rPr>
          <w:rFonts w:eastAsia="Segoe UI" w:cstheme="minorHAnsi"/>
          <w:color w:val="011A3C"/>
          <w:sz w:val="24"/>
          <w:szCs w:val="24"/>
          <w:lang w:val="en" w:eastAsia="en-AU"/>
        </w:rPr>
        <w:t>campuses</w:t>
      </w:r>
      <w:r>
        <w:rPr>
          <w:rFonts w:eastAsia="Segoe UI" w:cstheme="minorHAnsi"/>
          <w:color w:val="011A3C"/>
          <w:sz w:val="24"/>
          <w:szCs w:val="24"/>
          <w:lang w:val="en" w:eastAsia="en-AU"/>
        </w:rPr>
        <w:t xml:space="preserve"> </w:t>
      </w:r>
      <w:bookmarkStart w:id="7" w:name="_Hlk130544123"/>
      <w:bookmarkStart w:id="8" w:name="_Hlk130544172"/>
      <w:r w:rsidR="002024AE">
        <w:rPr>
          <w:rFonts w:eastAsia="Segoe UI" w:cstheme="minorHAnsi"/>
          <w:color w:val="011A3C"/>
          <w:sz w:val="24"/>
          <w:szCs w:val="24"/>
          <w:lang w:val="en" w:eastAsia="en-AU"/>
        </w:rPr>
        <w:t xml:space="preserve">do not receive </w:t>
      </w:r>
      <w:bookmarkEnd w:id="7"/>
      <w:r w:rsidR="002024AE">
        <w:rPr>
          <w:rFonts w:eastAsia="Segoe UI" w:cstheme="minorHAnsi"/>
          <w:color w:val="011A3C"/>
          <w:sz w:val="24"/>
          <w:szCs w:val="24"/>
          <w:lang w:val="en" w:eastAsia="en-AU"/>
        </w:rPr>
        <w:t>this allocation</w:t>
      </w:r>
      <w:bookmarkEnd w:id="8"/>
      <w:r>
        <w:rPr>
          <w:rFonts w:eastAsia="Segoe UI" w:cstheme="minorHAnsi"/>
          <w:color w:val="011A3C"/>
          <w:sz w:val="24"/>
          <w:szCs w:val="24"/>
          <w:lang w:val="en" w:eastAsia="en-AU"/>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150"/>
        <w:gridCol w:w="4422"/>
      </w:tblGrid>
      <w:tr w:rsidR="000C3AA5" w:rsidRPr="00927374" w14:paraId="265B9B61" w14:textId="77777777" w:rsidTr="000C3AA5">
        <w:trPr>
          <w:trHeight w:val="69"/>
        </w:trPr>
        <w:tc>
          <w:tcPr>
            <w:tcW w:w="1956" w:type="dxa"/>
          </w:tcPr>
          <w:p w14:paraId="1A6A63CA" w14:textId="1CD8AF1D" w:rsidR="000C3AA5" w:rsidRPr="00AB7A20" w:rsidRDefault="000C3AA5" w:rsidP="0025187D">
            <w:pPr>
              <w:pStyle w:val="Text"/>
              <w:rPr>
                <w:rFonts w:asciiTheme="minorHAnsi" w:eastAsia="Segoe UI" w:hAnsiTheme="minorHAnsi" w:cstheme="minorHAnsi"/>
                <w:bCs/>
                <w:color w:val="011A3C"/>
                <w:sz w:val="24"/>
                <w:lang w:val="en" w:eastAsia="en-AU"/>
              </w:rPr>
            </w:pPr>
            <w:r w:rsidRPr="00AB7A20">
              <w:rPr>
                <w:rFonts w:asciiTheme="minorHAnsi" w:eastAsia="Segoe UI" w:hAnsiTheme="minorHAnsi" w:cstheme="minorHAnsi"/>
                <w:bCs/>
                <w:color w:val="011A3C"/>
                <w:sz w:val="24"/>
                <w:lang w:val="en" w:eastAsia="en-AU"/>
              </w:rPr>
              <w:t>School Number</w:t>
            </w:r>
          </w:p>
        </w:tc>
        <w:tc>
          <w:tcPr>
            <w:tcW w:w="2150" w:type="dxa"/>
          </w:tcPr>
          <w:p w14:paraId="7E82F014" w14:textId="4E89228E" w:rsidR="000C3AA5" w:rsidRPr="00AB7A20" w:rsidRDefault="000C3AA5" w:rsidP="0025187D">
            <w:pPr>
              <w:pStyle w:val="Text"/>
              <w:rPr>
                <w:rFonts w:asciiTheme="minorHAnsi" w:eastAsia="Segoe UI" w:hAnsiTheme="minorHAnsi" w:cstheme="minorHAnsi"/>
                <w:bCs/>
                <w:color w:val="011A3C"/>
                <w:sz w:val="24"/>
                <w:lang w:val="en" w:eastAsia="en-AU"/>
              </w:rPr>
            </w:pPr>
            <w:r w:rsidRPr="00AB7A20">
              <w:rPr>
                <w:rFonts w:asciiTheme="minorHAnsi" w:eastAsia="Segoe UI" w:hAnsiTheme="minorHAnsi" w:cstheme="minorHAnsi"/>
                <w:bCs/>
                <w:color w:val="011A3C"/>
                <w:sz w:val="24"/>
                <w:lang w:val="en" w:eastAsia="en-AU"/>
              </w:rPr>
              <w:t>Campus Number</w:t>
            </w:r>
          </w:p>
        </w:tc>
        <w:tc>
          <w:tcPr>
            <w:tcW w:w="4422" w:type="dxa"/>
          </w:tcPr>
          <w:p w14:paraId="61AF8A5A" w14:textId="54A9E986" w:rsidR="000C3AA5" w:rsidRPr="00AB7A20" w:rsidRDefault="000C3AA5" w:rsidP="0025187D">
            <w:pPr>
              <w:pStyle w:val="Text"/>
              <w:rPr>
                <w:rFonts w:asciiTheme="minorHAnsi" w:eastAsia="Segoe UI" w:hAnsiTheme="minorHAnsi" w:cstheme="minorHAnsi"/>
                <w:bCs/>
                <w:color w:val="011A3C"/>
                <w:sz w:val="24"/>
                <w:lang w:val="en" w:eastAsia="en-AU"/>
              </w:rPr>
            </w:pPr>
            <w:r w:rsidRPr="00AB7A20">
              <w:rPr>
                <w:rFonts w:asciiTheme="minorHAnsi" w:eastAsia="Segoe UI" w:hAnsiTheme="minorHAnsi" w:cstheme="minorHAnsi"/>
                <w:bCs/>
                <w:color w:val="011A3C"/>
                <w:sz w:val="24"/>
                <w:lang w:val="en" w:eastAsia="en-AU"/>
              </w:rPr>
              <w:t>School Name</w:t>
            </w:r>
          </w:p>
        </w:tc>
      </w:tr>
      <w:tr w:rsidR="00AD272B" w:rsidRPr="00927374" w14:paraId="28DDB878" w14:textId="77777777" w:rsidTr="00AB7A20">
        <w:trPr>
          <w:trHeight w:val="246"/>
        </w:trPr>
        <w:tc>
          <w:tcPr>
            <w:tcW w:w="1956" w:type="dxa"/>
          </w:tcPr>
          <w:p w14:paraId="141E0CB2" w14:textId="417CA06F" w:rsidR="00AD272B" w:rsidRPr="00610182" w:rsidRDefault="00AD272B" w:rsidP="00AD272B">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3552</w:t>
            </w:r>
          </w:p>
        </w:tc>
        <w:tc>
          <w:tcPr>
            <w:tcW w:w="2150" w:type="dxa"/>
          </w:tcPr>
          <w:p w14:paraId="5FD9D803" w14:textId="6523AB86" w:rsidR="00AD272B" w:rsidRPr="00610182" w:rsidRDefault="00AD272B" w:rsidP="00AD272B">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6</w:t>
            </w:r>
          </w:p>
        </w:tc>
        <w:tc>
          <w:tcPr>
            <w:tcW w:w="4422" w:type="dxa"/>
            <w:vAlign w:val="bottom"/>
          </w:tcPr>
          <w:p w14:paraId="4340D2A4" w14:textId="02B32837" w:rsidR="00AD272B" w:rsidRPr="00610182" w:rsidRDefault="009C3943" w:rsidP="00AD272B">
            <w:pPr>
              <w:pStyle w:val="Text"/>
              <w:rPr>
                <w:rFonts w:asciiTheme="minorHAnsi" w:eastAsia="Segoe UI" w:hAnsiTheme="minorHAnsi" w:cstheme="minorHAnsi"/>
                <w:b w:val="0"/>
                <w:color w:val="auto"/>
                <w:sz w:val="24"/>
                <w:lang w:val="en" w:eastAsia="en-AU"/>
              </w:rPr>
            </w:pPr>
            <w:proofErr w:type="spellStart"/>
            <w:r w:rsidRPr="009C3943">
              <w:rPr>
                <w:rFonts w:asciiTheme="minorHAnsi" w:eastAsia="Segoe UI" w:hAnsiTheme="minorHAnsi" w:cstheme="minorHAnsi"/>
                <w:b w:val="0"/>
                <w:color w:val="auto"/>
                <w:sz w:val="24"/>
                <w:lang w:val="en" w:eastAsia="en-AU"/>
              </w:rPr>
              <w:t>Yarra</w:t>
            </w:r>
            <w:proofErr w:type="spellEnd"/>
            <w:r w:rsidRPr="009C3943">
              <w:rPr>
                <w:rFonts w:asciiTheme="minorHAnsi" w:eastAsia="Segoe UI" w:hAnsiTheme="minorHAnsi" w:cstheme="minorHAnsi"/>
                <w:b w:val="0"/>
                <w:color w:val="auto"/>
                <w:sz w:val="24"/>
                <w:lang w:val="en" w:eastAsia="en-AU"/>
              </w:rPr>
              <w:t xml:space="preserve"> Me School</w:t>
            </w:r>
          </w:p>
        </w:tc>
      </w:tr>
      <w:tr w:rsidR="000C3AA5" w:rsidRPr="00927374" w14:paraId="0BA8A489" w14:textId="77777777" w:rsidTr="000C3AA5">
        <w:trPr>
          <w:trHeight w:val="246"/>
        </w:trPr>
        <w:tc>
          <w:tcPr>
            <w:tcW w:w="1956" w:type="dxa"/>
            <w:vAlign w:val="bottom"/>
          </w:tcPr>
          <w:p w14:paraId="6541538E"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6212</w:t>
            </w:r>
          </w:p>
        </w:tc>
        <w:tc>
          <w:tcPr>
            <w:tcW w:w="2150" w:type="dxa"/>
            <w:vAlign w:val="bottom"/>
          </w:tcPr>
          <w:p w14:paraId="162F6E6B"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2</w:t>
            </w:r>
          </w:p>
        </w:tc>
        <w:tc>
          <w:tcPr>
            <w:tcW w:w="4422" w:type="dxa"/>
            <w:vAlign w:val="bottom"/>
          </w:tcPr>
          <w:p w14:paraId="39339A06"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Collingwood College</w:t>
            </w:r>
          </w:p>
        </w:tc>
      </w:tr>
      <w:tr w:rsidR="000C3AA5" w:rsidRPr="00927374" w14:paraId="67C36479" w14:textId="77777777" w:rsidTr="000C3AA5">
        <w:trPr>
          <w:trHeight w:val="246"/>
        </w:trPr>
        <w:tc>
          <w:tcPr>
            <w:tcW w:w="1956" w:type="dxa"/>
            <w:vAlign w:val="bottom"/>
          </w:tcPr>
          <w:p w14:paraId="5FBCD2C4"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7595</w:t>
            </w:r>
          </w:p>
        </w:tc>
        <w:tc>
          <w:tcPr>
            <w:tcW w:w="2150" w:type="dxa"/>
            <w:vAlign w:val="bottom"/>
          </w:tcPr>
          <w:p w14:paraId="69EE8F7A"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2</w:t>
            </w:r>
          </w:p>
        </w:tc>
        <w:tc>
          <w:tcPr>
            <w:tcW w:w="4422" w:type="dxa"/>
            <w:vAlign w:val="bottom"/>
          </w:tcPr>
          <w:p w14:paraId="16B6395D"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Bendigo Senior Secondary College</w:t>
            </w:r>
          </w:p>
        </w:tc>
      </w:tr>
      <w:tr w:rsidR="000C3AA5" w:rsidRPr="00927374" w14:paraId="00F18844" w14:textId="77777777" w:rsidTr="000C3AA5">
        <w:trPr>
          <w:trHeight w:val="246"/>
        </w:trPr>
        <w:tc>
          <w:tcPr>
            <w:tcW w:w="1956" w:type="dxa"/>
            <w:vAlign w:val="bottom"/>
          </w:tcPr>
          <w:p w14:paraId="4DF26CC1"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8003</w:t>
            </w:r>
          </w:p>
        </w:tc>
        <w:tc>
          <w:tcPr>
            <w:tcW w:w="2150" w:type="dxa"/>
            <w:vAlign w:val="bottom"/>
          </w:tcPr>
          <w:p w14:paraId="684314C2"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2</w:t>
            </w:r>
          </w:p>
        </w:tc>
        <w:tc>
          <w:tcPr>
            <w:tcW w:w="4422" w:type="dxa"/>
            <w:vAlign w:val="bottom"/>
          </w:tcPr>
          <w:p w14:paraId="02F80C03" w14:textId="77777777" w:rsidR="000C3AA5" w:rsidRPr="00AB7A20" w:rsidRDefault="000C3AA5" w:rsidP="004E6355">
            <w:pPr>
              <w:pStyle w:val="Text"/>
              <w:rPr>
                <w:rFonts w:asciiTheme="minorHAnsi" w:eastAsia="Segoe UI" w:hAnsiTheme="minorHAnsi" w:cstheme="minorHAnsi"/>
                <w:b w:val="0"/>
                <w:color w:val="auto"/>
                <w:sz w:val="24"/>
                <w:lang w:val="en" w:eastAsia="en-AU"/>
              </w:rPr>
            </w:pPr>
            <w:proofErr w:type="spellStart"/>
            <w:r w:rsidRPr="00AB7A20">
              <w:rPr>
                <w:rFonts w:asciiTheme="minorHAnsi" w:eastAsia="Segoe UI" w:hAnsiTheme="minorHAnsi" w:cstheme="minorHAnsi"/>
                <w:b w:val="0"/>
                <w:color w:val="auto"/>
                <w:sz w:val="24"/>
                <w:lang w:val="en" w:eastAsia="en-AU"/>
              </w:rPr>
              <w:t>Lynall</w:t>
            </w:r>
            <w:proofErr w:type="spellEnd"/>
            <w:r w:rsidRPr="00AB7A20">
              <w:rPr>
                <w:rFonts w:asciiTheme="minorHAnsi" w:eastAsia="Segoe UI" w:hAnsiTheme="minorHAnsi" w:cstheme="minorHAnsi"/>
                <w:b w:val="0"/>
                <w:color w:val="auto"/>
                <w:sz w:val="24"/>
                <w:lang w:val="en" w:eastAsia="en-AU"/>
              </w:rPr>
              <w:t xml:space="preserve"> Hall Community School</w:t>
            </w:r>
          </w:p>
        </w:tc>
      </w:tr>
      <w:tr w:rsidR="000C3AA5" w:rsidRPr="00927374" w14:paraId="364B1A52" w14:textId="77777777" w:rsidTr="000C3AA5">
        <w:trPr>
          <w:trHeight w:val="246"/>
        </w:trPr>
        <w:tc>
          <w:tcPr>
            <w:tcW w:w="1956" w:type="dxa"/>
            <w:vAlign w:val="bottom"/>
          </w:tcPr>
          <w:p w14:paraId="4D053C85"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8003</w:t>
            </w:r>
          </w:p>
        </w:tc>
        <w:tc>
          <w:tcPr>
            <w:tcW w:w="2150" w:type="dxa"/>
            <w:vAlign w:val="bottom"/>
          </w:tcPr>
          <w:p w14:paraId="5CEFA468"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3</w:t>
            </w:r>
          </w:p>
        </w:tc>
        <w:tc>
          <w:tcPr>
            <w:tcW w:w="4422" w:type="dxa"/>
            <w:vAlign w:val="bottom"/>
          </w:tcPr>
          <w:p w14:paraId="713C6DBF" w14:textId="77777777" w:rsidR="000C3AA5" w:rsidRPr="00AB7A20" w:rsidRDefault="000C3AA5" w:rsidP="004E6355">
            <w:pPr>
              <w:pStyle w:val="Text"/>
              <w:rPr>
                <w:rFonts w:asciiTheme="minorHAnsi" w:eastAsia="Segoe UI" w:hAnsiTheme="minorHAnsi" w:cstheme="minorHAnsi"/>
                <w:b w:val="0"/>
                <w:color w:val="auto"/>
                <w:sz w:val="24"/>
                <w:lang w:val="en" w:eastAsia="en-AU"/>
              </w:rPr>
            </w:pPr>
            <w:proofErr w:type="spellStart"/>
            <w:r w:rsidRPr="00AB7A20">
              <w:rPr>
                <w:rFonts w:asciiTheme="minorHAnsi" w:eastAsia="Segoe UI" w:hAnsiTheme="minorHAnsi" w:cstheme="minorHAnsi"/>
                <w:b w:val="0"/>
                <w:color w:val="auto"/>
                <w:sz w:val="24"/>
                <w:lang w:val="en" w:eastAsia="en-AU"/>
              </w:rPr>
              <w:t>Lynall</w:t>
            </w:r>
            <w:proofErr w:type="spellEnd"/>
            <w:r w:rsidRPr="00AB7A20">
              <w:rPr>
                <w:rFonts w:asciiTheme="minorHAnsi" w:eastAsia="Segoe UI" w:hAnsiTheme="minorHAnsi" w:cstheme="minorHAnsi"/>
                <w:b w:val="0"/>
                <w:color w:val="auto"/>
                <w:sz w:val="24"/>
                <w:lang w:val="en" w:eastAsia="en-AU"/>
              </w:rPr>
              <w:t xml:space="preserve"> Hall Community School</w:t>
            </w:r>
          </w:p>
        </w:tc>
      </w:tr>
      <w:tr w:rsidR="000C3AA5" w:rsidRPr="00927374" w14:paraId="4DFC51BF" w14:textId="77777777" w:rsidTr="000C3AA5">
        <w:trPr>
          <w:trHeight w:val="246"/>
        </w:trPr>
        <w:tc>
          <w:tcPr>
            <w:tcW w:w="1956" w:type="dxa"/>
            <w:vAlign w:val="bottom"/>
          </w:tcPr>
          <w:p w14:paraId="7A3D7ED9"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8851</w:t>
            </w:r>
          </w:p>
        </w:tc>
        <w:tc>
          <w:tcPr>
            <w:tcW w:w="2150" w:type="dxa"/>
            <w:vAlign w:val="bottom"/>
          </w:tcPr>
          <w:p w14:paraId="24383A7A"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3</w:t>
            </w:r>
          </w:p>
        </w:tc>
        <w:tc>
          <w:tcPr>
            <w:tcW w:w="4422" w:type="dxa"/>
            <w:vAlign w:val="bottom"/>
          </w:tcPr>
          <w:p w14:paraId="4B6071D8"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Wodonga Middle Years College</w:t>
            </w:r>
          </w:p>
        </w:tc>
      </w:tr>
      <w:tr w:rsidR="000C3AA5" w:rsidRPr="00927374" w14:paraId="6FCF859C" w14:textId="77777777" w:rsidTr="00AB7A20">
        <w:trPr>
          <w:trHeight w:val="72"/>
        </w:trPr>
        <w:tc>
          <w:tcPr>
            <w:tcW w:w="1956" w:type="dxa"/>
            <w:vAlign w:val="bottom"/>
          </w:tcPr>
          <w:p w14:paraId="63D8E3E7"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8890</w:t>
            </w:r>
          </w:p>
        </w:tc>
        <w:tc>
          <w:tcPr>
            <w:tcW w:w="2150" w:type="dxa"/>
            <w:vAlign w:val="bottom"/>
          </w:tcPr>
          <w:p w14:paraId="12ABF4C1"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8</w:t>
            </w:r>
          </w:p>
        </w:tc>
        <w:tc>
          <w:tcPr>
            <w:tcW w:w="4422" w:type="dxa"/>
            <w:vAlign w:val="bottom"/>
          </w:tcPr>
          <w:p w14:paraId="50D75472"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Charles La Trobe P-12 College</w:t>
            </w:r>
          </w:p>
        </w:tc>
      </w:tr>
      <w:tr w:rsidR="000C3AA5" w:rsidRPr="00927374" w14:paraId="5D65BC76" w14:textId="77777777" w:rsidTr="000C3AA5">
        <w:trPr>
          <w:trHeight w:val="246"/>
        </w:trPr>
        <w:tc>
          <w:tcPr>
            <w:tcW w:w="1956" w:type="dxa"/>
            <w:vAlign w:val="bottom"/>
          </w:tcPr>
          <w:p w14:paraId="0745969B"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8890</w:t>
            </w:r>
          </w:p>
        </w:tc>
        <w:tc>
          <w:tcPr>
            <w:tcW w:w="2150" w:type="dxa"/>
            <w:vAlign w:val="bottom"/>
          </w:tcPr>
          <w:p w14:paraId="13AF5F33"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9</w:t>
            </w:r>
          </w:p>
        </w:tc>
        <w:tc>
          <w:tcPr>
            <w:tcW w:w="4422" w:type="dxa"/>
            <w:vAlign w:val="bottom"/>
          </w:tcPr>
          <w:p w14:paraId="46E5150F"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Charles La Trobe P-12 College</w:t>
            </w:r>
          </w:p>
        </w:tc>
      </w:tr>
      <w:tr w:rsidR="000C3AA5" w:rsidRPr="009815FF" w14:paraId="253957CD" w14:textId="77777777" w:rsidTr="00AB7A20">
        <w:trPr>
          <w:trHeight w:val="70"/>
        </w:trPr>
        <w:tc>
          <w:tcPr>
            <w:tcW w:w="1956" w:type="dxa"/>
            <w:vAlign w:val="bottom"/>
          </w:tcPr>
          <w:p w14:paraId="22FBD6CE"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8917</w:t>
            </w:r>
          </w:p>
        </w:tc>
        <w:tc>
          <w:tcPr>
            <w:tcW w:w="2150" w:type="dxa"/>
            <w:vAlign w:val="bottom"/>
          </w:tcPr>
          <w:p w14:paraId="326C71CE"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1</w:t>
            </w:r>
          </w:p>
        </w:tc>
        <w:tc>
          <w:tcPr>
            <w:tcW w:w="4422" w:type="dxa"/>
            <w:vAlign w:val="bottom"/>
          </w:tcPr>
          <w:p w14:paraId="6CCD90CF" w14:textId="77777777" w:rsidR="000C3AA5" w:rsidRPr="00AB7A20" w:rsidRDefault="000C3AA5" w:rsidP="004E635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Centre for Higher Education Studies</w:t>
            </w:r>
          </w:p>
        </w:tc>
      </w:tr>
    </w:tbl>
    <w:p w14:paraId="34D66DF6" w14:textId="2B251FCB" w:rsidR="00FF759D" w:rsidRPr="00260C1D" w:rsidRDefault="00FF759D" w:rsidP="00A65133">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Funding is calculated at the Indicative, Confirmed and Revised budget </w:t>
      </w:r>
      <w:r w:rsidR="00A65133" w:rsidRPr="00260C1D">
        <w:rPr>
          <w:rFonts w:eastAsia="Segoe UI" w:cstheme="minorHAnsi"/>
          <w:color w:val="011A3C"/>
          <w:sz w:val="24"/>
          <w:szCs w:val="24"/>
          <w:lang w:val="en" w:eastAsia="en-AU"/>
        </w:rPr>
        <w:t>cycles</w:t>
      </w:r>
      <w:r w:rsidR="008957F9">
        <w:rPr>
          <w:rFonts w:eastAsia="Segoe UI" w:cstheme="minorHAnsi"/>
          <w:color w:val="011A3C"/>
          <w:sz w:val="24"/>
          <w:szCs w:val="24"/>
          <w:lang w:val="en" w:eastAsia="en-AU"/>
        </w:rPr>
        <w:t>. F</w:t>
      </w:r>
      <w:r w:rsidR="00A65133" w:rsidRPr="00260C1D">
        <w:rPr>
          <w:rFonts w:eastAsia="Segoe UI" w:cstheme="minorHAnsi"/>
          <w:color w:val="011A3C"/>
          <w:sz w:val="24"/>
          <w:szCs w:val="24"/>
          <w:lang w:val="en" w:eastAsia="en-AU"/>
        </w:rPr>
        <w:t xml:space="preserve">unding is </w:t>
      </w:r>
      <w:r w:rsidR="00A05D7F">
        <w:rPr>
          <w:rFonts w:eastAsia="Segoe UI" w:cstheme="minorHAnsi"/>
          <w:color w:val="011A3C"/>
          <w:sz w:val="24"/>
          <w:szCs w:val="24"/>
          <w:lang w:val="en" w:eastAsia="en-AU"/>
        </w:rPr>
        <w:t xml:space="preserve">allocated </w:t>
      </w:r>
      <w:r w:rsidRPr="00260C1D">
        <w:rPr>
          <w:rFonts w:eastAsia="Segoe UI" w:cstheme="minorHAnsi"/>
          <w:color w:val="011A3C"/>
          <w:sz w:val="24"/>
          <w:szCs w:val="24"/>
          <w:lang w:val="en" w:eastAsia="en-AU"/>
        </w:rPr>
        <w:t>through credit and cash funding</w:t>
      </w:r>
      <w:bookmarkEnd w:id="6"/>
      <w:r w:rsidR="00A65133" w:rsidRPr="00260C1D">
        <w:rPr>
          <w:rFonts w:eastAsia="Segoe UI" w:cstheme="minorHAnsi"/>
          <w:color w:val="011A3C"/>
          <w:sz w:val="24"/>
          <w:szCs w:val="24"/>
          <w:lang w:val="en" w:eastAsia="en-AU"/>
        </w:rPr>
        <w:t>.</w:t>
      </w:r>
    </w:p>
    <w:p w14:paraId="3A297E5E" w14:textId="4AFFF380" w:rsidR="001167A8" w:rsidRPr="00260C1D" w:rsidRDefault="001167A8" w:rsidP="00715277">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64E1AE7E" w14:textId="04517003" w:rsidR="001167A8" w:rsidRPr="00260C1D" w:rsidRDefault="001167A8" w:rsidP="001167A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 xml:space="preserve">Student per </w:t>
      </w:r>
      <w:r w:rsidR="008957F9">
        <w:rPr>
          <w:rFonts w:eastAsia="Segoe UI" w:cstheme="minorHAnsi"/>
          <w:b/>
          <w:color w:val="011A3C"/>
          <w:sz w:val="24"/>
          <w:szCs w:val="24"/>
          <w:lang w:val="en" w:eastAsia="en-AU"/>
        </w:rPr>
        <w:t>c</w:t>
      </w:r>
      <w:r w:rsidRPr="00260C1D">
        <w:rPr>
          <w:rFonts w:eastAsia="Segoe UI" w:cstheme="minorHAnsi"/>
          <w:b/>
          <w:color w:val="011A3C"/>
          <w:sz w:val="24"/>
          <w:szCs w:val="24"/>
          <w:lang w:val="en" w:eastAsia="en-AU"/>
        </w:rPr>
        <w:t xml:space="preserve">apita </w:t>
      </w:r>
      <w:r w:rsidR="008957F9">
        <w:rPr>
          <w:rFonts w:eastAsia="Segoe UI" w:cstheme="minorHAnsi"/>
          <w:b/>
          <w:color w:val="011A3C"/>
          <w:sz w:val="24"/>
          <w:szCs w:val="24"/>
          <w:lang w:val="en" w:eastAsia="en-AU"/>
        </w:rPr>
        <w:t>f</w:t>
      </w:r>
      <w:r w:rsidRPr="00260C1D">
        <w:rPr>
          <w:rFonts w:eastAsia="Segoe UI" w:cstheme="minorHAnsi"/>
          <w:b/>
          <w:color w:val="011A3C"/>
          <w:sz w:val="24"/>
          <w:szCs w:val="24"/>
          <w:lang w:val="en" w:eastAsia="en-AU"/>
        </w:rPr>
        <w:t>unding</w:t>
      </w:r>
      <w:r w:rsidRPr="00260C1D">
        <w:rPr>
          <w:rFonts w:eastAsia="Segoe UI" w:cstheme="minorHAnsi"/>
          <w:color w:val="011A3C"/>
          <w:sz w:val="24"/>
          <w:szCs w:val="24"/>
          <w:lang w:val="en" w:eastAsia="en-AU"/>
        </w:rPr>
        <w:t xml:space="preserve"> = Student enrolments (P-12) </w:t>
      </w:r>
      <w:r w:rsidR="00AE1EC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Student </w:t>
      </w:r>
      <w:r w:rsidR="00297511">
        <w:rPr>
          <w:rFonts w:eastAsia="Segoe UI" w:cstheme="minorHAnsi"/>
          <w:color w:val="011A3C"/>
          <w:sz w:val="24"/>
          <w:szCs w:val="24"/>
          <w:lang w:val="en" w:eastAsia="en-AU"/>
        </w:rPr>
        <w:t>p</w:t>
      </w:r>
      <w:r w:rsidRPr="00260C1D">
        <w:rPr>
          <w:rFonts w:eastAsia="Segoe UI" w:cstheme="minorHAnsi"/>
          <w:color w:val="011A3C"/>
          <w:sz w:val="24"/>
          <w:szCs w:val="24"/>
          <w:lang w:val="en" w:eastAsia="en-AU"/>
        </w:rPr>
        <w:t>rice</w:t>
      </w:r>
    </w:p>
    <w:p w14:paraId="40F00984" w14:textId="4342E75A" w:rsidR="001167A8" w:rsidRDefault="001167A8" w:rsidP="001167A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Example: A </w:t>
      </w:r>
      <w:r w:rsidR="004E385A" w:rsidRPr="00260C1D">
        <w:rPr>
          <w:rFonts w:eastAsia="Segoe UI" w:cstheme="minorHAnsi"/>
          <w:color w:val="011A3C"/>
          <w:sz w:val="24"/>
          <w:szCs w:val="24"/>
          <w:lang w:val="en" w:eastAsia="en-AU"/>
        </w:rPr>
        <w:t>campus</w:t>
      </w:r>
      <w:r w:rsidRPr="00260C1D">
        <w:rPr>
          <w:rFonts w:eastAsia="Segoe UI" w:cstheme="minorHAnsi"/>
          <w:color w:val="011A3C"/>
          <w:sz w:val="24"/>
          <w:szCs w:val="24"/>
          <w:lang w:val="en" w:eastAsia="en-AU"/>
        </w:rPr>
        <w:t xml:space="preserve"> with 62 Year 2 students would calculate their funding as 62 (Year 2 students) </w:t>
      </w:r>
      <w:r w:rsidR="00AE1EC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Year 2 Student Price.</w:t>
      </w:r>
    </w:p>
    <w:p w14:paraId="781A7D0F" w14:textId="77777777" w:rsidR="00532A33" w:rsidRPr="00260C1D" w:rsidRDefault="00532A33" w:rsidP="001167A8">
      <w:pPr>
        <w:spacing w:before="100" w:beforeAutospacing="1" w:after="100" w:afterAutospacing="1" w:line="360" w:lineRule="atLeast"/>
        <w:rPr>
          <w:rFonts w:eastAsia="Segoe UI" w:cstheme="minorHAnsi"/>
          <w:color w:val="011A3C"/>
          <w:sz w:val="24"/>
          <w:szCs w:val="24"/>
          <w:lang w:val="en" w:eastAsia="en-AU"/>
        </w:rPr>
      </w:pPr>
    </w:p>
    <w:p w14:paraId="53A9DC73" w14:textId="07F53872" w:rsidR="001167A8" w:rsidRPr="00260C1D" w:rsidRDefault="001167A8" w:rsidP="001167A8">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lastRenderedPageBreak/>
        <w:t>Rates 202</w:t>
      </w:r>
      <w:r w:rsidR="008364B4">
        <w:rPr>
          <w:rFonts w:eastAsia="Segoe UI" w:cstheme="minorHAnsi"/>
          <w:b/>
          <w:color w:val="011A3C"/>
          <w:sz w:val="27"/>
          <w:szCs w:val="27"/>
          <w:lang w:val="en" w:eastAsia="en-A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28"/>
        <w:gridCol w:w="1608"/>
        <w:gridCol w:w="1610"/>
        <w:gridCol w:w="1610"/>
      </w:tblGrid>
      <w:tr w:rsidR="001167A8" w:rsidRPr="00DF4FFA" w14:paraId="78FDA1D9" w14:textId="77777777" w:rsidTr="00DF4FFA">
        <w:trPr>
          <w:tblHeader/>
        </w:trPr>
        <w:tc>
          <w:tcPr>
            <w:tcW w:w="2691" w:type="pct"/>
            <w:hideMark/>
          </w:tcPr>
          <w:p w14:paraId="367B1D44" w14:textId="56B62E61" w:rsidR="001167A8" w:rsidRPr="00DF4FFA" w:rsidRDefault="001167A8" w:rsidP="001167A8">
            <w:pPr>
              <w:spacing w:after="0" w:line="240" w:lineRule="atLeas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 xml:space="preserve">Student per Capita Years Prep </w:t>
            </w:r>
            <w:r w:rsidR="00854998" w:rsidRPr="00DF4FFA">
              <w:rPr>
                <w:rFonts w:eastAsia="Segoe UI" w:cstheme="minorHAnsi"/>
                <w:b/>
                <w:bCs/>
                <w:color w:val="323E4F" w:themeColor="text2" w:themeShade="BF"/>
                <w:sz w:val="24"/>
                <w:szCs w:val="24"/>
                <w:lang w:eastAsia="en-AU"/>
              </w:rPr>
              <w:t>to</w:t>
            </w:r>
            <w:r w:rsidRPr="00DF4FFA">
              <w:rPr>
                <w:rFonts w:eastAsia="Segoe UI" w:cstheme="minorHAnsi"/>
                <w:b/>
                <w:bCs/>
                <w:color w:val="323E4F" w:themeColor="text2" w:themeShade="BF"/>
                <w:sz w:val="24"/>
                <w:szCs w:val="24"/>
                <w:lang w:eastAsia="en-AU"/>
              </w:rPr>
              <w:t xml:space="preserve"> 12 Students</w:t>
            </w:r>
          </w:p>
        </w:tc>
        <w:tc>
          <w:tcPr>
            <w:tcW w:w="769" w:type="pct"/>
            <w:hideMark/>
          </w:tcPr>
          <w:p w14:paraId="2C1E8C5A" w14:textId="77777777" w:rsidR="001167A8" w:rsidRPr="00DF4FFA" w:rsidRDefault="001167A8"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Credit ($)</w:t>
            </w:r>
          </w:p>
        </w:tc>
        <w:tc>
          <w:tcPr>
            <w:tcW w:w="770" w:type="pct"/>
            <w:hideMark/>
          </w:tcPr>
          <w:p w14:paraId="2AFB1996" w14:textId="77777777" w:rsidR="001167A8" w:rsidRPr="00DF4FFA" w:rsidRDefault="001167A8"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Cash ($)</w:t>
            </w:r>
          </w:p>
        </w:tc>
        <w:tc>
          <w:tcPr>
            <w:tcW w:w="770" w:type="pct"/>
            <w:hideMark/>
          </w:tcPr>
          <w:p w14:paraId="7E114E81" w14:textId="77777777" w:rsidR="001167A8" w:rsidRPr="00DF4FFA" w:rsidRDefault="001167A8"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Total Student Price ($)</w:t>
            </w:r>
          </w:p>
        </w:tc>
      </w:tr>
      <w:tr w:rsidR="009E4BFC" w:rsidRPr="00260C1D" w14:paraId="7A8BFA73" w14:textId="77777777" w:rsidTr="00DF4FFA">
        <w:tc>
          <w:tcPr>
            <w:tcW w:w="2691" w:type="pct"/>
            <w:hideMark/>
          </w:tcPr>
          <w:p w14:paraId="3536ECC1" w14:textId="77777777" w:rsidR="009E4BFC" w:rsidRPr="00260C1D" w:rsidRDefault="009E4BFC" w:rsidP="009E4BFC">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Prep-Year 1</w:t>
            </w:r>
          </w:p>
        </w:tc>
        <w:tc>
          <w:tcPr>
            <w:tcW w:w="769" w:type="pct"/>
            <w:hideMark/>
          </w:tcPr>
          <w:p w14:paraId="172589BF" w14:textId="6583186C" w:rsidR="009E4BFC" w:rsidRPr="00CF2818" w:rsidRDefault="009E4BFC" w:rsidP="009E4BFC">
            <w:pPr>
              <w:spacing w:after="0" w:line="360" w:lineRule="atLeast"/>
              <w:jc w:val="right"/>
              <w:rPr>
                <w:rFonts w:eastAsia="Segoe UI" w:cstheme="minorHAnsi"/>
                <w:color w:val="323E4F" w:themeColor="text2" w:themeShade="BF"/>
                <w:sz w:val="24"/>
                <w:szCs w:val="24"/>
                <w:lang w:eastAsia="en-AU"/>
              </w:rPr>
            </w:pPr>
            <w:r w:rsidRPr="00833928">
              <w:rPr>
                <w:sz w:val="24"/>
              </w:rPr>
              <w:t>8,</w:t>
            </w:r>
            <w:r w:rsidRPr="009B4DE1">
              <w:rPr>
                <w:sz w:val="24"/>
                <w:szCs w:val="24"/>
              </w:rPr>
              <w:t>874</w:t>
            </w:r>
          </w:p>
        </w:tc>
        <w:tc>
          <w:tcPr>
            <w:tcW w:w="770" w:type="pct"/>
            <w:hideMark/>
          </w:tcPr>
          <w:p w14:paraId="162231DE" w14:textId="714CCB1C" w:rsidR="009E4BFC" w:rsidRPr="00CF2818" w:rsidRDefault="009E4BFC" w:rsidP="009E4BFC">
            <w:pPr>
              <w:spacing w:after="0" w:line="360" w:lineRule="atLeast"/>
              <w:jc w:val="right"/>
              <w:rPr>
                <w:rFonts w:eastAsia="Segoe UI" w:cstheme="minorHAnsi"/>
                <w:color w:val="323E4F" w:themeColor="text2" w:themeShade="BF"/>
                <w:sz w:val="24"/>
                <w:szCs w:val="24"/>
                <w:lang w:eastAsia="en-AU"/>
              </w:rPr>
            </w:pPr>
            <w:r w:rsidRPr="009B4DE1">
              <w:rPr>
                <w:sz w:val="24"/>
                <w:szCs w:val="24"/>
              </w:rPr>
              <w:t>546</w:t>
            </w:r>
          </w:p>
        </w:tc>
        <w:tc>
          <w:tcPr>
            <w:tcW w:w="770" w:type="pct"/>
            <w:hideMark/>
          </w:tcPr>
          <w:p w14:paraId="38DFBE15" w14:textId="2A18F63F" w:rsidR="009E4BFC" w:rsidRPr="00CF2818" w:rsidRDefault="009E4BFC" w:rsidP="009E4BFC">
            <w:pPr>
              <w:spacing w:after="0" w:line="360" w:lineRule="atLeast"/>
              <w:jc w:val="right"/>
              <w:rPr>
                <w:rFonts w:eastAsia="Segoe UI" w:cstheme="minorHAnsi"/>
                <w:color w:val="323E4F" w:themeColor="text2" w:themeShade="BF"/>
                <w:sz w:val="24"/>
                <w:szCs w:val="24"/>
                <w:lang w:eastAsia="en-AU"/>
              </w:rPr>
            </w:pPr>
            <w:r w:rsidRPr="00833928">
              <w:rPr>
                <w:sz w:val="24"/>
              </w:rPr>
              <w:t>9,</w:t>
            </w:r>
            <w:r w:rsidRPr="009B4DE1">
              <w:rPr>
                <w:sz w:val="24"/>
                <w:szCs w:val="24"/>
              </w:rPr>
              <w:t>420</w:t>
            </w:r>
          </w:p>
        </w:tc>
      </w:tr>
      <w:tr w:rsidR="00FE0CDB" w:rsidRPr="00260C1D" w14:paraId="45250A0E" w14:textId="77777777" w:rsidTr="00DF4FFA">
        <w:tc>
          <w:tcPr>
            <w:tcW w:w="2691" w:type="pct"/>
            <w:hideMark/>
          </w:tcPr>
          <w:p w14:paraId="67141146" w14:textId="77777777" w:rsidR="00FE0CDB" w:rsidRPr="00260C1D" w:rsidRDefault="00FE0CDB" w:rsidP="00FE0CDB">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Year 2</w:t>
            </w:r>
          </w:p>
        </w:tc>
        <w:tc>
          <w:tcPr>
            <w:tcW w:w="769" w:type="pct"/>
            <w:hideMark/>
          </w:tcPr>
          <w:p w14:paraId="07E7A23E" w14:textId="1AAB9925" w:rsidR="00FE0CDB" w:rsidRPr="00CF2818" w:rsidRDefault="00FE0CDB" w:rsidP="00FE0CDB">
            <w:pPr>
              <w:spacing w:after="0" w:line="360" w:lineRule="atLeast"/>
              <w:jc w:val="right"/>
              <w:rPr>
                <w:rFonts w:eastAsia="Segoe UI" w:cstheme="minorHAnsi"/>
                <w:color w:val="323E4F" w:themeColor="text2" w:themeShade="BF"/>
                <w:sz w:val="24"/>
                <w:szCs w:val="24"/>
                <w:lang w:eastAsia="en-AU"/>
              </w:rPr>
            </w:pPr>
            <w:r w:rsidRPr="009B4DE1">
              <w:rPr>
                <w:sz w:val="24"/>
                <w:szCs w:val="24"/>
              </w:rPr>
              <w:t>8,266</w:t>
            </w:r>
          </w:p>
        </w:tc>
        <w:tc>
          <w:tcPr>
            <w:tcW w:w="770" w:type="pct"/>
            <w:hideMark/>
          </w:tcPr>
          <w:p w14:paraId="5C47E902" w14:textId="441ED424" w:rsidR="00FE0CDB" w:rsidRPr="00CF2818" w:rsidRDefault="00FE0CDB" w:rsidP="00FE0CDB">
            <w:pPr>
              <w:spacing w:after="0" w:line="360" w:lineRule="atLeast"/>
              <w:jc w:val="right"/>
              <w:rPr>
                <w:rFonts w:eastAsia="Segoe UI" w:cstheme="minorHAnsi"/>
                <w:color w:val="323E4F" w:themeColor="text2" w:themeShade="BF"/>
                <w:sz w:val="24"/>
                <w:szCs w:val="24"/>
                <w:lang w:eastAsia="en-AU"/>
              </w:rPr>
            </w:pPr>
            <w:r w:rsidRPr="009B4DE1">
              <w:rPr>
                <w:sz w:val="24"/>
                <w:szCs w:val="24"/>
              </w:rPr>
              <w:t>510</w:t>
            </w:r>
          </w:p>
        </w:tc>
        <w:tc>
          <w:tcPr>
            <w:tcW w:w="770" w:type="pct"/>
            <w:hideMark/>
          </w:tcPr>
          <w:p w14:paraId="4DC2CC50" w14:textId="6DBD4FA7" w:rsidR="00FE0CDB" w:rsidRPr="00CF2818" w:rsidRDefault="00FE0CDB" w:rsidP="00FE0CDB">
            <w:pPr>
              <w:spacing w:after="0" w:line="360" w:lineRule="atLeast"/>
              <w:jc w:val="right"/>
              <w:rPr>
                <w:rFonts w:eastAsia="Segoe UI" w:cstheme="minorHAnsi"/>
                <w:color w:val="323E4F" w:themeColor="text2" w:themeShade="BF"/>
                <w:sz w:val="24"/>
                <w:szCs w:val="24"/>
                <w:lang w:eastAsia="en-AU"/>
              </w:rPr>
            </w:pPr>
            <w:r w:rsidRPr="00833928">
              <w:rPr>
                <w:sz w:val="24"/>
              </w:rPr>
              <w:t>8,</w:t>
            </w:r>
            <w:r w:rsidRPr="009B4DE1">
              <w:rPr>
                <w:sz w:val="24"/>
                <w:szCs w:val="24"/>
              </w:rPr>
              <w:t>776</w:t>
            </w:r>
          </w:p>
        </w:tc>
      </w:tr>
      <w:tr w:rsidR="00A00E93" w:rsidRPr="00260C1D" w14:paraId="26633AF4" w14:textId="77777777" w:rsidTr="00DF4FFA">
        <w:tc>
          <w:tcPr>
            <w:tcW w:w="2691" w:type="pct"/>
            <w:hideMark/>
          </w:tcPr>
          <w:p w14:paraId="38FF91A1" w14:textId="77777777" w:rsidR="00A00E93" w:rsidRPr="00260C1D" w:rsidRDefault="00A00E93" w:rsidP="00A00E93">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Years 3-6 (and Primary Ungraded)</w:t>
            </w:r>
          </w:p>
        </w:tc>
        <w:tc>
          <w:tcPr>
            <w:tcW w:w="769" w:type="pct"/>
            <w:hideMark/>
          </w:tcPr>
          <w:p w14:paraId="3F829F76" w14:textId="12A5AD10" w:rsidR="00A00E93" w:rsidRPr="00CF2818" w:rsidRDefault="00A00E93" w:rsidP="00A00E93">
            <w:pPr>
              <w:spacing w:after="0" w:line="360" w:lineRule="atLeast"/>
              <w:jc w:val="right"/>
              <w:rPr>
                <w:rFonts w:eastAsia="Segoe UI" w:cstheme="minorHAnsi"/>
                <w:color w:val="323E4F" w:themeColor="text2" w:themeShade="BF"/>
                <w:sz w:val="24"/>
                <w:szCs w:val="24"/>
                <w:lang w:eastAsia="en-AU"/>
              </w:rPr>
            </w:pPr>
            <w:r w:rsidRPr="00833928">
              <w:rPr>
                <w:sz w:val="24"/>
              </w:rPr>
              <w:t>7,</w:t>
            </w:r>
            <w:r w:rsidRPr="009B4DE1">
              <w:rPr>
                <w:sz w:val="24"/>
                <w:szCs w:val="24"/>
              </w:rPr>
              <w:t>609</w:t>
            </w:r>
          </w:p>
        </w:tc>
        <w:tc>
          <w:tcPr>
            <w:tcW w:w="770" w:type="pct"/>
            <w:hideMark/>
          </w:tcPr>
          <w:p w14:paraId="112C40C5" w14:textId="78ECE7CC" w:rsidR="00A00E93" w:rsidRPr="00CF2818" w:rsidRDefault="00A00E93" w:rsidP="00A00E93">
            <w:pPr>
              <w:spacing w:after="0" w:line="360" w:lineRule="atLeast"/>
              <w:jc w:val="right"/>
              <w:rPr>
                <w:rFonts w:eastAsia="Segoe UI" w:cstheme="minorHAnsi"/>
                <w:color w:val="323E4F" w:themeColor="text2" w:themeShade="BF"/>
                <w:sz w:val="24"/>
                <w:szCs w:val="24"/>
                <w:lang w:eastAsia="en-AU"/>
              </w:rPr>
            </w:pPr>
            <w:r w:rsidRPr="009B4DE1">
              <w:rPr>
                <w:sz w:val="24"/>
                <w:szCs w:val="24"/>
              </w:rPr>
              <w:t>469</w:t>
            </w:r>
          </w:p>
        </w:tc>
        <w:tc>
          <w:tcPr>
            <w:tcW w:w="770" w:type="pct"/>
            <w:hideMark/>
          </w:tcPr>
          <w:p w14:paraId="69BD834E" w14:textId="338564A9" w:rsidR="00A00E93" w:rsidRPr="00CF2818" w:rsidRDefault="00A00E93" w:rsidP="00A00E93">
            <w:pPr>
              <w:spacing w:after="0" w:line="360" w:lineRule="atLeast"/>
              <w:jc w:val="right"/>
              <w:rPr>
                <w:rFonts w:eastAsia="Segoe UI" w:cstheme="minorHAnsi"/>
                <w:color w:val="323E4F" w:themeColor="text2" w:themeShade="BF"/>
                <w:sz w:val="24"/>
                <w:szCs w:val="24"/>
                <w:lang w:eastAsia="en-AU"/>
              </w:rPr>
            </w:pPr>
            <w:r w:rsidRPr="009B4DE1">
              <w:rPr>
                <w:sz w:val="24"/>
                <w:szCs w:val="24"/>
              </w:rPr>
              <w:t>8,078</w:t>
            </w:r>
          </w:p>
        </w:tc>
      </w:tr>
      <w:tr w:rsidR="00A00E93" w:rsidRPr="00260C1D" w14:paraId="767E9F7A" w14:textId="77777777" w:rsidTr="00DF4FFA">
        <w:tc>
          <w:tcPr>
            <w:tcW w:w="2691" w:type="pct"/>
            <w:hideMark/>
          </w:tcPr>
          <w:p w14:paraId="47D96088" w14:textId="77777777" w:rsidR="00A00E93" w:rsidRPr="00260C1D" w:rsidRDefault="00A00E93" w:rsidP="00A00E93">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Years 7-12 Students (and Secondary Ungraded)</w:t>
            </w:r>
          </w:p>
        </w:tc>
        <w:tc>
          <w:tcPr>
            <w:tcW w:w="769" w:type="pct"/>
            <w:hideMark/>
          </w:tcPr>
          <w:p w14:paraId="79591C97" w14:textId="1F73826F" w:rsidR="00A00E93" w:rsidRPr="00CF2818" w:rsidRDefault="00A00E93" w:rsidP="00A00E93">
            <w:pPr>
              <w:spacing w:after="0" w:line="360" w:lineRule="atLeast"/>
              <w:jc w:val="right"/>
              <w:rPr>
                <w:rFonts w:eastAsia="Segoe UI" w:cstheme="minorHAnsi"/>
                <w:color w:val="323E4F" w:themeColor="text2" w:themeShade="BF"/>
                <w:sz w:val="24"/>
                <w:szCs w:val="24"/>
                <w:lang w:eastAsia="en-AU"/>
              </w:rPr>
            </w:pPr>
            <w:r w:rsidRPr="009B4DE1">
              <w:rPr>
                <w:sz w:val="24"/>
                <w:szCs w:val="24"/>
              </w:rPr>
              <w:t>10,054</w:t>
            </w:r>
          </w:p>
        </w:tc>
        <w:tc>
          <w:tcPr>
            <w:tcW w:w="770" w:type="pct"/>
            <w:hideMark/>
          </w:tcPr>
          <w:p w14:paraId="6AAACF3A" w14:textId="2D5FAA67" w:rsidR="00A00E93" w:rsidRPr="00CF2818" w:rsidRDefault="00A00E93" w:rsidP="00A00E93">
            <w:pPr>
              <w:spacing w:after="0" w:line="360" w:lineRule="atLeast"/>
              <w:jc w:val="right"/>
              <w:rPr>
                <w:rFonts w:eastAsia="Segoe UI" w:cstheme="minorHAnsi"/>
                <w:color w:val="323E4F" w:themeColor="text2" w:themeShade="BF"/>
                <w:sz w:val="24"/>
                <w:szCs w:val="24"/>
                <w:lang w:eastAsia="en-AU"/>
              </w:rPr>
            </w:pPr>
            <w:r w:rsidRPr="009B4DE1">
              <w:rPr>
                <w:sz w:val="24"/>
                <w:szCs w:val="24"/>
              </w:rPr>
              <w:t>525</w:t>
            </w:r>
          </w:p>
        </w:tc>
        <w:tc>
          <w:tcPr>
            <w:tcW w:w="770" w:type="pct"/>
            <w:hideMark/>
          </w:tcPr>
          <w:p w14:paraId="35DCE65F" w14:textId="4A18EF3C" w:rsidR="00A00E93" w:rsidRPr="00CF2818" w:rsidRDefault="00A00E93" w:rsidP="00A00E93">
            <w:pPr>
              <w:spacing w:after="0" w:line="360" w:lineRule="atLeast"/>
              <w:jc w:val="right"/>
              <w:rPr>
                <w:rFonts w:eastAsia="Segoe UI" w:cstheme="minorHAnsi"/>
                <w:color w:val="323E4F" w:themeColor="text2" w:themeShade="BF"/>
                <w:sz w:val="24"/>
                <w:szCs w:val="24"/>
                <w:lang w:eastAsia="en-AU"/>
              </w:rPr>
            </w:pPr>
            <w:r w:rsidRPr="00833928">
              <w:rPr>
                <w:sz w:val="24"/>
              </w:rPr>
              <w:t>10,</w:t>
            </w:r>
            <w:r w:rsidRPr="009B4DE1">
              <w:rPr>
                <w:sz w:val="24"/>
                <w:szCs w:val="24"/>
              </w:rPr>
              <w:t>579</w:t>
            </w:r>
          </w:p>
        </w:tc>
      </w:tr>
    </w:tbl>
    <w:p w14:paraId="433B3182" w14:textId="55D1911D" w:rsidR="00B34DF3" w:rsidRPr="00260C1D" w:rsidRDefault="001167A8" w:rsidP="00532A33">
      <w:pPr>
        <w:pStyle w:val="Heading2"/>
      </w:pPr>
      <w:r w:rsidRPr="00260C1D">
        <w:br w:type="page"/>
      </w:r>
      <w:bookmarkStart w:id="9" w:name="_Toc141965228"/>
      <w:bookmarkStart w:id="10" w:name="_Toc145339558"/>
      <w:bookmarkStart w:id="11" w:name="_Toc153791881"/>
      <w:r w:rsidRPr="00260C1D">
        <w:lastRenderedPageBreak/>
        <w:t>Enrolment Linked Base (Reference 2)</w:t>
      </w:r>
      <w:bookmarkEnd w:id="9"/>
      <w:bookmarkEnd w:id="10"/>
      <w:bookmarkEnd w:id="11"/>
    </w:p>
    <w:p w14:paraId="40C1B1A8" w14:textId="24170BA8" w:rsidR="001167A8" w:rsidRPr="00260C1D" w:rsidRDefault="001167A8" w:rsidP="001167A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Enrolment Linked Base</w:t>
      </w:r>
      <w:r w:rsidR="004F5307" w:rsidRPr="00260C1D">
        <w:rPr>
          <w:rFonts w:eastAsia="Segoe UI" w:cstheme="minorHAnsi"/>
          <w:color w:val="011A3C"/>
          <w:sz w:val="24"/>
          <w:szCs w:val="24"/>
          <w:lang w:val="en" w:eastAsia="en-AU"/>
        </w:rPr>
        <w:t xml:space="preserve"> (ELB)</w:t>
      </w:r>
      <w:r w:rsidRPr="00260C1D">
        <w:rPr>
          <w:rFonts w:eastAsia="Segoe UI" w:cstheme="minorHAnsi"/>
          <w:color w:val="011A3C"/>
          <w:sz w:val="24"/>
          <w:szCs w:val="24"/>
          <w:lang w:val="en" w:eastAsia="en-AU"/>
        </w:rPr>
        <w:t xml:space="preserve"> is provided to ensure that all schools, regardless of size, have sufficient resources to operate effectively. The flat base with taper provides a safety net for small schools whose enrolments are insufficient to generate viable funding. The taper also </w:t>
      </w:r>
      <w:proofErr w:type="spellStart"/>
      <w:r w:rsidRPr="00260C1D">
        <w:rPr>
          <w:rFonts w:eastAsia="Segoe UI" w:cstheme="minorHAnsi"/>
          <w:color w:val="011A3C"/>
          <w:sz w:val="24"/>
          <w:szCs w:val="24"/>
          <w:lang w:val="en" w:eastAsia="en-AU"/>
        </w:rPr>
        <w:t>recognises</w:t>
      </w:r>
      <w:proofErr w:type="spellEnd"/>
      <w:r w:rsidRPr="00260C1D">
        <w:rPr>
          <w:rFonts w:eastAsia="Segoe UI" w:cstheme="minorHAnsi"/>
          <w:color w:val="011A3C"/>
          <w:sz w:val="24"/>
          <w:szCs w:val="24"/>
          <w:lang w:val="en" w:eastAsia="en-AU"/>
        </w:rPr>
        <w:t xml:space="preserve"> the economies of scale achievable in larger schools through per student rates.</w:t>
      </w:r>
    </w:p>
    <w:p w14:paraId="61C96434" w14:textId="78B22D60" w:rsidR="001167A8" w:rsidRPr="00260C1D" w:rsidRDefault="001167A8" w:rsidP="001167A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base is made up of a flat amount, adjusted by way of a per</w:t>
      </w:r>
      <w:r w:rsidR="00C343D9">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student taper that reduces the allocation beyond certain thresholds.</w:t>
      </w:r>
    </w:p>
    <w:p w14:paraId="0616077F" w14:textId="2EB40A9D" w:rsidR="001167A8" w:rsidRPr="00260C1D" w:rsidRDefault="001167A8" w:rsidP="00715277">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For multi-campus colleges the formula is applied for each campus. To be eligible for multi-campus, each campus must be at least 1km apart</w:t>
      </w:r>
      <w:r w:rsidR="00A2245D">
        <w:rPr>
          <w:rFonts w:eastAsia="Segoe UI" w:cstheme="minorHAnsi"/>
          <w:color w:val="011A3C"/>
          <w:sz w:val="24"/>
          <w:szCs w:val="24"/>
          <w:lang w:val="en" w:eastAsia="en-AU"/>
        </w:rPr>
        <w:t xml:space="preserve"> and not easily accessible</w:t>
      </w:r>
      <w:r w:rsidRPr="00260C1D">
        <w:rPr>
          <w:rFonts w:eastAsia="Segoe UI" w:cstheme="minorHAnsi"/>
          <w:color w:val="011A3C"/>
          <w:sz w:val="24"/>
          <w:szCs w:val="24"/>
          <w:lang w:val="en" w:eastAsia="en-AU"/>
        </w:rPr>
        <w:t>.</w:t>
      </w:r>
    </w:p>
    <w:p w14:paraId="162A3622" w14:textId="2E591599" w:rsidR="001167A8" w:rsidRPr="00260C1D" w:rsidRDefault="001167A8" w:rsidP="001167A8">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6C6B6328" w14:textId="46793F48" w:rsidR="001167A8" w:rsidRPr="00260C1D" w:rsidRDefault="001167A8" w:rsidP="001167A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with the following campus types are eligible for the </w:t>
      </w:r>
      <w:r w:rsidR="00C343D9">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 xml:space="preserve">nrolment </w:t>
      </w:r>
      <w:r w:rsidR="00C343D9">
        <w:rPr>
          <w:rFonts w:eastAsia="Segoe UI" w:cstheme="minorHAnsi"/>
          <w:color w:val="011A3C"/>
          <w:sz w:val="24"/>
          <w:szCs w:val="24"/>
          <w:lang w:val="en" w:eastAsia="en-AU"/>
        </w:rPr>
        <w:t>L</w:t>
      </w:r>
      <w:r w:rsidRPr="00260C1D">
        <w:rPr>
          <w:rFonts w:eastAsia="Segoe UI" w:cstheme="minorHAnsi"/>
          <w:color w:val="011A3C"/>
          <w:sz w:val="24"/>
          <w:szCs w:val="24"/>
          <w:lang w:val="en" w:eastAsia="en-AU"/>
        </w:rPr>
        <w:t xml:space="preserve">inked </w:t>
      </w:r>
      <w:r w:rsidR="00C343D9">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 xml:space="preserve">ase funding at </w:t>
      </w:r>
      <w:r w:rsidR="00286FA1">
        <w:rPr>
          <w:rFonts w:eastAsia="Segoe UI" w:cstheme="minorHAnsi"/>
          <w:color w:val="011A3C"/>
          <w:sz w:val="24"/>
          <w:szCs w:val="24"/>
          <w:lang w:val="en" w:eastAsia="en-AU"/>
        </w:rPr>
        <w:t xml:space="preserve">a </w:t>
      </w:r>
      <w:r w:rsidRPr="00260C1D">
        <w:rPr>
          <w:rFonts w:eastAsia="Segoe UI" w:cstheme="minorHAnsi"/>
          <w:color w:val="011A3C"/>
          <w:sz w:val="24"/>
          <w:szCs w:val="24"/>
          <w:lang w:val="en" w:eastAsia="en-AU"/>
        </w:rPr>
        <w:t>campus level</w:t>
      </w:r>
      <w:r w:rsidR="00C343D9">
        <w:rPr>
          <w:rFonts w:eastAsia="Segoe UI" w:cstheme="minorHAnsi"/>
          <w:color w:val="011A3C"/>
          <w:sz w:val="24"/>
          <w:szCs w:val="24"/>
          <w:lang w:val="en" w:eastAsia="en-AU"/>
        </w:rPr>
        <w:t>:</w:t>
      </w:r>
    </w:p>
    <w:p w14:paraId="6EC7E732" w14:textId="77777777" w:rsidR="001167A8" w:rsidRPr="00260C1D" w:rsidRDefault="001167A8" w:rsidP="00F56244">
      <w:pPr>
        <w:pStyle w:val="ListParagraph"/>
        <w:numPr>
          <w:ilvl w:val="0"/>
          <w:numId w:val="57"/>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Primary</w:t>
      </w:r>
    </w:p>
    <w:p w14:paraId="05FD5823" w14:textId="77777777" w:rsidR="001167A8" w:rsidRPr="00260C1D" w:rsidRDefault="001167A8" w:rsidP="00F56244">
      <w:pPr>
        <w:pStyle w:val="ListParagraph"/>
        <w:numPr>
          <w:ilvl w:val="0"/>
          <w:numId w:val="57"/>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Secondary</w:t>
      </w:r>
    </w:p>
    <w:p w14:paraId="632AEAA3" w14:textId="16804160" w:rsidR="001167A8" w:rsidRPr="00260C1D" w:rsidRDefault="001167A8" w:rsidP="00F56244">
      <w:pPr>
        <w:pStyle w:val="ListParagraph"/>
        <w:numPr>
          <w:ilvl w:val="0"/>
          <w:numId w:val="57"/>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Primary/Secondary Combined</w:t>
      </w:r>
    </w:p>
    <w:p w14:paraId="5158B380" w14:textId="15B5EFFF" w:rsidR="0039304A" w:rsidRPr="00260C1D" w:rsidRDefault="0039304A" w:rsidP="00F56244">
      <w:pPr>
        <w:pStyle w:val="ListParagraph"/>
        <w:numPr>
          <w:ilvl w:val="0"/>
          <w:numId w:val="57"/>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Community</w:t>
      </w:r>
    </w:p>
    <w:p w14:paraId="53BF6D68" w14:textId="77777777" w:rsidR="00192D6B" w:rsidRPr="00AB7A20" w:rsidRDefault="007E593E" w:rsidP="00192D6B">
      <w:pPr>
        <w:pStyle w:val="ListParagraph"/>
        <w:numPr>
          <w:ilvl w:val="0"/>
          <w:numId w:val="57"/>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Training Center</w:t>
      </w:r>
    </w:p>
    <w:p w14:paraId="5B9727C1" w14:textId="68B6324A" w:rsidR="004B6866" w:rsidRPr="004B6866" w:rsidRDefault="004B6866" w:rsidP="00AB7A20">
      <w:pPr>
        <w:spacing w:before="100" w:beforeAutospacing="1" w:after="100" w:afterAutospacing="1" w:line="360" w:lineRule="atLeast"/>
        <w:rPr>
          <w:lang w:val="en" w:eastAsia="en-AU"/>
        </w:rPr>
      </w:pPr>
      <w:bookmarkStart w:id="12" w:name="_Hlk47814683"/>
      <w:r w:rsidRPr="00AB7A20">
        <w:rPr>
          <w:rFonts w:eastAsia="Segoe UI"/>
          <w:color w:val="011A3C"/>
          <w:sz w:val="24"/>
          <w:szCs w:val="24"/>
          <w:lang w:val="en" w:eastAsia="en-AU"/>
        </w:rPr>
        <w:t>The following campuses</w:t>
      </w:r>
      <w:r w:rsidR="002024AE">
        <w:rPr>
          <w:rFonts w:eastAsia="Segoe UI"/>
          <w:color w:val="011A3C"/>
          <w:sz w:val="24"/>
          <w:szCs w:val="24"/>
          <w:lang w:val="en" w:eastAsia="en-AU"/>
        </w:rPr>
        <w:t xml:space="preserve"> </w:t>
      </w:r>
      <w:r w:rsidR="006E0424" w:rsidRPr="006E0424">
        <w:rPr>
          <w:rFonts w:eastAsia="Segoe UI"/>
          <w:color w:val="011A3C"/>
          <w:sz w:val="24"/>
          <w:szCs w:val="24"/>
          <w:lang w:val="en" w:eastAsia="en-AU"/>
        </w:rPr>
        <w:t>do not receive this allocation</w:t>
      </w:r>
      <w:r w:rsidRPr="00AB7A20">
        <w:rPr>
          <w:rFonts w:eastAsia="Segoe UI"/>
          <w:color w:val="011A3C"/>
          <w:sz w:val="24"/>
          <w:szCs w:val="24"/>
          <w:lang w:val="en" w:eastAsia="en-AU"/>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150"/>
        <w:gridCol w:w="4422"/>
      </w:tblGrid>
      <w:tr w:rsidR="004B6866" w:rsidRPr="00927374" w14:paraId="6E11FDC4" w14:textId="77777777" w:rsidTr="0025187D">
        <w:trPr>
          <w:trHeight w:val="69"/>
        </w:trPr>
        <w:tc>
          <w:tcPr>
            <w:tcW w:w="1956" w:type="dxa"/>
          </w:tcPr>
          <w:p w14:paraId="50DCFBD1" w14:textId="77777777" w:rsidR="004B6866" w:rsidRPr="000B5288" w:rsidRDefault="004B6866" w:rsidP="0025187D">
            <w:pPr>
              <w:pStyle w:val="Text"/>
              <w:rPr>
                <w:rFonts w:asciiTheme="minorHAnsi" w:eastAsia="Segoe UI" w:hAnsiTheme="minorHAnsi" w:cstheme="minorHAnsi"/>
                <w:bCs/>
                <w:color w:val="011A3C"/>
                <w:sz w:val="24"/>
                <w:lang w:val="en" w:eastAsia="en-AU"/>
              </w:rPr>
            </w:pPr>
            <w:r w:rsidRPr="000B5288">
              <w:rPr>
                <w:rFonts w:asciiTheme="minorHAnsi" w:eastAsia="Segoe UI" w:hAnsiTheme="minorHAnsi" w:cstheme="minorHAnsi"/>
                <w:bCs/>
                <w:color w:val="011A3C"/>
                <w:sz w:val="24"/>
                <w:lang w:val="en" w:eastAsia="en-AU"/>
              </w:rPr>
              <w:t>School Number</w:t>
            </w:r>
          </w:p>
        </w:tc>
        <w:tc>
          <w:tcPr>
            <w:tcW w:w="2150" w:type="dxa"/>
          </w:tcPr>
          <w:p w14:paraId="48B55F8F" w14:textId="77777777" w:rsidR="004B6866" w:rsidRPr="000B5288" w:rsidRDefault="004B6866" w:rsidP="0025187D">
            <w:pPr>
              <w:pStyle w:val="Text"/>
              <w:rPr>
                <w:rFonts w:asciiTheme="minorHAnsi" w:eastAsia="Segoe UI" w:hAnsiTheme="minorHAnsi" w:cstheme="minorHAnsi"/>
                <w:bCs/>
                <w:color w:val="011A3C"/>
                <w:sz w:val="24"/>
                <w:lang w:val="en" w:eastAsia="en-AU"/>
              </w:rPr>
            </w:pPr>
            <w:r w:rsidRPr="000B5288">
              <w:rPr>
                <w:rFonts w:asciiTheme="minorHAnsi" w:eastAsia="Segoe UI" w:hAnsiTheme="minorHAnsi" w:cstheme="minorHAnsi"/>
                <w:bCs/>
                <w:color w:val="011A3C"/>
                <w:sz w:val="24"/>
                <w:lang w:val="en" w:eastAsia="en-AU"/>
              </w:rPr>
              <w:t>Campus Number</w:t>
            </w:r>
          </w:p>
        </w:tc>
        <w:tc>
          <w:tcPr>
            <w:tcW w:w="4422" w:type="dxa"/>
          </w:tcPr>
          <w:p w14:paraId="711FDA98" w14:textId="77777777" w:rsidR="004B6866" w:rsidRPr="000B5288" w:rsidRDefault="004B6866" w:rsidP="0025187D">
            <w:pPr>
              <w:pStyle w:val="Text"/>
              <w:rPr>
                <w:rFonts w:asciiTheme="minorHAnsi" w:eastAsia="Segoe UI" w:hAnsiTheme="minorHAnsi" w:cstheme="minorHAnsi"/>
                <w:bCs/>
                <w:color w:val="011A3C"/>
                <w:sz w:val="24"/>
                <w:lang w:val="en" w:eastAsia="en-AU"/>
              </w:rPr>
            </w:pPr>
            <w:r w:rsidRPr="000B5288">
              <w:rPr>
                <w:rFonts w:asciiTheme="minorHAnsi" w:eastAsia="Segoe UI" w:hAnsiTheme="minorHAnsi" w:cstheme="minorHAnsi"/>
                <w:bCs/>
                <w:color w:val="011A3C"/>
                <w:sz w:val="24"/>
                <w:lang w:val="en" w:eastAsia="en-AU"/>
              </w:rPr>
              <w:t>School Name</w:t>
            </w:r>
          </w:p>
        </w:tc>
      </w:tr>
      <w:tr w:rsidR="004B6866" w:rsidRPr="00927374" w14:paraId="2DDEE95E" w14:textId="77777777" w:rsidTr="0025187D">
        <w:trPr>
          <w:trHeight w:val="246"/>
        </w:trPr>
        <w:tc>
          <w:tcPr>
            <w:tcW w:w="1956" w:type="dxa"/>
          </w:tcPr>
          <w:p w14:paraId="43412E7B" w14:textId="77777777" w:rsidR="004B6866" w:rsidRPr="00610182"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3552</w:t>
            </w:r>
          </w:p>
        </w:tc>
        <w:tc>
          <w:tcPr>
            <w:tcW w:w="2150" w:type="dxa"/>
          </w:tcPr>
          <w:p w14:paraId="36A0FC47" w14:textId="77777777" w:rsidR="004B6866" w:rsidRPr="00610182"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6</w:t>
            </w:r>
          </w:p>
        </w:tc>
        <w:tc>
          <w:tcPr>
            <w:tcW w:w="4422" w:type="dxa"/>
            <w:vAlign w:val="bottom"/>
          </w:tcPr>
          <w:p w14:paraId="58FAF03B" w14:textId="77777777" w:rsidR="004B6866" w:rsidRPr="00610182" w:rsidRDefault="004B6866" w:rsidP="0025187D">
            <w:pPr>
              <w:pStyle w:val="Text"/>
              <w:rPr>
                <w:rFonts w:asciiTheme="minorHAnsi" w:eastAsia="Segoe UI" w:hAnsiTheme="minorHAnsi" w:cstheme="minorHAnsi"/>
                <w:b w:val="0"/>
                <w:color w:val="auto"/>
                <w:sz w:val="24"/>
                <w:lang w:val="en" w:eastAsia="en-AU"/>
              </w:rPr>
            </w:pPr>
            <w:proofErr w:type="spellStart"/>
            <w:r w:rsidRPr="009C3943">
              <w:rPr>
                <w:rFonts w:asciiTheme="minorHAnsi" w:eastAsia="Segoe UI" w:hAnsiTheme="minorHAnsi" w:cstheme="minorHAnsi"/>
                <w:b w:val="0"/>
                <w:color w:val="auto"/>
                <w:sz w:val="24"/>
                <w:lang w:val="en" w:eastAsia="en-AU"/>
              </w:rPr>
              <w:t>Yarra</w:t>
            </w:r>
            <w:proofErr w:type="spellEnd"/>
            <w:r w:rsidRPr="009C3943">
              <w:rPr>
                <w:rFonts w:asciiTheme="minorHAnsi" w:eastAsia="Segoe UI" w:hAnsiTheme="minorHAnsi" w:cstheme="minorHAnsi"/>
                <w:b w:val="0"/>
                <w:color w:val="auto"/>
                <w:sz w:val="24"/>
                <w:lang w:val="en" w:eastAsia="en-AU"/>
              </w:rPr>
              <w:t xml:space="preserve"> Me School</w:t>
            </w:r>
          </w:p>
        </w:tc>
      </w:tr>
      <w:tr w:rsidR="004B6866" w:rsidRPr="00927374" w14:paraId="67883EB2" w14:textId="77777777" w:rsidTr="0025187D">
        <w:trPr>
          <w:trHeight w:val="246"/>
        </w:trPr>
        <w:tc>
          <w:tcPr>
            <w:tcW w:w="1956" w:type="dxa"/>
            <w:vAlign w:val="bottom"/>
          </w:tcPr>
          <w:p w14:paraId="5BAB7E22"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6212</w:t>
            </w:r>
          </w:p>
        </w:tc>
        <w:tc>
          <w:tcPr>
            <w:tcW w:w="2150" w:type="dxa"/>
            <w:vAlign w:val="bottom"/>
          </w:tcPr>
          <w:p w14:paraId="5D12C706"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2</w:t>
            </w:r>
          </w:p>
        </w:tc>
        <w:tc>
          <w:tcPr>
            <w:tcW w:w="4422" w:type="dxa"/>
            <w:vAlign w:val="bottom"/>
          </w:tcPr>
          <w:p w14:paraId="346A27DE"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Collingwood College</w:t>
            </w:r>
          </w:p>
        </w:tc>
      </w:tr>
      <w:tr w:rsidR="004B6866" w:rsidRPr="00927374" w14:paraId="67D3538F" w14:textId="77777777" w:rsidTr="0025187D">
        <w:trPr>
          <w:trHeight w:val="246"/>
        </w:trPr>
        <w:tc>
          <w:tcPr>
            <w:tcW w:w="1956" w:type="dxa"/>
            <w:vAlign w:val="bottom"/>
          </w:tcPr>
          <w:p w14:paraId="70DA24B4"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7595</w:t>
            </w:r>
          </w:p>
        </w:tc>
        <w:tc>
          <w:tcPr>
            <w:tcW w:w="2150" w:type="dxa"/>
            <w:vAlign w:val="bottom"/>
          </w:tcPr>
          <w:p w14:paraId="7BBEF8C2"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2</w:t>
            </w:r>
          </w:p>
        </w:tc>
        <w:tc>
          <w:tcPr>
            <w:tcW w:w="4422" w:type="dxa"/>
            <w:vAlign w:val="bottom"/>
          </w:tcPr>
          <w:p w14:paraId="685A35EA"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Bendigo Senior Secondary College</w:t>
            </w:r>
          </w:p>
        </w:tc>
      </w:tr>
      <w:tr w:rsidR="004B6866" w:rsidRPr="00927374" w14:paraId="52FD4B6D" w14:textId="77777777" w:rsidTr="0025187D">
        <w:trPr>
          <w:trHeight w:val="246"/>
        </w:trPr>
        <w:tc>
          <w:tcPr>
            <w:tcW w:w="1956" w:type="dxa"/>
            <w:vAlign w:val="bottom"/>
          </w:tcPr>
          <w:p w14:paraId="313970F6"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8003</w:t>
            </w:r>
          </w:p>
        </w:tc>
        <w:tc>
          <w:tcPr>
            <w:tcW w:w="2150" w:type="dxa"/>
            <w:vAlign w:val="bottom"/>
          </w:tcPr>
          <w:p w14:paraId="03AF694F"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2</w:t>
            </w:r>
          </w:p>
        </w:tc>
        <w:tc>
          <w:tcPr>
            <w:tcW w:w="4422" w:type="dxa"/>
            <w:vAlign w:val="bottom"/>
          </w:tcPr>
          <w:p w14:paraId="7B67AA4D" w14:textId="77777777" w:rsidR="004B6866" w:rsidRPr="000B5288" w:rsidRDefault="004B6866" w:rsidP="0025187D">
            <w:pPr>
              <w:pStyle w:val="Text"/>
              <w:rPr>
                <w:rFonts w:asciiTheme="minorHAnsi" w:eastAsia="Segoe UI" w:hAnsiTheme="minorHAnsi" w:cstheme="minorHAnsi"/>
                <w:b w:val="0"/>
                <w:color w:val="auto"/>
                <w:sz w:val="24"/>
                <w:lang w:val="en" w:eastAsia="en-AU"/>
              </w:rPr>
            </w:pPr>
            <w:proofErr w:type="spellStart"/>
            <w:r w:rsidRPr="000B5288">
              <w:rPr>
                <w:rFonts w:asciiTheme="minorHAnsi" w:eastAsia="Segoe UI" w:hAnsiTheme="minorHAnsi" w:cstheme="minorHAnsi"/>
                <w:b w:val="0"/>
                <w:color w:val="auto"/>
                <w:sz w:val="24"/>
                <w:lang w:val="en" w:eastAsia="en-AU"/>
              </w:rPr>
              <w:t>Lynall</w:t>
            </w:r>
            <w:proofErr w:type="spellEnd"/>
            <w:r w:rsidRPr="000B5288">
              <w:rPr>
                <w:rFonts w:asciiTheme="minorHAnsi" w:eastAsia="Segoe UI" w:hAnsiTheme="minorHAnsi" w:cstheme="minorHAnsi"/>
                <w:b w:val="0"/>
                <w:color w:val="auto"/>
                <w:sz w:val="24"/>
                <w:lang w:val="en" w:eastAsia="en-AU"/>
              </w:rPr>
              <w:t xml:space="preserve"> Hall Community School</w:t>
            </w:r>
          </w:p>
        </w:tc>
      </w:tr>
      <w:tr w:rsidR="004B6866" w:rsidRPr="00927374" w14:paraId="5FE980F3" w14:textId="77777777" w:rsidTr="0025187D">
        <w:trPr>
          <w:trHeight w:val="246"/>
        </w:trPr>
        <w:tc>
          <w:tcPr>
            <w:tcW w:w="1956" w:type="dxa"/>
            <w:vAlign w:val="bottom"/>
          </w:tcPr>
          <w:p w14:paraId="5A436D63"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8003</w:t>
            </w:r>
          </w:p>
        </w:tc>
        <w:tc>
          <w:tcPr>
            <w:tcW w:w="2150" w:type="dxa"/>
            <w:vAlign w:val="bottom"/>
          </w:tcPr>
          <w:p w14:paraId="67C8522B"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3</w:t>
            </w:r>
          </w:p>
        </w:tc>
        <w:tc>
          <w:tcPr>
            <w:tcW w:w="4422" w:type="dxa"/>
            <w:vAlign w:val="bottom"/>
          </w:tcPr>
          <w:p w14:paraId="0B052858" w14:textId="77777777" w:rsidR="004B6866" w:rsidRPr="000B5288" w:rsidRDefault="004B6866" w:rsidP="0025187D">
            <w:pPr>
              <w:pStyle w:val="Text"/>
              <w:rPr>
                <w:rFonts w:asciiTheme="minorHAnsi" w:eastAsia="Segoe UI" w:hAnsiTheme="minorHAnsi" w:cstheme="minorHAnsi"/>
                <w:b w:val="0"/>
                <w:color w:val="auto"/>
                <w:sz w:val="24"/>
                <w:lang w:val="en" w:eastAsia="en-AU"/>
              </w:rPr>
            </w:pPr>
            <w:proofErr w:type="spellStart"/>
            <w:r w:rsidRPr="000B5288">
              <w:rPr>
                <w:rFonts w:asciiTheme="minorHAnsi" w:eastAsia="Segoe UI" w:hAnsiTheme="minorHAnsi" w:cstheme="minorHAnsi"/>
                <w:b w:val="0"/>
                <w:color w:val="auto"/>
                <w:sz w:val="24"/>
                <w:lang w:val="en" w:eastAsia="en-AU"/>
              </w:rPr>
              <w:t>Lynall</w:t>
            </w:r>
            <w:proofErr w:type="spellEnd"/>
            <w:r w:rsidRPr="000B5288">
              <w:rPr>
                <w:rFonts w:asciiTheme="minorHAnsi" w:eastAsia="Segoe UI" w:hAnsiTheme="minorHAnsi" w:cstheme="minorHAnsi"/>
                <w:b w:val="0"/>
                <w:color w:val="auto"/>
                <w:sz w:val="24"/>
                <w:lang w:val="en" w:eastAsia="en-AU"/>
              </w:rPr>
              <w:t xml:space="preserve"> Hall Community School</w:t>
            </w:r>
          </w:p>
        </w:tc>
      </w:tr>
      <w:tr w:rsidR="004B6866" w:rsidRPr="00927374" w14:paraId="1DB157BF" w14:textId="77777777" w:rsidTr="0025187D">
        <w:trPr>
          <w:trHeight w:val="246"/>
        </w:trPr>
        <w:tc>
          <w:tcPr>
            <w:tcW w:w="1956" w:type="dxa"/>
            <w:vAlign w:val="bottom"/>
          </w:tcPr>
          <w:p w14:paraId="1C04C0F9"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8851</w:t>
            </w:r>
          </w:p>
        </w:tc>
        <w:tc>
          <w:tcPr>
            <w:tcW w:w="2150" w:type="dxa"/>
            <w:vAlign w:val="bottom"/>
          </w:tcPr>
          <w:p w14:paraId="7D6BCA00"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3</w:t>
            </w:r>
          </w:p>
        </w:tc>
        <w:tc>
          <w:tcPr>
            <w:tcW w:w="4422" w:type="dxa"/>
            <w:vAlign w:val="bottom"/>
          </w:tcPr>
          <w:p w14:paraId="2B314F06"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Wodonga Middle Years College</w:t>
            </w:r>
          </w:p>
        </w:tc>
      </w:tr>
      <w:tr w:rsidR="004B6866" w:rsidRPr="00927374" w14:paraId="31E7FE77" w14:textId="77777777" w:rsidTr="0025187D">
        <w:trPr>
          <w:trHeight w:val="72"/>
        </w:trPr>
        <w:tc>
          <w:tcPr>
            <w:tcW w:w="1956" w:type="dxa"/>
            <w:vAlign w:val="bottom"/>
          </w:tcPr>
          <w:p w14:paraId="37800790"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8890</w:t>
            </w:r>
          </w:p>
        </w:tc>
        <w:tc>
          <w:tcPr>
            <w:tcW w:w="2150" w:type="dxa"/>
            <w:vAlign w:val="bottom"/>
          </w:tcPr>
          <w:p w14:paraId="45AEFC99"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8</w:t>
            </w:r>
          </w:p>
        </w:tc>
        <w:tc>
          <w:tcPr>
            <w:tcW w:w="4422" w:type="dxa"/>
            <w:vAlign w:val="bottom"/>
          </w:tcPr>
          <w:p w14:paraId="651D58E4"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Charles La Trobe P-12 College</w:t>
            </w:r>
          </w:p>
        </w:tc>
      </w:tr>
      <w:tr w:rsidR="004B6866" w:rsidRPr="00927374" w14:paraId="47569429" w14:textId="77777777" w:rsidTr="0025187D">
        <w:trPr>
          <w:trHeight w:val="246"/>
        </w:trPr>
        <w:tc>
          <w:tcPr>
            <w:tcW w:w="1956" w:type="dxa"/>
            <w:vAlign w:val="bottom"/>
          </w:tcPr>
          <w:p w14:paraId="2C19FAB1"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8890</w:t>
            </w:r>
          </w:p>
        </w:tc>
        <w:tc>
          <w:tcPr>
            <w:tcW w:w="2150" w:type="dxa"/>
            <w:vAlign w:val="bottom"/>
          </w:tcPr>
          <w:p w14:paraId="7BB31B82"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9</w:t>
            </w:r>
          </w:p>
        </w:tc>
        <w:tc>
          <w:tcPr>
            <w:tcW w:w="4422" w:type="dxa"/>
            <w:vAlign w:val="bottom"/>
          </w:tcPr>
          <w:p w14:paraId="213347CF"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Charles La Trobe P-12 College</w:t>
            </w:r>
          </w:p>
        </w:tc>
      </w:tr>
      <w:tr w:rsidR="004B6866" w:rsidRPr="009815FF" w14:paraId="63497F1D" w14:textId="77777777" w:rsidTr="00AB7A20">
        <w:trPr>
          <w:trHeight w:val="124"/>
        </w:trPr>
        <w:tc>
          <w:tcPr>
            <w:tcW w:w="1956" w:type="dxa"/>
            <w:vAlign w:val="bottom"/>
          </w:tcPr>
          <w:p w14:paraId="5F7EB911"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8917</w:t>
            </w:r>
          </w:p>
        </w:tc>
        <w:tc>
          <w:tcPr>
            <w:tcW w:w="2150" w:type="dxa"/>
            <w:vAlign w:val="bottom"/>
          </w:tcPr>
          <w:p w14:paraId="1B8EA8A8"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1</w:t>
            </w:r>
          </w:p>
        </w:tc>
        <w:tc>
          <w:tcPr>
            <w:tcW w:w="4422" w:type="dxa"/>
            <w:vAlign w:val="bottom"/>
          </w:tcPr>
          <w:p w14:paraId="4AE8E296" w14:textId="77777777" w:rsidR="004B6866" w:rsidRPr="000B5288" w:rsidRDefault="004B6866"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Centre for Higher Education Studies</w:t>
            </w:r>
          </w:p>
        </w:tc>
      </w:tr>
      <w:tr w:rsidR="00CD6498" w:rsidRPr="009815FF" w14:paraId="6E7803AE" w14:textId="77777777" w:rsidTr="00935770">
        <w:trPr>
          <w:trHeight w:val="124"/>
        </w:trPr>
        <w:tc>
          <w:tcPr>
            <w:tcW w:w="1956" w:type="dxa"/>
            <w:vAlign w:val="bottom"/>
          </w:tcPr>
          <w:p w14:paraId="41D20D8A" w14:textId="713CD6CD" w:rsidR="00CD6498" w:rsidRPr="000B5288" w:rsidRDefault="00CD6498" w:rsidP="00CD6498">
            <w:pPr>
              <w:pStyle w:val="Text"/>
              <w:rPr>
                <w:rFonts w:asciiTheme="minorHAnsi" w:eastAsia="Segoe UI" w:hAnsiTheme="minorHAnsi" w:cstheme="minorHAnsi"/>
                <w:b w:val="0"/>
                <w:color w:val="auto"/>
                <w:sz w:val="24"/>
                <w:lang w:val="en" w:eastAsia="en-AU"/>
              </w:rPr>
            </w:pPr>
            <w:r w:rsidRPr="00B148A2">
              <w:rPr>
                <w:rFonts w:asciiTheme="minorHAnsi" w:eastAsia="Segoe UI" w:hAnsiTheme="minorHAnsi" w:cstheme="minorHAnsi"/>
                <w:b w:val="0"/>
                <w:color w:val="auto"/>
                <w:sz w:val="24"/>
                <w:lang w:val="en" w:eastAsia="en-AU"/>
              </w:rPr>
              <w:t>7757</w:t>
            </w:r>
          </w:p>
        </w:tc>
        <w:tc>
          <w:tcPr>
            <w:tcW w:w="2150" w:type="dxa"/>
            <w:vAlign w:val="bottom"/>
          </w:tcPr>
          <w:p w14:paraId="325E31B0" w14:textId="46096E95" w:rsidR="00CD6498" w:rsidRPr="000B5288" w:rsidRDefault="00CD6498" w:rsidP="00CD6498">
            <w:pPr>
              <w:pStyle w:val="Text"/>
              <w:rPr>
                <w:rFonts w:asciiTheme="minorHAnsi" w:eastAsia="Segoe UI" w:hAnsiTheme="minorHAnsi" w:cstheme="minorHAnsi"/>
                <w:b w:val="0"/>
                <w:color w:val="auto"/>
                <w:sz w:val="24"/>
                <w:lang w:val="en" w:eastAsia="en-AU"/>
              </w:rPr>
            </w:pPr>
            <w:r w:rsidRPr="00B148A2">
              <w:rPr>
                <w:rFonts w:asciiTheme="minorHAnsi" w:eastAsia="Segoe UI" w:hAnsiTheme="minorHAnsi" w:cstheme="minorHAnsi"/>
                <w:b w:val="0"/>
                <w:color w:val="auto"/>
                <w:sz w:val="24"/>
                <w:lang w:val="en" w:eastAsia="en-AU"/>
              </w:rPr>
              <w:t>1</w:t>
            </w:r>
          </w:p>
        </w:tc>
        <w:tc>
          <w:tcPr>
            <w:tcW w:w="4422" w:type="dxa"/>
            <w:vAlign w:val="bottom"/>
          </w:tcPr>
          <w:p w14:paraId="62A4FC82" w14:textId="1A01B0E5" w:rsidR="00CD6498" w:rsidRPr="000B5288" w:rsidRDefault="005A1687" w:rsidP="00CD6498">
            <w:pPr>
              <w:pStyle w:val="Text"/>
              <w:rPr>
                <w:rFonts w:asciiTheme="minorHAnsi" w:eastAsia="Segoe UI" w:hAnsiTheme="minorHAnsi" w:cstheme="minorHAnsi"/>
                <w:b w:val="0"/>
                <w:color w:val="auto"/>
                <w:sz w:val="24"/>
                <w:lang w:val="en" w:eastAsia="en-AU"/>
              </w:rPr>
            </w:pPr>
            <w:r w:rsidRPr="005A1687">
              <w:rPr>
                <w:rFonts w:asciiTheme="minorHAnsi" w:eastAsia="Segoe UI" w:hAnsiTheme="minorHAnsi" w:cstheme="minorHAnsi"/>
                <w:b w:val="0"/>
                <w:color w:val="auto"/>
                <w:sz w:val="24"/>
                <w:lang w:val="en" w:eastAsia="en-AU"/>
              </w:rPr>
              <w:t>Croydon Community School</w:t>
            </w:r>
          </w:p>
        </w:tc>
      </w:tr>
    </w:tbl>
    <w:p w14:paraId="75C07B5B" w14:textId="397FB390" w:rsidR="00A65133" w:rsidRPr="00260C1D" w:rsidRDefault="00A65133" w:rsidP="00950CB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calculated at the Indicative, Confirmed and Revised budget cycles</w:t>
      </w:r>
      <w:r w:rsidR="00C343D9">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C343D9">
        <w:rPr>
          <w:rFonts w:eastAsia="Segoe UI" w:cstheme="minorHAnsi"/>
          <w:color w:val="011A3C"/>
          <w:sz w:val="24"/>
          <w:szCs w:val="24"/>
          <w:lang w:val="en" w:eastAsia="en-AU"/>
        </w:rPr>
        <w:t>F</w:t>
      </w:r>
      <w:r w:rsidRPr="00260C1D">
        <w:rPr>
          <w:rFonts w:eastAsia="Segoe UI" w:cstheme="minorHAnsi"/>
          <w:color w:val="011A3C"/>
          <w:sz w:val="24"/>
          <w:szCs w:val="24"/>
          <w:lang w:val="en" w:eastAsia="en-AU"/>
        </w:rPr>
        <w:t xml:space="preserve">unding is </w:t>
      </w:r>
      <w:r w:rsidR="00A05D7F">
        <w:rPr>
          <w:rFonts w:eastAsia="Segoe UI" w:cstheme="minorHAnsi"/>
          <w:color w:val="011A3C"/>
          <w:sz w:val="24"/>
          <w:szCs w:val="24"/>
          <w:lang w:val="en" w:eastAsia="en-AU"/>
        </w:rPr>
        <w:t xml:space="preserve">allocated </w:t>
      </w:r>
      <w:r w:rsidRPr="00260C1D">
        <w:rPr>
          <w:rFonts w:eastAsia="Segoe UI" w:cstheme="minorHAnsi"/>
          <w:color w:val="011A3C"/>
          <w:sz w:val="24"/>
          <w:szCs w:val="24"/>
          <w:lang w:val="en" w:eastAsia="en-AU"/>
        </w:rPr>
        <w:t xml:space="preserve">through credit and cash funding. </w:t>
      </w:r>
    </w:p>
    <w:bookmarkEnd w:id="12"/>
    <w:p w14:paraId="00786AB3" w14:textId="6DB1C262" w:rsidR="001167A8" w:rsidRPr="00260C1D" w:rsidRDefault="001167A8" w:rsidP="001167A8">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26A215B1" w14:textId="3963D871" w:rsidR="001167A8" w:rsidRPr="00260C1D" w:rsidRDefault="001167A8" w:rsidP="001167A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Enrolment Linked Base Funding</w:t>
      </w:r>
      <w:r w:rsidRPr="00260C1D">
        <w:rPr>
          <w:rFonts w:eastAsia="Segoe UI" w:cstheme="minorHAnsi"/>
          <w:color w:val="011A3C"/>
          <w:sz w:val="24"/>
          <w:szCs w:val="24"/>
          <w:lang w:val="en" w:eastAsia="en-AU"/>
        </w:rPr>
        <w:t xml:space="preserve"> = Base + (Enrolment </w:t>
      </w:r>
      <w:r w:rsidR="00AE1EC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Taper)</w:t>
      </w:r>
    </w:p>
    <w:p w14:paraId="3326F7C7" w14:textId="77777777" w:rsidR="001167A8" w:rsidRPr="00260C1D" w:rsidRDefault="001167A8" w:rsidP="00F56244">
      <w:pPr>
        <w:pStyle w:val="ListParagraph"/>
        <w:numPr>
          <w:ilvl w:val="0"/>
          <w:numId w:val="5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Refer to the matching school type configuration from the options below.</w:t>
      </w:r>
    </w:p>
    <w:p w14:paraId="78FC4F6A" w14:textId="77777777" w:rsidR="001167A8" w:rsidRPr="00260C1D" w:rsidRDefault="001167A8" w:rsidP="00F56244">
      <w:pPr>
        <w:pStyle w:val="ListParagraph"/>
        <w:numPr>
          <w:ilvl w:val="0"/>
          <w:numId w:val="5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base is fixed up to an enrolment threshold. Above this level, the per student taper is applied, until the base amount is exhausted.</w:t>
      </w:r>
    </w:p>
    <w:p w14:paraId="027F8DF6" w14:textId="60D2BCB0" w:rsidR="001167A8" w:rsidRPr="00260C1D" w:rsidRDefault="001167A8" w:rsidP="001167A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Example: A primary </w:t>
      </w:r>
      <w:r w:rsidR="004E385A" w:rsidRPr="00260C1D">
        <w:rPr>
          <w:rFonts w:eastAsia="Segoe UI" w:cstheme="minorHAnsi"/>
          <w:color w:val="011A3C"/>
          <w:sz w:val="24"/>
          <w:szCs w:val="24"/>
          <w:lang w:val="en" w:eastAsia="en-AU"/>
        </w:rPr>
        <w:t xml:space="preserve">campus </w:t>
      </w:r>
      <w:r w:rsidRPr="00260C1D">
        <w:rPr>
          <w:rFonts w:eastAsia="Segoe UI" w:cstheme="minorHAnsi"/>
          <w:color w:val="011A3C"/>
          <w:sz w:val="24"/>
          <w:szCs w:val="24"/>
          <w:lang w:val="en" w:eastAsia="en-AU"/>
        </w:rPr>
        <w:t>with 600 enrolments would calculate their funding as</w:t>
      </w:r>
      <w:r w:rsidR="00297511">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Primary </w:t>
      </w:r>
      <w:r w:rsidR="00297511">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 xml:space="preserve">ase + [100 (enrolment &gt;500) </w:t>
      </w:r>
      <w:r w:rsidR="00AE1EC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Primary </w:t>
      </w:r>
      <w:r w:rsidR="00297511">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aper]</w:t>
      </w:r>
    </w:p>
    <w:p w14:paraId="7275B635" w14:textId="162D6A97" w:rsidR="001167A8" w:rsidRPr="00260C1D" w:rsidRDefault="001167A8" w:rsidP="00715277">
      <w:pPr>
        <w:keepNext/>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202</w:t>
      </w:r>
      <w:r w:rsidR="00A00E93">
        <w:rPr>
          <w:rFonts w:eastAsia="Segoe UI" w:cstheme="minorHAnsi"/>
          <w:b/>
          <w:color w:val="011A3C"/>
          <w:sz w:val="27"/>
          <w:szCs w:val="27"/>
          <w:lang w:val="en" w:eastAsia="en-A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0"/>
        <w:gridCol w:w="2284"/>
        <w:gridCol w:w="2401"/>
        <w:gridCol w:w="2091"/>
      </w:tblGrid>
      <w:tr w:rsidR="00715277" w:rsidRPr="00715277" w14:paraId="3C9A76F0" w14:textId="77777777" w:rsidTr="00833928">
        <w:trPr>
          <w:trHeight w:val="302"/>
          <w:tblHeader/>
        </w:trPr>
        <w:tc>
          <w:tcPr>
            <w:tcW w:w="1760" w:type="pct"/>
            <w:hideMark/>
          </w:tcPr>
          <w:p w14:paraId="28DC1707" w14:textId="57005317" w:rsidR="001167A8" w:rsidRPr="00715277" w:rsidRDefault="004F5307" w:rsidP="001167A8">
            <w:pPr>
              <w:spacing w:after="0" w:line="240" w:lineRule="atLeast"/>
              <w:rPr>
                <w:rFonts w:eastAsia="Segoe UI" w:cstheme="minorHAnsi"/>
                <w:b/>
                <w:bCs/>
                <w:sz w:val="24"/>
                <w:szCs w:val="24"/>
                <w:lang w:eastAsia="en-AU"/>
              </w:rPr>
            </w:pPr>
            <w:r w:rsidRPr="00715277">
              <w:rPr>
                <w:rFonts w:eastAsia="Segoe UI" w:cstheme="minorHAnsi"/>
                <w:b/>
                <w:bCs/>
                <w:sz w:val="24"/>
                <w:szCs w:val="24"/>
                <w:lang w:eastAsia="en-AU"/>
              </w:rPr>
              <w:t>ELB applied</w:t>
            </w:r>
          </w:p>
        </w:tc>
        <w:tc>
          <w:tcPr>
            <w:tcW w:w="1092" w:type="pct"/>
            <w:hideMark/>
          </w:tcPr>
          <w:p w14:paraId="1E6C3732" w14:textId="77777777" w:rsidR="001167A8" w:rsidRPr="00715277" w:rsidRDefault="001167A8" w:rsidP="00614B09">
            <w:pPr>
              <w:spacing w:after="0" w:line="240" w:lineRule="atLeast"/>
              <w:jc w:val="right"/>
              <w:rPr>
                <w:rFonts w:eastAsia="Segoe UI" w:cstheme="minorHAnsi"/>
                <w:b/>
                <w:bCs/>
                <w:sz w:val="24"/>
                <w:szCs w:val="24"/>
                <w:lang w:eastAsia="en-AU"/>
              </w:rPr>
            </w:pPr>
            <w:r w:rsidRPr="00715277">
              <w:rPr>
                <w:rFonts w:eastAsia="Segoe UI" w:cstheme="minorHAnsi"/>
                <w:b/>
                <w:bCs/>
                <w:sz w:val="24"/>
                <w:szCs w:val="24"/>
                <w:lang w:eastAsia="en-AU"/>
              </w:rPr>
              <w:t>Credit ($)</w:t>
            </w:r>
          </w:p>
        </w:tc>
        <w:tc>
          <w:tcPr>
            <w:tcW w:w="1148" w:type="pct"/>
            <w:hideMark/>
          </w:tcPr>
          <w:p w14:paraId="388E2FDD" w14:textId="77777777" w:rsidR="001167A8" w:rsidRPr="00715277" w:rsidRDefault="001167A8" w:rsidP="00614B09">
            <w:pPr>
              <w:spacing w:after="0" w:line="240" w:lineRule="atLeast"/>
              <w:jc w:val="right"/>
              <w:rPr>
                <w:rFonts w:eastAsia="Segoe UI" w:cstheme="minorHAnsi"/>
                <w:b/>
                <w:bCs/>
                <w:sz w:val="24"/>
                <w:szCs w:val="24"/>
                <w:lang w:eastAsia="en-AU"/>
              </w:rPr>
            </w:pPr>
            <w:r w:rsidRPr="00715277">
              <w:rPr>
                <w:rFonts w:eastAsia="Segoe UI" w:cstheme="minorHAnsi"/>
                <w:b/>
                <w:bCs/>
                <w:sz w:val="24"/>
                <w:szCs w:val="24"/>
                <w:lang w:eastAsia="en-AU"/>
              </w:rPr>
              <w:t>Cash ($)</w:t>
            </w:r>
          </w:p>
        </w:tc>
        <w:tc>
          <w:tcPr>
            <w:tcW w:w="1000" w:type="pct"/>
            <w:hideMark/>
          </w:tcPr>
          <w:p w14:paraId="41CEFBB0" w14:textId="77777777" w:rsidR="001167A8" w:rsidRPr="00715277" w:rsidRDefault="001167A8" w:rsidP="00614B09">
            <w:pPr>
              <w:spacing w:after="0" w:line="240" w:lineRule="atLeast"/>
              <w:jc w:val="right"/>
              <w:rPr>
                <w:rFonts w:eastAsia="Segoe UI" w:cstheme="minorHAnsi"/>
                <w:b/>
                <w:bCs/>
                <w:sz w:val="24"/>
                <w:szCs w:val="24"/>
                <w:lang w:eastAsia="en-AU"/>
              </w:rPr>
            </w:pPr>
            <w:r w:rsidRPr="00715277">
              <w:rPr>
                <w:rFonts w:eastAsia="Segoe UI" w:cstheme="minorHAnsi"/>
                <w:b/>
                <w:bCs/>
                <w:sz w:val="24"/>
                <w:szCs w:val="24"/>
                <w:lang w:eastAsia="en-AU"/>
              </w:rPr>
              <w:t>Total ($)</w:t>
            </w:r>
          </w:p>
        </w:tc>
      </w:tr>
      <w:tr w:rsidR="00CF2818" w:rsidRPr="00715277" w14:paraId="0F027E8E" w14:textId="77777777" w:rsidTr="00833928">
        <w:trPr>
          <w:trHeight w:val="743"/>
        </w:trPr>
        <w:tc>
          <w:tcPr>
            <w:tcW w:w="1760" w:type="pct"/>
            <w:hideMark/>
          </w:tcPr>
          <w:p w14:paraId="0CD1B387" w14:textId="5BF0702C" w:rsidR="00CF2818" w:rsidRPr="00715277" w:rsidRDefault="00CF2818" w:rsidP="00CF2818">
            <w:pPr>
              <w:spacing w:after="0" w:line="360" w:lineRule="atLeast"/>
              <w:rPr>
                <w:rFonts w:eastAsia="Segoe UI" w:cstheme="minorHAnsi"/>
                <w:sz w:val="24"/>
                <w:szCs w:val="24"/>
                <w:lang w:eastAsia="en-AU"/>
              </w:rPr>
            </w:pPr>
            <w:r w:rsidRPr="00715277">
              <w:rPr>
                <w:rFonts w:eastAsia="Segoe UI" w:cstheme="minorHAnsi"/>
                <w:sz w:val="24"/>
                <w:szCs w:val="24"/>
                <w:lang w:eastAsia="en-AU"/>
              </w:rPr>
              <w:t>Primary (incl</w:t>
            </w:r>
            <w:r>
              <w:rPr>
                <w:rFonts w:eastAsia="Segoe UI" w:cstheme="minorHAnsi"/>
                <w:sz w:val="24"/>
                <w:szCs w:val="24"/>
                <w:lang w:eastAsia="en-AU"/>
              </w:rPr>
              <w:t>uding</w:t>
            </w:r>
            <w:r w:rsidRPr="00715277">
              <w:rPr>
                <w:rFonts w:eastAsia="Segoe UI" w:cstheme="minorHAnsi"/>
                <w:sz w:val="24"/>
                <w:szCs w:val="24"/>
                <w:lang w:eastAsia="en-AU"/>
              </w:rPr>
              <w:t xml:space="preserve"> </w:t>
            </w:r>
            <w:r>
              <w:rPr>
                <w:rFonts w:eastAsia="Segoe UI" w:cstheme="minorHAnsi"/>
                <w:sz w:val="24"/>
                <w:szCs w:val="24"/>
                <w:lang w:eastAsia="en-AU"/>
              </w:rPr>
              <w:t>h</w:t>
            </w:r>
            <w:r w:rsidRPr="00715277">
              <w:rPr>
                <w:rFonts w:eastAsia="Segoe UI" w:cstheme="minorHAnsi"/>
                <w:sz w:val="24"/>
                <w:szCs w:val="24"/>
                <w:lang w:eastAsia="en-AU"/>
              </w:rPr>
              <w:t>ub</w:t>
            </w:r>
            <w:r>
              <w:rPr>
                <w:rFonts w:eastAsia="Segoe UI" w:cstheme="minorHAnsi"/>
                <w:sz w:val="24"/>
                <w:szCs w:val="24"/>
                <w:lang w:eastAsia="en-AU"/>
              </w:rPr>
              <w:t>/a</w:t>
            </w:r>
            <w:r w:rsidRPr="00715277">
              <w:rPr>
                <w:rFonts w:eastAsia="Segoe UI" w:cstheme="minorHAnsi"/>
                <w:sz w:val="24"/>
                <w:szCs w:val="24"/>
                <w:lang w:eastAsia="en-AU"/>
              </w:rPr>
              <w:t>nnex)</w:t>
            </w:r>
          </w:p>
        </w:tc>
        <w:tc>
          <w:tcPr>
            <w:tcW w:w="1092" w:type="pct"/>
            <w:hideMark/>
          </w:tcPr>
          <w:p w14:paraId="63E0E974" w14:textId="675ED80D" w:rsidR="00CF2818" w:rsidRPr="009A30E8" w:rsidRDefault="00CF2818" w:rsidP="00CF2818">
            <w:pPr>
              <w:spacing w:after="0" w:line="360" w:lineRule="atLeast"/>
              <w:jc w:val="right"/>
              <w:rPr>
                <w:rFonts w:eastAsia="Segoe UI" w:cstheme="minorHAnsi"/>
                <w:sz w:val="24"/>
                <w:szCs w:val="24"/>
                <w:lang w:eastAsia="en-AU"/>
              </w:rPr>
            </w:pPr>
            <w:r w:rsidRPr="009B4DE1">
              <w:rPr>
                <w:sz w:val="24"/>
                <w:szCs w:val="24"/>
              </w:rPr>
              <w:t>70,024</w:t>
            </w:r>
          </w:p>
        </w:tc>
        <w:tc>
          <w:tcPr>
            <w:tcW w:w="1148" w:type="pct"/>
            <w:hideMark/>
          </w:tcPr>
          <w:p w14:paraId="4668F5CF" w14:textId="3C936994" w:rsidR="00CF2818" w:rsidRPr="009A30E8" w:rsidRDefault="00CF2818" w:rsidP="00CF2818">
            <w:pPr>
              <w:spacing w:after="0" w:line="360" w:lineRule="atLeast"/>
              <w:jc w:val="right"/>
              <w:rPr>
                <w:rFonts w:eastAsia="Segoe UI" w:cstheme="minorHAnsi"/>
                <w:sz w:val="24"/>
                <w:szCs w:val="24"/>
                <w:lang w:eastAsia="en-AU"/>
              </w:rPr>
            </w:pPr>
            <w:r w:rsidRPr="009B4DE1">
              <w:rPr>
                <w:sz w:val="24"/>
                <w:szCs w:val="24"/>
              </w:rPr>
              <w:t>3,578</w:t>
            </w:r>
          </w:p>
        </w:tc>
        <w:tc>
          <w:tcPr>
            <w:tcW w:w="1000" w:type="pct"/>
            <w:hideMark/>
          </w:tcPr>
          <w:p w14:paraId="43AAEAE7" w14:textId="7E461A18" w:rsidR="00CF2818" w:rsidRPr="009A30E8" w:rsidRDefault="00CF2818" w:rsidP="00CF2818">
            <w:pPr>
              <w:spacing w:after="0" w:line="360" w:lineRule="atLeast"/>
              <w:jc w:val="right"/>
              <w:rPr>
                <w:rFonts w:eastAsia="Segoe UI" w:cstheme="minorHAnsi"/>
                <w:sz w:val="24"/>
                <w:szCs w:val="24"/>
                <w:lang w:eastAsia="en-AU"/>
              </w:rPr>
            </w:pPr>
            <w:r w:rsidRPr="009B4DE1">
              <w:rPr>
                <w:sz w:val="24"/>
                <w:szCs w:val="24"/>
              </w:rPr>
              <w:t>73,602</w:t>
            </w:r>
          </w:p>
        </w:tc>
      </w:tr>
      <w:tr w:rsidR="00CF2818" w:rsidRPr="00715277" w14:paraId="1FC44983" w14:textId="77777777" w:rsidTr="00833928">
        <w:trPr>
          <w:trHeight w:val="383"/>
        </w:trPr>
        <w:tc>
          <w:tcPr>
            <w:tcW w:w="1760" w:type="pct"/>
            <w:hideMark/>
          </w:tcPr>
          <w:p w14:paraId="6DBDD0DE" w14:textId="77777777" w:rsidR="00CF2818" w:rsidRPr="00715277" w:rsidRDefault="00CF2818" w:rsidP="00CF2818">
            <w:pPr>
              <w:spacing w:after="0" w:line="360" w:lineRule="atLeast"/>
              <w:rPr>
                <w:rFonts w:eastAsia="Segoe UI" w:cstheme="minorHAnsi"/>
                <w:sz w:val="24"/>
                <w:szCs w:val="24"/>
                <w:lang w:eastAsia="en-AU"/>
              </w:rPr>
            </w:pPr>
            <w:r w:rsidRPr="00715277">
              <w:rPr>
                <w:rFonts w:eastAsia="Segoe UI" w:cstheme="minorHAnsi"/>
                <w:sz w:val="24"/>
                <w:szCs w:val="24"/>
                <w:lang w:eastAsia="en-AU"/>
              </w:rPr>
              <w:t>Secondary</w:t>
            </w:r>
          </w:p>
        </w:tc>
        <w:tc>
          <w:tcPr>
            <w:tcW w:w="1092" w:type="pct"/>
            <w:hideMark/>
          </w:tcPr>
          <w:p w14:paraId="2602D933" w14:textId="626407EC" w:rsidR="00CF2818" w:rsidRPr="009A30E8" w:rsidRDefault="00CF2818" w:rsidP="00CF2818">
            <w:pPr>
              <w:spacing w:after="0" w:line="360" w:lineRule="atLeast"/>
              <w:jc w:val="right"/>
              <w:rPr>
                <w:rFonts w:eastAsia="Segoe UI" w:cstheme="minorHAnsi"/>
                <w:sz w:val="24"/>
                <w:szCs w:val="24"/>
                <w:lang w:eastAsia="en-AU"/>
              </w:rPr>
            </w:pPr>
            <w:r w:rsidRPr="009B4DE1">
              <w:rPr>
                <w:sz w:val="24"/>
                <w:szCs w:val="24"/>
              </w:rPr>
              <w:t>583,218</w:t>
            </w:r>
          </w:p>
        </w:tc>
        <w:tc>
          <w:tcPr>
            <w:tcW w:w="1148" w:type="pct"/>
            <w:hideMark/>
          </w:tcPr>
          <w:p w14:paraId="56533971" w14:textId="3290D6A8" w:rsidR="00CF2818" w:rsidRPr="009A30E8" w:rsidRDefault="00CF2818" w:rsidP="00CF2818">
            <w:pPr>
              <w:spacing w:after="0" w:line="360" w:lineRule="atLeast"/>
              <w:jc w:val="right"/>
              <w:rPr>
                <w:rFonts w:eastAsia="Segoe UI" w:cstheme="minorHAnsi"/>
                <w:sz w:val="24"/>
                <w:szCs w:val="24"/>
                <w:lang w:eastAsia="en-AU"/>
              </w:rPr>
            </w:pPr>
            <w:r w:rsidRPr="009B4DE1">
              <w:rPr>
                <w:sz w:val="24"/>
                <w:szCs w:val="24"/>
              </w:rPr>
              <w:t>28,125</w:t>
            </w:r>
          </w:p>
        </w:tc>
        <w:tc>
          <w:tcPr>
            <w:tcW w:w="1000" w:type="pct"/>
            <w:hideMark/>
          </w:tcPr>
          <w:p w14:paraId="51CF7B91" w14:textId="7987B069" w:rsidR="00CF2818" w:rsidRPr="009A30E8" w:rsidRDefault="00CF2818" w:rsidP="00CF2818">
            <w:pPr>
              <w:spacing w:after="0" w:line="360" w:lineRule="atLeast"/>
              <w:jc w:val="right"/>
              <w:rPr>
                <w:rFonts w:eastAsia="Segoe UI" w:cstheme="minorHAnsi"/>
                <w:sz w:val="24"/>
                <w:szCs w:val="24"/>
                <w:lang w:eastAsia="en-AU"/>
              </w:rPr>
            </w:pPr>
            <w:r w:rsidRPr="009B4DE1">
              <w:rPr>
                <w:sz w:val="24"/>
                <w:szCs w:val="24"/>
              </w:rPr>
              <w:t>611,343</w:t>
            </w:r>
          </w:p>
        </w:tc>
      </w:tr>
      <w:tr w:rsidR="00CF2818" w:rsidRPr="00715277" w14:paraId="6F504EB8" w14:textId="77777777" w:rsidTr="00833928">
        <w:trPr>
          <w:trHeight w:val="371"/>
        </w:trPr>
        <w:tc>
          <w:tcPr>
            <w:tcW w:w="1760" w:type="pct"/>
            <w:hideMark/>
          </w:tcPr>
          <w:p w14:paraId="4844E647" w14:textId="77777777" w:rsidR="00CF2818" w:rsidRPr="00715277" w:rsidRDefault="00CF2818" w:rsidP="00CF2818">
            <w:pPr>
              <w:spacing w:after="0" w:line="360" w:lineRule="atLeast"/>
              <w:rPr>
                <w:rFonts w:eastAsia="Segoe UI" w:cstheme="minorHAnsi"/>
                <w:sz w:val="24"/>
                <w:szCs w:val="24"/>
                <w:lang w:eastAsia="en-AU"/>
              </w:rPr>
            </w:pPr>
            <w:r w:rsidRPr="00715277">
              <w:rPr>
                <w:rFonts w:eastAsia="Segoe UI" w:cstheme="minorHAnsi"/>
                <w:sz w:val="24"/>
                <w:szCs w:val="24"/>
                <w:lang w:eastAsia="en-AU"/>
              </w:rPr>
              <w:t>P-9, P-10 and P-12</w:t>
            </w:r>
          </w:p>
        </w:tc>
        <w:tc>
          <w:tcPr>
            <w:tcW w:w="1092" w:type="pct"/>
            <w:hideMark/>
          </w:tcPr>
          <w:p w14:paraId="16431AC5" w14:textId="6587B3FD" w:rsidR="00CF2818" w:rsidRPr="009A30E8" w:rsidRDefault="00CF2818" w:rsidP="00CF2818">
            <w:pPr>
              <w:spacing w:after="0" w:line="360" w:lineRule="atLeast"/>
              <w:jc w:val="right"/>
              <w:rPr>
                <w:rFonts w:eastAsia="Segoe UI" w:cstheme="minorHAnsi"/>
                <w:sz w:val="24"/>
                <w:szCs w:val="24"/>
                <w:lang w:eastAsia="en-AU"/>
              </w:rPr>
            </w:pPr>
            <w:r w:rsidRPr="009B4DE1">
              <w:rPr>
                <w:sz w:val="24"/>
                <w:szCs w:val="24"/>
              </w:rPr>
              <w:t>612,476</w:t>
            </w:r>
          </w:p>
        </w:tc>
        <w:tc>
          <w:tcPr>
            <w:tcW w:w="1148" w:type="pct"/>
            <w:hideMark/>
          </w:tcPr>
          <w:p w14:paraId="2766BD67" w14:textId="2210D6E4" w:rsidR="00CF2818" w:rsidRPr="009A30E8" w:rsidRDefault="00CF2818" w:rsidP="00CF2818">
            <w:pPr>
              <w:spacing w:after="0" w:line="360" w:lineRule="atLeast"/>
              <w:jc w:val="right"/>
              <w:rPr>
                <w:rFonts w:eastAsia="Segoe UI" w:cstheme="minorHAnsi"/>
                <w:sz w:val="24"/>
                <w:szCs w:val="24"/>
                <w:lang w:eastAsia="en-AU"/>
              </w:rPr>
            </w:pPr>
            <w:r w:rsidRPr="009B4DE1">
              <w:rPr>
                <w:sz w:val="24"/>
                <w:szCs w:val="24"/>
              </w:rPr>
              <w:t>32,507</w:t>
            </w:r>
          </w:p>
        </w:tc>
        <w:tc>
          <w:tcPr>
            <w:tcW w:w="1000" w:type="pct"/>
            <w:hideMark/>
          </w:tcPr>
          <w:p w14:paraId="2B7CD6FC" w14:textId="7B10A478" w:rsidR="00CF2818" w:rsidRPr="009A30E8" w:rsidRDefault="00CF2818" w:rsidP="00CF2818">
            <w:pPr>
              <w:spacing w:after="0" w:line="360" w:lineRule="atLeast"/>
              <w:jc w:val="right"/>
              <w:rPr>
                <w:rFonts w:eastAsia="Segoe UI" w:cstheme="minorHAnsi"/>
                <w:sz w:val="24"/>
                <w:szCs w:val="24"/>
                <w:lang w:eastAsia="en-AU"/>
              </w:rPr>
            </w:pPr>
            <w:r w:rsidRPr="009B4DE1">
              <w:rPr>
                <w:sz w:val="24"/>
                <w:szCs w:val="24"/>
              </w:rPr>
              <w:t>644,983</w:t>
            </w:r>
          </w:p>
        </w:tc>
      </w:tr>
      <w:tr w:rsidR="00CF2818" w:rsidRPr="00715277" w14:paraId="5437D290" w14:textId="77777777" w:rsidTr="00833928">
        <w:trPr>
          <w:trHeight w:val="743"/>
        </w:trPr>
        <w:tc>
          <w:tcPr>
            <w:tcW w:w="1760" w:type="pct"/>
            <w:hideMark/>
          </w:tcPr>
          <w:p w14:paraId="76E8EC7D" w14:textId="320C372E" w:rsidR="00CF2818" w:rsidRPr="00715277" w:rsidRDefault="00CF2818" w:rsidP="00CF2818">
            <w:pPr>
              <w:spacing w:after="0" w:line="360" w:lineRule="atLeast"/>
              <w:rPr>
                <w:rFonts w:eastAsia="Segoe UI" w:cstheme="minorHAnsi"/>
                <w:sz w:val="24"/>
                <w:szCs w:val="24"/>
                <w:lang w:eastAsia="en-AU"/>
              </w:rPr>
            </w:pPr>
            <w:r w:rsidRPr="00715277">
              <w:rPr>
                <w:rFonts w:eastAsia="Segoe UI" w:cstheme="minorHAnsi"/>
                <w:sz w:val="24"/>
                <w:szCs w:val="24"/>
                <w:lang w:eastAsia="en-AU"/>
              </w:rPr>
              <w:t>P-8 (=0.5</w:t>
            </w:r>
            <w:r>
              <w:rPr>
                <w:rFonts w:eastAsia="Segoe UI" w:cstheme="minorHAnsi"/>
                <w:sz w:val="24"/>
                <w:szCs w:val="24"/>
                <w:lang w:eastAsia="en-AU"/>
              </w:rPr>
              <w:t xml:space="preserve"> × </w:t>
            </w:r>
            <w:r w:rsidRPr="00715277">
              <w:rPr>
                <w:rFonts w:eastAsia="Segoe UI" w:cstheme="minorHAnsi"/>
                <w:sz w:val="24"/>
                <w:szCs w:val="24"/>
                <w:lang w:eastAsia="en-AU"/>
              </w:rPr>
              <w:t>P-12 Base)</w:t>
            </w:r>
          </w:p>
        </w:tc>
        <w:tc>
          <w:tcPr>
            <w:tcW w:w="1092" w:type="pct"/>
            <w:hideMark/>
          </w:tcPr>
          <w:p w14:paraId="60C57D28" w14:textId="48827FE9" w:rsidR="00CF2818" w:rsidRPr="009A30E8" w:rsidRDefault="00CF2818" w:rsidP="00CF2818">
            <w:pPr>
              <w:spacing w:after="0" w:line="360" w:lineRule="atLeast"/>
              <w:jc w:val="right"/>
              <w:rPr>
                <w:rFonts w:eastAsia="Segoe UI" w:cstheme="minorHAnsi"/>
                <w:sz w:val="24"/>
                <w:szCs w:val="24"/>
                <w:lang w:eastAsia="en-AU"/>
              </w:rPr>
            </w:pPr>
            <w:r w:rsidRPr="009B4DE1">
              <w:rPr>
                <w:sz w:val="24"/>
                <w:szCs w:val="24"/>
              </w:rPr>
              <w:t>306,238</w:t>
            </w:r>
          </w:p>
        </w:tc>
        <w:tc>
          <w:tcPr>
            <w:tcW w:w="1148" w:type="pct"/>
            <w:hideMark/>
          </w:tcPr>
          <w:p w14:paraId="135F4A37" w14:textId="5171F246" w:rsidR="00CF2818" w:rsidRPr="009A30E8" w:rsidRDefault="00CF2818" w:rsidP="00CF2818">
            <w:pPr>
              <w:spacing w:after="0" w:line="360" w:lineRule="atLeast"/>
              <w:jc w:val="right"/>
              <w:rPr>
                <w:rFonts w:eastAsia="Segoe UI" w:cstheme="minorHAnsi"/>
                <w:sz w:val="24"/>
                <w:szCs w:val="24"/>
                <w:lang w:eastAsia="en-AU"/>
              </w:rPr>
            </w:pPr>
            <w:r w:rsidRPr="009B4DE1">
              <w:rPr>
                <w:sz w:val="24"/>
                <w:szCs w:val="24"/>
              </w:rPr>
              <w:t>16,25</w:t>
            </w:r>
            <w:r w:rsidR="00782AFF">
              <w:rPr>
                <w:sz w:val="24"/>
                <w:szCs w:val="24"/>
              </w:rPr>
              <w:t>3.50</w:t>
            </w:r>
          </w:p>
        </w:tc>
        <w:tc>
          <w:tcPr>
            <w:tcW w:w="1000" w:type="pct"/>
            <w:hideMark/>
          </w:tcPr>
          <w:p w14:paraId="49AEDBEC" w14:textId="1B683F19" w:rsidR="00CF2818" w:rsidRPr="009A30E8" w:rsidRDefault="00CF2818" w:rsidP="00CF2818">
            <w:pPr>
              <w:spacing w:after="0" w:line="360" w:lineRule="atLeast"/>
              <w:jc w:val="right"/>
              <w:rPr>
                <w:rFonts w:eastAsia="Segoe UI" w:cstheme="minorHAnsi"/>
                <w:sz w:val="24"/>
                <w:szCs w:val="24"/>
                <w:lang w:eastAsia="en-AU"/>
              </w:rPr>
            </w:pPr>
            <w:r w:rsidRPr="009B4DE1">
              <w:rPr>
                <w:sz w:val="24"/>
                <w:szCs w:val="24"/>
              </w:rPr>
              <w:t>322,49</w:t>
            </w:r>
            <w:r w:rsidR="00280029">
              <w:rPr>
                <w:sz w:val="24"/>
                <w:szCs w:val="24"/>
              </w:rPr>
              <w:t>1.50</w:t>
            </w:r>
          </w:p>
        </w:tc>
      </w:tr>
      <w:tr w:rsidR="00D70808" w:rsidRPr="00715277" w14:paraId="43ECFA04" w14:textId="77777777" w:rsidTr="00833928">
        <w:trPr>
          <w:trHeight w:val="743"/>
        </w:trPr>
        <w:tc>
          <w:tcPr>
            <w:tcW w:w="1760" w:type="pct"/>
            <w:hideMark/>
          </w:tcPr>
          <w:p w14:paraId="7C95B261" w14:textId="19ADA878" w:rsidR="00D70808" w:rsidRPr="00715277" w:rsidRDefault="00D70808" w:rsidP="00D70808">
            <w:pPr>
              <w:spacing w:after="0" w:line="360" w:lineRule="atLeast"/>
              <w:rPr>
                <w:rFonts w:eastAsia="Segoe UI" w:cstheme="minorHAnsi"/>
                <w:sz w:val="24"/>
                <w:szCs w:val="24"/>
                <w:lang w:eastAsia="en-AU"/>
              </w:rPr>
            </w:pPr>
            <w:r w:rsidRPr="00715277">
              <w:rPr>
                <w:rFonts w:eastAsia="Segoe UI" w:cstheme="minorHAnsi"/>
                <w:sz w:val="24"/>
                <w:szCs w:val="24"/>
                <w:lang w:eastAsia="en-AU"/>
              </w:rPr>
              <w:t>Sec-Split Site (=1.5</w:t>
            </w:r>
            <w:r>
              <w:rPr>
                <w:rFonts w:eastAsia="Segoe UI" w:cstheme="minorHAnsi"/>
                <w:sz w:val="24"/>
                <w:szCs w:val="24"/>
                <w:lang w:eastAsia="en-AU"/>
              </w:rPr>
              <w:t xml:space="preserve"> × </w:t>
            </w:r>
            <w:r w:rsidRPr="00715277">
              <w:rPr>
                <w:rFonts w:eastAsia="Segoe UI" w:cstheme="minorHAnsi"/>
                <w:sz w:val="24"/>
                <w:szCs w:val="24"/>
                <w:lang w:eastAsia="en-AU"/>
              </w:rPr>
              <w:t>Sec Base)</w:t>
            </w:r>
          </w:p>
        </w:tc>
        <w:tc>
          <w:tcPr>
            <w:tcW w:w="1092" w:type="pct"/>
            <w:hideMark/>
          </w:tcPr>
          <w:p w14:paraId="15E92BCD" w14:textId="7A6E5410" w:rsidR="00D70808" w:rsidRPr="009A30E8" w:rsidRDefault="00D70808" w:rsidP="00D70808">
            <w:pPr>
              <w:spacing w:after="0" w:line="360" w:lineRule="atLeast"/>
              <w:jc w:val="right"/>
              <w:rPr>
                <w:rFonts w:eastAsia="Segoe UI" w:cstheme="minorHAnsi"/>
                <w:sz w:val="24"/>
                <w:szCs w:val="24"/>
                <w:lang w:eastAsia="en-AU"/>
              </w:rPr>
            </w:pPr>
            <w:r w:rsidRPr="009B4DE1">
              <w:rPr>
                <w:sz w:val="24"/>
                <w:szCs w:val="24"/>
              </w:rPr>
              <w:t>874,827</w:t>
            </w:r>
          </w:p>
        </w:tc>
        <w:tc>
          <w:tcPr>
            <w:tcW w:w="1148" w:type="pct"/>
            <w:hideMark/>
          </w:tcPr>
          <w:p w14:paraId="2D4214FE" w14:textId="7B1F79BE" w:rsidR="00D70808" w:rsidRPr="009A30E8" w:rsidRDefault="00D70808" w:rsidP="00D70808">
            <w:pPr>
              <w:spacing w:after="0" w:line="360" w:lineRule="atLeast"/>
              <w:jc w:val="right"/>
              <w:rPr>
                <w:rFonts w:eastAsia="Segoe UI" w:cstheme="minorHAnsi"/>
                <w:sz w:val="24"/>
                <w:szCs w:val="24"/>
                <w:lang w:eastAsia="en-AU"/>
              </w:rPr>
            </w:pPr>
            <w:r w:rsidRPr="009B4DE1">
              <w:rPr>
                <w:sz w:val="24"/>
                <w:szCs w:val="24"/>
              </w:rPr>
              <w:t>42,18</w:t>
            </w:r>
            <w:r w:rsidR="003948D1">
              <w:rPr>
                <w:sz w:val="24"/>
                <w:szCs w:val="24"/>
              </w:rPr>
              <w:t>7.50</w:t>
            </w:r>
          </w:p>
        </w:tc>
        <w:tc>
          <w:tcPr>
            <w:tcW w:w="1000" w:type="pct"/>
            <w:hideMark/>
          </w:tcPr>
          <w:p w14:paraId="5B2C0C9E" w14:textId="018E7353" w:rsidR="00D70808" w:rsidRPr="009A30E8" w:rsidRDefault="00D70808" w:rsidP="00D70808">
            <w:pPr>
              <w:spacing w:after="0" w:line="360" w:lineRule="atLeast"/>
              <w:jc w:val="right"/>
              <w:rPr>
                <w:rFonts w:eastAsia="Segoe UI" w:cstheme="minorHAnsi"/>
                <w:sz w:val="24"/>
                <w:szCs w:val="24"/>
                <w:lang w:eastAsia="en-AU"/>
              </w:rPr>
            </w:pPr>
            <w:r w:rsidRPr="009B4DE1">
              <w:rPr>
                <w:sz w:val="24"/>
                <w:szCs w:val="24"/>
              </w:rPr>
              <w:t>917,01</w:t>
            </w:r>
            <w:r w:rsidR="003948D1">
              <w:rPr>
                <w:sz w:val="24"/>
                <w:szCs w:val="24"/>
              </w:rPr>
              <w:t>4.50</w:t>
            </w:r>
          </w:p>
        </w:tc>
      </w:tr>
      <w:tr w:rsidR="009A30E8" w:rsidRPr="00715277" w14:paraId="0EB6FDEE" w14:textId="77777777" w:rsidTr="00833928">
        <w:trPr>
          <w:trHeight w:val="743"/>
        </w:trPr>
        <w:tc>
          <w:tcPr>
            <w:tcW w:w="1760" w:type="pct"/>
            <w:hideMark/>
          </w:tcPr>
          <w:p w14:paraId="75404584" w14:textId="3624C562" w:rsidR="009A30E8" w:rsidRPr="00715277" w:rsidRDefault="009A30E8" w:rsidP="009A30E8">
            <w:pPr>
              <w:spacing w:after="0" w:line="360" w:lineRule="atLeast"/>
              <w:rPr>
                <w:rFonts w:eastAsia="Segoe UI" w:cstheme="minorHAnsi"/>
                <w:sz w:val="24"/>
                <w:szCs w:val="24"/>
                <w:lang w:eastAsia="en-AU"/>
              </w:rPr>
            </w:pPr>
            <w:r w:rsidRPr="00715277">
              <w:rPr>
                <w:rFonts w:eastAsia="Segoe UI" w:cstheme="minorHAnsi"/>
                <w:sz w:val="24"/>
                <w:szCs w:val="24"/>
                <w:lang w:eastAsia="en-AU"/>
              </w:rPr>
              <w:t>Split Site P-12 (=1.5</w:t>
            </w:r>
            <w:r>
              <w:rPr>
                <w:rFonts w:eastAsia="Segoe UI" w:cstheme="minorHAnsi"/>
                <w:sz w:val="24"/>
                <w:szCs w:val="24"/>
                <w:lang w:eastAsia="en-AU"/>
              </w:rPr>
              <w:t xml:space="preserve"> × </w:t>
            </w:r>
            <w:r w:rsidRPr="00715277">
              <w:rPr>
                <w:rFonts w:eastAsia="Segoe UI" w:cstheme="minorHAnsi"/>
                <w:sz w:val="24"/>
                <w:szCs w:val="24"/>
                <w:lang w:eastAsia="en-AU"/>
              </w:rPr>
              <w:t>P-12 Base)</w:t>
            </w:r>
          </w:p>
        </w:tc>
        <w:tc>
          <w:tcPr>
            <w:tcW w:w="1092" w:type="pct"/>
            <w:hideMark/>
          </w:tcPr>
          <w:p w14:paraId="3DB7BF88" w14:textId="046C75E1" w:rsidR="009A30E8" w:rsidRPr="009A30E8" w:rsidRDefault="009A30E8" w:rsidP="009A30E8">
            <w:pPr>
              <w:spacing w:after="0" w:line="360" w:lineRule="atLeast"/>
              <w:jc w:val="right"/>
              <w:rPr>
                <w:rFonts w:eastAsia="Segoe UI" w:cstheme="minorHAnsi"/>
                <w:sz w:val="24"/>
                <w:szCs w:val="24"/>
                <w:lang w:eastAsia="en-AU"/>
              </w:rPr>
            </w:pPr>
            <w:r w:rsidRPr="009B4DE1">
              <w:rPr>
                <w:sz w:val="24"/>
                <w:szCs w:val="24"/>
              </w:rPr>
              <w:t>918,714</w:t>
            </w:r>
          </w:p>
        </w:tc>
        <w:tc>
          <w:tcPr>
            <w:tcW w:w="1148" w:type="pct"/>
            <w:hideMark/>
          </w:tcPr>
          <w:p w14:paraId="4D3B9182" w14:textId="36767EFB" w:rsidR="009A30E8" w:rsidRPr="009A30E8" w:rsidRDefault="009A30E8" w:rsidP="009A30E8">
            <w:pPr>
              <w:spacing w:after="0" w:line="360" w:lineRule="atLeast"/>
              <w:jc w:val="right"/>
              <w:rPr>
                <w:rFonts w:eastAsia="Segoe UI" w:cstheme="minorHAnsi"/>
                <w:sz w:val="24"/>
                <w:szCs w:val="24"/>
                <w:lang w:eastAsia="en-AU"/>
              </w:rPr>
            </w:pPr>
            <w:r w:rsidRPr="009B4DE1">
              <w:rPr>
                <w:sz w:val="24"/>
                <w:szCs w:val="24"/>
              </w:rPr>
              <w:t>48,761</w:t>
            </w:r>
            <w:r w:rsidR="003948D1">
              <w:rPr>
                <w:sz w:val="24"/>
                <w:szCs w:val="24"/>
              </w:rPr>
              <w:t>.50</w:t>
            </w:r>
          </w:p>
        </w:tc>
        <w:tc>
          <w:tcPr>
            <w:tcW w:w="1000" w:type="pct"/>
            <w:hideMark/>
          </w:tcPr>
          <w:p w14:paraId="0149FE8C" w14:textId="7AF22857" w:rsidR="009A30E8" w:rsidRPr="009A30E8" w:rsidRDefault="009A30E8" w:rsidP="009A30E8">
            <w:pPr>
              <w:spacing w:after="0" w:line="360" w:lineRule="atLeast"/>
              <w:jc w:val="right"/>
              <w:rPr>
                <w:rFonts w:eastAsia="Segoe UI" w:cstheme="minorHAnsi"/>
                <w:sz w:val="24"/>
                <w:szCs w:val="24"/>
                <w:lang w:eastAsia="en-AU"/>
              </w:rPr>
            </w:pPr>
            <w:r w:rsidRPr="009B4DE1">
              <w:rPr>
                <w:sz w:val="24"/>
                <w:szCs w:val="24"/>
              </w:rPr>
              <w:t>967,475</w:t>
            </w:r>
            <w:r w:rsidR="003948D1">
              <w:rPr>
                <w:sz w:val="24"/>
                <w:szCs w:val="24"/>
              </w:rPr>
              <w:t>.50</w:t>
            </w:r>
          </w:p>
        </w:tc>
      </w:tr>
    </w:tbl>
    <w:p w14:paraId="5C50734D" w14:textId="77777777" w:rsidR="00F04286" w:rsidRPr="00260C1D" w:rsidRDefault="00F04286">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00"/>
        <w:gridCol w:w="2252"/>
        <w:gridCol w:w="2413"/>
        <w:gridCol w:w="2091"/>
      </w:tblGrid>
      <w:tr w:rsidR="001167A8" w:rsidRPr="00DF4FFA" w14:paraId="2E02DBC6" w14:textId="77777777" w:rsidTr="00833928">
        <w:trPr>
          <w:tblHeader/>
        </w:trPr>
        <w:tc>
          <w:tcPr>
            <w:tcW w:w="1769" w:type="pct"/>
            <w:hideMark/>
          </w:tcPr>
          <w:p w14:paraId="1D38485D" w14:textId="77777777" w:rsidR="001167A8" w:rsidRPr="00DF4FFA" w:rsidRDefault="001167A8" w:rsidP="001167A8">
            <w:pPr>
              <w:spacing w:after="0" w:line="240" w:lineRule="atLeast"/>
              <w:rPr>
                <w:rFonts w:eastAsia="Segoe UI" w:cstheme="minorHAnsi"/>
                <w:b/>
                <w:bCs/>
                <w:color w:val="000000" w:themeColor="text1"/>
                <w:sz w:val="24"/>
                <w:szCs w:val="24"/>
                <w:lang w:eastAsia="en-AU"/>
              </w:rPr>
            </w:pPr>
            <w:r w:rsidRPr="00DF4FFA">
              <w:rPr>
                <w:rFonts w:eastAsia="Segoe UI" w:cstheme="minorHAnsi"/>
                <w:b/>
                <w:bCs/>
                <w:color w:val="000000" w:themeColor="text1"/>
                <w:sz w:val="24"/>
                <w:szCs w:val="24"/>
                <w:lang w:eastAsia="en-AU"/>
              </w:rPr>
              <w:t>Regular Enrolment Linked Base Taper</w:t>
            </w:r>
          </w:p>
        </w:tc>
        <w:tc>
          <w:tcPr>
            <w:tcW w:w="1077" w:type="pct"/>
            <w:hideMark/>
          </w:tcPr>
          <w:p w14:paraId="133CDFE8" w14:textId="77777777" w:rsidR="001167A8" w:rsidRPr="00DF4FFA" w:rsidRDefault="001167A8" w:rsidP="00614B09">
            <w:pPr>
              <w:spacing w:after="0" w:line="240" w:lineRule="atLeast"/>
              <w:jc w:val="right"/>
              <w:rPr>
                <w:rFonts w:eastAsia="Segoe UI" w:cstheme="minorHAnsi"/>
                <w:b/>
                <w:bCs/>
                <w:color w:val="000000" w:themeColor="text1"/>
                <w:sz w:val="24"/>
                <w:szCs w:val="24"/>
                <w:lang w:eastAsia="en-AU"/>
              </w:rPr>
            </w:pPr>
            <w:r w:rsidRPr="00DF4FFA">
              <w:rPr>
                <w:rFonts w:eastAsia="Segoe UI" w:cstheme="minorHAnsi"/>
                <w:b/>
                <w:bCs/>
                <w:color w:val="000000" w:themeColor="text1"/>
                <w:sz w:val="24"/>
                <w:szCs w:val="24"/>
                <w:lang w:eastAsia="en-AU"/>
              </w:rPr>
              <w:t>Credit ($)</w:t>
            </w:r>
          </w:p>
        </w:tc>
        <w:tc>
          <w:tcPr>
            <w:tcW w:w="1154" w:type="pct"/>
            <w:hideMark/>
          </w:tcPr>
          <w:p w14:paraId="21668762" w14:textId="77777777" w:rsidR="001167A8" w:rsidRPr="00DF4FFA" w:rsidRDefault="001167A8" w:rsidP="00614B09">
            <w:pPr>
              <w:spacing w:after="0" w:line="240" w:lineRule="atLeast"/>
              <w:jc w:val="right"/>
              <w:rPr>
                <w:rFonts w:eastAsia="Segoe UI" w:cstheme="minorHAnsi"/>
                <w:b/>
                <w:bCs/>
                <w:color w:val="000000" w:themeColor="text1"/>
                <w:sz w:val="24"/>
                <w:szCs w:val="24"/>
                <w:lang w:eastAsia="en-AU"/>
              </w:rPr>
            </w:pPr>
            <w:r w:rsidRPr="00DF4FFA">
              <w:rPr>
                <w:rFonts w:eastAsia="Segoe UI" w:cstheme="minorHAnsi"/>
                <w:b/>
                <w:bCs/>
                <w:color w:val="000000" w:themeColor="text1"/>
                <w:sz w:val="24"/>
                <w:szCs w:val="24"/>
                <w:lang w:eastAsia="en-AU"/>
              </w:rPr>
              <w:t>Cash ($)</w:t>
            </w:r>
          </w:p>
        </w:tc>
        <w:tc>
          <w:tcPr>
            <w:tcW w:w="1001" w:type="pct"/>
            <w:hideMark/>
          </w:tcPr>
          <w:p w14:paraId="7564905B" w14:textId="77777777" w:rsidR="001167A8" w:rsidRPr="00DF4FFA" w:rsidRDefault="001167A8" w:rsidP="00614B09">
            <w:pPr>
              <w:spacing w:after="0" w:line="240" w:lineRule="atLeast"/>
              <w:jc w:val="right"/>
              <w:rPr>
                <w:rFonts w:eastAsia="Segoe UI" w:cstheme="minorHAnsi"/>
                <w:b/>
                <w:bCs/>
                <w:color w:val="000000" w:themeColor="text1"/>
                <w:sz w:val="24"/>
                <w:szCs w:val="24"/>
                <w:lang w:eastAsia="en-AU"/>
              </w:rPr>
            </w:pPr>
            <w:r w:rsidRPr="00DF4FFA">
              <w:rPr>
                <w:rFonts w:eastAsia="Segoe UI" w:cstheme="minorHAnsi"/>
                <w:b/>
                <w:bCs/>
                <w:color w:val="000000" w:themeColor="text1"/>
                <w:sz w:val="24"/>
                <w:szCs w:val="24"/>
                <w:lang w:eastAsia="en-AU"/>
              </w:rPr>
              <w:t>Total ($)</w:t>
            </w:r>
          </w:p>
        </w:tc>
      </w:tr>
      <w:tr w:rsidR="00CE52D4" w:rsidRPr="00260C1D" w14:paraId="555BDA8C" w14:textId="77777777" w:rsidTr="00833928">
        <w:tc>
          <w:tcPr>
            <w:tcW w:w="1769" w:type="pct"/>
            <w:hideMark/>
          </w:tcPr>
          <w:p w14:paraId="3EB5FB98" w14:textId="77777777" w:rsidR="00CE52D4" w:rsidRPr="00715277" w:rsidRDefault="00CE52D4" w:rsidP="00CE52D4">
            <w:pPr>
              <w:spacing w:after="0" w:line="360" w:lineRule="atLeast"/>
              <w:rPr>
                <w:rFonts w:eastAsia="Segoe UI" w:cstheme="minorHAnsi"/>
                <w:color w:val="000000" w:themeColor="text1"/>
                <w:sz w:val="24"/>
                <w:szCs w:val="24"/>
                <w:lang w:eastAsia="en-AU"/>
              </w:rPr>
            </w:pPr>
            <w:r w:rsidRPr="00715277">
              <w:rPr>
                <w:rFonts w:eastAsia="Segoe UI" w:cstheme="minorHAnsi"/>
                <w:color w:val="000000" w:themeColor="text1"/>
                <w:sz w:val="24"/>
                <w:szCs w:val="24"/>
                <w:lang w:eastAsia="en-AU"/>
              </w:rPr>
              <w:t>Primary Taper &gt;500 Per student reduction</w:t>
            </w:r>
          </w:p>
        </w:tc>
        <w:tc>
          <w:tcPr>
            <w:tcW w:w="1077" w:type="pct"/>
            <w:hideMark/>
          </w:tcPr>
          <w:p w14:paraId="6681C6B1" w14:textId="3702848C" w:rsidR="00CE52D4" w:rsidRPr="00CE52D4" w:rsidRDefault="00CE52D4" w:rsidP="00CE52D4">
            <w:pPr>
              <w:spacing w:after="0" w:line="360" w:lineRule="atLeast"/>
              <w:jc w:val="right"/>
              <w:rPr>
                <w:rFonts w:eastAsia="Segoe UI" w:cstheme="minorHAnsi"/>
                <w:color w:val="000000" w:themeColor="text1"/>
                <w:sz w:val="24"/>
                <w:szCs w:val="24"/>
                <w:lang w:eastAsia="en-AU"/>
              </w:rPr>
            </w:pPr>
            <w:r w:rsidRPr="00833928">
              <w:rPr>
                <w:sz w:val="24"/>
              </w:rPr>
              <w:t>-</w:t>
            </w:r>
            <w:r w:rsidRPr="009B4DE1">
              <w:rPr>
                <w:sz w:val="24"/>
                <w:szCs w:val="24"/>
              </w:rPr>
              <w:t>187.08</w:t>
            </w:r>
          </w:p>
        </w:tc>
        <w:tc>
          <w:tcPr>
            <w:tcW w:w="1154" w:type="pct"/>
            <w:hideMark/>
          </w:tcPr>
          <w:p w14:paraId="1BB0514A" w14:textId="02466480" w:rsidR="00CE52D4" w:rsidRPr="00CE52D4" w:rsidRDefault="00CE52D4" w:rsidP="00CE52D4">
            <w:pPr>
              <w:spacing w:after="0" w:line="360" w:lineRule="atLeast"/>
              <w:jc w:val="right"/>
              <w:rPr>
                <w:rFonts w:eastAsia="Segoe UI" w:cstheme="minorHAnsi"/>
                <w:color w:val="000000" w:themeColor="text1"/>
                <w:sz w:val="24"/>
                <w:szCs w:val="24"/>
                <w:lang w:eastAsia="en-AU"/>
              </w:rPr>
            </w:pPr>
            <w:r w:rsidRPr="00833928">
              <w:rPr>
                <w:sz w:val="24"/>
              </w:rPr>
              <w:t>-9.</w:t>
            </w:r>
            <w:r w:rsidRPr="009B4DE1">
              <w:rPr>
                <w:sz w:val="24"/>
                <w:szCs w:val="24"/>
              </w:rPr>
              <w:t>54</w:t>
            </w:r>
          </w:p>
        </w:tc>
        <w:tc>
          <w:tcPr>
            <w:tcW w:w="1001" w:type="pct"/>
            <w:hideMark/>
          </w:tcPr>
          <w:p w14:paraId="562B4751" w14:textId="0CE11989" w:rsidR="00CE52D4" w:rsidRPr="00CE52D4" w:rsidRDefault="00CE52D4" w:rsidP="00CE52D4">
            <w:pPr>
              <w:spacing w:after="0" w:line="360" w:lineRule="atLeast"/>
              <w:jc w:val="right"/>
              <w:rPr>
                <w:rFonts w:eastAsia="Segoe UI" w:cstheme="minorHAnsi"/>
                <w:color w:val="000000" w:themeColor="text1"/>
                <w:sz w:val="24"/>
                <w:szCs w:val="24"/>
                <w:lang w:eastAsia="en-AU"/>
              </w:rPr>
            </w:pPr>
            <w:r w:rsidRPr="00833928">
              <w:rPr>
                <w:sz w:val="24"/>
              </w:rPr>
              <w:t>-</w:t>
            </w:r>
            <w:r w:rsidRPr="009B4DE1">
              <w:rPr>
                <w:sz w:val="24"/>
                <w:szCs w:val="24"/>
              </w:rPr>
              <w:t>196.62</w:t>
            </w:r>
          </w:p>
        </w:tc>
      </w:tr>
      <w:tr w:rsidR="00CE52D4" w:rsidRPr="00260C1D" w14:paraId="2E161121" w14:textId="77777777" w:rsidTr="00833928">
        <w:tc>
          <w:tcPr>
            <w:tcW w:w="1769" w:type="pct"/>
            <w:hideMark/>
          </w:tcPr>
          <w:p w14:paraId="3FDC0AD2" w14:textId="77777777" w:rsidR="00CE52D4" w:rsidRPr="00715277" w:rsidRDefault="00CE52D4" w:rsidP="00CE52D4">
            <w:pPr>
              <w:spacing w:after="0" w:line="360" w:lineRule="atLeast"/>
              <w:rPr>
                <w:rFonts w:eastAsia="Segoe UI" w:cstheme="minorHAnsi"/>
                <w:color w:val="000000" w:themeColor="text1"/>
                <w:sz w:val="24"/>
                <w:szCs w:val="24"/>
                <w:lang w:eastAsia="en-AU"/>
              </w:rPr>
            </w:pPr>
            <w:r w:rsidRPr="00715277">
              <w:rPr>
                <w:rFonts w:eastAsia="Segoe UI" w:cstheme="minorHAnsi"/>
                <w:color w:val="000000" w:themeColor="text1"/>
                <w:sz w:val="24"/>
                <w:szCs w:val="24"/>
                <w:lang w:eastAsia="en-AU"/>
              </w:rPr>
              <w:t>Secondary and Sec-Split Site Taper &gt;400 Per student reduction</w:t>
            </w:r>
          </w:p>
        </w:tc>
        <w:tc>
          <w:tcPr>
            <w:tcW w:w="1077" w:type="pct"/>
            <w:hideMark/>
          </w:tcPr>
          <w:p w14:paraId="7797EB95" w14:textId="329D4CBA" w:rsidR="00CE52D4" w:rsidRPr="00CE52D4" w:rsidRDefault="00CE52D4" w:rsidP="00CE52D4">
            <w:pPr>
              <w:spacing w:after="0" w:line="360" w:lineRule="atLeast"/>
              <w:jc w:val="right"/>
              <w:rPr>
                <w:rFonts w:eastAsia="Segoe UI" w:cstheme="minorHAnsi"/>
                <w:color w:val="000000" w:themeColor="text1"/>
                <w:sz w:val="24"/>
                <w:szCs w:val="24"/>
                <w:lang w:eastAsia="en-AU"/>
              </w:rPr>
            </w:pPr>
            <w:r w:rsidRPr="00833928">
              <w:rPr>
                <w:sz w:val="24"/>
              </w:rPr>
              <w:t>-</w:t>
            </w:r>
            <w:r w:rsidRPr="009B4DE1">
              <w:rPr>
                <w:sz w:val="24"/>
                <w:szCs w:val="24"/>
              </w:rPr>
              <w:t>499.72</w:t>
            </w:r>
          </w:p>
        </w:tc>
        <w:tc>
          <w:tcPr>
            <w:tcW w:w="1154" w:type="pct"/>
            <w:hideMark/>
          </w:tcPr>
          <w:p w14:paraId="1A35B668" w14:textId="12AAA07B" w:rsidR="00CE52D4" w:rsidRPr="00CE52D4" w:rsidRDefault="00CE52D4" w:rsidP="00CE52D4">
            <w:pPr>
              <w:spacing w:after="0" w:line="360" w:lineRule="atLeast"/>
              <w:jc w:val="right"/>
              <w:rPr>
                <w:rFonts w:eastAsia="Segoe UI" w:cstheme="minorHAnsi"/>
                <w:color w:val="000000" w:themeColor="text1"/>
                <w:sz w:val="24"/>
                <w:szCs w:val="24"/>
                <w:lang w:eastAsia="en-AU"/>
              </w:rPr>
            </w:pPr>
            <w:r w:rsidRPr="00833928">
              <w:rPr>
                <w:sz w:val="24"/>
              </w:rPr>
              <w:t>-</w:t>
            </w:r>
            <w:r w:rsidRPr="009B4DE1">
              <w:rPr>
                <w:sz w:val="24"/>
                <w:szCs w:val="24"/>
              </w:rPr>
              <w:t>24.11</w:t>
            </w:r>
          </w:p>
        </w:tc>
        <w:tc>
          <w:tcPr>
            <w:tcW w:w="1001" w:type="pct"/>
            <w:hideMark/>
          </w:tcPr>
          <w:p w14:paraId="19A37040" w14:textId="15E4A0CB" w:rsidR="00CE52D4" w:rsidRPr="00CE52D4" w:rsidRDefault="00CE52D4" w:rsidP="00CE52D4">
            <w:pPr>
              <w:spacing w:after="0" w:line="360" w:lineRule="atLeast"/>
              <w:jc w:val="right"/>
              <w:rPr>
                <w:rFonts w:eastAsia="Segoe UI" w:cstheme="minorHAnsi"/>
                <w:color w:val="000000" w:themeColor="text1"/>
                <w:sz w:val="24"/>
                <w:szCs w:val="24"/>
                <w:lang w:eastAsia="en-AU"/>
              </w:rPr>
            </w:pPr>
            <w:r w:rsidRPr="00833928">
              <w:rPr>
                <w:sz w:val="24"/>
              </w:rPr>
              <w:t>-</w:t>
            </w:r>
            <w:r w:rsidRPr="009B4DE1">
              <w:rPr>
                <w:sz w:val="24"/>
                <w:szCs w:val="24"/>
              </w:rPr>
              <w:t>523.83</w:t>
            </w:r>
          </w:p>
        </w:tc>
      </w:tr>
    </w:tbl>
    <w:p w14:paraId="1F9BFC93" w14:textId="5E7C75F7" w:rsidR="001167A8" w:rsidRPr="00260C1D" w:rsidRDefault="004F5307" w:rsidP="001167A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following campus configurations </w:t>
      </w:r>
      <w:r w:rsidR="001167A8" w:rsidRPr="00260C1D">
        <w:rPr>
          <w:rFonts w:eastAsia="Segoe UI" w:cstheme="minorHAnsi"/>
          <w:color w:val="011A3C"/>
          <w:sz w:val="24"/>
          <w:szCs w:val="24"/>
          <w:lang w:val="en" w:eastAsia="en-AU"/>
        </w:rPr>
        <w:t>P-8, P-9, P-10, P-12 &amp; Split Site P-12 — </w:t>
      </w:r>
      <w:r w:rsidR="001167A8" w:rsidRPr="00260C1D">
        <w:rPr>
          <w:rFonts w:eastAsia="Segoe UI" w:cstheme="minorHAnsi"/>
          <w:b/>
          <w:color w:val="011A3C"/>
          <w:sz w:val="24"/>
          <w:szCs w:val="24"/>
          <w:lang w:val="en" w:eastAsia="en-AU"/>
        </w:rPr>
        <w:t xml:space="preserve">use Primary and Secondary </w:t>
      </w:r>
      <w:r w:rsidR="00842992" w:rsidRPr="00260C1D">
        <w:rPr>
          <w:rFonts w:eastAsia="Segoe UI" w:cstheme="minorHAnsi"/>
          <w:b/>
          <w:color w:val="011A3C"/>
          <w:sz w:val="24"/>
          <w:szCs w:val="24"/>
          <w:lang w:val="en" w:eastAsia="en-AU"/>
        </w:rPr>
        <w:t>tapers.</w:t>
      </w:r>
    </w:p>
    <w:p w14:paraId="398B4CF4" w14:textId="7A4261E0" w:rsidR="001167A8" w:rsidRPr="00260C1D" w:rsidRDefault="001167A8">
      <w:pPr>
        <w:rPr>
          <w:rFonts w:cstheme="minorHAnsi"/>
        </w:rPr>
      </w:pPr>
    </w:p>
    <w:p w14:paraId="5FB1D039" w14:textId="77777777" w:rsidR="001167A8" w:rsidRPr="00260C1D" w:rsidRDefault="001167A8">
      <w:pPr>
        <w:rPr>
          <w:rFonts w:cstheme="minorHAnsi"/>
        </w:rPr>
      </w:pPr>
      <w:r w:rsidRPr="00260C1D">
        <w:rPr>
          <w:rFonts w:cstheme="minorHAnsi"/>
        </w:rPr>
        <w:br w:type="page"/>
      </w:r>
    </w:p>
    <w:p w14:paraId="500CB4B4" w14:textId="77777777" w:rsidR="00DB5C39" w:rsidRPr="00260C1D" w:rsidRDefault="00DB5C39" w:rsidP="00532A33">
      <w:pPr>
        <w:pStyle w:val="Heading2"/>
      </w:pPr>
      <w:bookmarkStart w:id="13" w:name="_Toc141965229"/>
      <w:bookmarkStart w:id="14" w:name="_Toc145339559"/>
      <w:bookmarkStart w:id="15" w:name="_Toc153791882"/>
      <w:r w:rsidRPr="00260C1D">
        <w:lastRenderedPageBreak/>
        <w:t>Small School Base (Reference 3)</w:t>
      </w:r>
      <w:bookmarkEnd w:id="13"/>
      <w:bookmarkEnd w:id="14"/>
      <w:bookmarkEnd w:id="15"/>
    </w:p>
    <w:p w14:paraId="127D3343" w14:textId="3BB50683" w:rsidR="00DB5C39" w:rsidRPr="00260C1D" w:rsidRDefault="00DB5C39" w:rsidP="00DB5C3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 Small School Base is provided to primary schools with less than 80.1 students and secondary </w:t>
      </w:r>
      <w:r w:rsidR="00C343D9">
        <w:rPr>
          <w:rFonts w:eastAsia="Segoe UI" w:cstheme="minorHAnsi"/>
          <w:color w:val="011A3C"/>
          <w:sz w:val="24"/>
          <w:szCs w:val="24"/>
          <w:lang w:val="en" w:eastAsia="en-AU"/>
        </w:rPr>
        <w:t>schools</w:t>
      </w:r>
      <w:r w:rsidR="00C343D9"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with less than 400 students.</w:t>
      </w:r>
    </w:p>
    <w:p w14:paraId="68244AF5" w14:textId="45B0B5AE" w:rsidR="00DB5C39" w:rsidRPr="00260C1D" w:rsidRDefault="00DB5C39" w:rsidP="00DB5C3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For primary schools, the base reduces as enrolments increase. For multi-site primary schools</w:t>
      </w:r>
      <w:r w:rsidR="00C343D9">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the </w:t>
      </w:r>
      <w:r w:rsidR="00C343D9">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 xml:space="preserve">ase and </w:t>
      </w:r>
      <w:r w:rsidR="00C343D9">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aper is applied for each site.</w:t>
      </w:r>
    </w:p>
    <w:p w14:paraId="535C8CFE" w14:textId="12FCE682" w:rsidR="00DB5C39" w:rsidRPr="00260C1D" w:rsidRDefault="00DB5C39" w:rsidP="00DB5C3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For secondary </w:t>
      </w:r>
      <w:r w:rsidR="00C343D9">
        <w:rPr>
          <w:rFonts w:eastAsia="Segoe UI" w:cstheme="minorHAnsi"/>
          <w:color w:val="011A3C"/>
          <w:sz w:val="24"/>
          <w:szCs w:val="24"/>
          <w:lang w:val="en" w:eastAsia="en-AU"/>
        </w:rPr>
        <w:t>schools</w:t>
      </w:r>
      <w:r w:rsidRPr="00260C1D">
        <w:rPr>
          <w:rFonts w:eastAsia="Segoe UI" w:cstheme="minorHAnsi"/>
          <w:color w:val="011A3C"/>
          <w:sz w:val="24"/>
          <w:szCs w:val="24"/>
          <w:lang w:val="en" w:eastAsia="en-AU"/>
        </w:rPr>
        <w:t xml:space="preserve">, the base is a flat amount up to 110 enrolments after which it reduces as enrolments increase. For multi-campus colleges, the </w:t>
      </w:r>
      <w:r w:rsidR="00C343D9">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 xml:space="preserve">ase and </w:t>
      </w:r>
      <w:r w:rsidR="00C343D9">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aper is applied for each campus.</w:t>
      </w:r>
    </w:p>
    <w:p w14:paraId="2099CD02" w14:textId="77777777" w:rsidR="00DB5C39" w:rsidRPr="00260C1D" w:rsidRDefault="00DB5C39" w:rsidP="00715277">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475A8C4F" w14:textId="00C4CA6D" w:rsidR="00DB5C39" w:rsidRPr="00260C1D" w:rsidRDefault="00DB5C39" w:rsidP="00DB5C3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with the following campus types are eligible for the </w:t>
      </w:r>
      <w:r w:rsidR="00C343D9">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mall </w:t>
      </w:r>
      <w:r w:rsidR="00C343D9">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chool </w:t>
      </w:r>
      <w:r w:rsidR="00C343D9">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 xml:space="preserve">ase funding at </w:t>
      </w:r>
      <w:r w:rsidR="00286FA1">
        <w:rPr>
          <w:rFonts w:eastAsia="Segoe UI" w:cstheme="minorHAnsi"/>
          <w:color w:val="011A3C"/>
          <w:sz w:val="24"/>
          <w:szCs w:val="24"/>
          <w:lang w:val="en" w:eastAsia="en-AU"/>
        </w:rPr>
        <w:t xml:space="preserve">a </w:t>
      </w:r>
      <w:r w:rsidRPr="00260C1D">
        <w:rPr>
          <w:rFonts w:eastAsia="Segoe UI" w:cstheme="minorHAnsi"/>
          <w:color w:val="011A3C"/>
          <w:sz w:val="24"/>
          <w:szCs w:val="24"/>
          <w:lang w:val="en" w:eastAsia="en-AU"/>
        </w:rPr>
        <w:t>campus level</w:t>
      </w:r>
      <w:r w:rsidR="00C343D9">
        <w:rPr>
          <w:rFonts w:eastAsia="Segoe UI" w:cstheme="minorHAnsi"/>
          <w:color w:val="011A3C"/>
          <w:sz w:val="24"/>
          <w:szCs w:val="24"/>
          <w:lang w:val="en" w:eastAsia="en-AU"/>
        </w:rPr>
        <w:t>:</w:t>
      </w:r>
    </w:p>
    <w:p w14:paraId="77C59095" w14:textId="77777777" w:rsidR="00DB5C39" w:rsidRPr="00260C1D" w:rsidRDefault="00DB5C39" w:rsidP="00F56244">
      <w:pPr>
        <w:pStyle w:val="ListParagraph"/>
        <w:numPr>
          <w:ilvl w:val="0"/>
          <w:numId w:val="59"/>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Primary</w:t>
      </w:r>
    </w:p>
    <w:p w14:paraId="714894D2" w14:textId="77777777" w:rsidR="00DB5C39" w:rsidRPr="00260C1D" w:rsidRDefault="00DB5C39" w:rsidP="00F56244">
      <w:pPr>
        <w:pStyle w:val="ListParagraph"/>
        <w:numPr>
          <w:ilvl w:val="0"/>
          <w:numId w:val="59"/>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Secondary</w:t>
      </w:r>
    </w:p>
    <w:p w14:paraId="08821D53" w14:textId="7FC4C55A" w:rsidR="00DB5C39" w:rsidRPr="00260C1D" w:rsidRDefault="00DB5C39" w:rsidP="00F56244">
      <w:pPr>
        <w:pStyle w:val="ListParagraph"/>
        <w:numPr>
          <w:ilvl w:val="0"/>
          <w:numId w:val="59"/>
        </w:numPr>
        <w:spacing w:before="100" w:beforeAutospacing="1" w:after="100" w:afterAutospacing="1" w:line="360" w:lineRule="atLeast"/>
        <w:rPr>
          <w:rFonts w:eastAsia="Segoe UI" w:cstheme="minorHAnsi"/>
          <w:color w:val="011A3C"/>
          <w:sz w:val="24"/>
          <w:szCs w:val="24"/>
          <w:lang w:val="en" w:eastAsia="en-AU"/>
        </w:rPr>
      </w:pPr>
      <w:bookmarkStart w:id="16" w:name="_Hlk66193413"/>
      <w:r w:rsidRPr="00260C1D">
        <w:rPr>
          <w:rFonts w:eastAsia="Segoe UI" w:cstheme="minorHAnsi"/>
          <w:color w:val="011A3C"/>
          <w:sz w:val="24"/>
          <w:szCs w:val="24"/>
          <w:lang w:val="en" w:eastAsia="en-AU"/>
        </w:rPr>
        <w:t xml:space="preserve">Primary/Secondary </w:t>
      </w:r>
      <w:bookmarkEnd w:id="16"/>
      <w:r w:rsidRPr="00260C1D">
        <w:rPr>
          <w:rFonts w:eastAsia="Segoe UI" w:cstheme="minorHAnsi"/>
          <w:color w:val="011A3C"/>
          <w:sz w:val="24"/>
          <w:szCs w:val="24"/>
          <w:lang w:val="en" w:eastAsia="en-AU"/>
        </w:rPr>
        <w:t>Combined</w:t>
      </w:r>
    </w:p>
    <w:p w14:paraId="49BA6D96" w14:textId="77777777" w:rsidR="006A0FA0" w:rsidRDefault="0039304A" w:rsidP="00950CBB">
      <w:pPr>
        <w:pStyle w:val="ListParagraph"/>
        <w:numPr>
          <w:ilvl w:val="0"/>
          <w:numId w:val="57"/>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Community</w:t>
      </w:r>
      <w:r w:rsidR="006A0FA0" w:rsidRPr="006A0FA0">
        <w:rPr>
          <w:rFonts w:eastAsia="Segoe UI" w:cstheme="minorHAnsi"/>
          <w:color w:val="011A3C"/>
          <w:sz w:val="24"/>
          <w:szCs w:val="24"/>
          <w:lang w:val="en" w:eastAsia="en-AU"/>
        </w:rPr>
        <w:t xml:space="preserve"> </w:t>
      </w:r>
    </w:p>
    <w:p w14:paraId="22EB0F69" w14:textId="73DB939A" w:rsidR="006A0FA0" w:rsidRPr="00DD38B2" w:rsidRDefault="006A0FA0" w:rsidP="006A0FA0">
      <w:pPr>
        <w:pStyle w:val="ListParagraph"/>
        <w:numPr>
          <w:ilvl w:val="0"/>
          <w:numId w:val="57"/>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Training Center</w:t>
      </w:r>
    </w:p>
    <w:p w14:paraId="39220645" w14:textId="39DB6051" w:rsidR="001460DD" w:rsidRPr="004B6866" w:rsidRDefault="001460DD" w:rsidP="001460DD">
      <w:pPr>
        <w:spacing w:before="100" w:beforeAutospacing="1" w:after="100" w:afterAutospacing="1" w:line="360" w:lineRule="atLeast"/>
        <w:rPr>
          <w:lang w:val="en" w:eastAsia="en-AU"/>
        </w:rPr>
      </w:pPr>
      <w:r w:rsidRPr="000B5288">
        <w:rPr>
          <w:rFonts w:eastAsia="Segoe UI" w:cstheme="minorHAnsi"/>
          <w:color w:val="011A3C"/>
          <w:sz w:val="24"/>
          <w:szCs w:val="24"/>
          <w:lang w:val="en" w:eastAsia="en-AU"/>
        </w:rPr>
        <w:t xml:space="preserve">The following campuses </w:t>
      </w:r>
      <w:r w:rsidR="00CA120B" w:rsidRPr="00CA120B">
        <w:rPr>
          <w:rFonts w:eastAsia="Segoe UI" w:cstheme="minorHAnsi"/>
          <w:color w:val="011A3C"/>
          <w:sz w:val="24"/>
          <w:szCs w:val="24"/>
          <w:lang w:val="en" w:eastAsia="en-AU"/>
        </w:rPr>
        <w:t>do not receive this allocation</w:t>
      </w:r>
      <w:r w:rsidRPr="000B5288">
        <w:rPr>
          <w:rFonts w:eastAsia="Segoe UI" w:cstheme="minorHAnsi"/>
          <w:color w:val="011A3C"/>
          <w:sz w:val="24"/>
          <w:szCs w:val="24"/>
          <w:lang w:val="en" w:eastAsia="en-AU"/>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150"/>
        <w:gridCol w:w="4422"/>
      </w:tblGrid>
      <w:tr w:rsidR="001460DD" w:rsidRPr="00927374" w14:paraId="4E10CEDA" w14:textId="77777777" w:rsidTr="0025187D">
        <w:trPr>
          <w:trHeight w:val="69"/>
        </w:trPr>
        <w:tc>
          <w:tcPr>
            <w:tcW w:w="1956" w:type="dxa"/>
          </w:tcPr>
          <w:p w14:paraId="69576220" w14:textId="77777777" w:rsidR="001460DD" w:rsidRPr="000B5288" w:rsidRDefault="001460DD" w:rsidP="0025187D">
            <w:pPr>
              <w:pStyle w:val="Text"/>
              <w:rPr>
                <w:rFonts w:asciiTheme="minorHAnsi" w:eastAsia="Segoe UI" w:hAnsiTheme="minorHAnsi" w:cstheme="minorHAnsi"/>
                <w:bCs/>
                <w:color w:val="011A3C"/>
                <w:sz w:val="24"/>
                <w:lang w:val="en" w:eastAsia="en-AU"/>
              </w:rPr>
            </w:pPr>
            <w:r w:rsidRPr="000B5288">
              <w:rPr>
                <w:rFonts w:asciiTheme="minorHAnsi" w:eastAsia="Segoe UI" w:hAnsiTheme="minorHAnsi" w:cstheme="minorHAnsi"/>
                <w:bCs/>
                <w:color w:val="011A3C"/>
                <w:sz w:val="24"/>
                <w:lang w:val="en" w:eastAsia="en-AU"/>
              </w:rPr>
              <w:t>School Number</w:t>
            </w:r>
          </w:p>
        </w:tc>
        <w:tc>
          <w:tcPr>
            <w:tcW w:w="2150" w:type="dxa"/>
          </w:tcPr>
          <w:p w14:paraId="585C5664" w14:textId="77777777" w:rsidR="001460DD" w:rsidRPr="000B5288" w:rsidRDefault="001460DD" w:rsidP="0025187D">
            <w:pPr>
              <w:pStyle w:val="Text"/>
              <w:rPr>
                <w:rFonts w:asciiTheme="minorHAnsi" w:eastAsia="Segoe UI" w:hAnsiTheme="minorHAnsi" w:cstheme="minorHAnsi"/>
                <w:bCs/>
                <w:color w:val="011A3C"/>
                <w:sz w:val="24"/>
                <w:lang w:val="en" w:eastAsia="en-AU"/>
              </w:rPr>
            </w:pPr>
            <w:r w:rsidRPr="000B5288">
              <w:rPr>
                <w:rFonts w:asciiTheme="minorHAnsi" w:eastAsia="Segoe UI" w:hAnsiTheme="minorHAnsi" w:cstheme="minorHAnsi"/>
                <w:bCs/>
                <w:color w:val="011A3C"/>
                <w:sz w:val="24"/>
                <w:lang w:val="en" w:eastAsia="en-AU"/>
              </w:rPr>
              <w:t>Campus Number</w:t>
            </w:r>
          </w:p>
        </w:tc>
        <w:tc>
          <w:tcPr>
            <w:tcW w:w="4422" w:type="dxa"/>
          </w:tcPr>
          <w:p w14:paraId="696B2254" w14:textId="77777777" w:rsidR="001460DD" w:rsidRPr="000B5288" w:rsidRDefault="001460DD" w:rsidP="0025187D">
            <w:pPr>
              <w:pStyle w:val="Text"/>
              <w:rPr>
                <w:rFonts w:asciiTheme="minorHAnsi" w:eastAsia="Segoe UI" w:hAnsiTheme="minorHAnsi" w:cstheme="minorHAnsi"/>
                <w:bCs/>
                <w:color w:val="011A3C"/>
                <w:sz w:val="24"/>
                <w:lang w:val="en" w:eastAsia="en-AU"/>
              </w:rPr>
            </w:pPr>
            <w:r w:rsidRPr="000B5288">
              <w:rPr>
                <w:rFonts w:asciiTheme="minorHAnsi" w:eastAsia="Segoe UI" w:hAnsiTheme="minorHAnsi" w:cstheme="minorHAnsi"/>
                <w:bCs/>
                <w:color w:val="011A3C"/>
                <w:sz w:val="24"/>
                <w:lang w:val="en" w:eastAsia="en-AU"/>
              </w:rPr>
              <w:t>School Name</w:t>
            </w:r>
          </w:p>
        </w:tc>
      </w:tr>
      <w:tr w:rsidR="001460DD" w:rsidRPr="00927374" w14:paraId="2C097A01" w14:textId="77777777" w:rsidTr="0025187D">
        <w:trPr>
          <w:trHeight w:val="246"/>
        </w:trPr>
        <w:tc>
          <w:tcPr>
            <w:tcW w:w="1956" w:type="dxa"/>
          </w:tcPr>
          <w:p w14:paraId="75DC4EF8" w14:textId="77777777" w:rsidR="001460DD" w:rsidRPr="00610182"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3552</w:t>
            </w:r>
          </w:p>
        </w:tc>
        <w:tc>
          <w:tcPr>
            <w:tcW w:w="2150" w:type="dxa"/>
          </w:tcPr>
          <w:p w14:paraId="1FCE6EC4" w14:textId="77777777" w:rsidR="001460DD" w:rsidRPr="00610182"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6</w:t>
            </w:r>
          </w:p>
        </w:tc>
        <w:tc>
          <w:tcPr>
            <w:tcW w:w="4422" w:type="dxa"/>
            <w:vAlign w:val="bottom"/>
          </w:tcPr>
          <w:p w14:paraId="4D7C139E" w14:textId="77777777" w:rsidR="001460DD" w:rsidRPr="00610182" w:rsidRDefault="001460DD" w:rsidP="0025187D">
            <w:pPr>
              <w:pStyle w:val="Text"/>
              <w:rPr>
                <w:rFonts w:asciiTheme="minorHAnsi" w:eastAsia="Segoe UI" w:hAnsiTheme="minorHAnsi" w:cstheme="minorHAnsi"/>
                <w:b w:val="0"/>
                <w:color w:val="auto"/>
                <w:sz w:val="24"/>
                <w:lang w:val="en" w:eastAsia="en-AU"/>
              </w:rPr>
            </w:pPr>
            <w:proofErr w:type="spellStart"/>
            <w:r w:rsidRPr="009C3943">
              <w:rPr>
                <w:rFonts w:asciiTheme="minorHAnsi" w:eastAsia="Segoe UI" w:hAnsiTheme="minorHAnsi" w:cstheme="minorHAnsi"/>
                <w:b w:val="0"/>
                <w:color w:val="auto"/>
                <w:sz w:val="24"/>
                <w:lang w:val="en" w:eastAsia="en-AU"/>
              </w:rPr>
              <w:t>Yarra</w:t>
            </w:r>
            <w:proofErr w:type="spellEnd"/>
            <w:r w:rsidRPr="009C3943">
              <w:rPr>
                <w:rFonts w:asciiTheme="minorHAnsi" w:eastAsia="Segoe UI" w:hAnsiTheme="minorHAnsi" w:cstheme="minorHAnsi"/>
                <w:b w:val="0"/>
                <w:color w:val="auto"/>
                <w:sz w:val="24"/>
                <w:lang w:val="en" w:eastAsia="en-AU"/>
              </w:rPr>
              <w:t xml:space="preserve"> Me School</w:t>
            </w:r>
          </w:p>
        </w:tc>
      </w:tr>
      <w:tr w:rsidR="001460DD" w:rsidRPr="00927374" w14:paraId="0E260570" w14:textId="77777777" w:rsidTr="0025187D">
        <w:trPr>
          <w:trHeight w:val="246"/>
        </w:trPr>
        <w:tc>
          <w:tcPr>
            <w:tcW w:w="1956" w:type="dxa"/>
            <w:vAlign w:val="bottom"/>
          </w:tcPr>
          <w:p w14:paraId="029A3788"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6212</w:t>
            </w:r>
          </w:p>
        </w:tc>
        <w:tc>
          <w:tcPr>
            <w:tcW w:w="2150" w:type="dxa"/>
            <w:vAlign w:val="bottom"/>
          </w:tcPr>
          <w:p w14:paraId="7151149A"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2</w:t>
            </w:r>
          </w:p>
        </w:tc>
        <w:tc>
          <w:tcPr>
            <w:tcW w:w="4422" w:type="dxa"/>
            <w:vAlign w:val="bottom"/>
          </w:tcPr>
          <w:p w14:paraId="4E903AA1"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Collingwood College</w:t>
            </w:r>
          </w:p>
        </w:tc>
      </w:tr>
      <w:tr w:rsidR="001460DD" w:rsidRPr="00927374" w14:paraId="2F0CC554" w14:textId="77777777" w:rsidTr="0025187D">
        <w:trPr>
          <w:trHeight w:val="246"/>
        </w:trPr>
        <w:tc>
          <w:tcPr>
            <w:tcW w:w="1956" w:type="dxa"/>
            <w:vAlign w:val="bottom"/>
          </w:tcPr>
          <w:p w14:paraId="63AB5015"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7595</w:t>
            </w:r>
          </w:p>
        </w:tc>
        <w:tc>
          <w:tcPr>
            <w:tcW w:w="2150" w:type="dxa"/>
            <w:vAlign w:val="bottom"/>
          </w:tcPr>
          <w:p w14:paraId="3E2C30E3"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2</w:t>
            </w:r>
          </w:p>
        </w:tc>
        <w:tc>
          <w:tcPr>
            <w:tcW w:w="4422" w:type="dxa"/>
            <w:vAlign w:val="bottom"/>
          </w:tcPr>
          <w:p w14:paraId="405C4696"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Bendigo Senior Secondary College</w:t>
            </w:r>
          </w:p>
        </w:tc>
      </w:tr>
      <w:tr w:rsidR="001460DD" w:rsidRPr="00927374" w14:paraId="2230CFDB" w14:textId="77777777" w:rsidTr="0025187D">
        <w:trPr>
          <w:trHeight w:val="246"/>
        </w:trPr>
        <w:tc>
          <w:tcPr>
            <w:tcW w:w="1956" w:type="dxa"/>
            <w:vAlign w:val="bottom"/>
          </w:tcPr>
          <w:p w14:paraId="17FB0361"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8003</w:t>
            </w:r>
          </w:p>
        </w:tc>
        <w:tc>
          <w:tcPr>
            <w:tcW w:w="2150" w:type="dxa"/>
            <w:vAlign w:val="bottom"/>
          </w:tcPr>
          <w:p w14:paraId="13BD6E3E"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2</w:t>
            </w:r>
          </w:p>
        </w:tc>
        <w:tc>
          <w:tcPr>
            <w:tcW w:w="4422" w:type="dxa"/>
            <w:vAlign w:val="bottom"/>
          </w:tcPr>
          <w:p w14:paraId="653AF75E" w14:textId="77777777" w:rsidR="001460DD" w:rsidRPr="000B5288" w:rsidRDefault="001460DD" w:rsidP="0025187D">
            <w:pPr>
              <w:pStyle w:val="Text"/>
              <w:rPr>
                <w:rFonts w:asciiTheme="minorHAnsi" w:eastAsia="Segoe UI" w:hAnsiTheme="minorHAnsi" w:cstheme="minorHAnsi"/>
                <w:b w:val="0"/>
                <w:color w:val="auto"/>
                <w:sz w:val="24"/>
                <w:lang w:val="en" w:eastAsia="en-AU"/>
              </w:rPr>
            </w:pPr>
            <w:proofErr w:type="spellStart"/>
            <w:r w:rsidRPr="000B5288">
              <w:rPr>
                <w:rFonts w:asciiTheme="minorHAnsi" w:eastAsia="Segoe UI" w:hAnsiTheme="minorHAnsi" w:cstheme="minorHAnsi"/>
                <w:b w:val="0"/>
                <w:color w:val="auto"/>
                <w:sz w:val="24"/>
                <w:lang w:val="en" w:eastAsia="en-AU"/>
              </w:rPr>
              <w:t>Lynall</w:t>
            </w:r>
            <w:proofErr w:type="spellEnd"/>
            <w:r w:rsidRPr="000B5288">
              <w:rPr>
                <w:rFonts w:asciiTheme="minorHAnsi" w:eastAsia="Segoe UI" w:hAnsiTheme="minorHAnsi" w:cstheme="minorHAnsi"/>
                <w:b w:val="0"/>
                <w:color w:val="auto"/>
                <w:sz w:val="24"/>
                <w:lang w:val="en" w:eastAsia="en-AU"/>
              </w:rPr>
              <w:t xml:space="preserve"> Hall Community School</w:t>
            </w:r>
          </w:p>
        </w:tc>
      </w:tr>
      <w:tr w:rsidR="001460DD" w:rsidRPr="00927374" w14:paraId="72199BCB" w14:textId="77777777" w:rsidTr="0025187D">
        <w:trPr>
          <w:trHeight w:val="246"/>
        </w:trPr>
        <w:tc>
          <w:tcPr>
            <w:tcW w:w="1956" w:type="dxa"/>
            <w:vAlign w:val="bottom"/>
          </w:tcPr>
          <w:p w14:paraId="45A2BDF4"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8003</w:t>
            </w:r>
          </w:p>
        </w:tc>
        <w:tc>
          <w:tcPr>
            <w:tcW w:w="2150" w:type="dxa"/>
            <w:vAlign w:val="bottom"/>
          </w:tcPr>
          <w:p w14:paraId="0F5E18BA"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3</w:t>
            </w:r>
          </w:p>
        </w:tc>
        <w:tc>
          <w:tcPr>
            <w:tcW w:w="4422" w:type="dxa"/>
            <w:vAlign w:val="bottom"/>
          </w:tcPr>
          <w:p w14:paraId="27E75E4E" w14:textId="77777777" w:rsidR="001460DD" w:rsidRPr="000B5288" w:rsidRDefault="001460DD" w:rsidP="0025187D">
            <w:pPr>
              <w:pStyle w:val="Text"/>
              <w:rPr>
                <w:rFonts w:asciiTheme="minorHAnsi" w:eastAsia="Segoe UI" w:hAnsiTheme="minorHAnsi" w:cstheme="minorHAnsi"/>
                <w:b w:val="0"/>
                <w:color w:val="auto"/>
                <w:sz w:val="24"/>
                <w:lang w:val="en" w:eastAsia="en-AU"/>
              </w:rPr>
            </w:pPr>
            <w:proofErr w:type="spellStart"/>
            <w:r w:rsidRPr="000B5288">
              <w:rPr>
                <w:rFonts w:asciiTheme="minorHAnsi" w:eastAsia="Segoe UI" w:hAnsiTheme="minorHAnsi" w:cstheme="minorHAnsi"/>
                <w:b w:val="0"/>
                <w:color w:val="auto"/>
                <w:sz w:val="24"/>
                <w:lang w:val="en" w:eastAsia="en-AU"/>
              </w:rPr>
              <w:t>Lynall</w:t>
            </w:r>
            <w:proofErr w:type="spellEnd"/>
            <w:r w:rsidRPr="000B5288">
              <w:rPr>
                <w:rFonts w:asciiTheme="minorHAnsi" w:eastAsia="Segoe UI" w:hAnsiTheme="minorHAnsi" w:cstheme="minorHAnsi"/>
                <w:b w:val="0"/>
                <w:color w:val="auto"/>
                <w:sz w:val="24"/>
                <w:lang w:val="en" w:eastAsia="en-AU"/>
              </w:rPr>
              <w:t xml:space="preserve"> Hall Community School</w:t>
            </w:r>
          </w:p>
        </w:tc>
      </w:tr>
      <w:tr w:rsidR="001460DD" w:rsidRPr="00927374" w14:paraId="42F73DDA" w14:textId="77777777" w:rsidTr="0025187D">
        <w:trPr>
          <w:trHeight w:val="246"/>
        </w:trPr>
        <w:tc>
          <w:tcPr>
            <w:tcW w:w="1956" w:type="dxa"/>
            <w:vAlign w:val="bottom"/>
          </w:tcPr>
          <w:p w14:paraId="5B7AA332"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8851</w:t>
            </w:r>
          </w:p>
        </w:tc>
        <w:tc>
          <w:tcPr>
            <w:tcW w:w="2150" w:type="dxa"/>
            <w:vAlign w:val="bottom"/>
          </w:tcPr>
          <w:p w14:paraId="0AD39719"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3</w:t>
            </w:r>
          </w:p>
        </w:tc>
        <w:tc>
          <w:tcPr>
            <w:tcW w:w="4422" w:type="dxa"/>
            <w:vAlign w:val="bottom"/>
          </w:tcPr>
          <w:p w14:paraId="72585D11"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Wodonga Middle Years College</w:t>
            </w:r>
          </w:p>
        </w:tc>
      </w:tr>
      <w:tr w:rsidR="001460DD" w:rsidRPr="00927374" w14:paraId="263F303B" w14:textId="77777777" w:rsidTr="0025187D">
        <w:trPr>
          <w:trHeight w:val="72"/>
        </w:trPr>
        <w:tc>
          <w:tcPr>
            <w:tcW w:w="1956" w:type="dxa"/>
            <w:vAlign w:val="bottom"/>
          </w:tcPr>
          <w:p w14:paraId="220CA498"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8890</w:t>
            </w:r>
          </w:p>
        </w:tc>
        <w:tc>
          <w:tcPr>
            <w:tcW w:w="2150" w:type="dxa"/>
            <w:vAlign w:val="bottom"/>
          </w:tcPr>
          <w:p w14:paraId="5A13313C"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8</w:t>
            </w:r>
          </w:p>
        </w:tc>
        <w:tc>
          <w:tcPr>
            <w:tcW w:w="4422" w:type="dxa"/>
            <w:vAlign w:val="bottom"/>
          </w:tcPr>
          <w:p w14:paraId="2D54B8B8"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Charles La Trobe P-12 College</w:t>
            </w:r>
          </w:p>
        </w:tc>
      </w:tr>
      <w:tr w:rsidR="001460DD" w:rsidRPr="00927374" w14:paraId="12781ED6" w14:textId="77777777" w:rsidTr="0025187D">
        <w:trPr>
          <w:trHeight w:val="246"/>
        </w:trPr>
        <w:tc>
          <w:tcPr>
            <w:tcW w:w="1956" w:type="dxa"/>
            <w:vAlign w:val="bottom"/>
          </w:tcPr>
          <w:p w14:paraId="612A028D"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8890</w:t>
            </w:r>
          </w:p>
        </w:tc>
        <w:tc>
          <w:tcPr>
            <w:tcW w:w="2150" w:type="dxa"/>
            <w:vAlign w:val="bottom"/>
          </w:tcPr>
          <w:p w14:paraId="23B0C121"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9</w:t>
            </w:r>
          </w:p>
        </w:tc>
        <w:tc>
          <w:tcPr>
            <w:tcW w:w="4422" w:type="dxa"/>
            <w:vAlign w:val="bottom"/>
          </w:tcPr>
          <w:p w14:paraId="4EEDC3AA"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Charles La Trobe P-12 College</w:t>
            </w:r>
          </w:p>
        </w:tc>
      </w:tr>
      <w:tr w:rsidR="001460DD" w:rsidRPr="009815FF" w14:paraId="748E8FAC" w14:textId="77777777" w:rsidTr="0025187D">
        <w:trPr>
          <w:trHeight w:val="124"/>
        </w:trPr>
        <w:tc>
          <w:tcPr>
            <w:tcW w:w="1956" w:type="dxa"/>
            <w:vAlign w:val="bottom"/>
          </w:tcPr>
          <w:p w14:paraId="2543B58F"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8917</w:t>
            </w:r>
          </w:p>
        </w:tc>
        <w:tc>
          <w:tcPr>
            <w:tcW w:w="2150" w:type="dxa"/>
            <w:vAlign w:val="bottom"/>
          </w:tcPr>
          <w:p w14:paraId="3199032B"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1</w:t>
            </w:r>
          </w:p>
        </w:tc>
        <w:tc>
          <w:tcPr>
            <w:tcW w:w="4422" w:type="dxa"/>
            <w:vAlign w:val="bottom"/>
          </w:tcPr>
          <w:p w14:paraId="561B68C1" w14:textId="77777777" w:rsidR="001460DD" w:rsidRPr="000B5288" w:rsidRDefault="001460DD" w:rsidP="0025187D">
            <w:pPr>
              <w:pStyle w:val="Text"/>
              <w:rPr>
                <w:rFonts w:asciiTheme="minorHAnsi" w:eastAsia="Segoe UI" w:hAnsiTheme="minorHAnsi" w:cstheme="minorHAnsi"/>
                <w:b w:val="0"/>
                <w:color w:val="auto"/>
                <w:sz w:val="24"/>
                <w:lang w:val="en" w:eastAsia="en-AU"/>
              </w:rPr>
            </w:pPr>
            <w:r w:rsidRPr="000B5288">
              <w:rPr>
                <w:rFonts w:asciiTheme="minorHAnsi" w:eastAsia="Segoe UI" w:hAnsiTheme="minorHAnsi" w:cstheme="minorHAnsi"/>
                <w:b w:val="0"/>
                <w:color w:val="auto"/>
                <w:sz w:val="24"/>
                <w:lang w:val="en" w:eastAsia="en-AU"/>
              </w:rPr>
              <w:t>Centre for Higher Education Studies</w:t>
            </w:r>
          </w:p>
        </w:tc>
      </w:tr>
      <w:tr w:rsidR="00492085" w:rsidRPr="009815FF" w14:paraId="4BF15B00" w14:textId="77777777" w:rsidTr="00AB7A20">
        <w:trPr>
          <w:trHeight w:val="124"/>
        </w:trPr>
        <w:tc>
          <w:tcPr>
            <w:tcW w:w="1956" w:type="dxa"/>
          </w:tcPr>
          <w:p w14:paraId="4C25D359" w14:textId="6FE7DF76" w:rsidR="00492085" w:rsidRPr="000B5288" w:rsidRDefault="00492085" w:rsidP="0049208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8916</w:t>
            </w:r>
          </w:p>
        </w:tc>
        <w:tc>
          <w:tcPr>
            <w:tcW w:w="2150" w:type="dxa"/>
          </w:tcPr>
          <w:p w14:paraId="6229D825" w14:textId="2D74A868" w:rsidR="00492085" w:rsidRPr="000B5288" w:rsidRDefault="00492085" w:rsidP="00492085">
            <w:pPr>
              <w:pStyle w:val="Text"/>
              <w:rPr>
                <w:rFonts w:asciiTheme="minorHAnsi" w:eastAsia="Segoe UI" w:hAnsiTheme="minorHAnsi" w:cstheme="minorHAnsi"/>
                <w:b w:val="0"/>
                <w:color w:val="auto"/>
                <w:sz w:val="24"/>
                <w:lang w:val="en" w:eastAsia="en-AU"/>
              </w:rPr>
            </w:pPr>
            <w:r w:rsidRPr="00AB7A20">
              <w:rPr>
                <w:rFonts w:asciiTheme="minorHAnsi" w:eastAsia="Segoe UI" w:hAnsiTheme="minorHAnsi" w:cstheme="minorHAnsi"/>
                <w:b w:val="0"/>
                <w:color w:val="auto"/>
                <w:sz w:val="24"/>
                <w:lang w:val="en" w:eastAsia="en-AU"/>
              </w:rPr>
              <w:t>5</w:t>
            </w:r>
          </w:p>
        </w:tc>
        <w:tc>
          <w:tcPr>
            <w:tcW w:w="4422" w:type="dxa"/>
            <w:vAlign w:val="bottom"/>
          </w:tcPr>
          <w:p w14:paraId="7A55E2F9" w14:textId="5E3D983C" w:rsidR="00492085" w:rsidRPr="000B5288" w:rsidRDefault="0028188B" w:rsidP="00492085">
            <w:pPr>
              <w:pStyle w:val="Text"/>
              <w:rPr>
                <w:rFonts w:asciiTheme="minorHAnsi" w:eastAsia="Segoe UI" w:hAnsiTheme="minorHAnsi" w:cstheme="minorHAnsi"/>
                <w:b w:val="0"/>
                <w:color w:val="auto"/>
                <w:sz w:val="24"/>
                <w:lang w:val="en" w:eastAsia="en-AU"/>
              </w:rPr>
            </w:pPr>
            <w:r w:rsidRPr="0028188B">
              <w:rPr>
                <w:rFonts w:asciiTheme="minorHAnsi" w:eastAsia="Segoe UI" w:hAnsiTheme="minorHAnsi" w:cstheme="minorHAnsi"/>
                <w:b w:val="0"/>
                <w:color w:val="auto"/>
                <w:sz w:val="24"/>
                <w:lang w:val="en" w:eastAsia="en-AU"/>
              </w:rPr>
              <w:t>Parkville College</w:t>
            </w:r>
          </w:p>
        </w:tc>
      </w:tr>
    </w:tbl>
    <w:p w14:paraId="016C6AA8" w14:textId="77777777" w:rsidR="007263AE" w:rsidRDefault="007263AE" w:rsidP="007263AE">
      <w:pPr>
        <w:rPr>
          <w:lang w:val="en" w:eastAsia="en-AU"/>
        </w:rPr>
      </w:pPr>
    </w:p>
    <w:p w14:paraId="1CCE8A10" w14:textId="4DEFBE82" w:rsidR="00531290" w:rsidRPr="009B4DE1" w:rsidRDefault="00531290" w:rsidP="00833928">
      <w:pPr>
        <w:rPr>
          <w:rFonts w:eastAsia="Segoe UI" w:cstheme="minorHAnsi"/>
          <w:color w:val="011A3C"/>
          <w:sz w:val="24"/>
          <w:szCs w:val="24"/>
          <w:lang w:val="en" w:eastAsia="en-AU"/>
        </w:rPr>
      </w:pPr>
      <w:r w:rsidRPr="009B4DE1">
        <w:rPr>
          <w:rFonts w:eastAsia="Segoe UI" w:cstheme="minorHAnsi"/>
          <w:color w:val="011A3C"/>
          <w:sz w:val="24"/>
          <w:szCs w:val="24"/>
          <w:lang w:val="en" w:eastAsia="en-AU"/>
        </w:rPr>
        <w:t>Funding is calculated at the Indicative, Confirmed and Revised budget cycles</w:t>
      </w:r>
      <w:r w:rsidR="000E35B7" w:rsidRPr="009B4DE1">
        <w:rPr>
          <w:rFonts w:eastAsia="Segoe UI" w:cstheme="minorHAnsi"/>
          <w:color w:val="011A3C"/>
          <w:sz w:val="24"/>
          <w:szCs w:val="24"/>
          <w:lang w:val="en" w:eastAsia="en-AU"/>
        </w:rPr>
        <w:t>. F</w:t>
      </w:r>
      <w:r w:rsidRPr="009B4DE1">
        <w:rPr>
          <w:rFonts w:eastAsia="Segoe UI" w:cstheme="minorHAnsi"/>
          <w:color w:val="011A3C"/>
          <w:sz w:val="24"/>
          <w:szCs w:val="24"/>
          <w:lang w:val="en" w:eastAsia="en-AU"/>
        </w:rPr>
        <w:t xml:space="preserve">unding is </w:t>
      </w:r>
      <w:r w:rsidR="00A05D7F" w:rsidRPr="009B4DE1">
        <w:rPr>
          <w:rFonts w:eastAsia="Segoe UI" w:cstheme="minorHAnsi"/>
          <w:color w:val="011A3C"/>
          <w:sz w:val="24"/>
          <w:szCs w:val="24"/>
          <w:lang w:val="en" w:eastAsia="en-AU"/>
        </w:rPr>
        <w:t xml:space="preserve">allocated </w:t>
      </w:r>
      <w:r w:rsidRPr="009B4DE1">
        <w:rPr>
          <w:rFonts w:eastAsia="Segoe UI" w:cstheme="minorHAnsi"/>
          <w:color w:val="011A3C"/>
          <w:sz w:val="24"/>
          <w:szCs w:val="24"/>
          <w:lang w:val="en" w:eastAsia="en-AU"/>
        </w:rPr>
        <w:t xml:space="preserve">through credit and cash funding. </w:t>
      </w:r>
    </w:p>
    <w:p w14:paraId="02ABB553" w14:textId="1DCB56D2" w:rsidR="00DB5C39" w:rsidRPr="00260C1D" w:rsidRDefault="00DB5C39" w:rsidP="00DB5C39">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1057DF29" w14:textId="1DCE4A46" w:rsidR="00DB5C39" w:rsidRPr="00260C1D" w:rsidRDefault="00DB5C39" w:rsidP="00DB5C3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 xml:space="preserve">Small School Base (Primary where enrolment is less than 80.1) </w:t>
      </w:r>
      <w:r w:rsidRPr="00260C1D">
        <w:rPr>
          <w:rFonts w:eastAsia="Segoe UI" w:cstheme="minorHAnsi"/>
          <w:color w:val="011A3C"/>
          <w:sz w:val="24"/>
          <w:szCs w:val="24"/>
          <w:lang w:val="en" w:eastAsia="en-AU"/>
        </w:rPr>
        <w:t xml:space="preserve">= Primary </w:t>
      </w:r>
      <w:r w:rsidR="00297511">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 xml:space="preserve">ase + (Primary </w:t>
      </w:r>
      <w:r w:rsidR="00297511">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nrolment</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Taper)</w:t>
      </w:r>
    </w:p>
    <w:p w14:paraId="1618EF9B" w14:textId="0558E724" w:rsidR="00DB5C39" w:rsidRPr="00260C1D" w:rsidRDefault="00DB5C39" w:rsidP="00DB5C3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lastRenderedPageBreak/>
        <w:t xml:space="preserve">Small School Base (Secondary where enrolment is less than 400) </w:t>
      </w:r>
      <w:r w:rsidRPr="00260C1D">
        <w:rPr>
          <w:rFonts w:eastAsia="Segoe UI" w:cstheme="minorHAnsi"/>
          <w:color w:val="011A3C"/>
          <w:sz w:val="24"/>
          <w:szCs w:val="24"/>
          <w:lang w:val="en" w:eastAsia="en-AU"/>
        </w:rPr>
        <w:t xml:space="preserve">= Secondary </w:t>
      </w:r>
      <w:r w:rsidR="00297511">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 xml:space="preserve">ase + [(Secondary </w:t>
      </w:r>
      <w:r w:rsidR="00297511">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nrolment – 110)</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Taper]</w:t>
      </w:r>
    </w:p>
    <w:p w14:paraId="55ACD144" w14:textId="4288DAC8" w:rsidR="00DB5C39" w:rsidRPr="00260C1D" w:rsidRDefault="00DB5C39" w:rsidP="00DB5C3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Example: A secondary </w:t>
      </w:r>
      <w:r w:rsidR="00DD54B0" w:rsidRPr="00260C1D">
        <w:rPr>
          <w:rFonts w:eastAsia="Segoe UI" w:cstheme="minorHAnsi"/>
          <w:color w:val="011A3C"/>
          <w:sz w:val="24"/>
          <w:szCs w:val="24"/>
          <w:lang w:val="en" w:eastAsia="en-AU"/>
        </w:rPr>
        <w:t xml:space="preserve">campus </w:t>
      </w:r>
      <w:r w:rsidRPr="00260C1D">
        <w:rPr>
          <w:rFonts w:eastAsia="Segoe UI" w:cstheme="minorHAnsi"/>
          <w:color w:val="011A3C"/>
          <w:sz w:val="24"/>
          <w:szCs w:val="24"/>
          <w:lang w:val="en" w:eastAsia="en-AU"/>
        </w:rPr>
        <w:t>with 300 enrolments would calculate their funding as</w:t>
      </w:r>
      <w:r w:rsidR="00297511">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Secondary </w:t>
      </w:r>
      <w:r w:rsidR="00297511">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 xml:space="preserve">ase + [(300 -110) </w:t>
      </w:r>
      <w:r w:rsidR="00AE1EC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Secondary </w:t>
      </w:r>
      <w:r w:rsidR="00297511">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aper]</w:t>
      </w:r>
    </w:p>
    <w:p w14:paraId="61E5143D" w14:textId="3A4EC724" w:rsidR="00DB5C39" w:rsidRPr="00260C1D" w:rsidRDefault="00DB5C39" w:rsidP="00DB5C39">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202</w:t>
      </w:r>
      <w:r w:rsidR="00CE52D4">
        <w:rPr>
          <w:rFonts w:eastAsia="Segoe UI" w:cstheme="minorHAnsi"/>
          <w:b/>
          <w:color w:val="011A3C"/>
          <w:sz w:val="27"/>
          <w:szCs w:val="27"/>
          <w:lang w:val="en" w:eastAsia="en-A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2"/>
        <w:gridCol w:w="1733"/>
        <w:gridCol w:w="1491"/>
        <w:gridCol w:w="1560"/>
      </w:tblGrid>
      <w:tr w:rsidR="00DB5C39" w:rsidRPr="00DF4FFA" w14:paraId="00974DDC" w14:textId="77777777" w:rsidTr="00124D27">
        <w:trPr>
          <w:tblHeader/>
        </w:trPr>
        <w:tc>
          <w:tcPr>
            <w:tcW w:w="0" w:type="auto"/>
            <w:hideMark/>
          </w:tcPr>
          <w:p w14:paraId="2C464FA3" w14:textId="173E10C9" w:rsidR="00DB5C39" w:rsidRPr="00DF4FFA" w:rsidRDefault="00DB5C39" w:rsidP="00DB5C39">
            <w:pPr>
              <w:spacing w:after="0" w:line="240" w:lineRule="atLeas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Small School Adjustment Base</w:t>
            </w:r>
          </w:p>
        </w:tc>
        <w:tc>
          <w:tcPr>
            <w:tcW w:w="0" w:type="auto"/>
            <w:hideMark/>
          </w:tcPr>
          <w:p w14:paraId="2069F423" w14:textId="77777777" w:rsidR="00DB5C39" w:rsidRPr="00DF4FFA" w:rsidRDefault="00DB5C39"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Credit ($)</w:t>
            </w:r>
          </w:p>
        </w:tc>
        <w:tc>
          <w:tcPr>
            <w:tcW w:w="0" w:type="auto"/>
            <w:hideMark/>
          </w:tcPr>
          <w:p w14:paraId="1BC7A6FA" w14:textId="77777777" w:rsidR="00DB5C39" w:rsidRPr="00DF4FFA" w:rsidRDefault="00DB5C39"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Cash ($)</w:t>
            </w:r>
          </w:p>
        </w:tc>
        <w:tc>
          <w:tcPr>
            <w:tcW w:w="0" w:type="auto"/>
            <w:hideMark/>
          </w:tcPr>
          <w:p w14:paraId="555D8A81" w14:textId="77777777" w:rsidR="00DB5C39" w:rsidRPr="00DF4FFA" w:rsidRDefault="00DB5C39"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Total ($)</w:t>
            </w:r>
          </w:p>
        </w:tc>
      </w:tr>
      <w:tr w:rsidR="008D28BC" w:rsidRPr="00260C1D" w14:paraId="3FF53679" w14:textId="77777777" w:rsidTr="00124D27">
        <w:tc>
          <w:tcPr>
            <w:tcW w:w="0" w:type="auto"/>
            <w:hideMark/>
          </w:tcPr>
          <w:p w14:paraId="47929FFA" w14:textId="77777777" w:rsidR="008D28BC" w:rsidRPr="00260C1D" w:rsidRDefault="008D28BC" w:rsidP="008D28BC">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Primary</w:t>
            </w:r>
          </w:p>
        </w:tc>
        <w:tc>
          <w:tcPr>
            <w:tcW w:w="0" w:type="auto"/>
            <w:hideMark/>
          </w:tcPr>
          <w:p w14:paraId="5F10165B" w14:textId="7B3A7456" w:rsidR="008D28BC" w:rsidRPr="008D28BC" w:rsidRDefault="008D28BC" w:rsidP="008D28BC">
            <w:pPr>
              <w:spacing w:after="0" w:line="360" w:lineRule="atLeast"/>
              <w:jc w:val="right"/>
              <w:rPr>
                <w:rFonts w:eastAsia="Segoe UI" w:cstheme="minorHAnsi"/>
                <w:color w:val="323E4F" w:themeColor="text2" w:themeShade="BF"/>
                <w:sz w:val="24"/>
                <w:szCs w:val="24"/>
                <w:lang w:eastAsia="en-AU"/>
              </w:rPr>
            </w:pPr>
            <w:r w:rsidRPr="009B4DE1">
              <w:rPr>
                <w:sz w:val="24"/>
                <w:szCs w:val="24"/>
              </w:rPr>
              <w:t>65,424</w:t>
            </w:r>
          </w:p>
        </w:tc>
        <w:tc>
          <w:tcPr>
            <w:tcW w:w="0" w:type="auto"/>
            <w:hideMark/>
          </w:tcPr>
          <w:p w14:paraId="073692E1" w14:textId="0C8DF34B" w:rsidR="008D28BC" w:rsidRPr="008D28BC" w:rsidRDefault="008D28BC" w:rsidP="008D28BC">
            <w:pPr>
              <w:spacing w:after="0" w:line="360" w:lineRule="atLeast"/>
              <w:jc w:val="right"/>
              <w:rPr>
                <w:rFonts w:eastAsia="Segoe UI" w:cstheme="minorHAnsi"/>
                <w:color w:val="323E4F" w:themeColor="text2" w:themeShade="BF"/>
                <w:sz w:val="24"/>
                <w:szCs w:val="24"/>
                <w:lang w:eastAsia="en-AU"/>
              </w:rPr>
            </w:pPr>
            <w:r w:rsidRPr="00833928">
              <w:rPr>
                <w:sz w:val="24"/>
              </w:rPr>
              <w:t>2,</w:t>
            </w:r>
            <w:r w:rsidRPr="009B4DE1">
              <w:rPr>
                <w:sz w:val="24"/>
                <w:szCs w:val="24"/>
              </w:rPr>
              <w:t>538</w:t>
            </w:r>
          </w:p>
        </w:tc>
        <w:tc>
          <w:tcPr>
            <w:tcW w:w="0" w:type="auto"/>
            <w:hideMark/>
          </w:tcPr>
          <w:p w14:paraId="53AD71D7" w14:textId="3CBB3506" w:rsidR="008D28BC" w:rsidRPr="008D28BC" w:rsidRDefault="008D28BC" w:rsidP="008D28BC">
            <w:pPr>
              <w:spacing w:after="0" w:line="360" w:lineRule="atLeast"/>
              <w:jc w:val="right"/>
              <w:rPr>
                <w:rFonts w:eastAsia="Segoe UI" w:cstheme="minorHAnsi"/>
                <w:color w:val="323E4F" w:themeColor="text2" w:themeShade="BF"/>
                <w:sz w:val="24"/>
                <w:szCs w:val="24"/>
                <w:lang w:eastAsia="en-AU"/>
              </w:rPr>
            </w:pPr>
            <w:r w:rsidRPr="009B4DE1">
              <w:rPr>
                <w:sz w:val="24"/>
                <w:szCs w:val="24"/>
              </w:rPr>
              <w:t>67,962</w:t>
            </w:r>
          </w:p>
        </w:tc>
      </w:tr>
      <w:tr w:rsidR="008D28BC" w:rsidRPr="00260C1D" w14:paraId="5DED63BD" w14:textId="77777777" w:rsidTr="00124D27">
        <w:tc>
          <w:tcPr>
            <w:tcW w:w="0" w:type="auto"/>
            <w:hideMark/>
          </w:tcPr>
          <w:p w14:paraId="3D3792FA" w14:textId="77777777" w:rsidR="008D28BC" w:rsidRPr="00260C1D" w:rsidRDefault="008D28BC" w:rsidP="008D28BC">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Secondary</w:t>
            </w:r>
          </w:p>
        </w:tc>
        <w:tc>
          <w:tcPr>
            <w:tcW w:w="0" w:type="auto"/>
            <w:hideMark/>
          </w:tcPr>
          <w:p w14:paraId="180E648D" w14:textId="74EE0A88" w:rsidR="008D28BC" w:rsidRPr="008D28BC" w:rsidRDefault="008D28BC" w:rsidP="008D28BC">
            <w:pPr>
              <w:spacing w:after="0" w:line="360" w:lineRule="atLeast"/>
              <w:jc w:val="right"/>
              <w:rPr>
                <w:rFonts w:eastAsia="Segoe UI" w:cstheme="minorHAnsi"/>
                <w:color w:val="323E4F" w:themeColor="text2" w:themeShade="BF"/>
                <w:sz w:val="24"/>
                <w:szCs w:val="24"/>
                <w:lang w:eastAsia="en-AU"/>
              </w:rPr>
            </w:pPr>
            <w:r w:rsidRPr="009B4DE1">
              <w:rPr>
                <w:sz w:val="24"/>
                <w:szCs w:val="24"/>
              </w:rPr>
              <w:t>169,731</w:t>
            </w:r>
          </w:p>
        </w:tc>
        <w:tc>
          <w:tcPr>
            <w:tcW w:w="0" w:type="auto"/>
            <w:hideMark/>
          </w:tcPr>
          <w:p w14:paraId="7B3445FE" w14:textId="6B16FE10" w:rsidR="008D28BC" w:rsidRPr="008D28BC" w:rsidRDefault="008D28BC" w:rsidP="008D28BC">
            <w:pPr>
              <w:spacing w:after="0" w:line="360" w:lineRule="atLeast"/>
              <w:jc w:val="right"/>
              <w:rPr>
                <w:rFonts w:eastAsia="Segoe UI" w:cstheme="minorHAnsi"/>
                <w:color w:val="323E4F" w:themeColor="text2" w:themeShade="BF"/>
                <w:sz w:val="24"/>
                <w:szCs w:val="24"/>
                <w:lang w:eastAsia="en-AU"/>
              </w:rPr>
            </w:pPr>
            <w:r w:rsidRPr="00833928">
              <w:rPr>
                <w:sz w:val="24"/>
              </w:rPr>
              <w:t>8,</w:t>
            </w:r>
            <w:r w:rsidRPr="009B4DE1">
              <w:rPr>
                <w:sz w:val="24"/>
                <w:szCs w:val="24"/>
              </w:rPr>
              <w:t>787</w:t>
            </w:r>
          </w:p>
        </w:tc>
        <w:tc>
          <w:tcPr>
            <w:tcW w:w="0" w:type="auto"/>
            <w:hideMark/>
          </w:tcPr>
          <w:p w14:paraId="1F6E1A23" w14:textId="6C1D92FD" w:rsidR="008D28BC" w:rsidRPr="008D28BC" w:rsidRDefault="008D28BC" w:rsidP="008D28BC">
            <w:pPr>
              <w:spacing w:after="0" w:line="360" w:lineRule="atLeast"/>
              <w:jc w:val="right"/>
              <w:rPr>
                <w:rFonts w:eastAsia="Segoe UI" w:cstheme="minorHAnsi"/>
                <w:color w:val="323E4F" w:themeColor="text2" w:themeShade="BF"/>
                <w:sz w:val="24"/>
                <w:szCs w:val="24"/>
                <w:lang w:eastAsia="en-AU"/>
              </w:rPr>
            </w:pPr>
            <w:r w:rsidRPr="009B4DE1">
              <w:rPr>
                <w:sz w:val="24"/>
                <w:szCs w:val="24"/>
              </w:rPr>
              <w:t>178,518</w:t>
            </w:r>
          </w:p>
        </w:tc>
      </w:tr>
      <w:tr w:rsidR="00DB5C39" w:rsidRPr="00260C1D" w14:paraId="6DE76AC3" w14:textId="77777777" w:rsidTr="00124D27">
        <w:trPr>
          <w:tblHeader/>
        </w:trPr>
        <w:tc>
          <w:tcPr>
            <w:tcW w:w="0" w:type="auto"/>
            <w:hideMark/>
          </w:tcPr>
          <w:p w14:paraId="77183E3F" w14:textId="77777777" w:rsidR="00DB5C39" w:rsidRPr="00614B09" w:rsidRDefault="00DB5C39" w:rsidP="00DB5C39">
            <w:pPr>
              <w:spacing w:after="0" w:line="240" w:lineRule="atLeas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Small School Adjustment Taper</w:t>
            </w:r>
          </w:p>
        </w:tc>
        <w:tc>
          <w:tcPr>
            <w:tcW w:w="0" w:type="auto"/>
            <w:hideMark/>
          </w:tcPr>
          <w:p w14:paraId="7818E900" w14:textId="77777777" w:rsidR="00DB5C39" w:rsidRPr="00614B09" w:rsidRDefault="00DB5C39"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Credit ($)</w:t>
            </w:r>
          </w:p>
        </w:tc>
        <w:tc>
          <w:tcPr>
            <w:tcW w:w="0" w:type="auto"/>
            <w:hideMark/>
          </w:tcPr>
          <w:p w14:paraId="6EAF976A" w14:textId="77777777" w:rsidR="00DB5C39" w:rsidRPr="00614B09" w:rsidRDefault="00DB5C39"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Cash ($)</w:t>
            </w:r>
          </w:p>
        </w:tc>
        <w:tc>
          <w:tcPr>
            <w:tcW w:w="0" w:type="auto"/>
            <w:hideMark/>
          </w:tcPr>
          <w:p w14:paraId="6150A56F" w14:textId="77777777" w:rsidR="00DB5C39" w:rsidRPr="00614B09" w:rsidRDefault="00DB5C39"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Total ($)</w:t>
            </w:r>
          </w:p>
        </w:tc>
      </w:tr>
      <w:tr w:rsidR="008D28BC" w:rsidRPr="00260C1D" w14:paraId="6728E007" w14:textId="77777777" w:rsidTr="00124D27">
        <w:tc>
          <w:tcPr>
            <w:tcW w:w="0" w:type="auto"/>
            <w:hideMark/>
          </w:tcPr>
          <w:p w14:paraId="61F7BA11" w14:textId="77777777" w:rsidR="008D28BC" w:rsidRPr="00260C1D" w:rsidRDefault="008D28BC" w:rsidP="008D28BC">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Primary</w:t>
            </w:r>
          </w:p>
        </w:tc>
        <w:tc>
          <w:tcPr>
            <w:tcW w:w="0" w:type="auto"/>
            <w:hideMark/>
          </w:tcPr>
          <w:p w14:paraId="77AA087F" w14:textId="459CD265" w:rsidR="008D28BC" w:rsidRPr="008D28BC" w:rsidRDefault="008D28BC" w:rsidP="008D28BC">
            <w:pPr>
              <w:spacing w:after="0" w:line="360" w:lineRule="atLeast"/>
              <w:jc w:val="right"/>
              <w:rPr>
                <w:rFonts w:eastAsia="Segoe UI" w:cstheme="minorHAnsi"/>
                <w:color w:val="323E4F" w:themeColor="text2" w:themeShade="BF"/>
                <w:sz w:val="24"/>
                <w:szCs w:val="24"/>
                <w:lang w:eastAsia="en-AU"/>
              </w:rPr>
            </w:pPr>
            <w:r w:rsidRPr="00833928">
              <w:rPr>
                <w:sz w:val="24"/>
              </w:rPr>
              <w:t>-</w:t>
            </w:r>
            <w:r w:rsidRPr="009B4DE1">
              <w:rPr>
                <w:sz w:val="24"/>
                <w:szCs w:val="24"/>
              </w:rPr>
              <w:t>534.99</w:t>
            </w:r>
          </w:p>
        </w:tc>
        <w:tc>
          <w:tcPr>
            <w:tcW w:w="0" w:type="auto"/>
            <w:hideMark/>
          </w:tcPr>
          <w:p w14:paraId="5114E6AC" w14:textId="2C40487B" w:rsidR="008D28BC" w:rsidRPr="008D28BC" w:rsidRDefault="008D28BC" w:rsidP="008D28BC">
            <w:pPr>
              <w:spacing w:after="0" w:line="360" w:lineRule="atLeast"/>
              <w:jc w:val="right"/>
              <w:rPr>
                <w:rFonts w:eastAsia="Segoe UI" w:cstheme="minorHAnsi"/>
                <w:color w:val="323E4F" w:themeColor="text2" w:themeShade="BF"/>
                <w:sz w:val="24"/>
                <w:szCs w:val="24"/>
                <w:lang w:eastAsia="en-AU"/>
              </w:rPr>
            </w:pPr>
            <w:r w:rsidRPr="00833928">
              <w:rPr>
                <w:sz w:val="24"/>
              </w:rPr>
              <w:t>-13.</w:t>
            </w:r>
            <w:r w:rsidRPr="009B4DE1">
              <w:rPr>
                <w:sz w:val="24"/>
                <w:szCs w:val="24"/>
              </w:rPr>
              <w:t>27</w:t>
            </w:r>
          </w:p>
        </w:tc>
        <w:tc>
          <w:tcPr>
            <w:tcW w:w="0" w:type="auto"/>
            <w:hideMark/>
          </w:tcPr>
          <w:p w14:paraId="29E23C1D" w14:textId="39295DB7" w:rsidR="008D28BC" w:rsidRPr="008D28BC" w:rsidRDefault="008D28BC" w:rsidP="008D28BC">
            <w:pPr>
              <w:spacing w:after="0" w:line="360" w:lineRule="atLeast"/>
              <w:jc w:val="right"/>
              <w:rPr>
                <w:rFonts w:eastAsia="Segoe UI" w:cstheme="minorHAnsi"/>
                <w:color w:val="323E4F" w:themeColor="text2" w:themeShade="BF"/>
                <w:sz w:val="24"/>
                <w:szCs w:val="24"/>
                <w:lang w:eastAsia="en-AU"/>
              </w:rPr>
            </w:pPr>
            <w:r w:rsidRPr="00833928">
              <w:rPr>
                <w:sz w:val="24"/>
              </w:rPr>
              <w:t>-</w:t>
            </w:r>
            <w:r w:rsidRPr="009B4DE1">
              <w:rPr>
                <w:sz w:val="24"/>
                <w:szCs w:val="24"/>
              </w:rPr>
              <w:t>548.26</w:t>
            </w:r>
          </w:p>
        </w:tc>
      </w:tr>
      <w:tr w:rsidR="008D28BC" w:rsidRPr="00260C1D" w14:paraId="34961AC6" w14:textId="77777777" w:rsidTr="00124D27">
        <w:tc>
          <w:tcPr>
            <w:tcW w:w="0" w:type="auto"/>
            <w:hideMark/>
          </w:tcPr>
          <w:p w14:paraId="26274EED" w14:textId="77777777" w:rsidR="008D28BC" w:rsidRPr="00260C1D" w:rsidRDefault="008D28BC" w:rsidP="008D28BC">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Secondary</w:t>
            </w:r>
          </w:p>
        </w:tc>
        <w:tc>
          <w:tcPr>
            <w:tcW w:w="0" w:type="auto"/>
            <w:hideMark/>
          </w:tcPr>
          <w:p w14:paraId="4D0BA088" w14:textId="02FD16D1" w:rsidR="008D28BC" w:rsidRPr="008D28BC" w:rsidRDefault="008D28BC" w:rsidP="008D28BC">
            <w:pPr>
              <w:spacing w:after="0" w:line="360" w:lineRule="atLeast"/>
              <w:jc w:val="right"/>
              <w:rPr>
                <w:rFonts w:eastAsia="Segoe UI" w:cstheme="minorHAnsi"/>
                <w:color w:val="323E4F" w:themeColor="text2" w:themeShade="BF"/>
                <w:sz w:val="24"/>
                <w:szCs w:val="24"/>
                <w:lang w:eastAsia="en-AU"/>
              </w:rPr>
            </w:pPr>
            <w:r w:rsidRPr="00833928">
              <w:rPr>
                <w:sz w:val="24"/>
              </w:rPr>
              <w:t>-</w:t>
            </w:r>
            <w:r w:rsidRPr="009B4DE1">
              <w:rPr>
                <w:sz w:val="24"/>
                <w:szCs w:val="24"/>
              </w:rPr>
              <w:t>585.30</w:t>
            </w:r>
          </w:p>
        </w:tc>
        <w:tc>
          <w:tcPr>
            <w:tcW w:w="0" w:type="auto"/>
            <w:hideMark/>
          </w:tcPr>
          <w:p w14:paraId="521A515B" w14:textId="42610187" w:rsidR="008D28BC" w:rsidRPr="008D28BC" w:rsidRDefault="008D28BC" w:rsidP="008D28BC">
            <w:pPr>
              <w:spacing w:after="0" w:line="360" w:lineRule="atLeast"/>
              <w:jc w:val="right"/>
              <w:rPr>
                <w:rFonts w:eastAsia="Segoe UI" w:cstheme="minorHAnsi"/>
                <w:color w:val="323E4F" w:themeColor="text2" w:themeShade="BF"/>
                <w:sz w:val="24"/>
                <w:szCs w:val="24"/>
                <w:lang w:eastAsia="en-AU"/>
              </w:rPr>
            </w:pPr>
            <w:r w:rsidRPr="00833928">
              <w:rPr>
                <w:sz w:val="24"/>
              </w:rPr>
              <w:t>-</w:t>
            </w:r>
            <w:r w:rsidRPr="009B4DE1">
              <w:rPr>
                <w:sz w:val="24"/>
                <w:szCs w:val="24"/>
              </w:rPr>
              <w:t>30.30</w:t>
            </w:r>
          </w:p>
        </w:tc>
        <w:tc>
          <w:tcPr>
            <w:tcW w:w="0" w:type="auto"/>
            <w:hideMark/>
          </w:tcPr>
          <w:p w14:paraId="56AFE2A1" w14:textId="1E847B54" w:rsidR="008D28BC" w:rsidRPr="008D28BC" w:rsidRDefault="008D28BC" w:rsidP="008D28BC">
            <w:pPr>
              <w:spacing w:after="0" w:line="360" w:lineRule="atLeast"/>
              <w:jc w:val="right"/>
              <w:rPr>
                <w:rFonts w:eastAsia="Segoe UI" w:cstheme="minorHAnsi"/>
                <w:color w:val="323E4F" w:themeColor="text2" w:themeShade="BF"/>
                <w:sz w:val="24"/>
                <w:szCs w:val="24"/>
                <w:lang w:eastAsia="en-AU"/>
              </w:rPr>
            </w:pPr>
            <w:r w:rsidRPr="00833928">
              <w:rPr>
                <w:sz w:val="24"/>
              </w:rPr>
              <w:t>-</w:t>
            </w:r>
            <w:r w:rsidRPr="009B4DE1">
              <w:rPr>
                <w:sz w:val="24"/>
                <w:szCs w:val="24"/>
              </w:rPr>
              <w:t>615.60</w:t>
            </w:r>
          </w:p>
        </w:tc>
      </w:tr>
    </w:tbl>
    <w:p w14:paraId="6BA33317" w14:textId="77777777" w:rsidR="00D83565" w:rsidRDefault="00D83565" w:rsidP="00532A33">
      <w:pPr>
        <w:pStyle w:val="Heading2"/>
      </w:pPr>
      <w:r>
        <w:br w:type="page"/>
      </w:r>
    </w:p>
    <w:p w14:paraId="49A1E31E" w14:textId="73F95C9C" w:rsidR="005811A8" w:rsidRPr="00260C1D" w:rsidRDefault="005811A8" w:rsidP="00532A33">
      <w:pPr>
        <w:pStyle w:val="Heading2"/>
      </w:pPr>
      <w:bookmarkStart w:id="17" w:name="_Toc141965230"/>
      <w:bookmarkStart w:id="18" w:name="_Toc145339560"/>
      <w:bookmarkStart w:id="19" w:name="_Toc153791883"/>
      <w:r w:rsidRPr="00260C1D">
        <w:lastRenderedPageBreak/>
        <w:t>Rural School Size Adjustment Factor (Reference 4)</w:t>
      </w:r>
      <w:bookmarkEnd w:id="17"/>
      <w:bookmarkEnd w:id="18"/>
      <w:bookmarkEnd w:id="19"/>
    </w:p>
    <w:p w14:paraId="0C418573" w14:textId="77777777" w:rsidR="006C05C4" w:rsidRPr="00260C1D" w:rsidRDefault="006C05C4" w:rsidP="006C05C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This funding line </w:t>
      </w:r>
      <w:proofErr w:type="spellStart"/>
      <w:r w:rsidRPr="00260C1D">
        <w:rPr>
          <w:rFonts w:eastAsia="Segoe UI" w:cstheme="minorHAnsi"/>
          <w:color w:val="011A3C"/>
          <w:sz w:val="24"/>
          <w:szCs w:val="24"/>
          <w:lang w:val="en" w:eastAsia="en-AU"/>
        </w:rPr>
        <w:t>recognises</w:t>
      </w:r>
      <w:proofErr w:type="spellEnd"/>
      <w:r w:rsidRPr="00260C1D">
        <w:rPr>
          <w:rFonts w:eastAsia="Segoe UI" w:cstheme="minorHAnsi"/>
          <w:color w:val="011A3C"/>
          <w:sz w:val="24"/>
          <w:szCs w:val="24"/>
          <w:lang w:val="en" w:eastAsia="en-AU"/>
        </w:rPr>
        <w:t xml:space="preserve"> that small rural schools require additional resources to provide a high-quality education that is equal to that of schools in urban areas. </w:t>
      </w:r>
    </w:p>
    <w:p w14:paraId="21717F82" w14:textId="37CEC1FB" w:rsidR="006C05C4" w:rsidRPr="00260C1D" w:rsidRDefault="006C05C4" w:rsidP="006C05C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provided to eligible primary schools, secondary schools and combined schools that are situated in non-metropolitan and non-provincial locations.</w:t>
      </w:r>
    </w:p>
    <w:p w14:paraId="6654D492" w14:textId="0F9F7D9C" w:rsidR="006C05C4" w:rsidRPr="00260C1D" w:rsidRDefault="006C05C4" w:rsidP="006C05C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Allocations are determined at campus level using a per student rate. The per student rate is split into credit and cash and contains provisions for payroll tax, superannuation, relief teaching and professional development.</w:t>
      </w:r>
    </w:p>
    <w:p w14:paraId="43EA0F14" w14:textId="3FB53D7D" w:rsidR="006A5663" w:rsidRPr="00260C1D" w:rsidRDefault="006A5663" w:rsidP="006A5663">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2543BAD6" w14:textId="77777777" w:rsidR="006C05C4" w:rsidRPr="00260C1D" w:rsidRDefault="006C05C4" w:rsidP="006C05C4">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Campuses with the following campus type, enrolments and location are eligible for RSAF funding.</w:t>
      </w:r>
    </w:p>
    <w:p w14:paraId="32637437" w14:textId="77777777" w:rsidR="006C05C4" w:rsidRPr="00260C1D" w:rsidRDefault="006C05C4" w:rsidP="006C05C4">
      <w:pPr>
        <w:spacing w:after="0" w:line="240" w:lineRule="auto"/>
        <w:rPr>
          <w:rFonts w:eastAsia="Segoe UI" w:cstheme="minorHAnsi"/>
          <w:color w:val="011A3C"/>
          <w:sz w:val="24"/>
          <w:szCs w:val="24"/>
          <w:lang w:val="en" w:eastAsia="en-AU"/>
        </w:rPr>
      </w:pPr>
    </w:p>
    <w:p w14:paraId="2C6E3EF8" w14:textId="77777777" w:rsidR="006C05C4" w:rsidRPr="00260C1D" w:rsidRDefault="006C05C4" w:rsidP="006C05C4">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Campus type:</w:t>
      </w:r>
    </w:p>
    <w:p w14:paraId="1C727388" w14:textId="77777777" w:rsidR="006C05C4" w:rsidRPr="00AD4CC3" w:rsidRDefault="006C05C4" w:rsidP="00F56244">
      <w:pPr>
        <w:pStyle w:val="ListParagraph"/>
        <w:numPr>
          <w:ilvl w:val="0"/>
          <w:numId w:val="60"/>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Primary</w:t>
      </w:r>
    </w:p>
    <w:p w14:paraId="6DC6EE29" w14:textId="77777777" w:rsidR="006C05C4" w:rsidRPr="00AD4CC3" w:rsidRDefault="006C05C4" w:rsidP="00F56244">
      <w:pPr>
        <w:pStyle w:val="ListParagraph"/>
        <w:numPr>
          <w:ilvl w:val="0"/>
          <w:numId w:val="60"/>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Secondary</w:t>
      </w:r>
    </w:p>
    <w:p w14:paraId="03AB9F39" w14:textId="4837099E" w:rsidR="006C05C4" w:rsidRPr="00AD4CC3" w:rsidRDefault="00170FD6" w:rsidP="00F56244">
      <w:pPr>
        <w:pStyle w:val="ListParagraph"/>
        <w:numPr>
          <w:ilvl w:val="0"/>
          <w:numId w:val="60"/>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Primary/Secondary Combined</w:t>
      </w:r>
    </w:p>
    <w:p w14:paraId="6A07F8CA" w14:textId="10738B2D" w:rsidR="006C05C4" w:rsidRPr="00AD4CC3" w:rsidRDefault="0039304A" w:rsidP="00F56244">
      <w:pPr>
        <w:pStyle w:val="ListParagraph"/>
        <w:numPr>
          <w:ilvl w:val="0"/>
          <w:numId w:val="60"/>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Community</w:t>
      </w:r>
    </w:p>
    <w:p w14:paraId="4EE0483B" w14:textId="77777777" w:rsidR="006C05C4" w:rsidRPr="00260C1D" w:rsidRDefault="006C05C4" w:rsidP="006C05C4">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Enrolments:</w:t>
      </w:r>
    </w:p>
    <w:p w14:paraId="0D3FDA06" w14:textId="77777777" w:rsidR="006C05C4" w:rsidRPr="00AD4CC3" w:rsidRDefault="006C05C4" w:rsidP="00F56244">
      <w:pPr>
        <w:pStyle w:val="ListParagraph"/>
        <w:numPr>
          <w:ilvl w:val="0"/>
          <w:numId w:val="60"/>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Less than or equal to 200 Primary enrolments</w:t>
      </w:r>
    </w:p>
    <w:p w14:paraId="2858F5BE" w14:textId="14517C1D" w:rsidR="006C05C4" w:rsidRPr="00AD4CC3" w:rsidRDefault="006C05C4" w:rsidP="00F56244">
      <w:pPr>
        <w:pStyle w:val="ListParagraph"/>
        <w:numPr>
          <w:ilvl w:val="0"/>
          <w:numId w:val="60"/>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Less than or equal to 500 Secondary enrolments</w:t>
      </w:r>
    </w:p>
    <w:p w14:paraId="77D84BFE" w14:textId="77777777" w:rsidR="006C05C4" w:rsidRPr="00260C1D" w:rsidRDefault="006C05C4" w:rsidP="006C05C4">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Locations:</w:t>
      </w:r>
    </w:p>
    <w:p w14:paraId="3FE84489" w14:textId="11F48437" w:rsidR="006C05C4" w:rsidRPr="00AD4CC3" w:rsidRDefault="000E35B7" w:rsidP="00F56244">
      <w:pPr>
        <w:pStyle w:val="ListParagraph"/>
        <w:numPr>
          <w:ilvl w:val="0"/>
          <w:numId w:val="60"/>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O</w:t>
      </w:r>
      <w:r w:rsidR="006C05C4" w:rsidRPr="00AD4CC3">
        <w:rPr>
          <w:rFonts w:eastAsia="Segoe UI" w:cstheme="minorHAnsi"/>
          <w:color w:val="011A3C"/>
          <w:sz w:val="24"/>
          <w:szCs w:val="24"/>
          <w:lang w:val="en" w:eastAsia="en-AU"/>
        </w:rPr>
        <w:t xml:space="preserve">utside the “Major Cities of Australia” Remoteness Area category, as defined by the Australian Bureau of Statistics (ABS), with reference to the 2016 Accessibility/Remoteness Index of Australia (ARIA). </w:t>
      </w:r>
    </w:p>
    <w:p w14:paraId="2704B8B5" w14:textId="6C80F723" w:rsidR="006C05C4" w:rsidRPr="00AD4CC3" w:rsidRDefault="000E35B7" w:rsidP="00F56244">
      <w:pPr>
        <w:pStyle w:val="ListParagraph"/>
        <w:numPr>
          <w:ilvl w:val="0"/>
          <w:numId w:val="60"/>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O</w:t>
      </w:r>
      <w:r w:rsidR="006C05C4" w:rsidRPr="00AD4CC3">
        <w:rPr>
          <w:rFonts w:eastAsia="Segoe UI" w:cstheme="minorHAnsi"/>
          <w:color w:val="011A3C"/>
          <w:sz w:val="24"/>
          <w:szCs w:val="24"/>
          <w:lang w:val="en" w:eastAsia="en-AU"/>
        </w:rPr>
        <w:t xml:space="preserve">utside provincial locations with more than 20,000 population, as defined by the ABS Urban </w:t>
      </w:r>
      <w:proofErr w:type="spellStart"/>
      <w:r w:rsidR="006C05C4" w:rsidRPr="00AD4CC3">
        <w:rPr>
          <w:rFonts w:eastAsia="Segoe UI" w:cstheme="minorHAnsi"/>
          <w:color w:val="011A3C"/>
          <w:sz w:val="24"/>
          <w:szCs w:val="24"/>
          <w:lang w:val="en" w:eastAsia="en-AU"/>
        </w:rPr>
        <w:t>Centres</w:t>
      </w:r>
      <w:proofErr w:type="spellEnd"/>
      <w:r w:rsidR="006C05C4" w:rsidRPr="00AD4CC3">
        <w:rPr>
          <w:rFonts w:eastAsia="Segoe UI" w:cstheme="minorHAnsi"/>
          <w:color w:val="011A3C"/>
          <w:sz w:val="24"/>
          <w:szCs w:val="24"/>
          <w:lang w:val="en" w:eastAsia="en-AU"/>
        </w:rPr>
        <w:t xml:space="preserve"> and Localities (UCL). Using ABS 2016, campuses in Geelong, Ballarat, Bendigo, </w:t>
      </w:r>
      <w:proofErr w:type="spellStart"/>
      <w:r w:rsidR="006C05C4" w:rsidRPr="00AD4CC3">
        <w:rPr>
          <w:rFonts w:eastAsia="Segoe UI" w:cstheme="minorHAnsi"/>
          <w:color w:val="011A3C"/>
          <w:sz w:val="24"/>
          <w:szCs w:val="24"/>
          <w:lang w:val="en" w:eastAsia="en-AU"/>
        </w:rPr>
        <w:t>Shepparton-Mooroopna</w:t>
      </w:r>
      <w:proofErr w:type="spellEnd"/>
      <w:r w:rsidR="006C05C4" w:rsidRPr="00AD4CC3">
        <w:rPr>
          <w:rFonts w:eastAsia="Segoe UI" w:cstheme="minorHAnsi"/>
          <w:color w:val="011A3C"/>
          <w:sz w:val="24"/>
          <w:szCs w:val="24"/>
          <w:lang w:val="en" w:eastAsia="en-AU"/>
        </w:rPr>
        <w:t xml:space="preserve">, Warrnambool, Albury-Wodonga, Mildura and </w:t>
      </w:r>
      <w:proofErr w:type="spellStart"/>
      <w:r w:rsidR="006C05C4" w:rsidRPr="00AD4CC3">
        <w:rPr>
          <w:rFonts w:eastAsia="Segoe UI" w:cstheme="minorHAnsi"/>
          <w:color w:val="011A3C"/>
          <w:sz w:val="24"/>
          <w:szCs w:val="24"/>
          <w:lang w:val="en" w:eastAsia="en-AU"/>
        </w:rPr>
        <w:t>Traralgon</w:t>
      </w:r>
      <w:proofErr w:type="spellEnd"/>
      <w:r w:rsidR="006C05C4" w:rsidRPr="00AD4CC3">
        <w:rPr>
          <w:rFonts w:eastAsia="Segoe UI" w:cstheme="minorHAnsi"/>
          <w:color w:val="011A3C"/>
          <w:sz w:val="24"/>
          <w:szCs w:val="24"/>
          <w:lang w:val="en" w:eastAsia="en-AU"/>
        </w:rPr>
        <w:t xml:space="preserve"> are ineligible.</w:t>
      </w:r>
    </w:p>
    <w:p w14:paraId="65143810" w14:textId="6C639CC2" w:rsidR="00B148A2" w:rsidRPr="00833928" w:rsidRDefault="00395E28" w:rsidP="00833928">
      <w:pPr>
        <w:rPr>
          <w:b/>
          <w:sz w:val="27"/>
          <w:lang w:val="en"/>
        </w:rPr>
      </w:pPr>
      <w:r w:rsidRPr="009B4DE1">
        <w:rPr>
          <w:rFonts w:eastAsia="Segoe UI" w:cstheme="minorHAnsi"/>
          <w:color w:val="011A3C"/>
          <w:sz w:val="24"/>
          <w:szCs w:val="24"/>
          <w:lang w:val="en" w:eastAsia="en-AU"/>
        </w:rPr>
        <w:t>Funding is calculated at the Indicative, Confirmed and Revised budget cycles</w:t>
      </w:r>
      <w:r w:rsidR="000E35B7" w:rsidRPr="009B4DE1">
        <w:rPr>
          <w:rFonts w:eastAsia="Segoe UI" w:cstheme="minorHAnsi"/>
          <w:color w:val="011A3C"/>
          <w:sz w:val="24"/>
          <w:szCs w:val="24"/>
          <w:lang w:val="en" w:eastAsia="en-AU"/>
        </w:rPr>
        <w:t>. F</w:t>
      </w:r>
      <w:r w:rsidRPr="009B4DE1">
        <w:rPr>
          <w:rFonts w:eastAsia="Segoe UI" w:cstheme="minorHAnsi"/>
          <w:color w:val="011A3C"/>
          <w:sz w:val="24"/>
          <w:szCs w:val="24"/>
          <w:lang w:val="en" w:eastAsia="en-AU"/>
        </w:rPr>
        <w:t xml:space="preserve">unding is </w:t>
      </w:r>
      <w:r w:rsidR="00A05D7F" w:rsidRPr="009B4DE1">
        <w:rPr>
          <w:rFonts w:eastAsia="Segoe UI" w:cstheme="minorHAnsi"/>
          <w:color w:val="011A3C"/>
          <w:sz w:val="24"/>
          <w:szCs w:val="24"/>
          <w:lang w:val="en" w:eastAsia="en-AU"/>
        </w:rPr>
        <w:t xml:space="preserve">allocated </w:t>
      </w:r>
      <w:r w:rsidRPr="009B4DE1">
        <w:rPr>
          <w:rFonts w:eastAsia="Segoe UI" w:cstheme="minorHAnsi"/>
          <w:color w:val="011A3C"/>
          <w:sz w:val="24"/>
          <w:szCs w:val="24"/>
          <w:lang w:val="en" w:eastAsia="en-AU"/>
        </w:rPr>
        <w:t>through credit and cash funding.</w:t>
      </w:r>
      <w:r w:rsidRPr="00833928">
        <w:rPr>
          <w:lang w:val="en"/>
        </w:rPr>
        <w:t xml:space="preserve"> </w:t>
      </w:r>
    </w:p>
    <w:p w14:paraId="5CE2799F" w14:textId="78E4300C" w:rsidR="006A5663" w:rsidRPr="00260C1D" w:rsidRDefault="006A5663" w:rsidP="006A5663">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422EA95C" w14:textId="44B88C7E" w:rsidR="00E000E8" w:rsidRPr="00260C1D" w:rsidRDefault="00E000E8" w:rsidP="00715277">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Allocation = Primary </w:t>
      </w:r>
      <w:r w:rsidR="00297511">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 xml:space="preserve">nrolments </w:t>
      </w:r>
      <w:r w:rsidR="00AE1EC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Primary </w:t>
      </w:r>
      <w:r w:rsidR="00297511">
        <w:rPr>
          <w:rFonts w:eastAsia="Segoe UI" w:cstheme="minorHAnsi"/>
          <w:color w:val="011A3C"/>
          <w:sz w:val="24"/>
          <w:szCs w:val="24"/>
          <w:lang w:val="en" w:eastAsia="en-AU"/>
        </w:rPr>
        <w:t>p</w:t>
      </w:r>
      <w:r w:rsidRPr="00260C1D">
        <w:rPr>
          <w:rFonts w:eastAsia="Segoe UI" w:cstheme="minorHAnsi"/>
          <w:color w:val="011A3C"/>
          <w:sz w:val="24"/>
          <w:szCs w:val="24"/>
          <w:lang w:val="en" w:eastAsia="en-AU"/>
        </w:rPr>
        <w:t xml:space="preserve">er </w:t>
      </w:r>
      <w:r w:rsidR="00297511">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tudent </w:t>
      </w:r>
      <w:r w:rsidR="00297511">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 xml:space="preserve">ate + Secondary enrolments </w:t>
      </w:r>
      <w:r w:rsidR="00AE1EC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Secondary </w:t>
      </w:r>
      <w:r w:rsidR="00297511">
        <w:rPr>
          <w:rFonts w:eastAsia="Segoe UI" w:cstheme="minorHAnsi"/>
          <w:color w:val="011A3C"/>
          <w:sz w:val="24"/>
          <w:szCs w:val="24"/>
          <w:lang w:val="en" w:eastAsia="en-AU"/>
        </w:rPr>
        <w:t>p</w:t>
      </w:r>
      <w:r w:rsidRPr="00260C1D">
        <w:rPr>
          <w:rFonts w:eastAsia="Segoe UI" w:cstheme="minorHAnsi"/>
          <w:color w:val="011A3C"/>
          <w:sz w:val="24"/>
          <w:szCs w:val="24"/>
          <w:lang w:val="en" w:eastAsia="en-AU"/>
        </w:rPr>
        <w:t xml:space="preserve">er </w:t>
      </w:r>
      <w:r w:rsidR="00297511">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tudent </w:t>
      </w:r>
      <w:r w:rsidR="00297511">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p>
    <w:p w14:paraId="6A1E2FD6" w14:textId="77777777" w:rsidR="00E000E8" w:rsidRPr="00260C1D" w:rsidRDefault="00E000E8" w:rsidP="004D307F">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Note:</w:t>
      </w:r>
    </w:p>
    <w:p w14:paraId="231E076D" w14:textId="332B96CE" w:rsidR="00E000E8" w:rsidRPr="00AD4CC3" w:rsidRDefault="00E000E8" w:rsidP="006C7730">
      <w:pPr>
        <w:pStyle w:val="ListParagraph"/>
        <w:numPr>
          <w:ilvl w:val="0"/>
          <w:numId w:val="61"/>
        </w:numPr>
        <w:spacing w:before="100" w:beforeAutospacing="1" w:after="100" w:afterAutospacing="1" w:line="360" w:lineRule="atLeast"/>
        <w:jc w:val="both"/>
        <w:rPr>
          <w:rFonts w:eastAsia="Segoe UI" w:cstheme="minorHAnsi"/>
          <w:color w:val="011A3C"/>
          <w:sz w:val="24"/>
          <w:szCs w:val="24"/>
          <w:lang w:val="en" w:eastAsia="en-AU"/>
        </w:rPr>
      </w:pPr>
      <w:r w:rsidRPr="00AD4CC3">
        <w:rPr>
          <w:rFonts w:eastAsia="Segoe UI" w:cstheme="minorHAnsi"/>
          <w:color w:val="011A3C"/>
          <w:sz w:val="24"/>
          <w:szCs w:val="24"/>
          <w:lang w:val="en" w:eastAsia="en-AU"/>
        </w:rPr>
        <w:t xml:space="preserve">The rates for each enrolment level are provided in </w:t>
      </w:r>
      <w:r w:rsidR="003B16EE" w:rsidRPr="00AD4CC3">
        <w:rPr>
          <w:rFonts w:eastAsia="Segoe UI" w:cstheme="minorHAnsi"/>
          <w:color w:val="011A3C"/>
          <w:sz w:val="24"/>
          <w:szCs w:val="24"/>
          <w:lang w:val="en" w:eastAsia="en-AU"/>
        </w:rPr>
        <w:t xml:space="preserve">the </w:t>
      </w:r>
      <w:hyperlink r:id="rId12" w:history="1">
        <w:r w:rsidR="003B16EE" w:rsidRPr="001F2924">
          <w:rPr>
            <w:rStyle w:val="Hyperlink"/>
            <w:rFonts w:eastAsia="Segoe UI" w:cstheme="minorHAnsi"/>
            <w:sz w:val="24"/>
            <w:szCs w:val="24"/>
            <w:lang w:val="en" w:eastAsia="en-AU"/>
          </w:rPr>
          <w:t xml:space="preserve">Rurality Rates </w:t>
        </w:r>
        <w:r w:rsidR="00270119" w:rsidRPr="001F2924">
          <w:rPr>
            <w:rStyle w:val="Hyperlink"/>
            <w:rFonts w:eastAsia="Segoe UI" w:cstheme="minorHAnsi"/>
            <w:sz w:val="24"/>
            <w:szCs w:val="24"/>
            <w:lang w:val="en" w:eastAsia="en-AU"/>
          </w:rPr>
          <w:t>s</w:t>
        </w:r>
        <w:r w:rsidR="003B16EE" w:rsidRPr="001F2924">
          <w:rPr>
            <w:rStyle w:val="Hyperlink"/>
            <w:rFonts w:eastAsia="Segoe UI" w:cstheme="minorHAnsi"/>
            <w:sz w:val="24"/>
            <w:szCs w:val="24"/>
            <w:lang w:val="en" w:eastAsia="en-AU"/>
          </w:rPr>
          <w:t>preadsheet</w:t>
        </w:r>
        <w:r w:rsidR="00270119" w:rsidRPr="001F2924">
          <w:rPr>
            <w:rStyle w:val="Hyperlink"/>
            <w:rFonts w:eastAsia="Segoe UI" w:cstheme="minorHAnsi"/>
            <w:sz w:val="24"/>
            <w:szCs w:val="24"/>
            <w:lang w:val="en" w:eastAsia="en-AU"/>
          </w:rPr>
          <w:t xml:space="preserve"> (XLSX)</w:t>
        </w:r>
      </w:hyperlink>
      <w:r w:rsidR="00C97565" w:rsidRPr="00AD4CC3">
        <w:rPr>
          <w:rStyle w:val="Hyperlink"/>
          <w:rFonts w:eastAsia="Segoe UI" w:cstheme="minorHAnsi"/>
          <w:sz w:val="24"/>
          <w:szCs w:val="24"/>
          <w:lang w:val="en" w:eastAsia="en-AU"/>
        </w:rPr>
        <w:t>.</w:t>
      </w:r>
    </w:p>
    <w:p w14:paraId="520F9C8A" w14:textId="29862A5A" w:rsidR="00E000E8" w:rsidRPr="00AD4CC3" w:rsidRDefault="00E000E8" w:rsidP="00F56244">
      <w:pPr>
        <w:pStyle w:val="ListParagraph"/>
        <w:numPr>
          <w:ilvl w:val="0"/>
          <w:numId w:val="61"/>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Enrolments are rounded down to the nearest whole number to identify the relevant per student rate. The actual campus enrolments are applied to the per student rate to determine the allocation.</w:t>
      </w:r>
    </w:p>
    <w:p w14:paraId="01B7369F" w14:textId="098FFDBD" w:rsidR="00E000E8" w:rsidRPr="00260C1D" w:rsidRDefault="00E000E8" w:rsidP="00E000E8">
      <w:pPr>
        <w:spacing w:after="0" w:line="240" w:lineRule="auto"/>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Other relevant information</w:t>
      </w:r>
    </w:p>
    <w:p w14:paraId="481F7237" w14:textId="3F9E67D7" w:rsidR="00E000E8" w:rsidRPr="00260C1D" w:rsidRDefault="00E000E8" w:rsidP="004D307F">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It is intended that location measures will be updated with the release of new ABS data every 5 years. The </w:t>
      </w:r>
      <w:r w:rsidR="00D666FF" w:rsidRPr="00260C1D">
        <w:rPr>
          <w:rFonts w:eastAsia="Segoe UI" w:cstheme="minorHAnsi"/>
          <w:color w:val="011A3C"/>
          <w:sz w:val="24"/>
          <w:szCs w:val="24"/>
          <w:lang w:val="en" w:eastAsia="en-AU"/>
        </w:rPr>
        <w:t>last</w:t>
      </w:r>
      <w:r w:rsidRPr="00260C1D">
        <w:rPr>
          <w:rFonts w:eastAsia="Segoe UI" w:cstheme="minorHAnsi"/>
          <w:color w:val="011A3C"/>
          <w:sz w:val="24"/>
          <w:szCs w:val="24"/>
          <w:lang w:val="en" w:eastAsia="en-AU"/>
        </w:rPr>
        <w:t xml:space="preserve"> </w:t>
      </w:r>
      <w:r w:rsidR="00991B22" w:rsidRPr="00260C1D">
        <w:rPr>
          <w:rFonts w:eastAsia="Segoe UI" w:cstheme="minorHAnsi"/>
          <w:color w:val="011A3C"/>
          <w:sz w:val="24"/>
          <w:szCs w:val="24"/>
          <w:lang w:val="en" w:eastAsia="en-AU"/>
        </w:rPr>
        <w:t>ABS data survey was completed in August</w:t>
      </w:r>
      <w:r w:rsidRPr="00260C1D">
        <w:rPr>
          <w:rFonts w:eastAsia="Segoe UI" w:cstheme="minorHAnsi"/>
          <w:color w:val="011A3C"/>
          <w:sz w:val="24"/>
          <w:szCs w:val="24"/>
          <w:lang w:val="en" w:eastAsia="en-AU"/>
        </w:rPr>
        <w:t xml:space="preserve"> 2021.</w:t>
      </w:r>
      <w:r w:rsidR="00991B22" w:rsidRPr="00260C1D">
        <w:rPr>
          <w:rFonts w:eastAsia="Segoe UI" w:cstheme="minorHAnsi"/>
          <w:color w:val="011A3C"/>
          <w:sz w:val="24"/>
          <w:szCs w:val="24"/>
          <w:lang w:val="en" w:eastAsia="en-AU"/>
        </w:rPr>
        <w:t xml:space="preserve"> The result of this will be applied in the future releases</w:t>
      </w:r>
      <w:r w:rsidR="00C56F7E">
        <w:rPr>
          <w:rFonts w:eastAsia="Segoe UI" w:cstheme="minorHAnsi"/>
          <w:color w:val="011A3C"/>
          <w:sz w:val="24"/>
          <w:szCs w:val="24"/>
          <w:lang w:val="en" w:eastAsia="en-AU"/>
        </w:rPr>
        <w:t xml:space="preserve"> post</w:t>
      </w:r>
      <w:r w:rsidR="006A4937">
        <w:rPr>
          <w:rFonts w:eastAsia="Segoe UI" w:cstheme="minorHAnsi"/>
          <w:color w:val="011A3C"/>
          <w:sz w:val="24"/>
          <w:szCs w:val="24"/>
          <w:lang w:val="en" w:eastAsia="en-AU"/>
        </w:rPr>
        <w:t>-</w:t>
      </w:r>
      <w:r w:rsidR="00C56F7E">
        <w:rPr>
          <w:rFonts w:eastAsia="Segoe UI" w:cstheme="minorHAnsi"/>
          <w:color w:val="011A3C"/>
          <w:sz w:val="24"/>
          <w:szCs w:val="24"/>
          <w:lang w:val="en" w:eastAsia="en-AU"/>
        </w:rPr>
        <w:t>2024</w:t>
      </w:r>
      <w:r w:rsidR="00991B22" w:rsidRPr="00260C1D">
        <w:rPr>
          <w:rFonts w:eastAsia="Segoe UI" w:cstheme="minorHAnsi"/>
          <w:color w:val="011A3C"/>
          <w:sz w:val="24"/>
          <w:szCs w:val="24"/>
          <w:lang w:val="en" w:eastAsia="en-AU"/>
        </w:rPr>
        <w:t>.</w:t>
      </w:r>
      <w:r w:rsidR="005F5B25">
        <w:rPr>
          <w:rFonts w:eastAsia="Segoe UI" w:cstheme="minorHAnsi"/>
          <w:color w:val="011A3C"/>
          <w:sz w:val="24"/>
          <w:szCs w:val="24"/>
          <w:lang w:val="en" w:eastAsia="en-AU"/>
        </w:rPr>
        <w:t xml:space="preserve"> Funding for school year </w:t>
      </w:r>
      <w:r w:rsidR="00F2249E">
        <w:rPr>
          <w:rFonts w:eastAsia="Segoe UI" w:cstheme="minorHAnsi"/>
          <w:color w:val="011A3C"/>
          <w:sz w:val="24"/>
          <w:szCs w:val="24"/>
          <w:lang w:val="en" w:eastAsia="en-AU"/>
        </w:rPr>
        <w:t xml:space="preserve">2024 </w:t>
      </w:r>
      <w:r w:rsidR="005F5B25">
        <w:rPr>
          <w:rFonts w:eastAsia="Segoe UI" w:cstheme="minorHAnsi"/>
          <w:color w:val="011A3C"/>
          <w:sz w:val="24"/>
          <w:szCs w:val="24"/>
          <w:lang w:val="en" w:eastAsia="en-AU"/>
        </w:rPr>
        <w:t>is based on ARIA 2016.</w:t>
      </w:r>
      <w:r w:rsidRPr="00260C1D">
        <w:rPr>
          <w:rFonts w:eastAsia="Segoe UI" w:cstheme="minorHAnsi"/>
          <w:color w:val="011A3C"/>
          <w:sz w:val="24"/>
          <w:szCs w:val="24"/>
          <w:lang w:val="en" w:eastAsia="en-AU"/>
        </w:rPr>
        <w:t xml:space="preserve"> </w:t>
      </w:r>
    </w:p>
    <w:p w14:paraId="7959641D" w14:textId="40C3AFD4" w:rsidR="00E000E8" w:rsidRPr="00FD718F" w:rsidRDefault="00E000E8" w:rsidP="004D307F">
      <w:pPr>
        <w:spacing w:before="100" w:beforeAutospacing="1" w:after="100" w:afterAutospacing="1" w:line="360" w:lineRule="atLeast"/>
        <w:rPr>
          <w:rFonts w:eastAsia="Segoe UI" w:cstheme="minorHAnsi"/>
          <w:color w:val="011A3C"/>
          <w:sz w:val="24"/>
          <w:szCs w:val="24"/>
          <w:lang w:val="en" w:eastAsia="en-AU"/>
        </w:rPr>
      </w:pPr>
      <w:r w:rsidRPr="00FD718F">
        <w:rPr>
          <w:rFonts w:eastAsia="Segoe UI" w:cstheme="minorHAnsi"/>
          <w:color w:val="011A3C"/>
          <w:sz w:val="24"/>
          <w:szCs w:val="24"/>
          <w:lang w:val="en" w:eastAsia="en-AU"/>
        </w:rPr>
        <w:t xml:space="preserve">ARIA+ is a continuous index, which the ABS uses to define the Remoteness Area categories, including: Major Cities of Australia, Inner Regional Australia, Outer Regional Australia, Remote Australia and Very Remote Australia. These categories of remoteness are based on a measure of relative access to services. Further information can be found </w:t>
      </w:r>
      <w:hyperlink r:id="rId13" w:history="1">
        <w:r w:rsidRPr="008614E4">
          <w:rPr>
            <w:rStyle w:val="Hyperlink"/>
            <w:rFonts w:eastAsia="Segoe UI" w:cstheme="minorHAnsi"/>
            <w:sz w:val="24"/>
            <w:szCs w:val="24"/>
            <w:lang w:val="en" w:eastAsia="en-AU"/>
          </w:rPr>
          <w:t>here</w:t>
        </w:r>
      </w:hyperlink>
      <w:r w:rsidRPr="00FD718F">
        <w:rPr>
          <w:rFonts w:eastAsia="Segoe UI" w:cstheme="minorHAnsi"/>
          <w:color w:val="011A3C"/>
          <w:sz w:val="24"/>
          <w:szCs w:val="24"/>
          <w:lang w:val="en" w:eastAsia="en-AU"/>
        </w:rPr>
        <w:t xml:space="preserve">. </w:t>
      </w:r>
    </w:p>
    <w:p w14:paraId="6361B93C" w14:textId="7A49E1B5" w:rsidR="00E000E8" w:rsidRPr="00260C1D" w:rsidRDefault="00E000E8" w:rsidP="004D307F">
      <w:pPr>
        <w:spacing w:before="100" w:beforeAutospacing="1" w:after="100" w:afterAutospacing="1" w:line="360" w:lineRule="atLeast"/>
        <w:rPr>
          <w:rFonts w:eastAsia="Segoe UI" w:cstheme="minorHAnsi"/>
          <w:color w:val="011A3C"/>
          <w:sz w:val="24"/>
          <w:szCs w:val="24"/>
          <w:lang w:val="en" w:eastAsia="en-AU"/>
        </w:rPr>
      </w:pPr>
      <w:r w:rsidRPr="00FD718F">
        <w:rPr>
          <w:rFonts w:eastAsia="Segoe UI" w:cstheme="minorHAnsi"/>
          <w:color w:val="011A3C"/>
          <w:sz w:val="24"/>
          <w:szCs w:val="24"/>
          <w:lang w:val="en" w:eastAsia="en-AU"/>
        </w:rPr>
        <w:t xml:space="preserve">More information about </w:t>
      </w:r>
      <w:hyperlink r:id="rId14" w:history="1">
        <w:r w:rsidRPr="00FD718F">
          <w:rPr>
            <w:rStyle w:val="Hyperlink"/>
            <w:rFonts w:eastAsia="Segoe UI" w:cstheme="minorHAnsi"/>
            <w:sz w:val="24"/>
            <w:szCs w:val="24"/>
            <w:lang w:val="en" w:eastAsia="en-AU"/>
          </w:rPr>
          <w:t>UCL definitions and sources</w:t>
        </w:r>
      </w:hyperlink>
      <w:r w:rsidR="001778CE" w:rsidRPr="00FD718F">
        <w:rPr>
          <w:rFonts w:eastAsia="Segoe UI" w:cstheme="minorHAnsi"/>
          <w:color w:val="011A3C"/>
          <w:sz w:val="24"/>
          <w:szCs w:val="24"/>
          <w:lang w:val="en" w:eastAsia="en-AU"/>
        </w:rPr>
        <w:t xml:space="preserve"> can be found o</w:t>
      </w:r>
      <w:r w:rsidR="001778CE" w:rsidRPr="00260C1D">
        <w:rPr>
          <w:rFonts w:eastAsia="Segoe UI" w:cstheme="minorHAnsi"/>
          <w:color w:val="011A3C"/>
          <w:sz w:val="24"/>
          <w:szCs w:val="24"/>
          <w:lang w:val="en" w:eastAsia="en-AU"/>
        </w:rPr>
        <w:t>n the ABS website</w:t>
      </w:r>
    </w:p>
    <w:p w14:paraId="16AA338B" w14:textId="7F7899F3" w:rsidR="00F04286" w:rsidRPr="00260C1D" w:rsidRDefault="00E000E8" w:rsidP="004D307F">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To determine a campus’</w:t>
      </w:r>
      <w:r w:rsidR="00FD718F">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 Remoteness Area category and UCL boundary, use the </w:t>
      </w:r>
      <w:hyperlink r:id="rId15" w:history="1">
        <w:r w:rsidRPr="00260C1D">
          <w:rPr>
            <w:rStyle w:val="Hyperlink"/>
            <w:rFonts w:eastAsia="Segoe UI" w:cstheme="minorHAnsi"/>
            <w:sz w:val="24"/>
            <w:szCs w:val="24"/>
            <w:lang w:val="en" w:eastAsia="en-AU"/>
          </w:rPr>
          <w:t>ABS map tool</w:t>
        </w:r>
      </w:hyperlink>
      <w:r w:rsidR="001778CE"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p>
    <w:p w14:paraId="4D07B5D0" w14:textId="4F437507" w:rsidR="00286FA1" w:rsidRPr="00260C1D" w:rsidRDefault="00C8414A" w:rsidP="00D14A94">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To determine a school’s geographic parameters, refer to </w:t>
      </w:r>
      <w:hyperlink r:id="rId16" w:history="1">
        <w:r w:rsidRPr="00260C1D">
          <w:rPr>
            <w:rStyle w:val="Hyperlink"/>
            <w:rFonts w:eastAsia="Segoe UI" w:cstheme="minorHAnsi"/>
            <w:sz w:val="24"/>
            <w:szCs w:val="24"/>
            <w:lang w:val="en" w:eastAsia="en-AU"/>
          </w:rPr>
          <w:t xml:space="preserve">Steps to determine a school’s geographic parameters. </w:t>
        </w:r>
      </w:hyperlink>
    </w:p>
    <w:p w14:paraId="211F4053" w14:textId="62CDD189" w:rsidR="00C8414A" w:rsidRPr="00260C1D" w:rsidRDefault="00C8414A" w:rsidP="00614B09">
      <w:pPr>
        <w:spacing w:after="0" w:line="240" w:lineRule="auto"/>
      </w:pPr>
    </w:p>
    <w:p w14:paraId="0CEC5C19" w14:textId="693564F2" w:rsidR="00991B22" w:rsidRPr="00260C1D" w:rsidRDefault="00991B22" w:rsidP="00991B22">
      <w:pPr>
        <w:spacing w:after="0" w:line="240" w:lineRule="auto"/>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Peri-Urban Funding from 202</w:t>
      </w:r>
      <w:r w:rsidR="00380253">
        <w:rPr>
          <w:rFonts w:eastAsia="Segoe UI" w:cstheme="minorHAnsi"/>
          <w:b/>
          <w:color w:val="011A3C"/>
          <w:sz w:val="24"/>
          <w:szCs w:val="24"/>
          <w:lang w:val="en" w:eastAsia="en-AU"/>
        </w:rPr>
        <w:t>4</w:t>
      </w:r>
    </w:p>
    <w:p w14:paraId="6EDE710E" w14:textId="625DC058" w:rsidR="00991B22" w:rsidRPr="00260C1D" w:rsidRDefault="00991B22" w:rsidP="00AD4CC3">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implementation of the location changes in 2021 affected schools in peri-urban areas. Substantial urban growth has meant that some schools</w:t>
      </w:r>
      <w:r w:rsidR="00FD718F">
        <w:rPr>
          <w:rFonts w:eastAsia="Segoe UI" w:cstheme="minorHAnsi"/>
          <w:color w:val="011A3C"/>
          <w:sz w:val="24"/>
          <w:szCs w:val="24"/>
          <w:lang w:val="en" w:eastAsia="en-AU"/>
        </w:rPr>
        <w:t xml:space="preserve"> that were</w:t>
      </w:r>
      <w:r w:rsidRPr="00260C1D">
        <w:rPr>
          <w:rFonts w:eastAsia="Segoe UI" w:cstheme="minorHAnsi"/>
          <w:color w:val="011A3C"/>
          <w:sz w:val="24"/>
          <w:szCs w:val="24"/>
          <w:lang w:val="en" w:eastAsia="en-AU"/>
        </w:rPr>
        <w:t xml:space="preserve"> once identified as rural, are now part of major city areas as identified through the ARIA.</w:t>
      </w:r>
    </w:p>
    <w:p w14:paraId="499EF9C2" w14:textId="21764D47" w:rsidR="00991B22" w:rsidRPr="00260C1D" w:rsidRDefault="00991B22" w:rsidP="00AD4CC3">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located between the Urban </w:t>
      </w:r>
      <w:proofErr w:type="spellStart"/>
      <w:r w:rsidRPr="00260C1D">
        <w:rPr>
          <w:rFonts w:eastAsia="Segoe UI" w:cstheme="minorHAnsi"/>
          <w:color w:val="011A3C"/>
          <w:sz w:val="24"/>
          <w:szCs w:val="24"/>
          <w:lang w:val="en" w:eastAsia="en-AU"/>
        </w:rPr>
        <w:t>Centres</w:t>
      </w:r>
      <w:proofErr w:type="spellEnd"/>
      <w:r w:rsidRPr="00260C1D">
        <w:rPr>
          <w:rFonts w:eastAsia="Segoe UI" w:cstheme="minorHAnsi"/>
          <w:color w:val="011A3C"/>
          <w:sz w:val="24"/>
          <w:szCs w:val="24"/>
          <w:lang w:val="en" w:eastAsia="en-AU"/>
        </w:rPr>
        <w:t xml:space="preserve"> and Localities (UCL) boundary and the ABS metropolitan Melbourne boundary according to Remoteness Areas are eligible to receive 50 percent of the RSAF allocation from 2022. </w:t>
      </w:r>
    </w:p>
    <w:p w14:paraId="3D6D11FA" w14:textId="688BCEAC" w:rsidR="00E2153A" w:rsidRPr="00260C1D" w:rsidRDefault="00991B22" w:rsidP="00AD4CC3">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Current schools in receipt of rural transition</w:t>
      </w:r>
      <w:r w:rsidR="00E2153A" w:rsidRPr="00260C1D">
        <w:rPr>
          <w:rFonts w:eastAsia="Segoe UI" w:cstheme="minorHAnsi"/>
          <w:color w:val="011A3C"/>
          <w:sz w:val="24"/>
          <w:szCs w:val="24"/>
          <w:lang w:val="en" w:eastAsia="en-AU"/>
        </w:rPr>
        <w:t xml:space="preserve"> and</w:t>
      </w:r>
      <w:r w:rsidRPr="00260C1D">
        <w:rPr>
          <w:rFonts w:eastAsia="Segoe UI" w:cstheme="minorHAnsi"/>
          <w:color w:val="011A3C"/>
          <w:sz w:val="24"/>
          <w:szCs w:val="24"/>
          <w:lang w:val="en" w:eastAsia="en-AU"/>
        </w:rPr>
        <w:t xml:space="preserve"> eligible</w:t>
      </w:r>
      <w:r w:rsidR="00E2153A" w:rsidRPr="00260C1D">
        <w:rPr>
          <w:rFonts w:eastAsia="Segoe UI" w:cstheme="minorHAnsi"/>
          <w:color w:val="011A3C"/>
          <w:sz w:val="24"/>
          <w:szCs w:val="24"/>
          <w:lang w:val="en" w:eastAsia="en-AU"/>
        </w:rPr>
        <w:t xml:space="preserve"> for peri-urban funding</w:t>
      </w:r>
      <w:r w:rsidRPr="00260C1D">
        <w:rPr>
          <w:rFonts w:eastAsia="Segoe UI" w:cstheme="minorHAnsi"/>
          <w:color w:val="011A3C"/>
          <w:sz w:val="24"/>
          <w:szCs w:val="24"/>
          <w:lang w:val="en" w:eastAsia="en-AU"/>
        </w:rPr>
        <w:t xml:space="preserve"> will transition to </w:t>
      </w:r>
      <w:r w:rsidR="00FD718F">
        <w:rPr>
          <w:rFonts w:eastAsia="Segoe UI" w:cstheme="minorHAnsi"/>
          <w:color w:val="011A3C"/>
          <w:sz w:val="24"/>
          <w:szCs w:val="24"/>
          <w:lang w:val="en" w:eastAsia="en-AU"/>
        </w:rPr>
        <w:t>peri-urban funding</w:t>
      </w:r>
      <w:r w:rsidRPr="00260C1D">
        <w:rPr>
          <w:rFonts w:eastAsia="Segoe UI" w:cstheme="minorHAnsi"/>
          <w:color w:val="011A3C"/>
          <w:sz w:val="24"/>
          <w:szCs w:val="24"/>
          <w:lang w:val="en" w:eastAsia="en-AU"/>
        </w:rPr>
        <w:t xml:space="preserve"> in 202</w:t>
      </w:r>
      <w:r w:rsidR="00246E15">
        <w:rPr>
          <w:rFonts w:eastAsia="Segoe UI" w:cstheme="minorHAnsi"/>
          <w:color w:val="011A3C"/>
          <w:sz w:val="24"/>
          <w:szCs w:val="24"/>
          <w:lang w:val="en" w:eastAsia="en-AU"/>
        </w:rPr>
        <w:t>4</w:t>
      </w:r>
      <w:r w:rsidR="00FD718F">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FD718F">
        <w:rPr>
          <w:rFonts w:eastAsia="Segoe UI" w:cstheme="minorHAnsi"/>
          <w:color w:val="011A3C"/>
          <w:sz w:val="24"/>
          <w:szCs w:val="24"/>
          <w:lang w:val="en" w:eastAsia="en-AU"/>
        </w:rPr>
        <w:t>I</w:t>
      </w:r>
      <w:r w:rsidRPr="00260C1D">
        <w:rPr>
          <w:rFonts w:eastAsia="Segoe UI" w:cstheme="minorHAnsi"/>
          <w:color w:val="011A3C"/>
          <w:sz w:val="24"/>
          <w:szCs w:val="24"/>
          <w:lang w:val="en" w:eastAsia="en-AU"/>
        </w:rPr>
        <w:t>f the per</w:t>
      </w:r>
      <w:r w:rsidR="00FD718F">
        <w:rPr>
          <w:rFonts w:eastAsia="Segoe UI" w:cstheme="minorHAnsi"/>
          <w:color w:val="011A3C"/>
          <w:sz w:val="24"/>
          <w:szCs w:val="24"/>
          <w:lang w:val="en" w:eastAsia="en-AU"/>
        </w:rPr>
        <w:t>i</w:t>
      </w:r>
      <w:r w:rsidRPr="00260C1D">
        <w:rPr>
          <w:rFonts w:eastAsia="Segoe UI" w:cstheme="minorHAnsi"/>
          <w:color w:val="011A3C"/>
          <w:sz w:val="24"/>
          <w:szCs w:val="24"/>
          <w:lang w:val="en" w:eastAsia="en-AU"/>
        </w:rPr>
        <w:t xml:space="preserve">-urban allocation is </w:t>
      </w:r>
      <w:r w:rsidR="00E2153A" w:rsidRPr="00260C1D">
        <w:rPr>
          <w:rFonts w:eastAsia="Segoe UI" w:cstheme="minorHAnsi"/>
          <w:color w:val="011A3C"/>
          <w:sz w:val="24"/>
          <w:szCs w:val="24"/>
          <w:lang w:val="en" w:eastAsia="en-AU"/>
        </w:rPr>
        <w:t xml:space="preserve">less </w:t>
      </w:r>
      <w:r w:rsidRPr="00260C1D">
        <w:rPr>
          <w:rFonts w:eastAsia="Segoe UI" w:cstheme="minorHAnsi"/>
          <w:color w:val="011A3C"/>
          <w:sz w:val="24"/>
          <w:szCs w:val="24"/>
          <w:lang w:val="en" w:eastAsia="en-AU"/>
        </w:rPr>
        <w:t>than</w:t>
      </w:r>
      <w:r w:rsidR="00E2153A" w:rsidRPr="00260C1D">
        <w:rPr>
          <w:rFonts w:eastAsia="Segoe UI" w:cstheme="minorHAnsi"/>
          <w:color w:val="011A3C"/>
          <w:sz w:val="24"/>
          <w:szCs w:val="24"/>
          <w:lang w:val="en" w:eastAsia="en-AU"/>
        </w:rPr>
        <w:t xml:space="preserve"> the scaled transition in 202</w:t>
      </w:r>
      <w:r w:rsidR="00380253">
        <w:rPr>
          <w:rFonts w:eastAsia="Segoe UI" w:cstheme="minorHAnsi"/>
          <w:color w:val="011A3C"/>
          <w:sz w:val="24"/>
          <w:szCs w:val="24"/>
          <w:lang w:val="en" w:eastAsia="en-AU"/>
        </w:rPr>
        <w:t>4</w:t>
      </w:r>
      <w:r w:rsidR="00846458" w:rsidRPr="00260C1D">
        <w:rPr>
          <w:rFonts w:eastAsia="Segoe UI" w:cstheme="minorHAnsi"/>
          <w:color w:val="011A3C"/>
          <w:sz w:val="24"/>
          <w:szCs w:val="24"/>
          <w:lang w:val="en" w:eastAsia="en-AU"/>
        </w:rPr>
        <w:t>, the higher allocation will prevail</w:t>
      </w:r>
      <w:r w:rsidR="00E2153A" w:rsidRPr="00260C1D">
        <w:rPr>
          <w:rFonts w:eastAsia="Segoe UI" w:cstheme="minorHAnsi"/>
          <w:color w:val="011A3C"/>
          <w:sz w:val="24"/>
          <w:szCs w:val="24"/>
          <w:lang w:val="en" w:eastAsia="en-AU"/>
        </w:rPr>
        <w:t xml:space="preserve">. </w:t>
      </w:r>
    </w:p>
    <w:p w14:paraId="1AB5F287" w14:textId="123C0E92" w:rsidR="00991B22" w:rsidRPr="00260C1D" w:rsidRDefault="00E2153A" w:rsidP="00AD4CC3">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w:t>
      </w:r>
      <w:r w:rsidR="00CB0C26" w:rsidRPr="00260C1D">
        <w:rPr>
          <w:rFonts w:eastAsia="Segoe UI" w:cstheme="minorHAnsi"/>
          <w:color w:val="011A3C"/>
          <w:sz w:val="24"/>
          <w:szCs w:val="24"/>
          <w:lang w:val="en" w:eastAsia="en-AU"/>
        </w:rPr>
        <w:t xml:space="preserve">in </w:t>
      </w:r>
      <w:r w:rsidR="00EC17B1" w:rsidRPr="00260C1D">
        <w:rPr>
          <w:rFonts w:eastAsia="Segoe UI" w:cstheme="minorHAnsi"/>
          <w:color w:val="011A3C"/>
          <w:sz w:val="24"/>
          <w:szCs w:val="24"/>
          <w:lang w:val="en" w:eastAsia="en-AU"/>
        </w:rPr>
        <w:t>receipt</w:t>
      </w:r>
      <w:r w:rsidR="00CB0C26" w:rsidRPr="00260C1D">
        <w:rPr>
          <w:rFonts w:eastAsia="Segoe UI" w:cstheme="minorHAnsi"/>
          <w:color w:val="011A3C"/>
          <w:sz w:val="24"/>
          <w:szCs w:val="24"/>
          <w:lang w:val="en" w:eastAsia="en-AU"/>
        </w:rPr>
        <w:t xml:space="preserve"> of </w:t>
      </w:r>
      <w:r w:rsidR="00EC17B1" w:rsidRPr="00260C1D">
        <w:rPr>
          <w:rFonts w:eastAsia="Segoe UI" w:cstheme="minorHAnsi"/>
          <w:color w:val="011A3C"/>
          <w:sz w:val="24"/>
          <w:szCs w:val="24"/>
          <w:lang w:val="en" w:eastAsia="en-AU"/>
        </w:rPr>
        <w:t xml:space="preserve">rural transition and have been designated </w:t>
      </w:r>
      <w:r w:rsidR="00FD718F">
        <w:rPr>
          <w:rFonts w:eastAsia="Segoe UI" w:cstheme="minorHAnsi"/>
          <w:color w:val="011A3C"/>
          <w:sz w:val="24"/>
          <w:szCs w:val="24"/>
          <w:lang w:val="en" w:eastAsia="en-AU"/>
        </w:rPr>
        <w:t xml:space="preserve">as </w:t>
      </w:r>
      <w:r w:rsidR="00EC17B1" w:rsidRPr="00260C1D">
        <w:rPr>
          <w:rFonts w:eastAsia="Segoe UI" w:cstheme="minorHAnsi"/>
          <w:color w:val="011A3C"/>
          <w:sz w:val="24"/>
          <w:szCs w:val="24"/>
          <w:lang w:val="en" w:eastAsia="en-AU"/>
        </w:rPr>
        <w:t>peri-urban</w:t>
      </w:r>
      <w:r w:rsidRPr="00260C1D">
        <w:rPr>
          <w:rFonts w:eastAsia="Segoe UI" w:cstheme="minorHAnsi"/>
          <w:color w:val="011A3C"/>
          <w:sz w:val="24"/>
          <w:szCs w:val="24"/>
          <w:lang w:val="en" w:eastAsia="en-AU"/>
        </w:rPr>
        <w:t xml:space="preserve"> have been contacted individually.</w:t>
      </w:r>
      <w:r w:rsidR="00991B22" w:rsidRPr="00260C1D">
        <w:rPr>
          <w:rFonts w:eastAsia="Segoe UI" w:cstheme="minorHAnsi"/>
          <w:color w:val="011A3C"/>
          <w:sz w:val="24"/>
          <w:szCs w:val="24"/>
          <w:lang w:val="en" w:eastAsia="en-AU"/>
        </w:rPr>
        <w:t xml:space="preserve"> </w:t>
      </w:r>
    </w:p>
    <w:p w14:paraId="22362CEF" w14:textId="50DED2AF" w:rsidR="006A5663" w:rsidRPr="00260C1D" w:rsidRDefault="00341AB0" w:rsidP="00AD4CC3">
      <w:pPr>
        <w:spacing w:before="100" w:beforeAutospacing="1" w:after="100" w:afterAutospacing="1" w:line="360" w:lineRule="atLeast"/>
        <w:rPr>
          <w:rFonts w:eastAsia="Segoe UI" w:cstheme="minorHAnsi"/>
          <w:color w:val="011A3C"/>
          <w:sz w:val="24"/>
          <w:szCs w:val="24"/>
          <w:lang w:val="en" w:eastAsia="en-AU"/>
        </w:rPr>
      </w:pPr>
      <w:bookmarkStart w:id="20" w:name="_Hlk50546705"/>
      <w:r w:rsidRPr="00260C1D">
        <w:rPr>
          <w:rFonts w:eastAsia="Segoe UI" w:cstheme="minorHAnsi"/>
          <w:color w:val="011A3C"/>
          <w:sz w:val="24"/>
          <w:szCs w:val="24"/>
          <w:lang w:val="en" w:eastAsia="en-AU"/>
        </w:rPr>
        <w:t xml:space="preserve">Additionally, schools that may be eligible for transition should refer </w:t>
      </w:r>
      <w:r w:rsidR="00B25992" w:rsidRPr="00260C1D">
        <w:rPr>
          <w:rFonts w:eastAsia="Segoe UI" w:cstheme="minorHAnsi"/>
          <w:color w:val="011A3C"/>
          <w:sz w:val="24"/>
          <w:szCs w:val="24"/>
          <w:lang w:val="en" w:eastAsia="en-AU"/>
        </w:rPr>
        <w:t>to</w:t>
      </w:r>
      <w:r w:rsidR="00AD4CC3">
        <w:rPr>
          <w:rFonts w:eastAsia="Segoe UI" w:cstheme="minorHAnsi"/>
          <w:color w:val="011A3C"/>
          <w:sz w:val="24"/>
          <w:szCs w:val="24"/>
          <w:lang w:val="en" w:eastAsia="en-AU"/>
        </w:rPr>
        <w:t xml:space="preserve">: </w:t>
      </w:r>
      <w:bookmarkEnd w:id="20"/>
      <w:r>
        <w:fldChar w:fldCharType="begin"/>
      </w:r>
      <w:r w:rsidR="00DB7F0C">
        <w:instrText>HYPERLINK "https://www2.education.vic.gov.au/pal/student-resource-package-srp-targeted-initiatives/guidance/transition-funding-rural-reference"</w:instrText>
      </w:r>
      <w:r>
        <w:fldChar w:fldCharType="separate"/>
      </w:r>
      <w:r w:rsidR="00B25992" w:rsidRPr="00260C1D">
        <w:rPr>
          <w:rStyle w:val="Hyperlink"/>
          <w:rFonts w:eastAsia="Segoe UI" w:cstheme="minorHAnsi"/>
          <w:sz w:val="24"/>
          <w:szCs w:val="24"/>
          <w:lang w:val="en" w:eastAsia="en-AU"/>
        </w:rPr>
        <w:t>Transition Funding (Rural) (Ref</w:t>
      </w:r>
      <w:r w:rsidR="00DB7F0C">
        <w:rPr>
          <w:rStyle w:val="Hyperlink"/>
          <w:rFonts w:eastAsia="Segoe UI" w:cstheme="minorHAnsi"/>
          <w:sz w:val="24"/>
          <w:szCs w:val="24"/>
          <w:lang w:val="en" w:eastAsia="en-AU"/>
        </w:rPr>
        <w:t>erence</w:t>
      </w:r>
      <w:r w:rsidR="00B25992" w:rsidRPr="00260C1D">
        <w:rPr>
          <w:rStyle w:val="Hyperlink"/>
          <w:rFonts w:eastAsia="Segoe UI" w:cstheme="minorHAnsi"/>
          <w:sz w:val="24"/>
          <w:szCs w:val="24"/>
          <w:lang w:val="en" w:eastAsia="en-AU"/>
        </w:rPr>
        <w:t xml:space="preserve"> 126)</w:t>
      </w:r>
      <w:r>
        <w:rPr>
          <w:rStyle w:val="Hyperlink"/>
          <w:rFonts w:eastAsia="Segoe UI" w:cstheme="minorHAnsi"/>
          <w:sz w:val="24"/>
          <w:szCs w:val="24"/>
          <w:lang w:val="en" w:eastAsia="en-AU"/>
        </w:rPr>
        <w:fldChar w:fldCharType="end"/>
      </w:r>
      <w:r w:rsidR="006A5663" w:rsidRPr="00260C1D">
        <w:rPr>
          <w:rFonts w:eastAsia="Segoe UI" w:cstheme="minorHAnsi"/>
          <w:color w:val="011A3C"/>
          <w:sz w:val="24"/>
          <w:szCs w:val="24"/>
          <w:lang w:val="en" w:eastAsia="en-AU"/>
        </w:rPr>
        <w:br w:type="page"/>
      </w:r>
    </w:p>
    <w:p w14:paraId="088E3097" w14:textId="0B0A8A5D" w:rsidR="00D0026E" w:rsidRPr="00260C1D" w:rsidRDefault="00D0026E" w:rsidP="00532A33">
      <w:pPr>
        <w:pStyle w:val="Heading2"/>
      </w:pPr>
      <w:bookmarkStart w:id="21" w:name="_Toc141965231"/>
      <w:bookmarkStart w:id="22" w:name="_Toc145339561"/>
      <w:bookmarkStart w:id="23" w:name="_Toc153791884"/>
      <w:r w:rsidRPr="00260C1D">
        <w:lastRenderedPageBreak/>
        <w:t>Core Index Stages 1-3 (Reference 5)</w:t>
      </w:r>
      <w:bookmarkEnd w:id="21"/>
      <w:bookmarkEnd w:id="22"/>
      <w:bookmarkEnd w:id="23"/>
    </w:p>
    <w:p w14:paraId="51EAD4F7" w14:textId="4BC998EA" w:rsidR="00D0026E" w:rsidRPr="00260C1D" w:rsidRDefault="00D0026E" w:rsidP="00D0026E">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Core Index Stages 1-3 provides funding to specialist schools for enrolments based on </w:t>
      </w:r>
      <w:r w:rsidR="00FD718F">
        <w:rPr>
          <w:rFonts w:eastAsia="Segoe UI" w:cstheme="minorHAnsi"/>
          <w:color w:val="011A3C"/>
          <w:sz w:val="24"/>
          <w:szCs w:val="24"/>
          <w:lang w:val="en" w:eastAsia="en-AU"/>
        </w:rPr>
        <w:t xml:space="preserve">a </w:t>
      </w:r>
      <w:r w:rsidRPr="00260C1D">
        <w:rPr>
          <w:rFonts w:eastAsia="Segoe UI" w:cstheme="minorHAnsi"/>
          <w:color w:val="011A3C"/>
          <w:sz w:val="24"/>
          <w:szCs w:val="24"/>
          <w:lang w:val="en" w:eastAsia="en-AU"/>
        </w:rPr>
        <w:t>student</w:t>
      </w:r>
      <w:r w:rsidR="00FD718F">
        <w:rPr>
          <w:rFonts w:eastAsia="Segoe UI" w:cstheme="minorHAnsi"/>
          <w:color w:val="011A3C"/>
          <w:sz w:val="24"/>
          <w:szCs w:val="24"/>
          <w:lang w:val="en" w:eastAsia="en-AU"/>
        </w:rPr>
        <w:t>’</w:t>
      </w:r>
      <w:r w:rsidRPr="00260C1D">
        <w:rPr>
          <w:rFonts w:eastAsia="Segoe UI" w:cstheme="minorHAnsi"/>
          <w:color w:val="011A3C"/>
          <w:sz w:val="24"/>
          <w:szCs w:val="24"/>
          <w:lang w:val="en" w:eastAsia="en-AU"/>
        </w:rPr>
        <w:t>s age range.</w:t>
      </w:r>
    </w:p>
    <w:p w14:paraId="12BBA6BB" w14:textId="77777777" w:rsidR="00CC77CA" w:rsidRPr="00260C1D" w:rsidRDefault="00CC77CA" w:rsidP="00CC77CA">
      <w:pPr>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 </w:t>
      </w:r>
    </w:p>
    <w:p w14:paraId="43F7FCC5" w14:textId="4E65F49E" w:rsidR="00CC77CA" w:rsidRPr="00260C1D" w:rsidRDefault="00CC77CA" w:rsidP="00CC77C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following school</w:t>
      </w:r>
      <w:r w:rsidR="00DC14B0">
        <w:rPr>
          <w:rFonts w:eastAsia="Segoe UI" w:cstheme="minorHAnsi"/>
          <w:color w:val="011A3C"/>
          <w:sz w:val="24"/>
          <w:szCs w:val="24"/>
          <w:lang w:val="en" w:eastAsia="en-AU"/>
        </w:rPr>
        <w:t>/campus</w:t>
      </w:r>
      <w:r w:rsidRPr="00260C1D">
        <w:rPr>
          <w:rFonts w:eastAsia="Segoe UI" w:cstheme="minorHAnsi"/>
          <w:color w:val="011A3C"/>
          <w:sz w:val="24"/>
          <w:szCs w:val="24"/>
          <w:lang w:val="en" w:eastAsia="en-AU"/>
        </w:rPr>
        <w:t xml:space="preserve"> types receive the Core Index funding</w:t>
      </w:r>
      <w:r w:rsidR="00800331" w:rsidRPr="00260C1D">
        <w:rPr>
          <w:rFonts w:eastAsia="Segoe UI" w:cstheme="minorHAnsi"/>
          <w:color w:val="011A3C"/>
          <w:sz w:val="24"/>
          <w:szCs w:val="24"/>
          <w:lang w:val="en" w:eastAsia="en-AU"/>
        </w:rPr>
        <w:t xml:space="preserve"> at </w:t>
      </w:r>
      <w:r w:rsidR="00286FA1">
        <w:rPr>
          <w:rFonts w:eastAsia="Segoe UI" w:cstheme="minorHAnsi"/>
          <w:color w:val="011A3C"/>
          <w:sz w:val="24"/>
          <w:szCs w:val="24"/>
          <w:lang w:val="en" w:eastAsia="en-AU"/>
        </w:rPr>
        <w:t xml:space="preserve">a </w:t>
      </w:r>
      <w:r w:rsidR="00800331" w:rsidRPr="00260C1D">
        <w:rPr>
          <w:rFonts w:eastAsia="Segoe UI" w:cstheme="minorHAnsi"/>
          <w:color w:val="011A3C"/>
          <w:sz w:val="24"/>
          <w:szCs w:val="24"/>
          <w:lang w:val="en" w:eastAsia="en-AU"/>
        </w:rPr>
        <w:t>school level</w:t>
      </w:r>
      <w:r w:rsidR="00380806">
        <w:rPr>
          <w:rFonts w:eastAsia="Segoe UI" w:cstheme="minorHAnsi"/>
          <w:color w:val="011A3C"/>
          <w:sz w:val="24"/>
          <w:szCs w:val="24"/>
          <w:lang w:val="en" w:eastAsia="en-AU"/>
        </w:rPr>
        <w:t>:</w:t>
      </w:r>
    </w:p>
    <w:p w14:paraId="2305EBDC" w14:textId="2472F148" w:rsidR="00CC77CA" w:rsidRDefault="00CC77CA" w:rsidP="00F56244">
      <w:pPr>
        <w:pStyle w:val="ListParagraph"/>
        <w:numPr>
          <w:ilvl w:val="0"/>
          <w:numId w:val="62"/>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Special</w:t>
      </w:r>
      <w:r w:rsidR="00335627" w:rsidRPr="00AD4CC3">
        <w:rPr>
          <w:rFonts w:eastAsia="Segoe UI" w:cstheme="minorHAnsi"/>
          <w:color w:val="011A3C"/>
          <w:sz w:val="24"/>
          <w:szCs w:val="24"/>
          <w:lang w:val="en" w:eastAsia="en-AU"/>
        </w:rPr>
        <w:t xml:space="preserve">ist </w:t>
      </w:r>
      <w:r w:rsidR="00395E28" w:rsidRPr="00AD4CC3">
        <w:rPr>
          <w:rFonts w:eastAsia="Segoe UI" w:cstheme="minorHAnsi"/>
          <w:color w:val="011A3C"/>
          <w:sz w:val="24"/>
          <w:szCs w:val="24"/>
          <w:lang w:val="en" w:eastAsia="en-AU"/>
        </w:rPr>
        <w:t>Schools</w:t>
      </w:r>
    </w:p>
    <w:p w14:paraId="4831049F" w14:textId="32B86CCA" w:rsidR="00DC14B0" w:rsidRPr="00AD4CC3" w:rsidRDefault="00DC14B0" w:rsidP="00F56244">
      <w:pPr>
        <w:pStyle w:val="ListParagraph"/>
        <w:numPr>
          <w:ilvl w:val="0"/>
          <w:numId w:val="62"/>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Special campus</w:t>
      </w:r>
      <w:r w:rsidR="00854A12">
        <w:rPr>
          <w:rFonts w:eastAsia="Segoe UI"/>
          <w:color w:val="011A3C"/>
          <w:sz w:val="24"/>
          <w:szCs w:val="24"/>
          <w:lang w:val="en" w:eastAsia="en-AU"/>
        </w:rPr>
        <w:t>es</w:t>
      </w:r>
      <w:r w:rsidRPr="738305D2">
        <w:rPr>
          <w:rFonts w:eastAsia="Segoe UI"/>
          <w:color w:val="011A3C"/>
          <w:sz w:val="24"/>
          <w:szCs w:val="24"/>
          <w:lang w:val="en" w:eastAsia="en-AU"/>
        </w:rPr>
        <w:t xml:space="preserve"> of mainstream schools</w:t>
      </w:r>
    </w:p>
    <w:p w14:paraId="3D815344" w14:textId="6300CB1A" w:rsidR="004436AC" w:rsidRPr="009B4DE1" w:rsidRDefault="00452C18" w:rsidP="00833928">
      <w:pPr>
        <w:rPr>
          <w:rFonts w:eastAsia="Segoe UI" w:cstheme="minorHAnsi"/>
          <w:color w:val="011A3C"/>
          <w:sz w:val="24"/>
          <w:szCs w:val="24"/>
          <w:lang w:val="en" w:eastAsia="en-AU"/>
        </w:rPr>
      </w:pPr>
      <w:bookmarkStart w:id="24" w:name="_Hlk47884304"/>
      <w:r w:rsidRPr="009B4DE1">
        <w:rPr>
          <w:rFonts w:eastAsia="Segoe UI" w:cstheme="minorHAnsi"/>
          <w:color w:val="011A3C"/>
          <w:sz w:val="24"/>
          <w:szCs w:val="24"/>
          <w:lang w:val="en" w:eastAsia="en-AU"/>
        </w:rPr>
        <w:t xml:space="preserve"> </w:t>
      </w:r>
      <w:r w:rsidR="004436AC" w:rsidRPr="009B4DE1">
        <w:rPr>
          <w:rFonts w:eastAsia="Segoe UI" w:cstheme="minorHAnsi"/>
          <w:color w:val="011A3C"/>
          <w:sz w:val="24"/>
          <w:szCs w:val="24"/>
          <w:lang w:val="en" w:eastAsia="en-AU"/>
        </w:rPr>
        <w:t xml:space="preserve">The following </w:t>
      </w:r>
      <w:r w:rsidR="00926174" w:rsidRPr="009B4DE1">
        <w:rPr>
          <w:rFonts w:eastAsia="Segoe UI" w:cstheme="minorHAnsi"/>
          <w:color w:val="011A3C"/>
          <w:sz w:val="24"/>
          <w:szCs w:val="24"/>
          <w:lang w:val="en" w:eastAsia="en-AU"/>
        </w:rPr>
        <w:t>campuses</w:t>
      </w:r>
      <w:r w:rsidR="00C008C5" w:rsidRPr="009B4DE1">
        <w:rPr>
          <w:rFonts w:eastAsia="Segoe UI" w:cstheme="minorHAnsi"/>
          <w:color w:val="011A3C"/>
          <w:sz w:val="24"/>
          <w:szCs w:val="24"/>
          <w:lang w:val="en" w:eastAsia="en-AU"/>
        </w:rPr>
        <w:t>/schools</w:t>
      </w:r>
      <w:r w:rsidR="004436AC" w:rsidRPr="009B4DE1">
        <w:rPr>
          <w:rFonts w:eastAsia="Segoe UI" w:cstheme="minorHAnsi"/>
          <w:color w:val="011A3C"/>
          <w:sz w:val="24"/>
          <w:szCs w:val="24"/>
          <w:lang w:val="en" w:eastAsia="en-AU"/>
        </w:rPr>
        <w:t xml:space="preserve"> </w:t>
      </w:r>
      <w:r w:rsidR="002024AE" w:rsidRPr="009B4DE1">
        <w:rPr>
          <w:rFonts w:eastAsia="Segoe UI" w:cstheme="minorHAnsi"/>
          <w:color w:val="011A3C"/>
          <w:sz w:val="24"/>
          <w:szCs w:val="24"/>
          <w:lang w:val="en" w:eastAsia="en-AU"/>
        </w:rPr>
        <w:t>do not receive this allocation</w:t>
      </w:r>
      <w:r w:rsidR="004436AC" w:rsidRPr="009B4DE1">
        <w:rPr>
          <w:rFonts w:eastAsia="Segoe UI" w:cstheme="minorHAnsi"/>
          <w:color w:val="011A3C"/>
          <w:sz w:val="24"/>
          <w:szCs w:val="24"/>
          <w:lang w:val="en" w:eastAsia="en-AU"/>
        </w:rPr>
        <w:t>:</w:t>
      </w:r>
    </w:p>
    <w:p w14:paraId="05E8F238" w14:textId="3860AA81" w:rsidR="004436AC" w:rsidRPr="009B4DE1" w:rsidRDefault="007C3D08" w:rsidP="00833928">
      <w:pPr>
        <w:pStyle w:val="ListParagraph"/>
        <w:numPr>
          <w:ilvl w:val="0"/>
          <w:numId w:val="62"/>
        </w:numPr>
        <w:spacing w:before="100" w:beforeAutospacing="1" w:after="100" w:afterAutospacing="1" w:line="360" w:lineRule="atLeast"/>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Deaf </w:t>
      </w:r>
      <w:r w:rsidR="000B7112" w:rsidRPr="009B4DE1">
        <w:rPr>
          <w:rFonts w:eastAsia="Segoe UI" w:cstheme="minorHAnsi"/>
          <w:color w:val="011A3C"/>
          <w:sz w:val="24"/>
          <w:szCs w:val="24"/>
          <w:lang w:val="en" w:eastAsia="en-AU"/>
        </w:rPr>
        <w:t>facilities attached to mainstream schools</w:t>
      </w:r>
    </w:p>
    <w:p w14:paraId="41E6978A" w14:textId="54C8AF29" w:rsidR="0064159D" w:rsidRPr="009B4DE1" w:rsidRDefault="0064159D" w:rsidP="00833928">
      <w:pPr>
        <w:pStyle w:val="ListParagraph"/>
        <w:numPr>
          <w:ilvl w:val="0"/>
          <w:numId w:val="62"/>
        </w:numPr>
        <w:spacing w:before="100" w:beforeAutospacing="1" w:after="100" w:afterAutospacing="1" w:line="360" w:lineRule="atLeast"/>
        <w:rPr>
          <w:rFonts w:eastAsia="Segoe UI" w:cstheme="minorHAnsi"/>
          <w:color w:val="011A3C"/>
          <w:sz w:val="24"/>
          <w:szCs w:val="24"/>
          <w:lang w:val="en" w:eastAsia="en-AU"/>
        </w:rPr>
      </w:pPr>
      <w:r w:rsidRPr="009B4DE1">
        <w:rPr>
          <w:rFonts w:eastAsia="Segoe UI" w:cstheme="minorHAnsi"/>
          <w:color w:val="011A3C"/>
          <w:sz w:val="24"/>
          <w:szCs w:val="24"/>
          <w:lang w:val="en" w:eastAsia="en-AU"/>
        </w:rPr>
        <w:t>Training Centre campuses</w:t>
      </w:r>
    </w:p>
    <w:p w14:paraId="2A5CEE66" w14:textId="23AEC3D5" w:rsidR="00AF47B1" w:rsidRPr="009B4DE1" w:rsidRDefault="00AF47B1" w:rsidP="00833928">
      <w:pPr>
        <w:pStyle w:val="ListParagraph"/>
        <w:numPr>
          <w:ilvl w:val="0"/>
          <w:numId w:val="62"/>
        </w:numPr>
        <w:spacing w:before="100" w:beforeAutospacing="1" w:after="100" w:afterAutospacing="1" w:line="360" w:lineRule="atLeast"/>
        <w:rPr>
          <w:rFonts w:eastAsia="Segoe UI" w:cstheme="minorHAnsi"/>
          <w:color w:val="011A3C"/>
          <w:sz w:val="24"/>
          <w:szCs w:val="24"/>
          <w:lang w:val="en" w:eastAsia="en-AU"/>
        </w:rPr>
      </w:pPr>
      <w:r w:rsidRPr="009B4DE1">
        <w:rPr>
          <w:rFonts w:eastAsia="Segoe UI" w:cstheme="minorHAnsi"/>
          <w:color w:val="011A3C"/>
          <w:sz w:val="24"/>
          <w:szCs w:val="24"/>
          <w:lang w:val="en" w:eastAsia="en-AU"/>
        </w:rPr>
        <w:t>Hospital schools and campuses</w:t>
      </w:r>
    </w:p>
    <w:p w14:paraId="04457ACD" w14:textId="6F79E709" w:rsidR="004436AC" w:rsidRPr="009B4DE1" w:rsidRDefault="004436AC" w:rsidP="00833928">
      <w:pPr>
        <w:pStyle w:val="ListParagraph"/>
        <w:numPr>
          <w:ilvl w:val="0"/>
          <w:numId w:val="62"/>
        </w:numPr>
        <w:spacing w:before="100" w:beforeAutospacing="1" w:after="100" w:afterAutospacing="1" w:line="360" w:lineRule="atLeast"/>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Victorian College </w:t>
      </w:r>
      <w:r w:rsidR="00820C69" w:rsidRPr="009B4DE1">
        <w:rPr>
          <w:rFonts w:eastAsia="Segoe UI" w:cstheme="minorHAnsi"/>
          <w:color w:val="011A3C"/>
          <w:sz w:val="24"/>
          <w:szCs w:val="24"/>
          <w:lang w:val="en" w:eastAsia="en-AU"/>
        </w:rPr>
        <w:t>For the Deaf</w:t>
      </w:r>
    </w:p>
    <w:p w14:paraId="6AFD312B" w14:textId="32A12BBF" w:rsidR="007E34E3" w:rsidRPr="009B4DE1" w:rsidRDefault="007E34E3" w:rsidP="00833928">
      <w:pPr>
        <w:pStyle w:val="ListParagraph"/>
        <w:numPr>
          <w:ilvl w:val="0"/>
          <w:numId w:val="62"/>
        </w:numPr>
        <w:spacing w:before="100" w:beforeAutospacing="1" w:after="100" w:afterAutospacing="1" w:line="360" w:lineRule="atLeast"/>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Aurora </w:t>
      </w:r>
      <w:r w:rsidR="00D52B11" w:rsidRPr="009B4DE1">
        <w:rPr>
          <w:rFonts w:eastAsia="Segoe UI" w:cstheme="minorHAnsi"/>
          <w:color w:val="011A3C"/>
          <w:sz w:val="24"/>
          <w:szCs w:val="24"/>
          <w:lang w:val="en" w:eastAsia="en-AU"/>
        </w:rPr>
        <w:t>School</w:t>
      </w:r>
    </w:p>
    <w:p w14:paraId="0EA87F06" w14:textId="0FFC1969" w:rsidR="00C42D86" w:rsidRPr="00833928" w:rsidRDefault="004A334A" w:rsidP="00833928">
      <w:pPr>
        <w:rPr>
          <w:color w:val="011A3C"/>
          <w:sz w:val="24"/>
          <w:lang w:val="en"/>
        </w:rPr>
      </w:pPr>
      <w:r w:rsidRPr="009B4DE1">
        <w:rPr>
          <w:rFonts w:eastAsia="Segoe UI" w:cstheme="minorHAnsi"/>
          <w:color w:val="011A3C"/>
          <w:sz w:val="24"/>
          <w:szCs w:val="24"/>
          <w:lang w:val="en" w:eastAsia="en-AU"/>
        </w:rPr>
        <w:t>Funding is calculated at the Indicative, Confirmed and Revised budget cycles</w:t>
      </w:r>
      <w:r w:rsidR="00380806" w:rsidRPr="009B4DE1">
        <w:rPr>
          <w:rFonts w:eastAsia="Segoe UI" w:cstheme="minorHAnsi"/>
          <w:color w:val="011A3C"/>
          <w:sz w:val="24"/>
          <w:szCs w:val="24"/>
          <w:lang w:val="en" w:eastAsia="en-AU"/>
        </w:rPr>
        <w:t>. Funding</w:t>
      </w:r>
      <w:r w:rsidRPr="009B4DE1">
        <w:rPr>
          <w:rFonts w:eastAsia="Segoe UI" w:cstheme="minorHAnsi"/>
          <w:color w:val="011A3C"/>
          <w:sz w:val="24"/>
          <w:szCs w:val="24"/>
          <w:lang w:val="en" w:eastAsia="en-AU"/>
        </w:rPr>
        <w:t xml:space="preserve"> </w:t>
      </w:r>
      <w:r w:rsidR="009D3396" w:rsidRPr="009B4DE1">
        <w:rPr>
          <w:rFonts w:eastAsia="Segoe UI" w:cstheme="minorHAnsi"/>
          <w:color w:val="011A3C"/>
          <w:sz w:val="24"/>
          <w:szCs w:val="24"/>
          <w:lang w:val="en" w:eastAsia="en-AU"/>
        </w:rPr>
        <w:t>is allocated through credit and cash funding.</w:t>
      </w:r>
      <w:r w:rsidR="00C42D86" w:rsidRPr="009B4DE1">
        <w:rPr>
          <w:rFonts w:eastAsia="Segoe UI" w:cstheme="minorHAnsi"/>
          <w:color w:val="011A3C"/>
          <w:sz w:val="24"/>
          <w:szCs w:val="24"/>
          <w:lang w:val="en" w:eastAsia="en-AU"/>
        </w:rPr>
        <w:t xml:space="preserve"> </w:t>
      </w:r>
    </w:p>
    <w:bookmarkEnd w:id="24"/>
    <w:p w14:paraId="38F8E5D7" w14:textId="28425F0B" w:rsidR="00D0026E" w:rsidRPr="00260C1D" w:rsidRDefault="00D0026E" w:rsidP="00D0026E">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3F964857" w14:textId="669EF84A" w:rsidR="00D0026E" w:rsidRPr="00260C1D" w:rsidRDefault="00D0026E" w:rsidP="00D0026E">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Core Index allocations are </w:t>
      </w:r>
      <w:r w:rsidR="004A334A" w:rsidRPr="00260C1D">
        <w:rPr>
          <w:rFonts w:eastAsia="Segoe UI" w:cstheme="minorHAnsi"/>
          <w:color w:val="011A3C"/>
          <w:sz w:val="24"/>
          <w:szCs w:val="24"/>
          <w:lang w:val="en" w:eastAsia="en-AU"/>
        </w:rPr>
        <w:t xml:space="preserve">determined </w:t>
      </w:r>
      <w:r w:rsidRPr="00260C1D">
        <w:rPr>
          <w:rFonts w:eastAsia="Segoe UI" w:cstheme="minorHAnsi"/>
          <w:color w:val="011A3C"/>
          <w:sz w:val="24"/>
          <w:szCs w:val="24"/>
          <w:lang w:val="en" w:eastAsia="en-AU"/>
        </w:rPr>
        <w:t>based on</w:t>
      </w:r>
      <w:r w:rsidR="00335627" w:rsidRPr="00260C1D">
        <w:rPr>
          <w:rFonts w:eastAsia="Segoe UI" w:cstheme="minorHAnsi"/>
          <w:color w:val="011A3C"/>
          <w:sz w:val="24"/>
          <w:szCs w:val="24"/>
          <w:lang w:val="en" w:eastAsia="en-AU"/>
        </w:rPr>
        <w:t xml:space="preserve"> </w:t>
      </w:r>
      <w:r w:rsidR="00380806">
        <w:rPr>
          <w:rFonts w:eastAsia="Segoe UI" w:cstheme="minorHAnsi"/>
          <w:color w:val="011A3C"/>
          <w:sz w:val="24"/>
          <w:szCs w:val="24"/>
          <w:lang w:val="en" w:eastAsia="en-AU"/>
        </w:rPr>
        <w:t>c</w:t>
      </w:r>
      <w:r w:rsidR="00335627" w:rsidRPr="00260C1D">
        <w:rPr>
          <w:rFonts w:eastAsia="Segoe UI" w:cstheme="minorHAnsi"/>
          <w:color w:val="011A3C"/>
          <w:sz w:val="24"/>
          <w:szCs w:val="24"/>
          <w:lang w:val="en" w:eastAsia="en-AU"/>
        </w:rPr>
        <w:t xml:space="preserve">ensus </w:t>
      </w:r>
      <w:r w:rsidR="00CA1FF9" w:rsidRPr="00260C1D">
        <w:rPr>
          <w:rFonts w:eastAsia="Segoe UI" w:cstheme="minorHAnsi"/>
          <w:color w:val="011A3C"/>
          <w:sz w:val="24"/>
          <w:szCs w:val="24"/>
          <w:lang w:val="en" w:eastAsia="en-AU"/>
        </w:rPr>
        <w:t xml:space="preserve">student </w:t>
      </w:r>
      <w:r w:rsidRPr="00260C1D">
        <w:rPr>
          <w:rFonts w:eastAsia="Segoe UI" w:cstheme="minorHAnsi"/>
          <w:color w:val="011A3C"/>
          <w:sz w:val="24"/>
          <w:szCs w:val="24"/>
          <w:lang w:val="en" w:eastAsia="en-AU"/>
        </w:rPr>
        <w:t>enrolment details</w:t>
      </w:r>
      <w:r w:rsidR="00CA1FF9" w:rsidRPr="00260C1D">
        <w:rPr>
          <w:rFonts w:eastAsia="Segoe UI" w:cstheme="minorHAnsi"/>
          <w:color w:val="011A3C"/>
          <w:sz w:val="24"/>
          <w:szCs w:val="24"/>
          <w:lang w:val="en" w:eastAsia="en-AU"/>
        </w:rPr>
        <w:t>.</w:t>
      </w:r>
    </w:p>
    <w:p w14:paraId="03620647" w14:textId="798E656D" w:rsidR="00D0026E" w:rsidRPr="00260C1D" w:rsidRDefault="00D0026E" w:rsidP="00D0026E">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Core Index allocation</w:t>
      </w:r>
      <w:r w:rsidRPr="00260C1D">
        <w:rPr>
          <w:rFonts w:eastAsia="Segoe UI" w:cstheme="minorHAnsi"/>
          <w:color w:val="011A3C"/>
          <w:sz w:val="24"/>
          <w:szCs w:val="24"/>
          <w:lang w:val="en" w:eastAsia="en-AU"/>
        </w:rPr>
        <w:t xml:space="preserve"> =</w:t>
      </w:r>
      <w:r w:rsidR="00CA1FF9" w:rsidRPr="00260C1D">
        <w:rPr>
          <w:rFonts w:eastAsia="Segoe UI" w:cstheme="minorHAnsi"/>
          <w:color w:val="011A3C"/>
          <w:sz w:val="24"/>
          <w:szCs w:val="24"/>
          <w:lang w:val="en" w:eastAsia="en-AU"/>
        </w:rPr>
        <w:t xml:space="preserve"> Census </w:t>
      </w:r>
      <w:r w:rsidRPr="00260C1D">
        <w:rPr>
          <w:rFonts w:eastAsia="Segoe UI" w:cstheme="minorHAnsi"/>
          <w:color w:val="011A3C"/>
          <w:sz w:val="24"/>
          <w:szCs w:val="24"/>
          <w:lang w:val="en" w:eastAsia="en-AU"/>
        </w:rPr>
        <w:t xml:space="preserve">student enrolments </w:t>
      </w:r>
      <w:r w:rsidR="00AE1EC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297511">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tage funding rate</w:t>
      </w:r>
    </w:p>
    <w:p w14:paraId="00EFDFB0" w14:textId="3AC7441E" w:rsidR="00D603B5" w:rsidRPr="00260C1D" w:rsidRDefault="00D603B5" w:rsidP="00D0026E">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Example: A school with 10 stage 2 enrolments would calculate their Stage 2 funding as:</w:t>
      </w:r>
      <w:r w:rsidRPr="00260C1D">
        <w:rPr>
          <w:rFonts w:eastAsia="Segoe UI" w:cstheme="minorHAnsi"/>
          <w:color w:val="011A3C"/>
          <w:sz w:val="24"/>
          <w:szCs w:val="24"/>
          <w:lang w:val="en" w:eastAsia="en-AU"/>
        </w:rPr>
        <w:br/>
        <w:t xml:space="preserve">Stage 2 enrolments (10) </w:t>
      </w:r>
      <w:r w:rsidR="00AE1EC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Stage 2 rate.</w:t>
      </w:r>
      <w:r w:rsidR="00D36A42"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This </w:t>
      </w:r>
      <w:r w:rsidR="00380806">
        <w:rPr>
          <w:rFonts w:eastAsia="Segoe UI" w:cstheme="minorHAnsi"/>
          <w:color w:val="011A3C"/>
          <w:sz w:val="24"/>
          <w:szCs w:val="24"/>
          <w:lang w:val="en" w:eastAsia="en-AU"/>
        </w:rPr>
        <w:t>is</w:t>
      </w:r>
      <w:r w:rsidRPr="00260C1D">
        <w:rPr>
          <w:rFonts w:eastAsia="Segoe UI" w:cstheme="minorHAnsi"/>
          <w:color w:val="011A3C"/>
          <w:sz w:val="24"/>
          <w:szCs w:val="24"/>
          <w:lang w:val="en" w:eastAsia="en-AU"/>
        </w:rPr>
        <w:t xml:space="preserve"> repeated for all stages</w:t>
      </w:r>
      <w:r w:rsidR="002F4A99" w:rsidRPr="00260C1D">
        <w:rPr>
          <w:rFonts w:eastAsia="Segoe UI" w:cstheme="minorHAnsi"/>
          <w:color w:val="011A3C"/>
          <w:sz w:val="24"/>
          <w:szCs w:val="24"/>
          <w:lang w:val="en" w:eastAsia="en-AU"/>
        </w:rPr>
        <w:t xml:space="preserve"> dependent on school enrolments</w:t>
      </w:r>
      <w:r w:rsidRPr="00260C1D">
        <w:rPr>
          <w:rFonts w:eastAsia="Segoe UI" w:cstheme="minorHAnsi"/>
          <w:color w:val="011A3C"/>
          <w:sz w:val="24"/>
          <w:szCs w:val="24"/>
          <w:lang w:val="en" w:eastAsia="en-AU"/>
        </w:rPr>
        <w:t>.</w:t>
      </w:r>
    </w:p>
    <w:p w14:paraId="62978F02" w14:textId="363737BC" w:rsidR="00D0026E" w:rsidRPr="00260C1D" w:rsidRDefault="00D0026E" w:rsidP="00D0026E">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202</w:t>
      </w:r>
      <w:r w:rsidR="00A105BE">
        <w:rPr>
          <w:rFonts w:eastAsia="Segoe UI" w:cstheme="minorHAnsi"/>
          <w:b/>
          <w:color w:val="011A3C"/>
          <w:sz w:val="27"/>
          <w:szCs w:val="27"/>
          <w:lang w:val="en" w:eastAsia="en-A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60"/>
        <w:gridCol w:w="4552"/>
        <w:gridCol w:w="1755"/>
        <w:gridCol w:w="1510"/>
        <w:gridCol w:w="1579"/>
      </w:tblGrid>
      <w:tr w:rsidR="00D0026E" w:rsidRPr="00260C1D" w14:paraId="25960045" w14:textId="77777777" w:rsidTr="00124D27">
        <w:trPr>
          <w:tblHeader/>
        </w:trPr>
        <w:tc>
          <w:tcPr>
            <w:tcW w:w="0" w:type="auto"/>
            <w:hideMark/>
          </w:tcPr>
          <w:p w14:paraId="6B5628EC" w14:textId="77777777" w:rsidR="00D0026E" w:rsidRPr="00614B09" w:rsidRDefault="00D0026E" w:rsidP="00614B09">
            <w:pPr>
              <w:spacing w:after="0" w:line="240" w:lineRule="atLeast"/>
              <w:jc w:val="center"/>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Stage</w:t>
            </w:r>
          </w:p>
        </w:tc>
        <w:tc>
          <w:tcPr>
            <w:tcW w:w="0" w:type="auto"/>
            <w:hideMark/>
          </w:tcPr>
          <w:p w14:paraId="636CE6D6" w14:textId="7BDFD2BB" w:rsidR="00D0026E" w:rsidRPr="00614B09" w:rsidRDefault="00D0026E" w:rsidP="00614B09">
            <w:pPr>
              <w:spacing w:after="0" w:line="240" w:lineRule="atLeast"/>
              <w:jc w:val="center"/>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Age Range</w:t>
            </w:r>
            <w:r w:rsidR="004A334A" w:rsidRPr="00614B09">
              <w:rPr>
                <w:rFonts w:eastAsia="Segoe UI" w:cstheme="minorHAnsi"/>
                <w:b/>
                <w:bCs/>
                <w:color w:val="323E4F" w:themeColor="text2" w:themeShade="BF"/>
                <w:sz w:val="24"/>
                <w:szCs w:val="24"/>
                <w:lang w:eastAsia="en-AU"/>
              </w:rPr>
              <w:t xml:space="preserve"> (at 1 January)</w:t>
            </w:r>
          </w:p>
        </w:tc>
        <w:tc>
          <w:tcPr>
            <w:tcW w:w="0" w:type="auto"/>
            <w:hideMark/>
          </w:tcPr>
          <w:p w14:paraId="63E07861" w14:textId="77777777" w:rsidR="00D0026E" w:rsidRPr="00614B09" w:rsidRDefault="00D0026E"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Credit ($)</w:t>
            </w:r>
          </w:p>
        </w:tc>
        <w:tc>
          <w:tcPr>
            <w:tcW w:w="0" w:type="auto"/>
            <w:hideMark/>
          </w:tcPr>
          <w:p w14:paraId="35771CDF" w14:textId="77777777" w:rsidR="00D0026E" w:rsidRPr="00614B09" w:rsidRDefault="00D0026E"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Cash ($)</w:t>
            </w:r>
          </w:p>
        </w:tc>
        <w:tc>
          <w:tcPr>
            <w:tcW w:w="0" w:type="auto"/>
            <w:hideMark/>
          </w:tcPr>
          <w:p w14:paraId="359B659D" w14:textId="77777777" w:rsidR="00D0026E" w:rsidRPr="00614B09" w:rsidRDefault="00D0026E"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Total ($)</w:t>
            </w:r>
          </w:p>
        </w:tc>
      </w:tr>
      <w:tr w:rsidR="00263365" w:rsidRPr="00260C1D" w14:paraId="135462D4" w14:textId="77777777" w:rsidTr="00124D27">
        <w:tc>
          <w:tcPr>
            <w:tcW w:w="0" w:type="auto"/>
            <w:hideMark/>
          </w:tcPr>
          <w:p w14:paraId="06950E71" w14:textId="77777777" w:rsidR="00263365" w:rsidRPr="00260C1D" w:rsidRDefault="00263365" w:rsidP="00263365">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w:t>
            </w:r>
          </w:p>
        </w:tc>
        <w:tc>
          <w:tcPr>
            <w:tcW w:w="0" w:type="auto"/>
            <w:hideMark/>
          </w:tcPr>
          <w:p w14:paraId="1F57C172" w14:textId="77777777" w:rsidR="00263365" w:rsidRPr="00260C1D" w:rsidRDefault="00263365" w:rsidP="00263365">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 to 10</w:t>
            </w:r>
          </w:p>
        </w:tc>
        <w:tc>
          <w:tcPr>
            <w:tcW w:w="0" w:type="auto"/>
            <w:hideMark/>
          </w:tcPr>
          <w:p w14:paraId="04A4F554" w14:textId="7F61F525" w:rsidR="00263365" w:rsidRPr="00263365" w:rsidRDefault="00263365" w:rsidP="00263365">
            <w:pPr>
              <w:spacing w:after="0" w:line="360" w:lineRule="atLeast"/>
              <w:jc w:val="right"/>
              <w:rPr>
                <w:rFonts w:eastAsia="Segoe UI" w:cstheme="minorHAnsi"/>
                <w:color w:val="323E4F" w:themeColor="text2" w:themeShade="BF"/>
                <w:sz w:val="24"/>
                <w:szCs w:val="24"/>
                <w:lang w:eastAsia="en-AU"/>
              </w:rPr>
            </w:pPr>
            <w:r w:rsidRPr="009B4DE1">
              <w:rPr>
                <w:sz w:val="24"/>
                <w:szCs w:val="24"/>
              </w:rPr>
              <w:t>10,026</w:t>
            </w:r>
          </w:p>
        </w:tc>
        <w:tc>
          <w:tcPr>
            <w:tcW w:w="0" w:type="auto"/>
            <w:hideMark/>
          </w:tcPr>
          <w:p w14:paraId="476452DC" w14:textId="6C068214" w:rsidR="00263365" w:rsidRPr="00263365" w:rsidRDefault="00263365" w:rsidP="00263365">
            <w:pPr>
              <w:spacing w:after="0" w:line="360" w:lineRule="atLeast"/>
              <w:jc w:val="right"/>
              <w:rPr>
                <w:rFonts w:eastAsia="Segoe UI" w:cstheme="minorHAnsi"/>
                <w:color w:val="323E4F" w:themeColor="text2" w:themeShade="BF"/>
                <w:sz w:val="24"/>
                <w:szCs w:val="24"/>
                <w:lang w:eastAsia="en-AU"/>
              </w:rPr>
            </w:pPr>
            <w:r w:rsidRPr="009B4DE1">
              <w:rPr>
                <w:sz w:val="24"/>
                <w:szCs w:val="24"/>
              </w:rPr>
              <w:t>828</w:t>
            </w:r>
          </w:p>
        </w:tc>
        <w:tc>
          <w:tcPr>
            <w:tcW w:w="0" w:type="auto"/>
            <w:hideMark/>
          </w:tcPr>
          <w:p w14:paraId="6ECB965D" w14:textId="50B919FF" w:rsidR="00263365" w:rsidRPr="00263365" w:rsidRDefault="00263365" w:rsidP="00263365">
            <w:pPr>
              <w:spacing w:after="0" w:line="360" w:lineRule="atLeast"/>
              <w:jc w:val="right"/>
              <w:rPr>
                <w:rFonts w:eastAsia="Segoe UI" w:cstheme="minorHAnsi"/>
                <w:color w:val="323E4F" w:themeColor="text2" w:themeShade="BF"/>
                <w:sz w:val="24"/>
                <w:szCs w:val="24"/>
                <w:lang w:eastAsia="en-AU"/>
              </w:rPr>
            </w:pPr>
            <w:r w:rsidRPr="00833928">
              <w:rPr>
                <w:sz w:val="24"/>
              </w:rPr>
              <w:t>10,</w:t>
            </w:r>
            <w:r w:rsidRPr="009B4DE1">
              <w:rPr>
                <w:sz w:val="24"/>
                <w:szCs w:val="24"/>
              </w:rPr>
              <w:t>854</w:t>
            </w:r>
          </w:p>
        </w:tc>
      </w:tr>
      <w:tr w:rsidR="00263365" w:rsidRPr="00260C1D" w14:paraId="569904C0" w14:textId="77777777" w:rsidTr="00124D27">
        <w:tc>
          <w:tcPr>
            <w:tcW w:w="0" w:type="auto"/>
            <w:hideMark/>
          </w:tcPr>
          <w:p w14:paraId="27600801" w14:textId="77777777" w:rsidR="00263365" w:rsidRPr="00260C1D" w:rsidRDefault="00263365" w:rsidP="00263365">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w:t>
            </w:r>
          </w:p>
        </w:tc>
        <w:tc>
          <w:tcPr>
            <w:tcW w:w="0" w:type="auto"/>
            <w:hideMark/>
          </w:tcPr>
          <w:p w14:paraId="2A1FCF8D" w14:textId="77777777" w:rsidR="00263365" w:rsidRPr="00260C1D" w:rsidRDefault="00263365" w:rsidP="00263365">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11 to 16</w:t>
            </w:r>
          </w:p>
        </w:tc>
        <w:tc>
          <w:tcPr>
            <w:tcW w:w="0" w:type="auto"/>
            <w:hideMark/>
          </w:tcPr>
          <w:p w14:paraId="216A2F1D" w14:textId="682738A8" w:rsidR="00263365" w:rsidRPr="00263365" w:rsidRDefault="00263365" w:rsidP="00263365">
            <w:pPr>
              <w:spacing w:after="0" w:line="360" w:lineRule="atLeast"/>
              <w:jc w:val="right"/>
              <w:rPr>
                <w:rFonts w:eastAsia="Segoe UI" w:cstheme="minorHAnsi"/>
                <w:color w:val="323E4F" w:themeColor="text2" w:themeShade="BF"/>
                <w:sz w:val="24"/>
                <w:szCs w:val="24"/>
                <w:lang w:eastAsia="en-AU"/>
              </w:rPr>
            </w:pPr>
            <w:r w:rsidRPr="009B4DE1">
              <w:rPr>
                <w:sz w:val="24"/>
                <w:szCs w:val="24"/>
              </w:rPr>
              <w:t>7,445</w:t>
            </w:r>
          </w:p>
        </w:tc>
        <w:tc>
          <w:tcPr>
            <w:tcW w:w="0" w:type="auto"/>
            <w:hideMark/>
          </w:tcPr>
          <w:p w14:paraId="019E2BAE" w14:textId="43B569E3" w:rsidR="00263365" w:rsidRPr="00263365" w:rsidRDefault="00263365" w:rsidP="00263365">
            <w:pPr>
              <w:spacing w:after="0" w:line="360" w:lineRule="atLeast"/>
              <w:jc w:val="right"/>
              <w:rPr>
                <w:rFonts w:eastAsia="Segoe UI" w:cstheme="minorHAnsi"/>
                <w:color w:val="323E4F" w:themeColor="text2" w:themeShade="BF"/>
                <w:sz w:val="24"/>
                <w:szCs w:val="24"/>
                <w:lang w:eastAsia="en-AU"/>
              </w:rPr>
            </w:pPr>
            <w:r w:rsidRPr="009B4DE1">
              <w:rPr>
                <w:sz w:val="24"/>
                <w:szCs w:val="24"/>
              </w:rPr>
              <w:t>678</w:t>
            </w:r>
          </w:p>
        </w:tc>
        <w:tc>
          <w:tcPr>
            <w:tcW w:w="0" w:type="auto"/>
            <w:hideMark/>
          </w:tcPr>
          <w:p w14:paraId="2BFE51E8" w14:textId="21ABEFAD" w:rsidR="00263365" w:rsidRPr="00263365" w:rsidRDefault="00263365" w:rsidP="00263365">
            <w:pPr>
              <w:spacing w:after="0" w:line="360" w:lineRule="atLeast"/>
              <w:jc w:val="right"/>
              <w:rPr>
                <w:rFonts w:eastAsia="Segoe UI" w:cstheme="minorHAnsi"/>
                <w:color w:val="323E4F" w:themeColor="text2" w:themeShade="BF"/>
                <w:sz w:val="24"/>
                <w:szCs w:val="24"/>
                <w:lang w:eastAsia="en-AU"/>
              </w:rPr>
            </w:pPr>
            <w:r w:rsidRPr="009B4DE1">
              <w:rPr>
                <w:sz w:val="24"/>
                <w:szCs w:val="24"/>
              </w:rPr>
              <w:t>8,123</w:t>
            </w:r>
          </w:p>
        </w:tc>
      </w:tr>
      <w:tr w:rsidR="00263365" w:rsidRPr="00260C1D" w14:paraId="03A70AF9" w14:textId="77777777" w:rsidTr="00124D27">
        <w:tc>
          <w:tcPr>
            <w:tcW w:w="0" w:type="auto"/>
            <w:hideMark/>
          </w:tcPr>
          <w:p w14:paraId="47582C6D" w14:textId="77777777" w:rsidR="00263365" w:rsidRPr="00260C1D" w:rsidRDefault="00263365" w:rsidP="00263365">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3</w:t>
            </w:r>
          </w:p>
        </w:tc>
        <w:tc>
          <w:tcPr>
            <w:tcW w:w="0" w:type="auto"/>
            <w:hideMark/>
          </w:tcPr>
          <w:p w14:paraId="1CAD3EB2" w14:textId="77777777" w:rsidR="00263365" w:rsidRPr="00260C1D" w:rsidRDefault="00263365" w:rsidP="00263365">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17 to 18</w:t>
            </w:r>
          </w:p>
        </w:tc>
        <w:tc>
          <w:tcPr>
            <w:tcW w:w="0" w:type="auto"/>
            <w:hideMark/>
          </w:tcPr>
          <w:p w14:paraId="3D4AF820" w14:textId="5C167AE4" w:rsidR="00263365" w:rsidRPr="00263365" w:rsidRDefault="00263365" w:rsidP="00263365">
            <w:pPr>
              <w:spacing w:after="0" w:line="360" w:lineRule="atLeast"/>
              <w:jc w:val="right"/>
              <w:rPr>
                <w:rFonts w:eastAsia="Segoe UI" w:cstheme="minorHAnsi"/>
                <w:color w:val="323E4F" w:themeColor="text2" w:themeShade="BF"/>
                <w:sz w:val="24"/>
                <w:szCs w:val="24"/>
                <w:lang w:eastAsia="en-AU"/>
              </w:rPr>
            </w:pPr>
            <w:r w:rsidRPr="009B4DE1">
              <w:rPr>
                <w:sz w:val="24"/>
                <w:szCs w:val="24"/>
              </w:rPr>
              <w:t>8,085</w:t>
            </w:r>
          </w:p>
        </w:tc>
        <w:tc>
          <w:tcPr>
            <w:tcW w:w="0" w:type="auto"/>
            <w:hideMark/>
          </w:tcPr>
          <w:p w14:paraId="001DA5B7" w14:textId="65755BC3" w:rsidR="00263365" w:rsidRPr="00263365" w:rsidRDefault="00263365" w:rsidP="00263365">
            <w:pPr>
              <w:spacing w:after="0" w:line="360" w:lineRule="atLeast"/>
              <w:jc w:val="right"/>
              <w:rPr>
                <w:rFonts w:eastAsia="Segoe UI" w:cstheme="minorHAnsi"/>
                <w:color w:val="323E4F" w:themeColor="text2" w:themeShade="BF"/>
                <w:sz w:val="24"/>
                <w:szCs w:val="24"/>
                <w:lang w:eastAsia="en-AU"/>
              </w:rPr>
            </w:pPr>
            <w:r w:rsidRPr="009B4DE1">
              <w:rPr>
                <w:sz w:val="24"/>
                <w:szCs w:val="24"/>
              </w:rPr>
              <w:t>727</w:t>
            </w:r>
          </w:p>
        </w:tc>
        <w:tc>
          <w:tcPr>
            <w:tcW w:w="0" w:type="auto"/>
            <w:hideMark/>
          </w:tcPr>
          <w:p w14:paraId="0C6B18E7" w14:textId="624E26FF" w:rsidR="00263365" w:rsidRPr="00263365" w:rsidRDefault="00263365" w:rsidP="00263365">
            <w:pPr>
              <w:spacing w:after="0" w:line="360" w:lineRule="atLeast"/>
              <w:jc w:val="right"/>
              <w:rPr>
                <w:rFonts w:eastAsia="Segoe UI" w:cstheme="minorHAnsi"/>
                <w:color w:val="323E4F" w:themeColor="text2" w:themeShade="BF"/>
                <w:sz w:val="24"/>
                <w:szCs w:val="24"/>
                <w:lang w:eastAsia="en-AU"/>
              </w:rPr>
            </w:pPr>
            <w:r w:rsidRPr="00833928">
              <w:rPr>
                <w:sz w:val="24"/>
              </w:rPr>
              <w:t>8,</w:t>
            </w:r>
            <w:r w:rsidRPr="009B4DE1">
              <w:rPr>
                <w:sz w:val="24"/>
                <w:szCs w:val="24"/>
              </w:rPr>
              <w:t>812</w:t>
            </w:r>
          </w:p>
        </w:tc>
      </w:tr>
    </w:tbl>
    <w:p w14:paraId="3A5CA506" w14:textId="650B4DB0" w:rsidR="00D0026E" w:rsidRPr="00260C1D" w:rsidRDefault="00D0026E" w:rsidP="00D0026E">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Notes</w:t>
      </w:r>
    </w:p>
    <w:p w14:paraId="0F33B911" w14:textId="3A039DC2" w:rsidR="00D0026E" w:rsidRPr="00260C1D" w:rsidRDefault="00CA1FF9" w:rsidP="00D0026E">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w:t>
      </w:r>
      <w:r w:rsidR="00D0026E" w:rsidRPr="00260C1D">
        <w:rPr>
          <w:rFonts w:eastAsia="Segoe UI" w:cstheme="minorHAnsi"/>
          <w:color w:val="011A3C"/>
          <w:sz w:val="24"/>
          <w:szCs w:val="24"/>
          <w:lang w:val="en" w:eastAsia="en-AU"/>
        </w:rPr>
        <w:t xml:space="preserve">pecialist school </w:t>
      </w:r>
      <w:r w:rsidRPr="00260C1D">
        <w:rPr>
          <w:rFonts w:eastAsia="Segoe UI" w:cstheme="minorHAnsi"/>
          <w:color w:val="011A3C"/>
          <w:sz w:val="24"/>
          <w:szCs w:val="24"/>
          <w:lang w:val="en" w:eastAsia="en-AU"/>
        </w:rPr>
        <w:t xml:space="preserve">enrolment </w:t>
      </w:r>
      <w:r w:rsidR="00D0026E" w:rsidRPr="00260C1D">
        <w:rPr>
          <w:rFonts w:eastAsia="Segoe UI" w:cstheme="minorHAnsi"/>
          <w:color w:val="011A3C"/>
          <w:sz w:val="24"/>
          <w:szCs w:val="24"/>
          <w:lang w:val="en" w:eastAsia="en-AU"/>
        </w:rPr>
        <w:t>eligibility and regional approval need</w:t>
      </w:r>
      <w:r w:rsidRPr="00260C1D">
        <w:rPr>
          <w:rFonts w:eastAsia="Segoe UI" w:cstheme="minorHAnsi"/>
          <w:color w:val="011A3C"/>
          <w:sz w:val="24"/>
          <w:szCs w:val="24"/>
          <w:lang w:val="en" w:eastAsia="en-AU"/>
        </w:rPr>
        <w:t>s</w:t>
      </w:r>
      <w:r w:rsidR="00D0026E" w:rsidRPr="00260C1D">
        <w:rPr>
          <w:rFonts w:eastAsia="Segoe UI" w:cstheme="minorHAnsi"/>
          <w:color w:val="011A3C"/>
          <w:sz w:val="24"/>
          <w:szCs w:val="24"/>
          <w:lang w:val="en" w:eastAsia="en-AU"/>
        </w:rPr>
        <w:t xml:space="preserve"> to be established for each student. </w:t>
      </w:r>
    </w:p>
    <w:p w14:paraId="708E54B9" w14:textId="679851C3" w:rsidR="00D0026E" w:rsidRPr="00260C1D" w:rsidRDefault="00D0026E" w:rsidP="006A5663">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If it is deemed appropriate, a regional director has the discretion and the authority to approve the enrolment of a student </w:t>
      </w:r>
      <w:r w:rsidR="00CA1FF9" w:rsidRPr="00260C1D">
        <w:rPr>
          <w:rFonts w:eastAsia="Segoe UI" w:cstheme="minorHAnsi"/>
          <w:color w:val="011A3C"/>
          <w:sz w:val="24"/>
          <w:szCs w:val="24"/>
          <w:lang w:val="en" w:eastAsia="en-AU"/>
        </w:rPr>
        <w:t xml:space="preserve">that does not meet the specialist school’s enrolment criteria. </w:t>
      </w:r>
    </w:p>
    <w:p w14:paraId="24552D27" w14:textId="77777777" w:rsidR="00E111AD" w:rsidRDefault="00E111AD" w:rsidP="004D307F">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For the Indicative budget cycle, total</w:t>
      </w:r>
      <w:r>
        <w:rPr>
          <w:rFonts w:eastAsia="Segoe UI" w:cstheme="minorHAnsi"/>
          <w:color w:val="011A3C"/>
          <w:sz w:val="24"/>
          <w:szCs w:val="24"/>
          <w:lang w:val="en" w:eastAsia="en-AU"/>
        </w:rPr>
        <w:t xml:space="preserve"> enrolments</w:t>
      </w:r>
      <w:r w:rsidRPr="00260C1D">
        <w:rPr>
          <w:rFonts w:eastAsia="Segoe UI" w:cstheme="minorHAnsi"/>
          <w:color w:val="011A3C"/>
          <w:sz w:val="24"/>
          <w:szCs w:val="24"/>
          <w:lang w:val="en" w:eastAsia="en-AU"/>
        </w:rPr>
        <w:t xml:space="preserve"> are sourced from the Principal Projections and distributed by existing age profiles. If Principal Projections totals are not provided, existing totals will be rolled over.</w:t>
      </w:r>
    </w:p>
    <w:p w14:paraId="7D2CB6E3" w14:textId="098D0EC4" w:rsidR="00C116FE" w:rsidRPr="00260C1D" w:rsidRDefault="004A334A" w:rsidP="004D307F">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For the Confirmed budget cycle, total</w:t>
      </w:r>
      <w:r w:rsidR="00380806">
        <w:rPr>
          <w:rFonts w:eastAsia="Segoe UI" w:cstheme="minorHAnsi"/>
          <w:color w:val="011A3C"/>
          <w:sz w:val="24"/>
          <w:szCs w:val="24"/>
          <w:lang w:val="en" w:eastAsia="en-AU"/>
        </w:rPr>
        <w:t xml:space="preserve"> enrolments</w:t>
      </w:r>
      <w:r w:rsidRPr="00260C1D">
        <w:rPr>
          <w:rFonts w:eastAsia="Segoe UI" w:cstheme="minorHAnsi"/>
          <w:color w:val="011A3C"/>
          <w:sz w:val="24"/>
          <w:szCs w:val="24"/>
          <w:lang w:val="en" w:eastAsia="en-AU"/>
        </w:rPr>
        <w:t xml:space="preserve"> are sourced from the February Census. </w:t>
      </w:r>
    </w:p>
    <w:p w14:paraId="5F5FE38E" w14:textId="4B6B4151" w:rsidR="00F126FF" w:rsidRPr="00260C1D" w:rsidRDefault="00F126FF" w:rsidP="002558B6">
      <w:pPr>
        <w:spacing w:before="100" w:beforeAutospacing="1" w:after="100" w:afterAutospacing="1" w:line="360" w:lineRule="atLeast"/>
        <w:rPr>
          <w:rFonts w:cstheme="minorHAnsi"/>
        </w:rPr>
      </w:pPr>
      <w:r w:rsidRPr="00260C1D">
        <w:rPr>
          <w:rFonts w:cstheme="minorHAnsi"/>
        </w:rPr>
        <w:br w:type="page"/>
      </w:r>
    </w:p>
    <w:p w14:paraId="019F1361" w14:textId="41B0D6A7" w:rsidR="00B6662C" w:rsidRPr="00260C1D" w:rsidRDefault="00B6662C" w:rsidP="00532A33">
      <w:pPr>
        <w:pStyle w:val="Heading2"/>
      </w:pPr>
      <w:bookmarkStart w:id="25" w:name="_Toc141965232"/>
      <w:bookmarkStart w:id="26" w:name="_Toc145339562"/>
      <w:bookmarkStart w:id="27" w:name="_Toc153791885"/>
      <w:r w:rsidRPr="00260C1D">
        <w:lastRenderedPageBreak/>
        <w:t>Size Adjustment Supplementation (Reference 6)</w:t>
      </w:r>
      <w:bookmarkEnd w:id="25"/>
      <w:bookmarkEnd w:id="26"/>
      <w:bookmarkEnd w:id="27"/>
    </w:p>
    <w:p w14:paraId="4EB72031" w14:textId="1BDD048A" w:rsidR="00B6662C" w:rsidRPr="00260C1D" w:rsidRDefault="00286FA1" w:rsidP="00B6662C">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The S</w:t>
      </w:r>
      <w:r w:rsidR="00B6662C" w:rsidRPr="00260C1D">
        <w:rPr>
          <w:rFonts w:eastAsia="Segoe UI" w:cstheme="minorHAnsi"/>
          <w:color w:val="011A3C"/>
          <w:sz w:val="24"/>
          <w:szCs w:val="24"/>
          <w:lang w:val="en" w:eastAsia="en-AU"/>
        </w:rPr>
        <w:t xml:space="preserve">ize </w:t>
      </w:r>
      <w:r>
        <w:rPr>
          <w:rFonts w:eastAsia="Segoe UI" w:cstheme="minorHAnsi"/>
          <w:color w:val="011A3C"/>
          <w:sz w:val="24"/>
          <w:szCs w:val="24"/>
          <w:lang w:val="en" w:eastAsia="en-AU"/>
        </w:rPr>
        <w:t>A</w:t>
      </w:r>
      <w:r w:rsidR="00B6662C" w:rsidRPr="00260C1D">
        <w:rPr>
          <w:rFonts w:eastAsia="Segoe UI" w:cstheme="minorHAnsi"/>
          <w:color w:val="011A3C"/>
          <w:sz w:val="24"/>
          <w:szCs w:val="24"/>
          <w:lang w:val="en" w:eastAsia="en-AU"/>
        </w:rPr>
        <w:t xml:space="preserve">djustment </w:t>
      </w:r>
      <w:r>
        <w:rPr>
          <w:rFonts w:eastAsia="Segoe UI" w:cstheme="minorHAnsi"/>
          <w:color w:val="011A3C"/>
          <w:sz w:val="24"/>
          <w:szCs w:val="24"/>
          <w:lang w:val="en" w:eastAsia="en-AU"/>
        </w:rPr>
        <w:t>Supplementation</w:t>
      </w:r>
      <w:r w:rsidRPr="00260C1D">
        <w:rPr>
          <w:rFonts w:eastAsia="Segoe UI" w:cstheme="minorHAnsi"/>
          <w:color w:val="011A3C"/>
          <w:sz w:val="24"/>
          <w:szCs w:val="24"/>
          <w:lang w:val="en" w:eastAsia="en-AU"/>
        </w:rPr>
        <w:t xml:space="preserve"> </w:t>
      </w:r>
      <w:r>
        <w:rPr>
          <w:rFonts w:eastAsia="Segoe UI" w:cstheme="minorHAnsi"/>
          <w:color w:val="011A3C"/>
          <w:sz w:val="24"/>
          <w:szCs w:val="24"/>
          <w:lang w:val="en" w:eastAsia="en-AU"/>
        </w:rPr>
        <w:t>applies</w:t>
      </w:r>
      <w:r w:rsidR="00B6662C" w:rsidRPr="00260C1D">
        <w:rPr>
          <w:rFonts w:eastAsia="Segoe UI" w:cstheme="minorHAnsi"/>
          <w:color w:val="011A3C"/>
          <w:sz w:val="24"/>
          <w:szCs w:val="24"/>
          <w:lang w:val="en" w:eastAsia="en-AU"/>
        </w:rPr>
        <w:t xml:space="preserve"> to all specialist schools </w:t>
      </w:r>
      <w:r>
        <w:rPr>
          <w:rFonts w:eastAsia="Segoe UI" w:cstheme="minorHAnsi"/>
          <w:color w:val="011A3C"/>
          <w:sz w:val="24"/>
          <w:szCs w:val="24"/>
          <w:lang w:val="en" w:eastAsia="en-AU"/>
        </w:rPr>
        <w:t>where the number of</w:t>
      </w:r>
      <w:r w:rsidR="00B6662C" w:rsidRPr="00260C1D">
        <w:rPr>
          <w:rFonts w:eastAsia="Segoe UI" w:cstheme="minorHAnsi"/>
          <w:color w:val="011A3C"/>
          <w:sz w:val="24"/>
          <w:szCs w:val="24"/>
          <w:lang w:val="en" w:eastAsia="en-AU"/>
        </w:rPr>
        <w:t xml:space="preserve"> school aged enrolment</w:t>
      </w:r>
      <w:r>
        <w:rPr>
          <w:rFonts w:eastAsia="Segoe UI" w:cstheme="minorHAnsi"/>
          <w:color w:val="011A3C"/>
          <w:sz w:val="24"/>
          <w:szCs w:val="24"/>
          <w:lang w:val="en" w:eastAsia="en-AU"/>
        </w:rPr>
        <w:t>s</w:t>
      </w:r>
      <w:r w:rsidR="00B6662C" w:rsidRPr="00260C1D">
        <w:rPr>
          <w:rFonts w:eastAsia="Segoe UI" w:cstheme="minorHAnsi"/>
          <w:color w:val="011A3C"/>
          <w:sz w:val="24"/>
          <w:szCs w:val="24"/>
          <w:lang w:val="en" w:eastAsia="en-AU"/>
        </w:rPr>
        <w:t xml:space="preserve"> </w:t>
      </w:r>
      <w:r>
        <w:rPr>
          <w:rFonts w:eastAsia="Segoe UI" w:cstheme="minorHAnsi"/>
          <w:color w:val="011A3C"/>
          <w:sz w:val="24"/>
          <w:szCs w:val="24"/>
          <w:lang w:val="en" w:eastAsia="en-AU"/>
        </w:rPr>
        <w:t>is</w:t>
      </w:r>
      <w:r w:rsidR="00B6662C" w:rsidRPr="00260C1D">
        <w:rPr>
          <w:rFonts w:eastAsia="Segoe UI" w:cstheme="minorHAnsi"/>
          <w:color w:val="011A3C"/>
          <w:sz w:val="24"/>
          <w:szCs w:val="24"/>
          <w:lang w:val="en" w:eastAsia="en-AU"/>
        </w:rPr>
        <w:t xml:space="preserve"> less than the enrolment threshold.</w:t>
      </w:r>
    </w:p>
    <w:p w14:paraId="496BD57C" w14:textId="77777777" w:rsidR="00A11F95" w:rsidRPr="00260C1D" w:rsidRDefault="00A11F95" w:rsidP="00A11F95">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 </w:t>
      </w:r>
    </w:p>
    <w:p w14:paraId="48E9E218" w14:textId="4BCAC0DE" w:rsidR="00A11F95" w:rsidRPr="00260C1D" w:rsidRDefault="00A11F95" w:rsidP="00A11F9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following campus types receive the </w:t>
      </w:r>
      <w:r w:rsidR="004A3407">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ize </w:t>
      </w:r>
      <w:r w:rsidR="004A3407">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 xml:space="preserve">djustment </w:t>
      </w:r>
      <w:r w:rsidR="004A3407">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upplementation</w:t>
      </w:r>
      <w:r w:rsidR="009D3396" w:rsidRPr="00260C1D">
        <w:rPr>
          <w:rFonts w:eastAsia="Segoe UI" w:cstheme="minorHAnsi"/>
          <w:color w:val="011A3C"/>
          <w:sz w:val="24"/>
          <w:szCs w:val="24"/>
          <w:lang w:val="en" w:eastAsia="en-AU"/>
        </w:rPr>
        <w:t xml:space="preserve"> </w:t>
      </w:r>
      <w:r w:rsidR="002F4A99" w:rsidRPr="00260C1D">
        <w:rPr>
          <w:rFonts w:eastAsia="Segoe UI" w:cstheme="minorHAnsi"/>
          <w:color w:val="011A3C"/>
          <w:sz w:val="24"/>
          <w:szCs w:val="24"/>
          <w:lang w:val="en" w:eastAsia="en-AU"/>
        </w:rPr>
        <w:t xml:space="preserve">funding </w:t>
      </w:r>
      <w:r w:rsidR="009D3396" w:rsidRPr="00260C1D">
        <w:rPr>
          <w:rFonts w:eastAsia="Segoe UI" w:cstheme="minorHAnsi"/>
          <w:color w:val="011A3C"/>
          <w:sz w:val="24"/>
          <w:szCs w:val="24"/>
          <w:lang w:val="en" w:eastAsia="en-AU"/>
        </w:rPr>
        <w:t xml:space="preserve">at </w:t>
      </w:r>
      <w:r w:rsidR="00286FA1">
        <w:rPr>
          <w:rFonts w:eastAsia="Segoe UI" w:cstheme="minorHAnsi"/>
          <w:color w:val="011A3C"/>
          <w:sz w:val="24"/>
          <w:szCs w:val="24"/>
          <w:lang w:val="en" w:eastAsia="en-AU"/>
        </w:rPr>
        <w:t xml:space="preserve">a </w:t>
      </w:r>
      <w:r w:rsidR="009D3396" w:rsidRPr="00260C1D">
        <w:rPr>
          <w:rFonts w:eastAsia="Segoe UI" w:cstheme="minorHAnsi"/>
          <w:color w:val="011A3C"/>
          <w:sz w:val="24"/>
          <w:szCs w:val="24"/>
          <w:lang w:val="en" w:eastAsia="en-AU"/>
        </w:rPr>
        <w:t>school level</w:t>
      </w:r>
      <w:r w:rsidRPr="00260C1D">
        <w:rPr>
          <w:rFonts w:eastAsia="Segoe UI" w:cstheme="minorHAnsi"/>
          <w:color w:val="011A3C"/>
          <w:sz w:val="24"/>
          <w:szCs w:val="24"/>
          <w:lang w:val="en" w:eastAsia="en-AU"/>
        </w:rPr>
        <w:t>:</w:t>
      </w:r>
    </w:p>
    <w:p w14:paraId="4F9389B6" w14:textId="77777777" w:rsidR="00A11F95" w:rsidRPr="00AD4CC3" w:rsidRDefault="00A11F95" w:rsidP="00F56244">
      <w:pPr>
        <w:pStyle w:val="ListParagraph"/>
        <w:numPr>
          <w:ilvl w:val="0"/>
          <w:numId w:val="63"/>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Day special</w:t>
      </w:r>
    </w:p>
    <w:p w14:paraId="36C037E2" w14:textId="5415102C" w:rsidR="009D3396" w:rsidRPr="00AD4CC3" w:rsidRDefault="00A11F95" w:rsidP="00F56244">
      <w:pPr>
        <w:pStyle w:val="ListParagraph"/>
        <w:numPr>
          <w:ilvl w:val="0"/>
          <w:numId w:val="63"/>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Special developmental</w:t>
      </w:r>
    </w:p>
    <w:p w14:paraId="471A4C03" w14:textId="699C3B28" w:rsidR="00C05DD4" w:rsidRPr="00AD4CC3" w:rsidRDefault="00C05DD4" w:rsidP="00F56244">
      <w:pPr>
        <w:pStyle w:val="ListParagraph"/>
        <w:numPr>
          <w:ilvl w:val="0"/>
          <w:numId w:val="63"/>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Disability</w:t>
      </w:r>
    </w:p>
    <w:p w14:paraId="29964A25" w14:textId="2260BEC2" w:rsidR="0039304A" w:rsidRPr="00AD4CC3" w:rsidRDefault="0039304A" w:rsidP="00F56244">
      <w:pPr>
        <w:pStyle w:val="ListParagraph"/>
        <w:numPr>
          <w:ilvl w:val="0"/>
          <w:numId w:val="63"/>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Special</w:t>
      </w:r>
      <w:r w:rsidR="008F50B9">
        <w:rPr>
          <w:rFonts w:eastAsia="Segoe UI" w:cstheme="minorHAnsi"/>
          <w:color w:val="011A3C"/>
          <w:sz w:val="24"/>
          <w:szCs w:val="24"/>
          <w:lang w:val="en" w:eastAsia="en-AU"/>
        </w:rPr>
        <w:t xml:space="preserve"> (excluding Aurora School)</w:t>
      </w:r>
    </w:p>
    <w:p w14:paraId="22258832" w14:textId="232D6B51" w:rsidR="00533493" w:rsidRPr="00AD4CC3" w:rsidRDefault="0039304A" w:rsidP="00F56244">
      <w:pPr>
        <w:pStyle w:val="ListParagraph"/>
        <w:numPr>
          <w:ilvl w:val="0"/>
          <w:numId w:val="63"/>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 xml:space="preserve">Furlong Park School For Deaf Children </w:t>
      </w:r>
    </w:p>
    <w:p w14:paraId="2136E8B1" w14:textId="2C1C90FA" w:rsidR="002024AE" w:rsidRDefault="0087236C" w:rsidP="0039304A">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The</w:t>
      </w:r>
      <w:r w:rsidR="007B4B60">
        <w:rPr>
          <w:rFonts w:eastAsia="Segoe UI" w:cstheme="minorHAnsi"/>
          <w:color w:val="011A3C"/>
          <w:sz w:val="24"/>
          <w:szCs w:val="24"/>
          <w:lang w:val="en" w:eastAsia="en-AU"/>
        </w:rPr>
        <w:t xml:space="preserve"> Spec</w:t>
      </w:r>
      <w:r w:rsidR="001800F3">
        <w:rPr>
          <w:rFonts w:eastAsia="Segoe UI" w:cstheme="minorHAnsi"/>
          <w:color w:val="011A3C"/>
          <w:sz w:val="24"/>
          <w:szCs w:val="24"/>
          <w:lang w:val="en" w:eastAsia="en-AU"/>
        </w:rPr>
        <w:t>ial</w:t>
      </w:r>
      <w:r w:rsidR="007B4B60">
        <w:rPr>
          <w:rFonts w:eastAsia="Segoe UI" w:cstheme="minorHAnsi"/>
          <w:color w:val="011A3C"/>
          <w:sz w:val="24"/>
          <w:szCs w:val="24"/>
          <w:lang w:val="en" w:eastAsia="en-AU"/>
        </w:rPr>
        <w:t xml:space="preserve"> Dev</w:t>
      </w:r>
      <w:r w:rsidR="001800F3">
        <w:rPr>
          <w:rFonts w:eastAsia="Segoe UI" w:cstheme="minorHAnsi"/>
          <w:color w:val="011A3C"/>
          <w:sz w:val="24"/>
          <w:szCs w:val="24"/>
          <w:lang w:val="en" w:eastAsia="en-AU"/>
        </w:rPr>
        <w:t>elopment</w:t>
      </w:r>
      <w:r w:rsidR="007B4B60">
        <w:rPr>
          <w:rFonts w:eastAsia="Segoe UI" w:cstheme="minorHAnsi"/>
          <w:color w:val="011A3C"/>
          <w:sz w:val="24"/>
          <w:szCs w:val="24"/>
          <w:lang w:val="en" w:eastAsia="en-AU"/>
        </w:rPr>
        <w:t xml:space="preserve"> campuses of mainstream schools are eligible. </w:t>
      </w:r>
      <w:r w:rsidR="00ED7D02">
        <w:rPr>
          <w:rFonts w:eastAsia="Segoe UI" w:cstheme="minorHAnsi"/>
          <w:color w:val="011A3C"/>
          <w:sz w:val="24"/>
          <w:szCs w:val="24"/>
          <w:lang w:val="en" w:eastAsia="en-AU"/>
        </w:rPr>
        <w:t xml:space="preserve">Autistic Schools </w:t>
      </w:r>
      <w:r w:rsidR="002024AE" w:rsidRPr="002024AE">
        <w:rPr>
          <w:rFonts w:eastAsia="Segoe UI" w:cstheme="minorHAnsi"/>
          <w:color w:val="011A3C"/>
          <w:sz w:val="24"/>
          <w:szCs w:val="24"/>
          <w:lang w:val="en" w:eastAsia="en-AU"/>
        </w:rPr>
        <w:t>do not receive this allocation</w:t>
      </w:r>
      <w:r w:rsidR="008771E0" w:rsidRPr="002024AE">
        <w:rPr>
          <w:rFonts w:eastAsia="Segoe UI" w:cstheme="minorHAnsi"/>
          <w:color w:val="011A3C"/>
          <w:sz w:val="24"/>
          <w:szCs w:val="24"/>
          <w:lang w:val="en" w:eastAsia="en-AU"/>
        </w:rPr>
        <w:t>.</w:t>
      </w:r>
    </w:p>
    <w:p w14:paraId="3D981BC7" w14:textId="2C33A455" w:rsidR="0039304A" w:rsidRPr="00260C1D" w:rsidRDefault="0039304A" w:rsidP="0039304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Funding is calculated for each of the </w:t>
      </w:r>
      <w:r w:rsidR="00286FA1">
        <w:rPr>
          <w:rFonts w:eastAsia="Segoe UI" w:cstheme="minorHAnsi"/>
          <w:color w:val="011A3C"/>
          <w:sz w:val="24"/>
          <w:szCs w:val="24"/>
          <w:lang w:val="en" w:eastAsia="en-AU"/>
        </w:rPr>
        <w:t>four</w:t>
      </w:r>
      <w:r w:rsidRPr="00260C1D">
        <w:rPr>
          <w:rFonts w:eastAsia="Segoe UI" w:cstheme="minorHAnsi"/>
          <w:color w:val="011A3C"/>
          <w:sz w:val="24"/>
          <w:szCs w:val="24"/>
          <w:lang w:val="en" w:eastAsia="en-AU"/>
        </w:rPr>
        <w:t xml:space="preserve"> school terms and allocated through credit and cash funding.</w:t>
      </w:r>
    </w:p>
    <w:p w14:paraId="0AB0C44F" w14:textId="03204150" w:rsidR="00A11F95" w:rsidRPr="00260C1D" w:rsidRDefault="00A11F95" w:rsidP="00A11F95">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681EA550" w14:textId="486CE1DB" w:rsidR="00B6662C" w:rsidRPr="00260C1D" w:rsidRDefault="00B6662C" w:rsidP="00B6662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Where total enrolments at the school are less than 45 (enrolment threshold): Size Adjustment Supplementation = [45(</w:t>
      </w:r>
      <w:r w:rsidR="00297511">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 xml:space="preserve">nrolment </w:t>
      </w:r>
      <w:r w:rsidR="00297511">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hreshold) </w:t>
      </w:r>
      <w:r w:rsidR="00F12663"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F12663" w:rsidRPr="00260C1D">
        <w:rPr>
          <w:rFonts w:eastAsia="Segoe UI" w:cstheme="minorHAnsi"/>
          <w:color w:val="011A3C"/>
          <w:sz w:val="24"/>
          <w:szCs w:val="24"/>
          <w:lang w:val="en" w:eastAsia="en-AU"/>
        </w:rPr>
        <w:t xml:space="preserve">Core Index </w:t>
      </w:r>
      <w:r w:rsidR="00297511">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nrolment] × Rate</w:t>
      </w:r>
    </w:p>
    <w:p w14:paraId="16737B47" w14:textId="0D5A9651" w:rsidR="00800331" w:rsidRPr="00260C1D" w:rsidRDefault="00800331" w:rsidP="00B6662C">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Example:</w:t>
      </w:r>
    </w:p>
    <w:p w14:paraId="674554C0" w14:textId="14215B83" w:rsidR="00800331" w:rsidRPr="00260C1D" w:rsidRDefault="00800331" w:rsidP="00B6662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Example: A school with 35 enrolments would calculate their Size </w:t>
      </w:r>
      <w:r w:rsidR="004E099D" w:rsidRPr="00260C1D">
        <w:rPr>
          <w:rFonts w:eastAsia="Segoe UI" w:cstheme="minorHAnsi"/>
          <w:color w:val="011A3C"/>
          <w:sz w:val="24"/>
          <w:szCs w:val="24"/>
          <w:lang w:val="en" w:eastAsia="en-AU"/>
        </w:rPr>
        <w:t xml:space="preserve">Adjustment </w:t>
      </w:r>
      <w:r w:rsidR="00297511">
        <w:rPr>
          <w:rFonts w:eastAsia="Segoe UI" w:cstheme="minorHAnsi"/>
          <w:color w:val="011A3C"/>
          <w:sz w:val="24"/>
          <w:szCs w:val="24"/>
          <w:lang w:val="en" w:eastAsia="en-AU"/>
        </w:rPr>
        <w:t xml:space="preserve">Supplementation </w:t>
      </w:r>
      <w:r w:rsidR="004E099D" w:rsidRPr="00260C1D">
        <w:rPr>
          <w:rFonts w:eastAsia="Segoe UI" w:cstheme="minorHAnsi"/>
          <w:color w:val="011A3C"/>
          <w:sz w:val="24"/>
          <w:szCs w:val="24"/>
          <w:lang w:val="en" w:eastAsia="en-AU"/>
        </w:rPr>
        <w:t>funding</w:t>
      </w:r>
      <w:r w:rsidRPr="00260C1D">
        <w:rPr>
          <w:rFonts w:eastAsia="Segoe UI" w:cstheme="minorHAnsi"/>
          <w:color w:val="011A3C"/>
          <w:sz w:val="24"/>
          <w:szCs w:val="24"/>
          <w:lang w:val="en" w:eastAsia="en-AU"/>
        </w:rPr>
        <w:t xml:space="preserve"> as:</w:t>
      </w:r>
      <w:r w:rsidRPr="00260C1D">
        <w:rPr>
          <w:rFonts w:eastAsia="Segoe UI" w:cstheme="minorHAnsi"/>
          <w:color w:val="011A3C"/>
          <w:sz w:val="24"/>
          <w:szCs w:val="24"/>
          <w:lang w:val="en" w:eastAsia="en-AU"/>
        </w:rPr>
        <w:br/>
        <w:t xml:space="preserve">[45(enrolment threshold) – </w:t>
      </w:r>
      <w:r w:rsidR="00F12663" w:rsidRPr="00260C1D">
        <w:rPr>
          <w:rFonts w:eastAsia="Segoe UI" w:cstheme="minorHAnsi"/>
          <w:color w:val="011A3C"/>
          <w:sz w:val="24"/>
          <w:szCs w:val="24"/>
          <w:lang w:val="en" w:eastAsia="en-AU"/>
        </w:rPr>
        <w:t xml:space="preserve">Core Index </w:t>
      </w:r>
      <w:r w:rsidR="00297511">
        <w:rPr>
          <w:rFonts w:eastAsia="Segoe UI" w:cstheme="minorHAnsi"/>
          <w:color w:val="011A3C"/>
          <w:sz w:val="24"/>
          <w:szCs w:val="24"/>
          <w:lang w:val="en" w:eastAsia="en-AU"/>
        </w:rPr>
        <w:t>e</w:t>
      </w:r>
      <w:r w:rsidR="004E099D" w:rsidRPr="00260C1D">
        <w:rPr>
          <w:rFonts w:eastAsia="Segoe UI" w:cstheme="minorHAnsi"/>
          <w:color w:val="011A3C"/>
          <w:sz w:val="24"/>
          <w:szCs w:val="24"/>
          <w:lang w:val="en" w:eastAsia="en-AU"/>
        </w:rPr>
        <w:t>nrolment (</w:t>
      </w:r>
      <w:r w:rsidRPr="00260C1D">
        <w:rPr>
          <w:rFonts w:eastAsia="Segoe UI" w:cstheme="minorHAnsi"/>
          <w:color w:val="011A3C"/>
          <w:sz w:val="24"/>
          <w:szCs w:val="24"/>
          <w:lang w:val="en" w:eastAsia="en-AU"/>
        </w:rPr>
        <w:t>35)] × Rate</w:t>
      </w:r>
    </w:p>
    <w:p w14:paraId="7AB8D1B7" w14:textId="33B55CA3" w:rsidR="00B6662C" w:rsidRPr="00260C1D" w:rsidRDefault="00B6662C" w:rsidP="00B6662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maximum amount funded is limited to </w:t>
      </w:r>
      <w:r w:rsidR="00800331" w:rsidRPr="00260C1D">
        <w:rPr>
          <w:rFonts w:eastAsia="Segoe UI" w:cstheme="minorHAnsi"/>
          <w:color w:val="011A3C"/>
          <w:sz w:val="24"/>
          <w:szCs w:val="24"/>
          <w:lang w:val="en" w:eastAsia="en-AU"/>
        </w:rPr>
        <w:t>cap listed below</w:t>
      </w:r>
      <w:r w:rsidRPr="00260C1D">
        <w:rPr>
          <w:rFonts w:eastAsia="Segoe UI" w:cstheme="minorHAnsi"/>
          <w:color w:val="011A3C"/>
          <w:sz w:val="24"/>
          <w:szCs w:val="24"/>
          <w:lang w:val="en" w:eastAsia="en-AU"/>
        </w:rPr>
        <w:t>.</w:t>
      </w:r>
    </w:p>
    <w:p w14:paraId="1F5249A7" w14:textId="5063D2BA" w:rsidR="00B6662C" w:rsidRPr="00260C1D" w:rsidRDefault="00B6662C" w:rsidP="00B6662C">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202</w:t>
      </w:r>
      <w:r w:rsidR="00263365">
        <w:rPr>
          <w:rFonts w:eastAsia="Segoe UI" w:cstheme="minorHAnsi"/>
          <w:b/>
          <w:color w:val="011A3C"/>
          <w:sz w:val="27"/>
          <w:szCs w:val="27"/>
          <w:lang w:val="en" w:eastAsia="en-AU"/>
        </w:rPr>
        <w:t>4</w:t>
      </w:r>
    </w:p>
    <w:p w14:paraId="32E03BFF" w14:textId="20981266" w:rsidR="00B6662C" w:rsidRPr="00AD4CC3" w:rsidRDefault="00B6662C" w:rsidP="00F56244">
      <w:pPr>
        <w:pStyle w:val="ListParagraph"/>
        <w:numPr>
          <w:ilvl w:val="0"/>
          <w:numId w:val="63"/>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 xml:space="preserve">Per student rate: </w:t>
      </w:r>
      <w:r w:rsidR="00E21063">
        <w:rPr>
          <w:rFonts w:eastAsia="Segoe UI" w:cstheme="minorHAnsi"/>
          <w:color w:val="011A3C"/>
          <w:sz w:val="24"/>
          <w:szCs w:val="24"/>
          <w:lang w:val="en" w:eastAsia="en-AU"/>
        </w:rPr>
        <w:t>$</w:t>
      </w:r>
      <w:r w:rsidR="00E21063" w:rsidRPr="00E21063">
        <w:rPr>
          <w:rFonts w:eastAsia="Segoe UI" w:cstheme="minorHAnsi"/>
          <w:color w:val="011A3C"/>
          <w:sz w:val="24"/>
          <w:szCs w:val="24"/>
          <w:lang w:val="en" w:eastAsia="en-AU"/>
        </w:rPr>
        <w:t>6,526</w:t>
      </w:r>
    </w:p>
    <w:p w14:paraId="5F6A858B" w14:textId="77777777" w:rsidR="00B6662C" w:rsidRPr="00AD4CC3" w:rsidRDefault="00B6662C" w:rsidP="00F56244">
      <w:pPr>
        <w:pStyle w:val="ListParagraph"/>
        <w:numPr>
          <w:ilvl w:val="0"/>
          <w:numId w:val="63"/>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Enrolment threshold: 45</w:t>
      </w:r>
    </w:p>
    <w:p w14:paraId="078589B6" w14:textId="05068AF5" w:rsidR="00B6662C" w:rsidRPr="00AD4CC3" w:rsidRDefault="00B6662C" w:rsidP="00F56244">
      <w:pPr>
        <w:pStyle w:val="ListParagraph"/>
        <w:numPr>
          <w:ilvl w:val="0"/>
          <w:numId w:val="63"/>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 xml:space="preserve">Maximum funded: </w:t>
      </w:r>
      <w:r w:rsidR="00701354" w:rsidRPr="00AD4CC3">
        <w:rPr>
          <w:rFonts w:eastAsia="Segoe UI" w:cstheme="minorHAnsi"/>
          <w:color w:val="011A3C"/>
          <w:sz w:val="24"/>
          <w:szCs w:val="24"/>
          <w:lang w:val="en" w:eastAsia="en-AU"/>
        </w:rPr>
        <w:t>$</w:t>
      </w:r>
      <w:r w:rsidR="00271E8C" w:rsidRPr="00271E8C">
        <w:rPr>
          <w:rFonts w:eastAsia="Segoe UI" w:cstheme="minorHAnsi"/>
          <w:color w:val="011A3C"/>
          <w:sz w:val="24"/>
          <w:szCs w:val="24"/>
          <w:lang w:val="en" w:eastAsia="en-AU"/>
        </w:rPr>
        <w:t>148,140</w:t>
      </w:r>
    </w:p>
    <w:p w14:paraId="68BF67AB" w14:textId="77777777" w:rsidR="00B6662C" w:rsidRPr="00260C1D" w:rsidRDefault="00B6662C">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br w:type="page"/>
      </w:r>
    </w:p>
    <w:p w14:paraId="017EACCC" w14:textId="4C1FC8DC" w:rsidR="00A46A99" w:rsidRPr="00260C1D" w:rsidRDefault="00A46A99" w:rsidP="00532A33">
      <w:pPr>
        <w:pStyle w:val="Heading2"/>
      </w:pPr>
      <w:bookmarkStart w:id="28" w:name="_Toc141965233"/>
      <w:bookmarkStart w:id="29" w:name="_Toc145339563"/>
      <w:bookmarkStart w:id="30" w:name="_Toc153791886"/>
      <w:r w:rsidRPr="00260C1D">
        <w:lastRenderedPageBreak/>
        <w:t>Approved Early Education Program (Reference 7)</w:t>
      </w:r>
      <w:bookmarkEnd w:id="28"/>
      <w:bookmarkEnd w:id="29"/>
      <w:bookmarkEnd w:id="30"/>
    </w:p>
    <w:p w14:paraId="73B7BE5C" w14:textId="0B2A10AC" w:rsidR="00A46A99" w:rsidRPr="00260C1D" w:rsidRDefault="00A46A99" w:rsidP="00A46A9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 defined group of specialist schools maintain early education programs for pre</w:t>
      </w:r>
      <w:r w:rsidR="00286FA1">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school aged children with </w:t>
      </w:r>
      <w:r w:rsidR="00286FA1">
        <w:rPr>
          <w:rFonts w:eastAsia="Segoe UI" w:cstheme="minorHAnsi"/>
          <w:color w:val="011A3C"/>
          <w:sz w:val="24"/>
          <w:szCs w:val="24"/>
          <w:lang w:val="en" w:eastAsia="en-AU"/>
        </w:rPr>
        <w:t xml:space="preserve">a </w:t>
      </w:r>
      <w:r w:rsidRPr="00260C1D">
        <w:rPr>
          <w:rFonts w:eastAsia="Segoe UI" w:cstheme="minorHAnsi"/>
          <w:color w:val="011A3C"/>
          <w:sz w:val="24"/>
          <w:szCs w:val="24"/>
          <w:lang w:val="en" w:eastAsia="en-AU"/>
        </w:rPr>
        <w:t>disability between the ages of 2 years and 8 months and 4 years and 8 months.</w:t>
      </w:r>
      <w:r w:rsidR="0052364D" w:rsidRPr="00260C1D">
        <w:rPr>
          <w:rFonts w:eastAsia="Segoe UI" w:cstheme="minorHAnsi"/>
          <w:color w:val="011A3C"/>
          <w:sz w:val="24"/>
          <w:szCs w:val="24"/>
          <w:lang w:val="en" w:eastAsia="en-AU"/>
        </w:rPr>
        <w:t xml:space="preserve"> Funding is allocated at </w:t>
      </w:r>
      <w:r w:rsidR="00286FA1">
        <w:rPr>
          <w:rFonts w:eastAsia="Segoe UI" w:cstheme="minorHAnsi"/>
          <w:color w:val="011A3C"/>
          <w:sz w:val="24"/>
          <w:szCs w:val="24"/>
          <w:lang w:val="en" w:eastAsia="en-AU"/>
        </w:rPr>
        <w:t xml:space="preserve">a </w:t>
      </w:r>
      <w:r w:rsidR="0052364D" w:rsidRPr="00260C1D">
        <w:rPr>
          <w:rFonts w:eastAsia="Segoe UI" w:cstheme="minorHAnsi"/>
          <w:color w:val="011A3C"/>
          <w:sz w:val="24"/>
          <w:szCs w:val="24"/>
          <w:lang w:val="en" w:eastAsia="en-AU"/>
        </w:rPr>
        <w:t>school level.</w:t>
      </w:r>
    </w:p>
    <w:p w14:paraId="47F209DF" w14:textId="3E65025F" w:rsidR="00AD03DE" w:rsidRPr="00260C1D" w:rsidRDefault="00A46A99" w:rsidP="00A46A9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Allocations to these schools are based on a resource agreement.</w:t>
      </w:r>
    </w:p>
    <w:p w14:paraId="4418C32A" w14:textId="46DDC09C" w:rsidR="00AD03DE" w:rsidRPr="00260C1D" w:rsidRDefault="00AD03DE" w:rsidP="00AA54CC">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4547A36E" w14:textId="660CFAFD" w:rsidR="00AD03DE" w:rsidRPr="00260C1D" w:rsidRDefault="00AD03DE" w:rsidP="00A46A9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Approved Early Education </w:t>
      </w:r>
      <w:r w:rsidR="004A334A" w:rsidRPr="00260C1D">
        <w:rPr>
          <w:rFonts w:eastAsia="Segoe UI" w:cstheme="minorHAnsi"/>
          <w:color w:val="011A3C"/>
          <w:sz w:val="24"/>
          <w:szCs w:val="24"/>
          <w:lang w:val="en" w:eastAsia="en-AU"/>
        </w:rPr>
        <w:t>f</w:t>
      </w:r>
      <w:r w:rsidRPr="00260C1D">
        <w:rPr>
          <w:rFonts w:eastAsia="Segoe UI" w:cstheme="minorHAnsi"/>
          <w:color w:val="011A3C"/>
          <w:sz w:val="24"/>
          <w:szCs w:val="24"/>
          <w:lang w:val="en" w:eastAsia="en-AU"/>
        </w:rPr>
        <w:t>unding is calculated as:</w:t>
      </w:r>
    </w:p>
    <w:p w14:paraId="6B0ECEB9" w14:textId="70499D1B" w:rsidR="00A46A99" w:rsidRPr="00260C1D" w:rsidRDefault="007B3E9D" w:rsidP="00A46A99">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Agreed </w:t>
      </w:r>
      <w:r w:rsidR="00AD03DE" w:rsidRPr="00260C1D">
        <w:rPr>
          <w:rFonts w:eastAsia="Segoe UI" w:cstheme="minorHAnsi"/>
          <w:color w:val="011A3C"/>
          <w:sz w:val="24"/>
          <w:szCs w:val="24"/>
          <w:lang w:val="en" w:eastAsia="en-AU"/>
        </w:rPr>
        <w:t xml:space="preserve">FTE at school level </w:t>
      </w:r>
      <w:r w:rsidR="00AE1ECA">
        <w:rPr>
          <w:rFonts w:eastAsia="Segoe UI" w:cstheme="minorHAnsi"/>
          <w:color w:val="011A3C"/>
          <w:sz w:val="24"/>
          <w:szCs w:val="24"/>
          <w:lang w:val="en" w:eastAsia="en-AU"/>
        </w:rPr>
        <w:t>×</w:t>
      </w:r>
      <w:r w:rsidR="00AD03DE" w:rsidRPr="00260C1D">
        <w:rPr>
          <w:rFonts w:eastAsia="Segoe UI" w:cstheme="minorHAnsi"/>
          <w:color w:val="011A3C"/>
          <w:sz w:val="24"/>
          <w:szCs w:val="24"/>
          <w:lang w:val="en" w:eastAsia="en-AU"/>
        </w:rPr>
        <w:t xml:space="preserve"> Resource agreement rate </w:t>
      </w:r>
    </w:p>
    <w:p w14:paraId="118E4269" w14:textId="5200CA43" w:rsidR="0052364D" w:rsidRPr="00260C1D" w:rsidRDefault="00AD03DE" w:rsidP="00A46A9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Note: Furlong Park School</w:t>
      </w:r>
      <w:r w:rsidR="009A4CFA" w:rsidRPr="00260C1D">
        <w:rPr>
          <w:rFonts w:eastAsia="Segoe UI" w:cstheme="minorHAnsi"/>
          <w:color w:val="011A3C"/>
          <w:sz w:val="24"/>
          <w:szCs w:val="24"/>
          <w:lang w:val="en" w:eastAsia="en-AU"/>
        </w:rPr>
        <w:t xml:space="preserve"> </w:t>
      </w:r>
      <w:r w:rsidR="004A334A" w:rsidRPr="00260C1D">
        <w:rPr>
          <w:rFonts w:eastAsia="Segoe UI" w:cstheme="minorHAnsi"/>
          <w:color w:val="011A3C"/>
          <w:sz w:val="24"/>
          <w:szCs w:val="24"/>
          <w:lang w:val="en" w:eastAsia="en-AU"/>
        </w:rPr>
        <w:t xml:space="preserve">for Deaf Children </w:t>
      </w:r>
      <w:r w:rsidR="009A4CFA" w:rsidRPr="00260C1D">
        <w:rPr>
          <w:rFonts w:eastAsia="Segoe UI" w:cstheme="minorHAnsi"/>
          <w:color w:val="011A3C"/>
          <w:sz w:val="24"/>
          <w:szCs w:val="24"/>
          <w:lang w:val="en" w:eastAsia="en-AU"/>
        </w:rPr>
        <w:t>is the exception</w:t>
      </w:r>
      <w:r w:rsidRPr="00260C1D">
        <w:rPr>
          <w:rFonts w:eastAsia="Segoe UI" w:cstheme="minorHAnsi"/>
          <w:color w:val="011A3C"/>
          <w:sz w:val="24"/>
          <w:szCs w:val="24"/>
          <w:lang w:val="en" w:eastAsia="en-AU"/>
        </w:rPr>
        <w:t>.</w:t>
      </w:r>
    </w:p>
    <w:p w14:paraId="14B49C31" w14:textId="117B678D" w:rsidR="00A46A99" w:rsidRPr="00260C1D" w:rsidRDefault="00AD03DE" w:rsidP="006A5663">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Funding is calculated at the Indicative budget </w:t>
      </w:r>
      <w:r w:rsidR="00C53D2A" w:rsidRPr="00260C1D">
        <w:rPr>
          <w:rFonts w:eastAsia="Segoe UI" w:cstheme="minorHAnsi"/>
          <w:color w:val="011A3C"/>
          <w:sz w:val="24"/>
          <w:szCs w:val="24"/>
          <w:lang w:val="en" w:eastAsia="en-AU"/>
        </w:rPr>
        <w:t>cycle</w:t>
      </w:r>
      <w:r w:rsidR="00286FA1">
        <w:rPr>
          <w:rFonts w:eastAsia="Segoe UI" w:cstheme="minorHAnsi"/>
          <w:color w:val="011A3C"/>
          <w:sz w:val="24"/>
          <w:szCs w:val="24"/>
          <w:lang w:val="en" w:eastAsia="en-AU"/>
        </w:rPr>
        <w:t xml:space="preserve">. Funding is </w:t>
      </w:r>
      <w:r w:rsidR="00A05D7F">
        <w:rPr>
          <w:rFonts w:eastAsia="Segoe UI" w:cstheme="minorHAnsi"/>
          <w:color w:val="011A3C"/>
          <w:sz w:val="24"/>
          <w:szCs w:val="24"/>
          <w:lang w:val="en" w:eastAsia="en-AU"/>
        </w:rPr>
        <w:t>allocated</w:t>
      </w:r>
      <w:r w:rsidRPr="00260C1D">
        <w:rPr>
          <w:rFonts w:eastAsia="Segoe UI" w:cstheme="minorHAnsi"/>
          <w:color w:val="011A3C"/>
          <w:sz w:val="24"/>
          <w:szCs w:val="24"/>
          <w:lang w:val="en" w:eastAsia="en-AU"/>
        </w:rPr>
        <w:t xml:space="preserve"> through credit and cash funding.</w:t>
      </w:r>
    </w:p>
    <w:p w14:paraId="7C1DC3C3" w14:textId="0AF8FD35" w:rsidR="000935F0" w:rsidRPr="00260C1D" w:rsidRDefault="000935F0" w:rsidP="000935F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202</w:t>
      </w:r>
      <w:r w:rsidR="00CC0038">
        <w:rPr>
          <w:rFonts w:eastAsia="Segoe UI" w:cstheme="minorHAnsi"/>
          <w:b/>
          <w:color w:val="011A3C"/>
          <w:sz w:val="27"/>
          <w:szCs w:val="27"/>
          <w:lang w:val="en" w:eastAsia="en-AU"/>
        </w:rPr>
        <w:t>4</w:t>
      </w:r>
    </w:p>
    <w:p w14:paraId="5EE61136" w14:textId="7733CC63" w:rsidR="00A46A99" w:rsidRPr="00260C1D" w:rsidRDefault="000935F0">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Resource agreement rate </w:t>
      </w:r>
      <w:r w:rsidR="00C53D2A" w:rsidRPr="00260C1D">
        <w:rPr>
          <w:rFonts w:eastAsia="Segoe UI" w:cstheme="minorHAnsi"/>
          <w:color w:val="011A3C"/>
          <w:sz w:val="24"/>
          <w:szCs w:val="24"/>
          <w:lang w:val="en" w:eastAsia="en-AU"/>
        </w:rPr>
        <w:t xml:space="preserve">= </w:t>
      </w:r>
      <w:r w:rsidR="00C53D2A" w:rsidRPr="00260C1D">
        <w:rPr>
          <w:rFonts w:cstheme="minorHAnsi"/>
        </w:rPr>
        <w:t>$</w:t>
      </w:r>
      <w:r w:rsidR="00C06B61" w:rsidRPr="00C06B61">
        <w:rPr>
          <w:rFonts w:eastAsia="Segoe UI" w:cstheme="minorHAnsi"/>
          <w:color w:val="011A3C"/>
          <w:sz w:val="24"/>
          <w:szCs w:val="24"/>
          <w:lang w:val="en" w:eastAsia="en-AU"/>
        </w:rPr>
        <w:t>29,736</w:t>
      </w:r>
      <w:r w:rsidR="000203AB" w:rsidRPr="00260C1D" w:rsidDel="000203AB">
        <w:rPr>
          <w:rFonts w:eastAsia="Segoe UI" w:cstheme="minorHAnsi"/>
          <w:color w:val="011A3C"/>
          <w:sz w:val="24"/>
          <w:szCs w:val="24"/>
          <w:lang w:val="en" w:eastAsia="en-AU"/>
        </w:rPr>
        <w:t xml:space="preserve"> </w:t>
      </w:r>
      <w:r w:rsidR="00CC363B" w:rsidRPr="00260C1D">
        <w:rPr>
          <w:rFonts w:eastAsia="Segoe UI" w:cstheme="minorHAnsi"/>
          <w:color w:val="011A3C"/>
          <w:sz w:val="24"/>
          <w:szCs w:val="24"/>
          <w:lang w:val="en" w:eastAsia="en-AU"/>
        </w:rPr>
        <w:t xml:space="preserve">and </w:t>
      </w:r>
      <w:r w:rsidR="004A334A" w:rsidRPr="00260C1D">
        <w:rPr>
          <w:rFonts w:eastAsia="Segoe UI" w:cstheme="minorHAnsi"/>
          <w:color w:val="011A3C"/>
          <w:sz w:val="24"/>
          <w:szCs w:val="24"/>
          <w:lang w:val="en" w:eastAsia="en-AU"/>
        </w:rPr>
        <w:t>Furlong Park School for Deaf Children rate: $</w:t>
      </w:r>
      <w:r w:rsidR="00647B3B" w:rsidRPr="00647B3B">
        <w:rPr>
          <w:rFonts w:eastAsia="Segoe UI" w:cstheme="minorHAnsi"/>
          <w:color w:val="011A3C"/>
          <w:sz w:val="24"/>
          <w:szCs w:val="24"/>
          <w:lang w:val="en" w:eastAsia="en-AU"/>
        </w:rPr>
        <w:t>36,351</w:t>
      </w:r>
      <w:r w:rsidR="00A46A99" w:rsidRPr="00260C1D">
        <w:rPr>
          <w:rFonts w:eastAsia="Segoe UI" w:cstheme="minorHAnsi"/>
          <w:color w:val="011A3C"/>
          <w:sz w:val="24"/>
          <w:szCs w:val="24"/>
          <w:lang w:val="en" w:eastAsia="en-AU"/>
        </w:rPr>
        <w:br w:type="page"/>
      </w:r>
    </w:p>
    <w:p w14:paraId="4FA69578" w14:textId="551A472D" w:rsidR="00731961" w:rsidRPr="00260C1D" w:rsidRDefault="00731961" w:rsidP="00532A33">
      <w:pPr>
        <w:pStyle w:val="Heading2"/>
      </w:pPr>
      <w:bookmarkStart w:id="31" w:name="_Toc141965234"/>
      <w:bookmarkStart w:id="32" w:name="_Toc145339564"/>
      <w:bookmarkStart w:id="33" w:name="_Toc153791887"/>
      <w:r w:rsidRPr="00260C1D">
        <w:lastRenderedPageBreak/>
        <w:t>Principal Salary Adjustment (Reference 8)</w:t>
      </w:r>
      <w:bookmarkEnd w:id="31"/>
      <w:bookmarkEnd w:id="32"/>
      <w:bookmarkEnd w:id="33"/>
    </w:p>
    <w:p w14:paraId="328F46D7" w14:textId="772E2933" w:rsidR="00731961" w:rsidRPr="00260C1D" w:rsidRDefault="00731961" w:rsidP="006A5663">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This item is included in the </w:t>
      </w:r>
      <w:r w:rsidR="001039D9" w:rsidRPr="00260C1D">
        <w:rPr>
          <w:rFonts w:eastAsia="Segoe UI" w:cstheme="minorHAnsi"/>
          <w:color w:val="011A3C"/>
          <w:sz w:val="24"/>
          <w:szCs w:val="24"/>
          <w:lang w:val="en" w:eastAsia="en-AU"/>
        </w:rPr>
        <w:t>Student Resource Package (</w:t>
      </w:r>
      <w:r w:rsidRPr="00260C1D">
        <w:rPr>
          <w:rFonts w:eastAsia="Segoe UI" w:cstheme="minorHAnsi"/>
          <w:color w:val="011A3C"/>
          <w:sz w:val="24"/>
          <w:szCs w:val="24"/>
          <w:lang w:val="en" w:eastAsia="en-AU"/>
        </w:rPr>
        <w:t>SRP</w:t>
      </w:r>
      <w:r w:rsidR="001039D9"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for specialist schools. Its continuation will be subject to review</w:t>
      </w:r>
      <w:r w:rsidR="00157739" w:rsidRPr="00260C1D">
        <w:rPr>
          <w:rFonts w:eastAsia="Segoe UI" w:cstheme="minorHAnsi"/>
          <w:color w:val="011A3C"/>
          <w:sz w:val="24"/>
          <w:szCs w:val="24"/>
          <w:lang w:val="en" w:eastAsia="en-AU"/>
        </w:rPr>
        <w:t xml:space="preserve"> which is yet to be completed</w:t>
      </w:r>
      <w:r w:rsidRPr="00260C1D">
        <w:rPr>
          <w:rFonts w:eastAsia="Segoe UI" w:cstheme="minorHAnsi"/>
          <w:color w:val="011A3C"/>
          <w:sz w:val="24"/>
          <w:szCs w:val="24"/>
          <w:lang w:val="en" w:eastAsia="en-AU"/>
        </w:rPr>
        <w:t>.</w:t>
      </w:r>
      <w:r w:rsidR="009A4CFA" w:rsidRPr="00260C1D">
        <w:rPr>
          <w:rFonts w:eastAsia="Segoe UI" w:cstheme="minorHAnsi"/>
          <w:color w:val="011A3C"/>
          <w:sz w:val="24"/>
          <w:szCs w:val="24"/>
          <w:lang w:val="en" w:eastAsia="en-AU"/>
        </w:rPr>
        <w:t xml:space="preserve"> Changes associated with the review will be </w:t>
      </w:r>
      <w:r w:rsidR="00C53D2A" w:rsidRPr="00260C1D">
        <w:rPr>
          <w:rFonts w:eastAsia="Segoe UI" w:cstheme="minorHAnsi"/>
          <w:color w:val="011A3C"/>
          <w:sz w:val="24"/>
          <w:szCs w:val="24"/>
          <w:lang w:val="en" w:eastAsia="en-AU"/>
        </w:rPr>
        <w:t>implemented</w:t>
      </w:r>
      <w:r w:rsidR="005811A8">
        <w:rPr>
          <w:rFonts w:eastAsia="Segoe UI" w:cstheme="minorHAnsi"/>
          <w:color w:val="011A3C"/>
          <w:sz w:val="24"/>
          <w:szCs w:val="24"/>
          <w:lang w:val="en" w:eastAsia="en-AU"/>
        </w:rPr>
        <w:t xml:space="preserve"> </w:t>
      </w:r>
      <w:r w:rsidR="00C56F7E">
        <w:rPr>
          <w:rFonts w:eastAsia="Segoe UI" w:cstheme="minorHAnsi"/>
          <w:color w:val="011A3C"/>
          <w:sz w:val="24"/>
          <w:szCs w:val="24"/>
          <w:lang w:val="en" w:eastAsia="en-AU"/>
        </w:rPr>
        <w:t>post</w:t>
      </w:r>
      <w:r w:rsidR="006A4937">
        <w:rPr>
          <w:rFonts w:eastAsia="Segoe UI" w:cstheme="minorHAnsi"/>
          <w:color w:val="011A3C"/>
          <w:sz w:val="24"/>
          <w:szCs w:val="24"/>
          <w:lang w:val="en" w:eastAsia="en-AU"/>
        </w:rPr>
        <w:t>-</w:t>
      </w:r>
      <w:r w:rsidR="00C56F7E">
        <w:rPr>
          <w:rFonts w:eastAsia="Segoe UI" w:cstheme="minorHAnsi"/>
          <w:color w:val="011A3C"/>
          <w:sz w:val="24"/>
          <w:szCs w:val="24"/>
          <w:lang w:val="en" w:eastAsia="en-AU"/>
        </w:rPr>
        <w:t>2024</w:t>
      </w:r>
      <w:r w:rsidR="00A23F6B" w:rsidRPr="00260C1D">
        <w:rPr>
          <w:rFonts w:eastAsia="Segoe UI" w:cstheme="minorHAnsi"/>
          <w:color w:val="011A3C"/>
          <w:sz w:val="24"/>
          <w:szCs w:val="24"/>
          <w:lang w:val="en" w:eastAsia="en-AU"/>
        </w:rPr>
        <w:t>.</w:t>
      </w:r>
    </w:p>
    <w:p w14:paraId="6C76BA64" w14:textId="77777777" w:rsidR="00731961" w:rsidRPr="00260C1D" w:rsidRDefault="00731961">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br w:type="page"/>
      </w:r>
    </w:p>
    <w:p w14:paraId="0F281BDE" w14:textId="47689E10" w:rsidR="00017551" w:rsidRPr="00260C1D" w:rsidRDefault="00017551" w:rsidP="00532A33">
      <w:pPr>
        <w:pStyle w:val="Heading2"/>
      </w:pPr>
      <w:bookmarkStart w:id="34" w:name="_Toc141965235"/>
      <w:bookmarkStart w:id="35" w:name="_Toc145339565"/>
      <w:bookmarkStart w:id="36" w:name="_Toc153791888"/>
      <w:r w:rsidRPr="00260C1D">
        <w:lastRenderedPageBreak/>
        <w:t>Language and Learning Disabilities Support Program (Reference 10)</w:t>
      </w:r>
      <w:bookmarkEnd w:id="34"/>
      <w:bookmarkEnd w:id="35"/>
      <w:bookmarkEnd w:id="36"/>
    </w:p>
    <w:p w14:paraId="10C1BC1D" w14:textId="77777777" w:rsidR="00017551" w:rsidRPr="00260C1D" w:rsidRDefault="00017551" w:rsidP="00017551">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Language and Learning Disabilities Support Program provides schools with resources to support the delivery of teaching and learning programs for students with autism, dyslexia, language or other learning disabilities. Supports may include:</w:t>
      </w:r>
    </w:p>
    <w:p w14:paraId="735A5B4E" w14:textId="77777777" w:rsidR="00017551" w:rsidRPr="00AD4CC3" w:rsidRDefault="00017551" w:rsidP="00F56244">
      <w:pPr>
        <w:pStyle w:val="ListParagraph"/>
        <w:numPr>
          <w:ilvl w:val="0"/>
          <w:numId w:val="64"/>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Teaching staff</w:t>
      </w:r>
    </w:p>
    <w:p w14:paraId="6C6DB712" w14:textId="77777777" w:rsidR="00017551" w:rsidRPr="00AD4CC3" w:rsidRDefault="00017551" w:rsidP="00F56244">
      <w:pPr>
        <w:pStyle w:val="ListParagraph"/>
        <w:numPr>
          <w:ilvl w:val="0"/>
          <w:numId w:val="64"/>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Specialist education or allied health staff</w:t>
      </w:r>
    </w:p>
    <w:p w14:paraId="48151191" w14:textId="77777777" w:rsidR="00017551" w:rsidRPr="00AD4CC3" w:rsidRDefault="00017551" w:rsidP="00F56244">
      <w:pPr>
        <w:pStyle w:val="ListParagraph"/>
        <w:numPr>
          <w:ilvl w:val="0"/>
          <w:numId w:val="64"/>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Consultancy or professional development</w:t>
      </w:r>
    </w:p>
    <w:p w14:paraId="6B4FD465" w14:textId="77777777" w:rsidR="00017551" w:rsidRPr="00AD4CC3" w:rsidRDefault="00017551" w:rsidP="00F56244">
      <w:pPr>
        <w:pStyle w:val="ListParagraph"/>
        <w:numPr>
          <w:ilvl w:val="0"/>
          <w:numId w:val="64"/>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Specialist equipment or materials</w:t>
      </w:r>
    </w:p>
    <w:p w14:paraId="70941608" w14:textId="77777777" w:rsidR="00017551" w:rsidRPr="00AD4CC3" w:rsidRDefault="00017551" w:rsidP="00F56244">
      <w:pPr>
        <w:pStyle w:val="ListParagraph"/>
        <w:numPr>
          <w:ilvl w:val="0"/>
          <w:numId w:val="64"/>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Education support staff</w:t>
      </w:r>
    </w:p>
    <w:p w14:paraId="7C1E2E1C" w14:textId="77777777" w:rsidR="00017551" w:rsidRPr="00260C1D" w:rsidRDefault="00017551" w:rsidP="00017551">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quality of teaching has one of the largest impacts on student learning. Building teaching excellence is central to making schools more inclusive and improving outcomes for students with learning support needs. </w:t>
      </w:r>
    </w:p>
    <w:p w14:paraId="2CDBD618" w14:textId="77777777" w:rsidR="00017551" w:rsidRPr="00260C1D" w:rsidRDefault="00017551" w:rsidP="00017551">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In delivering effective programs for students with disabilities and additional learning needs, school leaders and teachers should ensure their practice is:</w:t>
      </w:r>
    </w:p>
    <w:p w14:paraId="08B11C2E" w14:textId="40EF7846" w:rsidR="00017551" w:rsidRPr="00AD4CC3" w:rsidRDefault="00877D3A" w:rsidP="00F56244">
      <w:pPr>
        <w:pStyle w:val="ListParagraph"/>
        <w:numPr>
          <w:ilvl w:val="0"/>
          <w:numId w:val="6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G</w:t>
      </w:r>
      <w:r w:rsidR="00017551" w:rsidRPr="00AD4CC3">
        <w:rPr>
          <w:rFonts w:eastAsia="Segoe UI" w:cstheme="minorHAnsi"/>
          <w:color w:val="011A3C"/>
          <w:sz w:val="24"/>
          <w:szCs w:val="24"/>
          <w:lang w:val="en" w:eastAsia="en-AU"/>
        </w:rPr>
        <w:t xml:space="preserve">uided by the </w:t>
      </w:r>
      <w:hyperlink r:id="rId17" w:history="1">
        <w:r w:rsidR="00017551" w:rsidRPr="008614E4">
          <w:rPr>
            <w:rFonts w:eastAsia="Segoe UI" w:cstheme="minorHAnsi"/>
            <w:color w:val="4472C4" w:themeColor="accent1"/>
            <w:sz w:val="24"/>
            <w:szCs w:val="24"/>
            <w:u w:val="single"/>
            <w:lang w:val="en" w:eastAsia="en-AU"/>
          </w:rPr>
          <w:t>Victorian Curriculum, inclusive of Levels A-D and Foundation to 10</w:t>
        </w:r>
      </w:hyperlink>
    </w:p>
    <w:p w14:paraId="0D92D2CD" w14:textId="3DE5DAE3" w:rsidR="00017551" w:rsidRPr="00AD4CC3" w:rsidRDefault="00877D3A" w:rsidP="00F56244">
      <w:pPr>
        <w:pStyle w:val="ListParagraph"/>
        <w:numPr>
          <w:ilvl w:val="0"/>
          <w:numId w:val="6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I</w:t>
      </w:r>
      <w:r w:rsidR="00017551" w:rsidRPr="00AD4CC3">
        <w:rPr>
          <w:rFonts w:eastAsia="Segoe UI" w:cstheme="minorHAnsi"/>
          <w:color w:val="011A3C"/>
          <w:sz w:val="24"/>
          <w:szCs w:val="24"/>
          <w:lang w:val="en" w:eastAsia="en-AU"/>
        </w:rPr>
        <w:t xml:space="preserve">nformed by </w:t>
      </w:r>
      <w:hyperlink r:id="rId18" w:history="1">
        <w:r w:rsidR="00017551" w:rsidRPr="008614E4">
          <w:rPr>
            <w:rFonts w:eastAsia="Segoe UI" w:cstheme="minorHAnsi"/>
            <w:color w:val="4472C4" w:themeColor="accent1"/>
            <w:sz w:val="24"/>
            <w:szCs w:val="24"/>
            <w:u w:val="single"/>
            <w:lang w:val="en" w:eastAsia="en-AU"/>
          </w:rPr>
          <w:t>disability specific professional learning activities undertaken annually as part of teacher registration requirements</w:t>
        </w:r>
      </w:hyperlink>
    </w:p>
    <w:p w14:paraId="54ADBDE4" w14:textId="360B1EEA" w:rsidR="00017551" w:rsidRPr="00AD4CC3" w:rsidRDefault="00877D3A" w:rsidP="00F56244">
      <w:pPr>
        <w:pStyle w:val="ListParagraph"/>
        <w:numPr>
          <w:ilvl w:val="0"/>
          <w:numId w:val="6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E</w:t>
      </w:r>
      <w:r w:rsidR="00017551" w:rsidRPr="00AD4CC3">
        <w:rPr>
          <w:rFonts w:eastAsia="Segoe UI" w:cstheme="minorHAnsi"/>
          <w:color w:val="011A3C"/>
          <w:sz w:val="24"/>
          <w:szCs w:val="24"/>
          <w:lang w:val="en" w:eastAsia="en-AU"/>
        </w:rPr>
        <w:t xml:space="preserve">vidence based and planned, implemented and monitored in line with the </w:t>
      </w:r>
      <w:hyperlink r:id="rId19" w:history="1">
        <w:r w:rsidR="00017551" w:rsidRPr="008614E4">
          <w:rPr>
            <w:rFonts w:eastAsia="Segoe UI" w:cstheme="minorHAnsi"/>
            <w:color w:val="4472C4" w:themeColor="accent1"/>
            <w:sz w:val="24"/>
            <w:szCs w:val="24"/>
            <w:u w:val="single"/>
            <w:lang w:val="en" w:eastAsia="en-AU"/>
          </w:rPr>
          <w:t>Framework for Improving Student Outcomes</w:t>
        </w:r>
      </w:hyperlink>
    </w:p>
    <w:p w14:paraId="285AAF3E" w14:textId="63ADD8CA" w:rsidR="00017551" w:rsidRPr="00260C1D" w:rsidRDefault="00017551" w:rsidP="00017551">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In addition, school policy and practice should reflect collaboration between the school leaders and teachers, parent/carer(s), specialist education or allied health staff to develop agreed understandings and responses to students' needs, including students with autism, dyslexia, language or other learning disabilities.    </w:t>
      </w:r>
    </w:p>
    <w:p w14:paraId="3A01A814" w14:textId="3D31B14A" w:rsidR="00017551" w:rsidRPr="00260C1D" w:rsidRDefault="00017551" w:rsidP="00017551">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Guidelines are available to assist schools in supporting students with disabilities and additional learning needs, </w:t>
      </w:r>
      <w:r w:rsidR="00920576" w:rsidRPr="00260C1D">
        <w:rPr>
          <w:rFonts w:eastAsia="Segoe UI" w:cstheme="minorHAnsi"/>
          <w:color w:val="011A3C"/>
          <w:sz w:val="24"/>
          <w:szCs w:val="24"/>
          <w:lang w:val="en" w:eastAsia="en-AU"/>
        </w:rPr>
        <w:t>refer to</w:t>
      </w:r>
      <w:r w:rsidRPr="00260C1D">
        <w:rPr>
          <w:rFonts w:eastAsia="Segoe UI" w:cstheme="minorHAnsi"/>
          <w:color w:val="011A3C"/>
          <w:sz w:val="24"/>
          <w:szCs w:val="24"/>
          <w:lang w:val="en" w:eastAsia="en-AU"/>
        </w:rPr>
        <w:t xml:space="preserve">: </w:t>
      </w:r>
      <w:hyperlink r:id="rId20" w:history="1">
        <w:r w:rsidRPr="00614B09">
          <w:rPr>
            <w:rFonts w:eastAsia="Segoe UI" w:cstheme="minorHAnsi"/>
            <w:color w:val="4472C4" w:themeColor="accent1"/>
            <w:sz w:val="24"/>
            <w:szCs w:val="24"/>
            <w:u w:val="single"/>
            <w:lang w:val="en" w:eastAsia="en-AU"/>
          </w:rPr>
          <w:t>Student Support Groups</w:t>
        </w:r>
      </w:hyperlink>
      <w:r w:rsidRPr="00260C1D">
        <w:rPr>
          <w:rFonts w:eastAsia="Segoe UI" w:cstheme="minorHAnsi"/>
          <w:color w:val="011A3C"/>
          <w:sz w:val="24"/>
          <w:szCs w:val="24"/>
          <w:lang w:val="en" w:eastAsia="en-AU"/>
        </w:rPr>
        <w:t>.</w:t>
      </w:r>
    </w:p>
    <w:p w14:paraId="6C99D6D6" w14:textId="58CF47FB" w:rsidR="00017551" w:rsidRPr="00260C1D" w:rsidRDefault="00017551" w:rsidP="00017551">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For further information, </w:t>
      </w:r>
      <w:r w:rsidR="00920576" w:rsidRPr="00260C1D">
        <w:rPr>
          <w:rFonts w:eastAsia="Segoe UI" w:cstheme="minorHAnsi"/>
          <w:color w:val="011A3C"/>
          <w:sz w:val="24"/>
          <w:szCs w:val="24"/>
          <w:lang w:val="en" w:eastAsia="en-AU"/>
        </w:rPr>
        <w:t xml:space="preserve">refer to </w:t>
      </w:r>
      <w:hyperlink r:id="rId21" w:history="1">
        <w:r w:rsidRPr="00AD4CC3">
          <w:rPr>
            <w:rFonts w:eastAsia="Segoe UI" w:cstheme="minorHAnsi"/>
            <w:color w:val="4472C4" w:themeColor="accent1"/>
            <w:sz w:val="24"/>
            <w:szCs w:val="24"/>
            <w:u w:val="single"/>
            <w:lang w:val="en" w:eastAsia="en-AU"/>
          </w:rPr>
          <w:t>Students with Disability</w:t>
        </w:r>
      </w:hyperlink>
      <w:r w:rsidRPr="00260C1D">
        <w:rPr>
          <w:rFonts w:eastAsia="Segoe UI" w:cstheme="minorHAnsi"/>
          <w:color w:val="011A3C"/>
          <w:sz w:val="24"/>
          <w:szCs w:val="24"/>
          <w:lang w:val="en" w:eastAsia="en-AU"/>
        </w:rPr>
        <w:t>.</w:t>
      </w:r>
    </w:p>
    <w:p w14:paraId="64D3CC32" w14:textId="3BAEE522" w:rsidR="00017551" w:rsidRPr="00260C1D" w:rsidRDefault="00017551" w:rsidP="00017551">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Language and Learning Disabilities Support Program resources should not be targeted to students in receipt of supplementary funding through the Program for Students with Disabilities</w:t>
      </w:r>
      <w:r w:rsidR="00334721">
        <w:rPr>
          <w:rFonts w:eastAsia="Segoe UI" w:cstheme="minorHAnsi"/>
          <w:color w:val="011A3C"/>
          <w:sz w:val="24"/>
          <w:szCs w:val="24"/>
          <w:lang w:val="en" w:eastAsia="en-AU"/>
        </w:rPr>
        <w:t xml:space="preserve"> or</w:t>
      </w:r>
      <w:r w:rsidR="005B00BF">
        <w:rPr>
          <w:rFonts w:eastAsia="Segoe UI" w:cstheme="minorHAnsi"/>
          <w:color w:val="011A3C"/>
          <w:sz w:val="24"/>
          <w:szCs w:val="24"/>
          <w:lang w:val="en" w:eastAsia="en-AU"/>
        </w:rPr>
        <w:t xml:space="preserve"> </w:t>
      </w:r>
      <w:r w:rsidR="0032296F">
        <w:rPr>
          <w:rFonts w:eastAsia="Segoe UI" w:cstheme="minorHAnsi"/>
          <w:color w:val="011A3C"/>
          <w:sz w:val="24"/>
          <w:szCs w:val="24"/>
          <w:lang w:val="en" w:eastAsia="en-AU"/>
        </w:rPr>
        <w:t>Disability Inclusion Tier 3</w:t>
      </w:r>
      <w:r w:rsidR="001A1D11">
        <w:rPr>
          <w:rFonts w:eastAsia="Segoe UI" w:cstheme="minorHAnsi"/>
          <w:color w:val="011A3C"/>
          <w:sz w:val="24"/>
          <w:szCs w:val="24"/>
          <w:lang w:val="en" w:eastAsia="en-AU"/>
        </w:rPr>
        <w:t>.</w:t>
      </w:r>
    </w:p>
    <w:p w14:paraId="7E289297" w14:textId="6FB02C76" w:rsidR="003357B4" w:rsidRPr="00260C1D" w:rsidRDefault="003357B4" w:rsidP="00017551">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Language and Learning Disabilities Support Program (LLDSP) funding allocations will be progressively replaced by</w:t>
      </w:r>
      <w:r w:rsidR="00B241D3"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Disability Inclusion</w:t>
      </w:r>
      <w:r w:rsidR="00B241D3" w:rsidRPr="00260C1D">
        <w:rPr>
          <w:rFonts w:eastAsia="Segoe UI" w:cstheme="minorHAnsi"/>
          <w:color w:val="011A3C"/>
          <w:sz w:val="24"/>
          <w:szCs w:val="24"/>
          <w:lang w:val="en" w:eastAsia="en-AU"/>
        </w:rPr>
        <w:t xml:space="preserve"> Tier 2 school-level</w:t>
      </w:r>
      <w:r w:rsidRPr="00260C1D">
        <w:rPr>
          <w:rFonts w:eastAsia="Segoe UI" w:cstheme="minorHAnsi"/>
          <w:color w:val="011A3C"/>
          <w:sz w:val="24"/>
          <w:szCs w:val="24"/>
          <w:lang w:val="en" w:eastAsia="en-AU"/>
        </w:rPr>
        <w:t xml:space="preserve"> funding</w:t>
      </w:r>
      <w:r w:rsidR="00B241D3"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B241D3" w:rsidRPr="00260C1D">
        <w:rPr>
          <w:rFonts w:eastAsia="Segoe UI" w:cstheme="minorHAnsi"/>
          <w:color w:val="011A3C"/>
          <w:sz w:val="24"/>
          <w:szCs w:val="24"/>
          <w:lang w:val="en" w:eastAsia="en-AU"/>
        </w:rPr>
        <w:t xml:space="preserve">as the Disability Inclusion model is implemented in </w:t>
      </w:r>
      <w:r w:rsidR="00150D85" w:rsidRPr="00260C1D">
        <w:rPr>
          <w:rFonts w:eastAsia="Segoe UI" w:cstheme="minorHAnsi"/>
          <w:color w:val="011A3C"/>
          <w:sz w:val="24"/>
          <w:szCs w:val="24"/>
          <w:lang w:val="en" w:eastAsia="en-AU"/>
        </w:rPr>
        <w:t>schools.</w:t>
      </w:r>
    </w:p>
    <w:p w14:paraId="2C4D8F21" w14:textId="77777777" w:rsidR="00017551" w:rsidRPr="00260C1D" w:rsidRDefault="00017551" w:rsidP="00017551">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lastRenderedPageBreak/>
        <w:t>Eligibility</w:t>
      </w:r>
    </w:p>
    <w:p w14:paraId="4CF31AD3" w14:textId="51ED91B2" w:rsidR="003357B4" w:rsidRPr="00260C1D" w:rsidRDefault="003357B4" w:rsidP="00017551">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through the Language and Learning Disabilities Support Program will continue to be available to schools until they transition to Disability Inclusion during the staged 5-year roll-out schedule between 2021 to 2025.</w:t>
      </w:r>
    </w:p>
    <w:p w14:paraId="3678AD38" w14:textId="1F6298CC" w:rsidR="00017551" w:rsidRPr="00260C1D" w:rsidRDefault="003357B4" w:rsidP="00017551">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Remaining s</w:t>
      </w:r>
      <w:r w:rsidR="00017551" w:rsidRPr="00260C1D">
        <w:rPr>
          <w:rFonts w:eastAsia="Segoe UI" w:cstheme="minorHAnsi"/>
          <w:color w:val="011A3C"/>
          <w:sz w:val="24"/>
          <w:szCs w:val="24"/>
          <w:lang w:val="en" w:eastAsia="en-AU"/>
        </w:rPr>
        <w:t xml:space="preserve">chools with the following campus types and enrolments are eligible for the </w:t>
      </w:r>
      <w:r w:rsidR="00920576" w:rsidRPr="00260C1D">
        <w:rPr>
          <w:rFonts w:eastAsia="Segoe UI" w:cstheme="minorHAnsi"/>
          <w:color w:val="011A3C"/>
          <w:sz w:val="24"/>
          <w:szCs w:val="24"/>
          <w:lang w:val="en" w:eastAsia="en-AU"/>
        </w:rPr>
        <w:t>L</w:t>
      </w:r>
      <w:r w:rsidR="00017551" w:rsidRPr="00260C1D">
        <w:rPr>
          <w:rFonts w:eastAsia="Segoe UI" w:cstheme="minorHAnsi"/>
          <w:color w:val="011A3C"/>
          <w:sz w:val="24"/>
          <w:szCs w:val="24"/>
          <w:lang w:val="en" w:eastAsia="en-AU"/>
        </w:rPr>
        <w:t xml:space="preserve">anguage and </w:t>
      </w:r>
      <w:r w:rsidR="00920576" w:rsidRPr="00260C1D">
        <w:rPr>
          <w:rFonts w:eastAsia="Segoe UI" w:cstheme="minorHAnsi"/>
          <w:color w:val="011A3C"/>
          <w:sz w:val="24"/>
          <w:szCs w:val="24"/>
          <w:lang w:val="en" w:eastAsia="en-AU"/>
        </w:rPr>
        <w:t>L</w:t>
      </w:r>
      <w:r w:rsidR="00017551" w:rsidRPr="00260C1D">
        <w:rPr>
          <w:rFonts w:eastAsia="Segoe UI" w:cstheme="minorHAnsi"/>
          <w:color w:val="011A3C"/>
          <w:sz w:val="24"/>
          <w:szCs w:val="24"/>
          <w:lang w:val="en" w:eastAsia="en-AU"/>
        </w:rPr>
        <w:t xml:space="preserve">earning </w:t>
      </w:r>
      <w:r w:rsidR="00920576" w:rsidRPr="00260C1D">
        <w:rPr>
          <w:rFonts w:eastAsia="Segoe UI" w:cstheme="minorHAnsi"/>
          <w:color w:val="011A3C"/>
          <w:sz w:val="24"/>
          <w:szCs w:val="24"/>
          <w:lang w:val="en" w:eastAsia="en-AU"/>
        </w:rPr>
        <w:t>D</w:t>
      </w:r>
      <w:r w:rsidR="00017551" w:rsidRPr="00260C1D">
        <w:rPr>
          <w:rFonts w:eastAsia="Segoe UI" w:cstheme="minorHAnsi"/>
          <w:color w:val="011A3C"/>
          <w:sz w:val="24"/>
          <w:szCs w:val="24"/>
          <w:lang w:val="en" w:eastAsia="en-AU"/>
        </w:rPr>
        <w:t xml:space="preserve">isabilities </w:t>
      </w:r>
      <w:r w:rsidR="00920576" w:rsidRPr="00260C1D">
        <w:rPr>
          <w:rFonts w:eastAsia="Segoe UI" w:cstheme="minorHAnsi"/>
          <w:color w:val="011A3C"/>
          <w:sz w:val="24"/>
          <w:szCs w:val="24"/>
          <w:lang w:val="en" w:eastAsia="en-AU"/>
        </w:rPr>
        <w:t>S</w:t>
      </w:r>
      <w:r w:rsidR="00017551" w:rsidRPr="00260C1D">
        <w:rPr>
          <w:rFonts w:eastAsia="Segoe UI" w:cstheme="minorHAnsi"/>
          <w:color w:val="011A3C"/>
          <w:sz w:val="24"/>
          <w:szCs w:val="24"/>
          <w:lang w:val="en" w:eastAsia="en-AU"/>
        </w:rPr>
        <w:t xml:space="preserve">upport </w:t>
      </w:r>
      <w:r w:rsidR="00920576" w:rsidRPr="00260C1D">
        <w:rPr>
          <w:rFonts w:eastAsia="Segoe UI" w:cstheme="minorHAnsi"/>
          <w:color w:val="011A3C"/>
          <w:sz w:val="24"/>
          <w:szCs w:val="24"/>
          <w:lang w:val="en" w:eastAsia="en-AU"/>
        </w:rPr>
        <w:t>P</w:t>
      </w:r>
      <w:r w:rsidR="00017551" w:rsidRPr="00260C1D">
        <w:rPr>
          <w:rFonts w:eastAsia="Segoe UI" w:cstheme="minorHAnsi"/>
          <w:color w:val="011A3C"/>
          <w:sz w:val="24"/>
          <w:szCs w:val="24"/>
          <w:lang w:val="en" w:eastAsia="en-AU"/>
        </w:rPr>
        <w:t xml:space="preserve">rogram funding at </w:t>
      </w:r>
      <w:r w:rsidR="00F23395">
        <w:rPr>
          <w:rFonts w:eastAsia="Segoe UI" w:cstheme="minorHAnsi"/>
          <w:color w:val="011A3C"/>
          <w:sz w:val="24"/>
          <w:szCs w:val="24"/>
          <w:lang w:val="en" w:eastAsia="en-AU"/>
        </w:rPr>
        <w:t xml:space="preserve">a </w:t>
      </w:r>
      <w:r w:rsidR="00017551" w:rsidRPr="00260C1D">
        <w:rPr>
          <w:rFonts w:eastAsia="Segoe UI" w:cstheme="minorHAnsi"/>
          <w:color w:val="011A3C"/>
          <w:sz w:val="24"/>
          <w:szCs w:val="24"/>
          <w:lang w:val="en" w:eastAsia="en-AU"/>
        </w:rPr>
        <w:t>campus level</w:t>
      </w:r>
      <w:r w:rsidR="00F23395">
        <w:rPr>
          <w:rFonts w:eastAsia="Segoe UI" w:cstheme="minorHAnsi"/>
          <w:color w:val="011A3C"/>
          <w:sz w:val="24"/>
          <w:szCs w:val="24"/>
          <w:lang w:val="en" w:eastAsia="en-AU"/>
        </w:rPr>
        <w:t>:</w:t>
      </w:r>
    </w:p>
    <w:p w14:paraId="4E9A1B14" w14:textId="77777777" w:rsidR="00017551" w:rsidRPr="00AD4CC3" w:rsidRDefault="00017551" w:rsidP="00F56244">
      <w:pPr>
        <w:pStyle w:val="ListParagraph"/>
        <w:numPr>
          <w:ilvl w:val="0"/>
          <w:numId w:val="65"/>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Primary</w:t>
      </w:r>
    </w:p>
    <w:p w14:paraId="090DB106" w14:textId="77777777" w:rsidR="00017551" w:rsidRPr="00AD4CC3" w:rsidRDefault="00017551" w:rsidP="00F56244">
      <w:pPr>
        <w:pStyle w:val="ListParagraph"/>
        <w:numPr>
          <w:ilvl w:val="0"/>
          <w:numId w:val="65"/>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Secondary — Years 7 to 9 only</w:t>
      </w:r>
    </w:p>
    <w:p w14:paraId="71EC83D3" w14:textId="04C17B10" w:rsidR="00317934" w:rsidRPr="00AD4CC3" w:rsidRDefault="00017551" w:rsidP="00F56244">
      <w:pPr>
        <w:pStyle w:val="ListParagraph"/>
        <w:numPr>
          <w:ilvl w:val="0"/>
          <w:numId w:val="65"/>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 xml:space="preserve">Primary/Secondary </w:t>
      </w:r>
      <w:r w:rsidR="00317934" w:rsidRPr="00AD4CC3">
        <w:rPr>
          <w:rFonts w:eastAsia="Segoe UI" w:cstheme="minorHAnsi"/>
          <w:color w:val="011A3C"/>
          <w:sz w:val="24"/>
          <w:szCs w:val="24"/>
          <w:lang w:val="en" w:eastAsia="en-AU"/>
        </w:rPr>
        <w:t xml:space="preserve">Combined </w:t>
      </w:r>
      <w:r w:rsidRPr="00AD4CC3">
        <w:rPr>
          <w:rFonts w:eastAsia="Segoe UI" w:cstheme="minorHAnsi"/>
          <w:color w:val="011A3C"/>
          <w:sz w:val="24"/>
          <w:szCs w:val="24"/>
          <w:lang w:val="en" w:eastAsia="en-AU"/>
        </w:rPr>
        <w:t xml:space="preserve">— </w:t>
      </w:r>
      <w:r w:rsidR="00E33D9E">
        <w:rPr>
          <w:rFonts w:eastAsia="Segoe UI" w:cstheme="minorHAnsi"/>
          <w:color w:val="011A3C"/>
          <w:sz w:val="24"/>
          <w:szCs w:val="24"/>
          <w:lang w:val="en" w:eastAsia="en-AU"/>
        </w:rPr>
        <w:t>(Sec</w:t>
      </w:r>
      <w:r w:rsidR="001800F3">
        <w:rPr>
          <w:rFonts w:eastAsia="Segoe UI" w:cstheme="minorHAnsi"/>
          <w:color w:val="011A3C"/>
          <w:sz w:val="24"/>
          <w:szCs w:val="24"/>
          <w:lang w:val="en" w:eastAsia="en-AU"/>
        </w:rPr>
        <w:t>ondary</w:t>
      </w:r>
      <w:r w:rsidR="00E33D9E">
        <w:rPr>
          <w:rFonts w:eastAsia="Segoe UI" w:cstheme="minorHAnsi"/>
          <w:color w:val="011A3C"/>
          <w:sz w:val="24"/>
          <w:szCs w:val="24"/>
          <w:lang w:val="en" w:eastAsia="en-AU"/>
        </w:rPr>
        <w:t xml:space="preserve"> enrolmen</w:t>
      </w:r>
      <w:r w:rsidR="00952B00">
        <w:rPr>
          <w:rFonts w:eastAsia="Segoe UI" w:cstheme="minorHAnsi"/>
          <w:color w:val="011A3C"/>
          <w:sz w:val="24"/>
          <w:szCs w:val="24"/>
          <w:lang w:val="en" w:eastAsia="en-AU"/>
        </w:rPr>
        <w:t xml:space="preserve">ts </w:t>
      </w:r>
      <w:r w:rsidR="00271382">
        <w:rPr>
          <w:rFonts w:eastAsia="Segoe UI" w:cstheme="minorHAnsi"/>
          <w:color w:val="011A3C"/>
          <w:sz w:val="24"/>
          <w:szCs w:val="24"/>
          <w:lang w:val="en" w:eastAsia="en-AU"/>
        </w:rPr>
        <w:t xml:space="preserve">funded: </w:t>
      </w:r>
      <w:r w:rsidRPr="00AD4CC3">
        <w:rPr>
          <w:rFonts w:eastAsia="Segoe UI" w:cstheme="minorHAnsi"/>
          <w:color w:val="011A3C"/>
          <w:sz w:val="24"/>
          <w:szCs w:val="24"/>
          <w:lang w:val="en" w:eastAsia="en-AU"/>
        </w:rPr>
        <w:t xml:space="preserve">Years 7 to 9 </w:t>
      </w:r>
      <w:r w:rsidR="00E33D9E">
        <w:rPr>
          <w:rFonts w:eastAsia="Segoe UI" w:cstheme="minorHAnsi"/>
          <w:color w:val="011A3C"/>
          <w:sz w:val="24"/>
          <w:szCs w:val="24"/>
          <w:lang w:val="en" w:eastAsia="en-AU"/>
        </w:rPr>
        <w:t xml:space="preserve">and Ungraded </w:t>
      </w:r>
      <w:r w:rsidRPr="00AD4CC3">
        <w:rPr>
          <w:rFonts w:eastAsia="Segoe UI" w:cstheme="minorHAnsi"/>
          <w:color w:val="011A3C"/>
          <w:sz w:val="24"/>
          <w:szCs w:val="24"/>
          <w:lang w:val="en" w:eastAsia="en-AU"/>
        </w:rPr>
        <w:t>only</w:t>
      </w:r>
      <w:r w:rsidR="00271382">
        <w:rPr>
          <w:rFonts w:eastAsia="Segoe UI" w:cstheme="minorHAnsi"/>
          <w:color w:val="011A3C"/>
          <w:sz w:val="24"/>
          <w:szCs w:val="24"/>
          <w:lang w:val="en" w:eastAsia="en-AU"/>
        </w:rPr>
        <w:t>)</w:t>
      </w:r>
      <w:r w:rsidRPr="00AD4CC3">
        <w:rPr>
          <w:rFonts w:eastAsia="Segoe UI" w:cstheme="minorHAnsi"/>
          <w:color w:val="011A3C"/>
          <w:sz w:val="24"/>
          <w:szCs w:val="24"/>
          <w:lang w:val="en" w:eastAsia="en-AU"/>
        </w:rPr>
        <w:t xml:space="preserve"> </w:t>
      </w:r>
      <w:r w:rsidR="00530F0C">
        <w:rPr>
          <w:rFonts w:eastAsia="Segoe UI" w:cstheme="minorHAnsi"/>
          <w:color w:val="011A3C"/>
          <w:sz w:val="24"/>
          <w:szCs w:val="24"/>
          <w:lang w:val="en" w:eastAsia="en-AU"/>
        </w:rPr>
        <w:t xml:space="preserve">(excluding </w:t>
      </w:r>
      <w:r w:rsidR="00202336" w:rsidRPr="00202336">
        <w:rPr>
          <w:rFonts w:eastAsia="Segoe UI" w:cstheme="minorHAnsi"/>
          <w:color w:val="011A3C"/>
          <w:sz w:val="24"/>
          <w:szCs w:val="24"/>
          <w:lang w:val="en" w:eastAsia="en-AU"/>
        </w:rPr>
        <w:t>Wodonga Middle Years College</w:t>
      </w:r>
      <w:r w:rsidR="00202336">
        <w:rPr>
          <w:rFonts w:eastAsia="Segoe UI" w:cstheme="minorHAnsi"/>
          <w:color w:val="011A3C"/>
          <w:sz w:val="24"/>
          <w:szCs w:val="24"/>
          <w:lang w:val="en" w:eastAsia="en-AU"/>
        </w:rPr>
        <w:t>)</w:t>
      </w:r>
    </w:p>
    <w:p w14:paraId="2E6C24B8" w14:textId="0D9ABC87" w:rsidR="00B52991" w:rsidRDefault="00B52991" w:rsidP="00F56244">
      <w:pPr>
        <w:pStyle w:val="ListParagraph"/>
        <w:numPr>
          <w:ilvl w:val="0"/>
          <w:numId w:val="65"/>
        </w:numPr>
        <w:spacing w:before="100" w:beforeAutospacing="1" w:after="100" w:afterAutospacing="1" w:line="360" w:lineRule="atLeast"/>
        <w:rPr>
          <w:rFonts w:eastAsia="Segoe UI"/>
          <w:color w:val="011A3C"/>
          <w:sz w:val="24"/>
          <w:szCs w:val="24"/>
          <w:lang w:val="en" w:eastAsia="en-AU"/>
        </w:rPr>
      </w:pPr>
      <w:r w:rsidRPr="2D455031">
        <w:rPr>
          <w:rFonts w:eastAsia="Segoe UI"/>
          <w:color w:val="011A3C"/>
          <w:sz w:val="24"/>
          <w:szCs w:val="24"/>
          <w:lang w:val="en" w:eastAsia="en-AU"/>
        </w:rPr>
        <w:t xml:space="preserve">Community – </w:t>
      </w:r>
      <w:r w:rsidR="005E02DF">
        <w:rPr>
          <w:rFonts w:eastAsia="Segoe UI" w:cstheme="minorHAnsi"/>
          <w:color w:val="011A3C"/>
          <w:sz w:val="24"/>
          <w:szCs w:val="24"/>
          <w:lang w:val="en" w:eastAsia="en-AU"/>
        </w:rPr>
        <w:t>(Sec</w:t>
      </w:r>
      <w:r w:rsidR="00F337A6">
        <w:rPr>
          <w:rFonts w:eastAsia="Segoe UI" w:cstheme="minorHAnsi"/>
          <w:color w:val="011A3C"/>
          <w:sz w:val="24"/>
          <w:szCs w:val="24"/>
          <w:lang w:val="en" w:eastAsia="en-AU"/>
        </w:rPr>
        <w:t>ondary</w:t>
      </w:r>
      <w:r w:rsidR="005E02DF">
        <w:rPr>
          <w:rFonts w:eastAsia="Segoe UI" w:cstheme="minorHAnsi"/>
          <w:color w:val="011A3C"/>
          <w:sz w:val="24"/>
          <w:szCs w:val="24"/>
          <w:lang w:val="en" w:eastAsia="en-AU"/>
        </w:rPr>
        <w:t xml:space="preserve"> enrolments funded: </w:t>
      </w:r>
      <w:r w:rsidR="005E02DF" w:rsidRPr="00AD4CC3">
        <w:rPr>
          <w:rFonts w:eastAsia="Segoe UI" w:cstheme="minorHAnsi"/>
          <w:color w:val="011A3C"/>
          <w:sz w:val="24"/>
          <w:szCs w:val="24"/>
          <w:lang w:val="en" w:eastAsia="en-AU"/>
        </w:rPr>
        <w:t xml:space="preserve">Years 7 to 9 </w:t>
      </w:r>
      <w:r w:rsidR="005E02DF">
        <w:rPr>
          <w:rFonts w:eastAsia="Segoe UI" w:cstheme="minorHAnsi"/>
          <w:color w:val="011A3C"/>
          <w:sz w:val="24"/>
          <w:szCs w:val="24"/>
          <w:lang w:val="en" w:eastAsia="en-AU"/>
        </w:rPr>
        <w:t xml:space="preserve">and Ungraded </w:t>
      </w:r>
      <w:r w:rsidR="005E02DF" w:rsidRPr="00AD4CC3">
        <w:rPr>
          <w:rFonts w:eastAsia="Segoe UI" w:cstheme="minorHAnsi"/>
          <w:color w:val="011A3C"/>
          <w:sz w:val="24"/>
          <w:szCs w:val="24"/>
          <w:lang w:val="en" w:eastAsia="en-AU"/>
        </w:rPr>
        <w:t>only</w:t>
      </w:r>
      <w:r w:rsidR="005E02DF">
        <w:rPr>
          <w:rFonts w:eastAsia="Segoe UI" w:cstheme="minorHAnsi"/>
          <w:color w:val="011A3C"/>
          <w:sz w:val="24"/>
          <w:szCs w:val="24"/>
          <w:lang w:val="en" w:eastAsia="en-AU"/>
        </w:rPr>
        <w:t>)</w:t>
      </w:r>
    </w:p>
    <w:p w14:paraId="3B7BDDFF" w14:textId="1D2F0899" w:rsidR="00202336" w:rsidRPr="00AD4CC3" w:rsidRDefault="00202336" w:rsidP="00F56244">
      <w:pPr>
        <w:pStyle w:val="ListParagraph"/>
        <w:numPr>
          <w:ilvl w:val="0"/>
          <w:numId w:val="65"/>
        </w:numPr>
        <w:spacing w:before="100" w:beforeAutospacing="1" w:after="100" w:afterAutospacing="1" w:line="360" w:lineRule="atLeast"/>
        <w:rPr>
          <w:rFonts w:eastAsia="Segoe UI"/>
          <w:color w:val="011A3C"/>
          <w:sz w:val="24"/>
          <w:szCs w:val="24"/>
          <w:lang w:val="en" w:eastAsia="en-AU"/>
        </w:rPr>
      </w:pPr>
      <w:r w:rsidRPr="738305D2">
        <w:rPr>
          <w:rFonts w:eastAsia="Segoe UI"/>
          <w:color w:val="011A3C"/>
          <w:sz w:val="24"/>
          <w:szCs w:val="24"/>
          <w:lang w:val="en" w:eastAsia="en-AU"/>
        </w:rPr>
        <w:t xml:space="preserve">Training Centre (excluding </w:t>
      </w:r>
      <w:proofErr w:type="spellStart"/>
      <w:r w:rsidR="0054406B" w:rsidRPr="738305D2">
        <w:rPr>
          <w:rFonts w:eastAsia="Segoe UI"/>
          <w:color w:val="011A3C"/>
          <w:sz w:val="24"/>
          <w:szCs w:val="24"/>
          <w:lang w:val="en" w:eastAsia="en-AU"/>
        </w:rPr>
        <w:t>Yarra</w:t>
      </w:r>
      <w:proofErr w:type="spellEnd"/>
      <w:r w:rsidR="0054406B" w:rsidRPr="738305D2">
        <w:rPr>
          <w:rFonts w:eastAsia="Segoe UI"/>
          <w:color w:val="011A3C"/>
          <w:sz w:val="24"/>
          <w:szCs w:val="24"/>
          <w:lang w:val="en" w:eastAsia="en-AU"/>
        </w:rPr>
        <w:t xml:space="preserve"> Me School)</w:t>
      </w:r>
    </w:p>
    <w:p w14:paraId="672ADF73" w14:textId="0E7C4BFA" w:rsidR="005E41D9" w:rsidRPr="00260C1D" w:rsidRDefault="005E41D9" w:rsidP="0031793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calculated at the Indicative, Confirmed and Revised budget cycles</w:t>
      </w:r>
      <w:r w:rsidR="001A4415">
        <w:rPr>
          <w:rFonts w:eastAsia="Segoe UI" w:cstheme="minorHAnsi"/>
          <w:color w:val="011A3C"/>
          <w:sz w:val="24"/>
          <w:szCs w:val="24"/>
          <w:lang w:val="en" w:eastAsia="en-AU"/>
        </w:rPr>
        <w:t>. F</w:t>
      </w:r>
      <w:r w:rsidR="004E1F6F" w:rsidRPr="00260C1D">
        <w:rPr>
          <w:rFonts w:eastAsia="Segoe UI" w:cstheme="minorHAnsi"/>
          <w:color w:val="011A3C"/>
          <w:sz w:val="24"/>
          <w:szCs w:val="24"/>
          <w:lang w:val="en" w:eastAsia="en-AU"/>
        </w:rPr>
        <w:t xml:space="preserve">unding is </w:t>
      </w:r>
      <w:r w:rsidR="00A05D7F">
        <w:rPr>
          <w:rFonts w:eastAsia="Segoe UI" w:cstheme="minorHAnsi"/>
          <w:color w:val="011A3C"/>
          <w:sz w:val="24"/>
          <w:szCs w:val="24"/>
          <w:lang w:val="en" w:eastAsia="en-AU"/>
        </w:rPr>
        <w:t xml:space="preserve">allocated </w:t>
      </w:r>
      <w:r w:rsidRPr="00260C1D">
        <w:rPr>
          <w:rFonts w:eastAsia="Segoe UI" w:cstheme="minorHAnsi"/>
          <w:color w:val="011A3C"/>
          <w:sz w:val="24"/>
          <w:szCs w:val="24"/>
          <w:lang w:val="en" w:eastAsia="en-AU"/>
        </w:rPr>
        <w:t>through credit funding</w:t>
      </w:r>
      <w:r w:rsidR="004E1F6F" w:rsidRPr="00260C1D">
        <w:rPr>
          <w:rFonts w:eastAsia="Segoe UI" w:cstheme="minorHAnsi"/>
          <w:color w:val="011A3C"/>
          <w:sz w:val="24"/>
          <w:szCs w:val="24"/>
          <w:lang w:val="en" w:eastAsia="en-AU"/>
        </w:rPr>
        <w:t>.</w:t>
      </w:r>
    </w:p>
    <w:p w14:paraId="2DA5F504" w14:textId="20E1E0F5" w:rsidR="00316785" w:rsidRPr="00260C1D" w:rsidRDefault="00316785" w:rsidP="00317934">
      <w:pPr>
        <w:spacing w:before="100" w:beforeAutospacing="1" w:after="100" w:afterAutospacing="1" w:line="360" w:lineRule="atLeast"/>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In 2024, schools in </w:t>
      </w:r>
      <w:r w:rsidR="001C7B50" w:rsidRPr="009B4DE1">
        <w:rPr>
          <w:rFonts w:eastAsia="Segoe UI" w:cstheme="minorHAnsi"/>
          <w:color w:val="011A3C"/>
          <w:sz w:val="24"/>
          <w:szCs w:val="24"/>
          <w:lang w:val="en" w:eastAsia="en-AU"/>
        </w:rPr>
        <w:t xml:space="preserve">Hume Merri-bek, Outer Gippsland, Wimmera South West, and Inner Eastern Melbourne are eligible for the </w:t>
      </w:r>
      <w:r w:rsidR="001C7B50" w:rsidRPr="00260C1D">
        <w:rPr>
          <w:rFonts w:eastAsia="Segoe UI" w:cstheme="minorHAnsi"/>
          <w:color w:val="011A3C"/>
          <w:sz w:val="24"/>
          <w:szCs w:val="24"/>
          <w:lang w:val="en" w:eastAsia="en-AU"/>
        </w:rPr>
        <w:t>Language and Learning Disabilities Support Program</w:t>
      </w:r>
      <w:r w:rsidR="001C7B50">
        <w:rPr>
          <w:rFonts w:eastAsia="Segoe UI" w:cstheme="minorHAnsi"/>
          <w:color w:val="011A3C"/>
          <w:sz w:val="24"/>
          <w:szCs w:val="24"/>
          <w:lang w:val="en" w:eastAsia="en-AU"/>
        </w:rPr>
        <w:t xml:space="preserve">. In 2025, the </w:t>
      </w:r>
      <w:r w:rsidR="001C7B50" w:rsidRPr="00260C1D">
        <w:rPr>
          <w:rFonts w:eastAsia="Segoe UI" w:cstheme="minorHAnsi"/>
          <w:color w:val="011A3C"/>
          <w:sz w:val="24"/>
          <w:szCs w:val="24"/>
          <w:lang w:val="en" w:eastAsia="en-AU"/>
        </w:rPr>
        <w:t>Language and Learning Disabilities Support Program</w:t>
      </w:r>
      <w:r w:rsidR="001C7B50">
        <w:rPr>
          <w:rFonts w:eastAsia="Segoe UI" w:cstheme="minorHAnsi"/>
          <w:color w:val="011A3C"/>
          <w:sz w:val="24"/>
          <w:szCs w:val="24"/>
          <w:lang w:val="en" w:eastAsia="en-AU"/>
        </w:rPr>
        <w:t xml:space="preserve"> will be replaced by Disability Inclusion Tier 2 funding (Ref 137)</w:t>
      </w:r>
      <w:r w:rsidR="002F5B64">
        <w:rPr>
          <w:rFonts w:eastAsia="Segoe UI" w:cstheme="minorHAnsi"/>
          <w:color w:val="011A3C"/>
          <w:sz w:val="24"/>
          <w:szCs w:val="24"/>
          <w:lang w:val="en" w:eastAsia="en-AU"/>
        </w:rPr>
        <w:t xml:space="preserve"> for all schools</w:t>
      </w:r>
      <w:r w:rsidR="002F5B64" w:rsidRPr="00833928">
        <w:rPr>
          <w:color w:val="011A3C"/>
          <w:sz w:val="24"/>
          <w:lang w:val="en"/>
        </w:rPr>
        <w:t>.</w:t>
      </w:r>
    </w:p>
    <w:p w14:paraId="3C89B210" w14:textId="3D296A67" w:rsidR="00017551" w:rsidRPr="00260C1D" w:rsidRDefault="00017551" w:rsidP="00017551">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0980E443" w14:textId="517B5DFB" w:rsidR="00017551" w:rsidRPr="00260C1D" w:rsidRDefault="00017551" w:rsidP="00017551">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allocation is calculated in two parts. First, a weighted per student allocation based on the Stages of Schooling for Prep to 9 students. Second, a further allocation for </w:t>
      </w:r>
      <w:r w:rsidR="00CF1CCA" w:rsidRPr="00260C1D">
        <w:rPr>
          <w:rFonts w:eastAsia="Segoe UI" w:cstheme="minorHAnsi"/>
          <w:color w:val="011A3C"/>
          <w:sz w:val="24"/>
          <w:szCs w:val="24"/>
          <w:lang w:val="en" w:eastAsia="en-AU"/>
        </w:rPr>
        <w:t xml:space="preserve">campuses </w:t>
      </w:r>
      <w:r w:rsidRPr="00260C1D">
        <w:rPr>
          <w:rFonts w:eastAsia="Segoe UI" w:cstheme="minorHAnsi"/>
          <w:color w:val="011A3C"/>
          <w:sz w:val="24"/>
          <w:szCs w:val="24"/>
          <w:lang w:val="en" w:eastAsia="en-AU"/>
        </w:rPr>
        <w:t>with a Student Family Occupation (SFO) index above a density threshold of 0.4606.</w:t>
      </w:r>
    </w:p>
    <w:p w14:paraId="30C186A7" w14:textId="7FF3233B" w:rsidR="00017551" w:rsidRPr="00260C1D" w:rsidRDefault="00017551" w:rsidP="00017551">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 xml:space="preserve">Per </w:t>
      </w:r>
      <w:r w:rsidR="00297511">
        <w:rPr>
          <w:rFonts w:eastAsia="Segoe UI" w:cstheme="minorHAnsi"/>
          <w:b/>
          <w:color w:val="011A3C"/>
          <w:sz w:val="24"/>
          <w:szCs w:val="24"/>
          <w:lang w:val="en" w:eastAsia="en-AU"/>
        </w:rPr>
        <w:t>s</w:t>
      </w:r>
      <w:r w:rsidRPr="00260C1D">
        <w:rPr>
          <w:rFonts w:eastAsia="Segoe UI" w:cstheme="minorHAnsi"/>
          <w:b/>
          <w:color w:val="011A3C"/>
          <w:sz w:val="24"/>
          <w:szCs w:val="24"/>
          <w:lang w:val="en" w:eastAsia="en-AU"/>
        </w:rPr>
        <w:t xml:space="preserve">tudent </w:t>
      </w:r>
      <w:r w:rsidR="00297511">
        <w:rPr>
          <w:rFonts w:eastAsia="Segoe UI" w:cstheme="minorHAnsi"/>
          <w:b/>
          <w:color w:val="011A3C"/>
          <w:sz w:val="24"/>
          <w:szCs w:val="24"/>
          <w:lang w:val="en" w:eastAsia="en-AU"/>
        </w:rPr>
        <w:t>a</w:t>
      </w:r>
      <w:r w:rsidRPr="00260C1D">
        <w:rPr>
          <w:rFonts w:eastAsia="Segoe UI" w:cstheme="minorHAnsi"/>
          <w:b/>
          <w:color w:val="011A3C"/>
          <w:sz w:val="24"/>
          <w:szCs w:val="24"/>
          <w:lang w:val="en" w:eastAsia="en-AU"/>
        </w:rPr>
        <w:t>llocation (Part 1)</w:t>
      </w:r>
      <w:r w:rsidRPr="00260C1D">
        <w:rPr>
          <w:rFonts w:eastAsia="Segoe UI" w:cstheme="minorHAnsi"/>
          <w:color w:val="011A3C"/>
          <w:sz w:val="24"/>
          <w:szCs w:val="24"/>
          <w:lang w:val="en" w:eastAsia="en-AU"/>
        </w:rPr>
        <w:t xml:space="preserve"> = Base </w:t>
      </w:r>
      <w:r w:rsidR="00297511">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 xml:space="preserve">llocation + (Stages of Schooling </w:t>
      </w:r>
      <w:r w:rsidR="00297511">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nrolment</w:t>
      </w:r>
      <w:r w:rsidR="009E042D">
        <w:rPr>
          <w:rFonts w:eastAsia="Segoe UI" w:cstheme="minorHAnsi"/>
          <w:color w:val="011A3C"/>
          <w:sz w:val="24"/>
          <w:szCs w:val="24"/>
          <w:lang w:val="en" w:eastAsia="en-AU"/>
        </w:rPr>
        <w:t>s</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 xml:space="preserve">Stages of Schooling weighted </w:t>
      </w:r>
      <w:r w:rsidR="00297511">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p>
    <w:p w14:paraId="0B5783DF" w14:textId="425C85C2" w:rsidR="00017551" w:rsidRPr="00260C1D" w:rsidRDefault="00017551" w:rsidP="00017551">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 xml:space="preserve">SFO </w:t>
      </w:r>
      <w:r w:rsidR="00297511">
        <w:rPr>
          <w:rFonts w:eastAsia="Segoe UI" w:cstheme="minorHAnsi"/>
          <w:b/>
          <w:color w:val="011A3C"/>
          <w:sz w:val="24"/>
          <w:szCs w:val="24"/>
          <w:lang w:val="en" w:eastAsia="en-AU"/>
        </w:rPr>
        <w:t>a</w:t>
      </w:r>
      <w:r w:rsidRPr="00260C1D">
        <w:rPr>
          <w:rFonts w:eastAsia="Segoe UI" w:cstheme="minorHAnsi"/>
          <w:b/>
          <w:color w:val="011A3C"/>
          <w:sz w:val="24"/>
          <w:szCs w:val="24"/>
          <w:lang w:val="en" w:eastAsia="en-AU"/>
        </w:rPr>
        <w:t>llocation (Part 2 if applicable)</w:t>
      </w:r>
      <w:r w:rsidRPr="00260C1D">
        <w:rPr>
          <w:rFonts w:eastAsia="Segoe UI" w:cstheme="minorHAnsi"/>
          <w:color w:val="011A3C"/>
          <w:sz w:val="24"/>
          <w:szCs w:val="24"/>
          <w:lang w:val="en" w:eastAsia="en-AU"/>
        </w:rPr>
        <w:t xml:space="preserve"> = Stages of Schooling enrolment</w:t>
      </w:r>
      <w:r w:rsidR="009E042D">
        <w:rPr>
          <w:rFonts w:eastAsia="Segoe UI" w:cstheme="minorHAnsi"/>
          <w:color w:val="011A3C"/>
          <w:sz w:val="24"/>
          <w:szCs w:val="24"/>
          <w:lang w:val="en" w:eastAsia="en-AU"/>
        </w:rPr>
        <w:t>s</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 xml:space="preserve">Stages of </w:t>
      </w:r>
      <w:r w:rsidR="00297511">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chooling weighted SFO student rate</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 xml:space="preserve">(School SFO </w:t>
      </w:r>
      <w:r w:rsidR="0034579A">
        <w:rPr>
          <w:rFonts w:eastAsia="Segoe UI" w:cstheme="minorHAnsi"/>
          <w:color w:val="011A3C"/>
          <w:sz w:val="24"/>
          <w:szCs w:val="24"/>
          <w:lang w:val="en" w:eastAsia="en-AU"/>
        </w:rPr>
        <w:t>i</w:t>
      </w:r>
      <w:r w:rsidRPr="00260C1D">
        <w:rPr>
          <w:rFonts w:eastAsia="Segoe UI" w:cstheme="minorHAnsi"/>
          <w:color w:val="011A3C"/>
          <w:sz w:val="24"/>
          <w:szCs w:val="24"/>
          <w:lang w:val="en" w:eastAsia="en-AU"/>
        </w:rPr>
        <w:t>ndex – SFO threshold)</w:t>
      </w:r>
    </w:p>
    <w:p w14:paraId="376AB543" w14:textId="29F3263D" w:rsidR="00017551" w:rsidRPr="00260C1D" w:rsidRDefault="00017551" w:rsidP="00017551">
      <w:pPr>
        <w:spacing w:before="100" w:beforeAutospacing="1" w:after="100" w:afterAutospacing="1" w:line="360" w:lineRule="atLeast"/>
        <w:rPr>
          <w:rFonts w:eastAsia="Segoe UI" w:cstheme="minorHAnsi"/>
          <w:color w:val="011A3C"/>
          <w:sz w:val="24"/>
          <w:szCs w:val="24"/>
          <w:lang w:val="en" w:eastAsia="en-AU"/>
        </w:rPr>
      </w:pPr>
      <w:bookmarkStart w:id="37" w:name="_Hlk48116568"/>
      <w:r w:rsidRPr="00260C1D">
        <w:rPr>
          <w:rFonts w:eastAsia="Segoe UI" w:cstheme="minorHAnsi"/>
          <w:b/>
          <w:color w:val="011A3C"/>
          <w:sz w:val="24"/>
          <w:szCs w:val="24"/>
          <w:lang w:val="en" w:eastAsia="en-AU"/>
        </w:rPr>
        <w:t xml:space="preserve">Total </w:t>
      </w:r>
      <w:r w:rsidR="00297511">
        <w:rPr>
          <w:rFonts w:eastAsia="Segoe UI" w:cstheme="minorHAnsi"/>
          <w:b/>
          <w:color w:val="011A3C"/>
          <w:sz w:val="24"/>
          <w:szCs w:val="24"/>
          <w:lang w:val="en" w:eastAsia="en-AU"/>
        </w:rPr>
        <w:t>a</w:t>
      </w:r>
      <w:r w:rsidRPr="00260C1D">
        <w:rPr>
          <w:rFonts w:eastAsia="Segoe UI" w:cstheme="minorHAnsi"/>
          <w:b/>
          <w:color w:val="011A3C"/>
          <w:sz w:val="24"/>
          <w:szCs w:val="24"/>
          <w:lang w:val="en" w:eastAsia="en-AU"/>
        </w:rPr>
        <w:t>llocation</w:t>
      </w:r>
      <w:r w:rsidRPr="00260C1D">
        <w:rPr>
          <w:rFonts w:eastAsia="Segoe UI" w:cstheme="minorHAnsi"/>
          <w:color w:val="011A3C"/>
          <w:sz w:val="24"/>
          <w:szCs w:val="24"/>
          <w:lang w:val="en" w:eastAsia="en-AU"/>
        </w:rPr>
        <w:t xml:space="preserve"> = Per </w:t>
      </w:r>
      <w:r w:rsidR="00297511">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tudent allocation + SFO </w:t>
      </w:r>
      <w:r w:rsidR="00297511">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llocation</w:t>
      </w:r>
    </w:p>
    <w:bookmarkEnd w:id="37"/>
    <w:p w14:paraId="13B8AE79" w14:textId="2D2E61AF" w:rsidR="00017551" w:rsidRPr="00260C1D" w:rsidRDefault="00017551" w:rsidP="00017551">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Minimum </w:t>
      </w:r>
      <w:r w:rsidR="00297511">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 xml:space="preserve">llocation for all primary and secondary </w:t>
      </w:r>
      <w:r w:rsidR="00CF1CCA" w:rsidRPr="00260C1D">
        <w:rPr>
          <w:rFonts w:eastAsia="Segoe UI" w:cstheme="minorHAnsi"/>
          <w:color w:val="011A3C"/>
          <w:sz w:val="24"/>
          <w:szCs w:val="24"/>
          <w:lang w:val="en" w:eastAsia="en-AU"/>
        </w:rPr>
        <w:t xml:space="preserve">campuses </w:t>
      </w:r>
      <w:r w:rsidRPr="00260C1D">
        <w:rPr>
          <w:rFonts w:eastAsia="Segoe UI" w:cstheme="minorHAnsi"/>
          <w:color w:val="011A3C"/>
          <w:sz w:val="24"/>
          <w:szCs w:val="24"/>
          <w:lang w:val="en" w:eastAsia="en-AU"/>
        </w:rPr>
        <w:t>= $5,000.00</w:t>
      </w:r>
    </w:p>
    <w:p w14:paraId="67F28D39" w14:textId="5F10042F" w:rsidR="009D3396" w:rsidRPr="00260C1D" w:rsidRDefault="009D3396" w:rsidP="009D3396">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Example:</w:t>
      </w:r>
      <w:r w:rsidR="00B77069"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 A </w:t>
      </w:r>
      <w:r w:rsidR="00B77069" w:rsidRPr="00260C1D">
        <w:rPr>
          <w:rFonts w:eastAsia="Segoe UI" w:cstheme="minorHAnsi"/>
          <w:color w:val="011A3C"/>
          <w:sz w:val="24"/>
          <w:szCs w:val="24"/>
          <w:lang w:val="en" w:eastAsia="en-AU"/>
        </w:rPr>
        <w:t xml:space="preserve">primary school with 21 </w:t>
      </w:r>
      <w:r w:rsidR="003E4DAD">
        <w:rPr>
          <w:rFonts w:eastAsia="Segoe UI" w:cstheme="minorHAnsi"/>
          <w:color w:val="011A3C"/>
          <w:sz w:val="24"/>
          <w:szCs w:val="24"/>
          <w:lang w:val="en" w:eastAsia="en-AU"/>
        </w:rPr>
        <w:t>P</w:t>
      </w:r>
      <w:r w:rsidR="00B77069" w:rsidRPr="00260C1D">
        <w:rPr>
          <w:rFonts w:eastAsia="Segoe UI" w:cstheme="minorHAnsi"/>
          <w:color w:val="011A3C"/>
          <w:sz w:val="24"/>
          <w:szCs w:val="24"/>
          <w:lang w:val="en" w:eastAsia="en-AU"/>
        </w:rPr>
        <w:t xml:space="preserve">rep </w:t>
      </w:r>
      <w:r w:rsidR="0085324B" w:rsidRPr="00260C1D">
        <w:rPr>
          <w:rFonts w:eastAsia="Segoe UI" w:cstheme="minorHAnsi"/>
          <w:color w:val="011A3C"/>
          <w:sz w:val="24"/>
          <w:szCs w:val="24"/>
          <w:lang w:val="en" w:eastAsia="en-AU"/>
        </w:rPr>
        <w:t>to</w:t>
      </w:r>
      <w:r w:rsidR="00B77069" w:rsidRPr="00260C1D">
        <w:rPr>
          <w:rFonts w:eastAsia="Segoe UI" w:cstheme="minorHAnsi"/>
          <w:color w:val="011A3C"/>
          <w:sz w:val="24"/>
          <w:szCs w:val="24"/>
          <w:lang w:val="en" w:eastAsia="en-AU"/>
        </w:rPr>
        <w:t xml:space="preserve"> </w:t>
      </w:r>
      <w:r w:rsidR="003E4DAD">
        <w:rPr>
          <w:rFonts w:eastAsia="Segoe UI" w:cstheme="minorHAnsi"/>
          <w:color w:val="011A3C"/>
          <w:sz w:val="24"/>
          <w:szCs w:val="24"/>
          <w:lang w:val="en" w:eastAsia="en-AU"/>
        </w:rPr>
        <w:t>Y</w:t>
      </w:r>
      <w:r w:rsidR="0085324B" w:rsidRPr="00260C1D">
        <w:rPr>
          <w:rFonts w:eastAsia="Segoe UI" w:cstheme="minorHAnsi"/>
          <w:color w:val="011A3C"/>
          <w:sz w:val="24"/>
          <w:szCs w:val="24"/>
          <w:lang w:val="en" w:eastAsia="en-AU"/>
        </w:rPr>
        <w:t>ear</w:t>
      </w:r>
      <w:r w:rsidR="00B77069" w:rsidRPr="00260C1D">
        <w:rPr>
          <w:rFonts w:eastAsia="Segoe UI" w:cstheme="minorHAnsi"/>
          <w:color w:val="011A3C"/>
          <w:sz w:val="24"/>
          <w:szCs w:val="24"/>
          <w:lang w:val="en" w:eastAsia="en-AU"/>
        </w:rPr>
        <w:t xml:space="preserve"> 1 enrolments, 11 </w:t>
      </w:r>
      <w:r w:rsidR="003E4DAD">
        <w:rPr>
          <w:rFonts w:eastAsia="Segoe UI" w:cstheme="minorHAnsi"/>
          <w:color w:val="011A3C"/>
          <w:sz w:val="24"/>
          <w:szCs w:val="24"/>
          <w:lang w:val="en" w:eastAsia="en-AU"/>
        </w:rPr>
        <w:t>Y</w:t>
      </w:r>
      <w:r w:rsidR="0085324B" w:rsidRPr="00260C1D">
        <w:rPr>
          <w:rFonts w:eastAsia="Segoe UI" w:cstheme="minorHAnsi"/>
          <w:color w:val="011A3C"/>
          <w:sz w:val="24"/>
          <w:szCs w:val="24"/>
          <w:lang w:val="en" w:eastAsia="en-AU"/>
        </w:rPr>
        <w:t xml:space="preserve">ear </w:t>
      </w:r>
      <w:r w:rsidR="00B77069" w:rsidRPr="00260C1D">
        <w:rPr>
          <w:rFonts w:eastAsia="Segoe UI" w:cstheme="minorHAnsi"/>
          <w:color w:val="011A3C"/>
          <w:sz w:val="24"/>
          <w:szCs w:val="24"/>
          <w:lang w:val="en" w:eastAsia="en-AU"/>
        </w:rPr>
        <w:t xml:space="preserve">2 enrolments, 50 </w:t>
      </w:r>
      <w:r w:rsidR="003E4DAD">
        <w:rPr>
          <w:rFonts w:eastAsia="Segoe UI" w:cstheme="minorHAnsi"/>
          <w:color w:val="011A3C"/>
          <w:sz w:val="24"/>
          <w:szCs w:val="24"/>
          <w:lang w:val="en" w:eastAsia="en-AU"/>
        </w:rPr>
        <w:t>Y</w:t>
      </w:r>
      <w:r w:rsidR="0085324B" w:rsidRPr="00260C1D">
        <w:rPr>
          <w:rFonts w:eastAsia="Segoe UI" w:cstheme="minorHAnsi"/>
          <w:color w:val="011A3C"/>
          <w:sz w:val="24"/>
          <w:szCs w:val="24"/>
          <w:lang w:val="en" w:eastAsia="en-AU"/>
        </w:rPr>
        <w:t xml:space="preserve">ear </w:t>
      </w:r>
      <w:r w:rsidR="00B77069" w:rsidRPr="00260C1D">
        <w:rPr>
          <w:rFonts w:eastAsia="Segoe UI" w:cstheme="minorHAnsi"/>
          <w:color w:val="011A3C"/>
          <w:sz w:val="24"/>
          <w:szCs w:val="24"/>
          <w:lang w:val="en" w:eastAsia="en-AU"/>
        </w:rPr>
        <w:t>3</w:t>
      </w:r>
      <w:r w:rsidR="0085324B" w:rsidRPr="00260C1D">
        <w:rPr>
          <w:rFonts w:eastAsia="Segoe UI" w:cstheme="minorHAnsi"/>
          <w:color w:val="011A3C"/>
          <w:sz w:val="24"/>
          <w:szCs w:val="24"/>
          <w:lang w:val="en" w:eastAsia="en-AU"/>
        </w:rPr>
        <w:t xml:space="preserve"> to </w:t>
      </w:r>
      <w:r w:rsidR="00B77069" w:rsidRPr="00260C1D">
        <w:rPr>
          <w:rFonts w:eastAsia="Segoe UI" w:cstheme="minorHAnsi"/>
          <w:color w:val="011A3C"/>
          <w:sz w:val="24"/>
          <w:szCs w:val="24"/>
          <w:lang w:val="en" w:eastAsia="en-AU"/>
        </w:rPr>
        <w:t>6 enrolments and a</w:t>
      </w:r>
      <w:r w:rsidR="0085324B" w:rsidRPr="00260C1D">
        <w:rPr>
          <w:rFonts w:eastAsia="Segoe UI" w:cstheme="minorHAnsi"/>
          <w:color w:val="011A3C"/>
          <w:sz w:val="24"/>
          <w:szCs w:val="24"/>
          <w:lang w:val="en" w:eastAsia="en-AU"/>
        </w:rPr>
        <w:t xml:space="preserve"> school</w:t>
      </w:r>
      <w:r w:rsidR="00B77069" w:rsidRPr="00260C1D">
        <w:rPr>
          <w:rFonts w:eastAsia="Segoe UI" w:cstheme="minorHAnsi"/>
          <w:color w:val="011A3C"/>
          <w:sz w:val="24"/>
          <w:szCs w:val="24"/>
          <w:lang w:val="en" w:eastAsia="en-AU"/>
        </w:rPr>
        <w:t xml:space="preserve"> SFO density of </w:t>
      </w:r>
      <w:r w:rsidR="0085324B" w:rsidRPr="00260C1D">
        <w:rPr>
          <w:rFonts w:eastAsia="Segoe UI" w:cstheme="minorHAnsi"/>
          <w:color w:val="011A3C"/>
          <w:sz w:val="24"/>
          <w:szCs w:val="24"/>
          <w:lang w:val="en" w:eastAsia="en-AU"/>
        </w:rPr>
        <w:t>0</w:t>
      </w:r>
      <w:r w:rsidR="00B77069" w:rsidRPr="00260C1D">
        <w:rPr>
          <w:rFonts w:eastAsia="Segoe UI" w:cstheme="minorHAnsi"/>
          <w:color w:val="011A3C"/>
          <w:sz w:val="24"/>
          <w:szCs w:val="24"/>
          <w:lang w:val="en" w:eastAsia="en-AU"/>
        </w:rPr>
        <w:t xml:space="preserve">.5543 would </w:t>
      </w:r>
      <w:r w:rsidR="00953A7E" w:rsidRPr="00260C1D">
        <w:rPr>
          <w:rFonts w:eastAsia="Segoe UI" w:cstheme="minorHAnsi"/>
          <w:color w:val="011A3C"/>
          <w:sz w:val="24"/>
          <w:szCs w:val="24"/>
          <w:lang w:val="en" w:eastAsia="en-AU"/>
        </w:rPr>
        <w:t>calculate</w:t>
      </w:r>
      <w:r w:rsidR="00B77069" w:rsidRPr="00260C1D">
        <w:rPr>
          <w:rFonts w:eastAsia="Segoe UI" w:cstheme="minorHAnsi"/>
          <w:color w:val="011A3C"/>
          <w:sz w:val="24"/>
          <w:szCs w:val="24"/>
          <w:lang w:val="en" w:eastAsia="en-AU"/>
        </w:rPr>
        <w:t xml:space="preserve"> their funding as follows:</w:t>
      </w:r>
    </w:p>
    <w:p w14:paraId="5B28E033" w14:textId="76A44739" w:rsidR="00B77069" w:rsidRPr="00260C1D" w:rsidRDefault="009D3396" w:rsidP="00B77069">
      <w:pPr>
        <w:spacing w:before="100" w:beforeAutospacing="1" w:after="100" w:afterAutospacing="1" w:line="360" w:lineRule="atLeast"/>
        <w:rPr>
          <w:rFonts w:eastAsia="Segoe UI" w:cstheme="minorHAnsi"/>
          <w:color w:val="011A3C"/>
          <w:sz w:val="24"/>
          <w:szCs w:val="24"/>
          <w:lang w:val="en" w:eastAsia="en-AU"/>
        </w:rPr>
      </w:pPr>
      <w:r w:rsidRPr="00260C1D">
        <w:rPr>
          <w:rFonts w:cstheme="minorHAnsi"/>
          <w:b/>
          <w:lang w:val="en" w:eastAsia="en-AU"/>
        </w:rPr>
        <w:lastRenderedPageBreak/>
        <w:t xml:space="preserve">Part 1 </w:t>
      </w:r>
      <w:r w:rsidR="00B77069" w:rsidRPr="00260C1D">
        <w:rPr>
          <w:rFonts w:cstheme="minorHAnsi"/>
          <w:b/>
          <w:lang w:val="en" w:eastAsia="en-AU"/>
        </w:rPr>
        <w:t xml:space="preserve">Student </w:t>
      </w:r>
      <w:r w:rsidR="00297511">
        <w:rPr>
          <w:rFonts w:cstheme="minorHAnsi"/>
          <w:b/>
          <w:lang w:val="en" w:eastAsia="en-AU"/>
        </w:rPr>
        <w:t>a</w:t>
      </w:r>
      <w:r w:rsidR="00B77069" w:rsidRPr="00260C1D">
        <w:rPr>
          <w:rFonts w:cstheme="minorHAnsi"/>
          <w:b/>
          <w:lang w:val="en" w:eastAsia="en-AU"/>
        </w:rPr>
        <w:t>llocation</w:t>
      </w:r>
      <w:r w:rsidRPr="00260C1D">
        <w:rPr>
          <w:rFonts w:cstheme="minorHAnsi"/>
          <w:lang w:val="en" w:eastAsia="en-AU"/>
        </w:rPr>
        <w:t xml:space="preserve"> = </w:t>
      </w:r>
      <w:r w:rsidR="00B77069" w:rsidRPr="00260C1D">
        <w:rPr>
          <w:rFonts w:eastAsia="Segoe UI" w:cstheme="minorHAnsi"/>
          <w:color w:val="011A3C"/>
          <w:sz w:val="24"/>
          <w:szCs w:val="24"/>
          <w:lang w:val="en" w:eastAsia="en-AU"/>
        </w:rPr>
        <w:t xml:space="preserve">Base </w:t>
      </w:r>
      <w:r w:rsidR="00297511">
        <w:rPr>
          <w:rFonts w:eastAsia="Segoe UI" w:cstheme="minorHAnsi"/>
          <w:color w:val="011A3C"/>
          <w:sz w:val="24"/>
          <w:szCs w:val="24"/>
          <w:lang w:val="en" w:eastAsia="en-AU"/>
        </w:rPr>
        <w:t>a</w:t>
      </w:r>
      <w:r w:rsidR="00B77069" w:rsidRPr="00260C1D">
        <w:rPr>
          <w:rFonts w:eastAsia="Segoe UI" w:cstheme="minorHAnsi"/>
          <w:color w:val="011A3C"/>
          <w:sz w:val="24"/>
          <w:szCs w:val="24"/>
          <w:lang w:val="en" w:eastAsia="en-AU"/>
        </w:rPr>
        <w:t>llocation + (Prep</w:t>
      </w:r>
      <w:r w:rsidR="0085324B" w:rsidRPr="00260C1D">
        <w:rPr>
          <w:rFonts w:eastAsia="Segoe UI" w:cstheme="minorHAnsi"/>
          <w:color w:val="011A3C"/>
          <w:sz w:val="24"/>
          <w:szCs w:val="24"/>
          <w:lang w:val="en" w:eastAsia="en-AU"/>
        </w:rPr>
        <w:t xml:space="preserve"> to Y</w:t>
      </w:r>
      <w:r w:rsidR="00B77069" w:rsidRPr="00260C1D">
        <w:rPr>
          <w:rFonts w:eastAsia="Segoe UI" w:cstheme="minorHAnsi"/>
          <w:color w:val="011A3C"/>
          <w:sz w:val="24"/>
          <w:szCs w:val="24"/>
          <w:lang w:val="en" w:eastAsia="en-AU"/>
        </w:rPr>
        <w:t>1 Enrolment (21)</w:t>
      </w:r>
      <w:r w:rsidR="00E655E4">
        <w:rPr>
          <w:rFonts w:eastAsia="Segoe UI" w:cstheme="minorHAnsi"/>
          <w:color w:val="011A3C"/>
          <w:sz w:val="24"/>
          <w:szCs w:val="24"/>
          <w:lang w:val="en" w:eastAsia="en-AU"/>
        </w:rPr>
        <w:t xml:space="preserve"> × </w:t>
      </w:r>
      <w:r w:rsidR="00B77069" w:rsidRPr="00260C1D">
        <w:rPr>
          <w:rFonts w:eastAsia="Segoe UI" w:cstheme="minorHAnsi"/>
          <w:color w:val="011A3C"/>
          <w:sz w:val="24"/>
          <w:szCs w:val="24"/>
          <w:lang w:val="en" w:eastAsia="en-AU"/>
        </w:rPr>
        <w:t>Prep</w:t>
      </w:r>
      <w:r w:rsidR="0085324B" w:rsidRPr="00260C1D">
        <w:rPr>
          <w:rFonts w:eastAsia="Segoe UI" w:cstheme="minorHAnsi"/>
          <w:color w:val="011A3C"/>
          <w:sz w:val="24"/>
          <w:szCs w:val="24"/>
          <w:lang w:val="en" w:eastAsia="en-AU"/>
        </w:rPr>
        <w:t xml:space="preserve"> t</w:t>
      </w:r>
      <w:r w:rsidR="0061396E" w:rsidRPr="00260C1D">
        <w:rPr>
          <w:rFonts w:eastAsia="Segoe UI" w:cstheme="minorHAnsi"/>
          <w:color w:val="011A3C"/>
          <w:sz w:val="24"/>
          <w:szCs w:val="24"/>
          <w:lang w:val="en" w:eastAsia="en-AU"/>
        </w:rPr>
        <w:t>o Y</w:t>
      </w:r>
      <w:r w:rsidR="00B77069" w:rsidRPr="00260C1D">
        <w:rPr>
          <w:rFonts w:eastAsia="Segoe UI" w:cstheme="minorHAnsi"/>
          <w:color w:val="011A3C"/>
          <w:sz w:val="24"/>
          <w:szCs w:val="24"/>
          <w:lang w:val="en" w:eastAsia="en-AU"/>
        </w:rPr>
        <w:t xml:space="preserve">1 weighted </w:t>
      </w:r>
      <w:r w:rsidR="00A11F3F">
        <w:rPr>
          <w:rFonts w:eastAsia="Segoe UI" w:cstheme="minorHAnsi"/>
          <w:color w:val="011A3C"/>
          <w:sz w:val="24"/>
          <w:szCs w:val="24"/>
          <w:lang w:val="en" w:eastAsia="en-AU"/>
        </w:rPr>
        <w:t>r</w:t>
      </w:r>
      <w:r w:rsidR="00B77069" w:rsidRPr="00260C1D">
        <w:rPr>
          <w:rFonts w:eastAsia="Segoe UI" w:cstheme="minorHAnsi"/>
          <w:color w:val="011A3C"/>
          <w:sz w:val="24"/>
          <w:szCs w:val="24"/>
          <w:lang w:val="en" w:eastAsia="en-AU"/>
        </w:rPr>
        <w:t>ate) + (</w:t>
      </w:r>
      <w:r w:rsidR="0061396E" w:rsidRPr="00260C1D">
        <w:rPr>
          <w:rFonts w:eastAsia="Segoe UI" w:cstheme="minorHAnsi"/>
          <w:color w:val="011A3C"/>
          <w:sz w:val="24"/>
          <w:szCs w:val="24"/>
          <w:lang w:val="en" w:eastAsia="en-AU"/>
        </w:rPr>
        <w:t xml:space="preserve">Year </w:t>
      </w:r>
      <w:r w:rsidR="00B77069" w:rsidRPr="00260C1D">
        <w:rPr>
          <w:rFonts w:eastAsia="Segoe UI" w:cstheme="minorHAnsi"/>
          <w:color w:val="011A3C"/>
          <w:sz w:val="24"/>
          <w:szCs w:val="24"/>
          <w:lang w:val="en" w:eastAsia="en-AU"/>
        </w:rPr>
        <w:t>2 Enrolment (11)</w:t>
      </w:r>
      <w:r w:rsidR="00E655E4">
        <w:rPr>
          <w:rFonts w:eastAsia="Segoe UI" w:cstheme="minorHAnsi"/>
          <w:color w:val="011A3C"/>
          <w:sz w:val="24"/>
          <w:szCs w:val="24"/>
          <w:lang w:val="en" w:eastAsia="en-AU"/>
        </w:rPr>
        <w:t xml:space="preserve"> × </w:t>
      </w:r>
      <w:r w:rsidR="0061396E" w:rsidRPr="00260C1D">
        <w:rPr>
          <w:rFonts w:eastAsia="Segoe UI" w:cstheme="minorHAnsi"/>
          <w:color w:val="011A3C"/>
          <w:sz w:val="24"/>
          <w:szCs w:val="24"/>
          <w:lang w:val="en" w:eastAsia="en-AU"/>
        </w:rPr>
        <w:t xml:space="preserve">Year </w:t>
      </w:r>
      <w:r w:rsidR="00B77069" w:rsidRPr="00260C1D">
        <w:rPr>
          <w:rFonts w:eastAsia="Segoe UI" w:cstheme="minorHAnsi"/>
          <w:color w:val="011A3C"/>
          <w:sz w:val="24"/>
          <w:szCs w:val="24"/>
          <w:lang w:val="en" w:eastAsia="en-AU"/>
        </w:rPr>
        <w:t xml:space="preserve">2 weighted </w:t>
      </w:r>
      <w:r w:rsidR="00A11F3F">
        <w:rPr>
          <w:rFonts w:eastAsia="Segoe UI" w:cstheme="minorHAnsi"/>
          <w:color w:val="011A3C"/>
          <w:sz w:val="24"/>
          <w:szCs w:val="24"/>
          <w:lang w:val="en" w:eastAsia="en-AU"/>
        </w:rPr>
        <w:t>r</w:t>
      </w:r>
      <w:r w:rsidR="00B77069" w:rsidRPr="00260C1D">
        <w:rPr>
          <w:rFonts w:eastAsia="Segoe UI" w:cstheme="minorHAnsi"/>
          <w:color w:val="011A3C"/>
          <w:sz w:val="24"/>
          <w:szCs w:val="24"/>
          <w:lang w:val="en" w:eastAsia="en-AU"/>
        </w:rPr>
        <w:t>ate) + (</w:t>
      </w:r>
      <w:r w:rsidR="0061396E" w:rsidRPr="00260C1D">
        <w:rPr>
          <w:rFonts w:eastAsia="Segoe UI" w:cstheme="minorHAnsi"/>
          <w:color w:val="011A3C"/>
          <w:sz w:val="24"/>
          <w:szCs w:val="24"/>
          <w:lang w:val="en" w:eastAsia="en-AU"/>
        </w:rPr>
        <w:t xml:space="preserve">Year </w:t>
      </w:r>
      <w:r w:rsidR="00B77069" w:rsidRPr="00260C1D">
        <w:rPr>
          <w:rFonts w:eastAsia="Segoe UI" w:cstheme="minorHAnsi"/>
          <w:color w:val="011A3C"/>
          <w:sz w:val="24"/>
          <w:szCs w:val="24"/>
          <w:lang w:val="en" w:eastAsia="en-AU"/>
        </w:rPr>
        <w:t>3</w:t>
      </w:r>
      <w:r w:rsidR="0061396E" w:rsidRPr="00260C1D">
        <w:rPr>
          <w:rFonts w:eastAsia="Segoe UI" w:cstheme="minorHAnsi"/>
          <w:color w:val="011A3C"/>
          <w:sz w:val="24"/>
          <w:szCs w:val="24"/>
          <w:lang w:val="en" w:eastAsia="en-AU"/>
        </w:rPr>
        <w:t xml:space="preserve"> to</w:t>
      </w:r>
      <w:r w:rsidR="00606E43" w:rsidRPr="00260C1D">
        <w:rPr>
          <w:rFonts w:eastAsia="Segoe UI" w:cstheme="minorHAnsi"/>
          <w:color w:val="011A3C"/>
          <w:sz w:val="24"/>
          <w:szCs w:val="24"/>
          <w:lang w:val="en" w:eastAsia="en-AU"/>
        </w:rPr>
        <w:t xml:space="preserve"> </w:t>
      </w:r>
      <w:r w:rsidR="00B77069" w:rsidRPr="00260C1D">
        <w:rPr>
          <w:rFonts w:eastAsia="Segoe UI" w:cstheme="minorHAnsi"/>
          <w:color w:val="011A3C"/>
          <w:sz w:val="24"/>
          <w:szCs w:val="24"/>
          <w:lang w:val="en" w:eastAsia="en-AU"/>
        </w:rPr>
        <w:t>6 Enrolment (50)</w:t>
      </w:r>
      <w:r w:rsidR="00E655E4">
        <w:rPr>
          <w:rFonts w:eastAsia="Segoe UI" w:cstheme="minorHAnsi"/>
          <w:color w:val="011A3C"/>
          <w:sz w:val="24"/>
          <w:szCs w:val="24"/>
          <w:lang w:val="en" w:eastAsia="en-AU"/>
        </w:rPr>
        <w:t xml:space="preserve"> × </w:t>
      </w:r>
      <w:r w:rsidR="0061396E" w:rsidRPr="00260C1D">
        <w:rPr>
          <w:rFonts w:eastAsia="Segoe UI" w:cstheme="minorHAnsi"/>
          <w:color w:val="011A3C"/>
          <w:sz w:val="24"/>
          <w:szCs w:val="24"/>
          <w:lang w:val="en" w:eastAsia="en-AU"/>
        </w:rPr>
        <w:t xml:space="preserve">Year </w:t>
      </w:r>
      <w:r w:rsidR="00B77069" w:rsidRPr="00260C1D">
        <w:rPr>
          <w:rFonts w:eastAsia="Segoe UI" w:cstheme="minorHAnsi"/>
          <w:color w:val="011A3C"/>
          <w:sz w:val="24"/>
          <w:szCs w:val="24"/>
          <w:lang w:val="en" w:eastAsia="en-AU"/>
        </w:rPr>
        <w:t>3</w:t>
      </w:r>
      <w:r w:rsidR="0061396E" w:rsidRPr="00260C1D">
        <w:rPr>
          <w:rFonts w:eastAsia="Segoe UI" w:cstheme="minorHAnsi"/>
          <w:color w:val="011A3C"/>
          <w:sz w:val="24"/>
          <w:szCs w:val="24"/>
          <w:lang w:val="en" w:eastAsia="en-AU"/>
        </w:rPr>
        <w:t xml:space="preserve"> to </w:t>
      </w:r>
      <w:r w:rsidR="00B77069" w:rsidRPr="00260C1D">
        <w:rPr>
          <w:rFonts w:eastAsia="Segoe UI" w:cstheme="minorHAnsi"/>
          <w:color w:val="011A3C"/>
          <w:sz w:val="24"/>
          <w:szCs w:val="24"/>
          <w:lang w:val="en" w:eastAsia="en-AU"/>
        </w:rPr>
        <w:t xml:space="preserve">6 weighted </w:t>
      </w:r>
      <w:r w:rsidR="00622A75">
        <w:rPr>
          <w:rFonts w:eastAsia="Segoe UI" w:cstheme="minorHAnsi"/>
          <w:color w:val="011A3C"/>
          <w:sz w:val="24"/>
          <w:szCs w:val="24"/>
          <w:lang w:val="en" w:eastAsia="en-AU"/>
        </w:rPr>
        <w:t>r</w:t>
      </w:r>
      <w:r w:rsidR="00B77069" w:rsidRPr="00260C1D">
        <w:rPr>
          <w:rFonts w:eastAsia="Segoe UI" w:cstheme="minorHAnsi"/>
          <w:color w:val="011A3C"/>
          <w:sz w:val="24"/>
          <w:szCs w:val="24"/>
          <w:lang w:val="en" w:eastAsia="en-AU"/>
        </w:rPr>
        <w:t>ate)</w:t>
      </w:r>
    </w:p>
    <w:p w14:paraId="61CB3D55" w14:textId="5916FD37" w:rsidR="00AF1F09" w:rsidRPr="00260C1D" w:rsidRDefault="009D3396" w:rsidP="000D106B">
      <w:pPr>
        <w:rPr>
          <w:rFonts w:eastAsia="Segoe UI" w:cstheme="minorHAnsi"/>
          <w:color w:val="011A3C"/>
          <w:sz w:val="24"/>
          <w:szCs w:val="24"/>
          <w:lang w:val="en" w:eastAsia="en-AU"/>
        </w:rPr>
      </w:pPr>
      <w:r w:rsidRPr="00260C1D">
        <w:rPr>
          <w:rFonts w:cstheme="minorHAnsi"/>
          <w:b/>
          <w:lang w:val="en" w:eastAsia="en-AU"/>
        </w:rPr>
        <w:t xml:space="preserve">Part 2 </w:t>
      </w:r>
      <w:r w:rsidR="00B77069" w:rsidRPr="00260C1D">
        <w:rPr>
          <w:rFonts w:cstheme="minorHAnsi"/>
          <w:b/>
          <w:lang w:val="en" w:eastAsia="en-AU"/>
        </w:rPr>
        <w:t>SFO Allocation</w:t>
      </w:r>
      <w:r w:rsidRPr="00260C1D">
        <w:rPr>
          <w:rFonts w:cstheme="minorHAnsi"/>
          <w:lang w:val="en" w:eastAsia="en-AU"/>
        </w:rPr>
        <w:t xml:space="preserve"> = </w:t>
      </w:r>
      <w:r w:rsidR="00AF1F09" w:rsidRPr="00260C1D">
        <w:rPr>
          <w:rFonts w:eastAsia="Segoe UI" w:cstheme="minorHAnsi"/>
          <w:color w:val="011A3C"/>
          <w:sz w:val="24"/>
          <w:szCs w:val="24"/>
          <w:lang w:val="en" w:eastAsia="en-AU"/>
        </w:rPr>
        <w:t>(Prep</w:t>
      </w:r>
      <w:r w:rsidR="0061396E" w:rsidRPr="00260C1D">
        <w:rPr>
          <w:rFonts w:eastAsia="Segoe UI" w:cstheme="minorHAnsi"/>
          <w:color w:val="011A3C"/>
          <w:sz w:val="24"/>
          <w:szCs w:val="24"/>
          <w:lang w:val="en" w:eastAsia="en-AU"/>
        </w:rPr>
        <w:t xml:space="preserve"> to Y</w:t>
      </w:r>
      <w:r w:rsidR="00AF1F09" w:rsidRPr="00260C1D">
        <w:rPr>
          <w:rFonts w:eastAsia="Segoe UI" w:cstheme="minorHAnsi"/>
          <w:color w:val="011A3C"/>
          <w:sz w:val="24"/>
          <w:szCs w:val="24"/>
          <w:lang w:val="en" w:eastAsia="en-AU"/>
        </w:rPr>
        <w:t>1 Enrolment (21)</w:t>
      </w:r>
      <w:r w:rsidR="00E655E4">
        <w:rPr>
          <w:rFonts w:eastAsia="Segoe UI" w:cstheme="minorHAnsi"/>
          <w:color w:val="011A3C"/>
          <w:sz w:val="24"/>
          <w:szCs w:val="24"/>
          <w:lang w:val="en" w:eastAsia="en-AU"/>
        </w:rPr>
        <w:t xml:space="preserve"> × </w:t>
      </w:r>
      <w:r w:rsidR="00AF1F09" w:rsidRPr="00260C1D">
        <w:rPr>
          <w:rFonts w:eastAsia="Segoe UI" w:cstheme="minorHAnsi"/>
          <w:color w:val="011A3C"/>
          <w:sz w:val="24"/>
          <w:szCs w:val="24"/>
          <w:lang w:val="en" w:eastAsia="en-AU"/>
        </w:rPr>
        <w:t>Prep</w:t>
      </w:r>
      <w:r w:rsidR="00337C31" w:rsidRPr="00260C1D">
        <w:rPr>
          <w:rFonts w:eastAsia="Segoe UI" w:cstheme="minorHAnsi"/>
          <w:color w:val="011A3C"/>
          <w:sz w:val="24"/>
          <w:szCs w:val="24"/>
          <w:lang w:val="en" w:eastAsia="en-AU"/>
        </w:rPr>
        <w:t xml:space="preserve"> </w:t>
      </w:r>
      <w:r w:rsidR="0061396E" w:rsidRPr="00260C1D">
        <w:rPr>
          <w:rFonts w:eastAsia="Segoe UI" w:cstheme="minorHAnsi"/>
          <w:color w:val="011A3C"/>
          <w:sz w:val="24"/>
          <w:szCs w:val="24"/>
          <w:lang w:val="en" w:eastAsia="en-AU"/>
        </w:rPr>
        <w:t>to Y</w:t>
      </w:r>
      <w:r w:rsidR="00AF1F09" w:rsidRPr="00260C1D">
        <w:rPr>
          <w:rFonts w:eastAsia="Segoe UI" w:cstheme="minorHAnsi"/>
          <w:color w:val="011A3C"/>
          <w:sz w:val="24"/>
          <w:szCs w:val="24"/>
          <w:lang w:val="en" w:eastAsia="en-AU"/>
        </w:rPr>
        <w:t xml:space="preserve">1 SFO weighted </w:t>
      </w:r>
      <w:r w:rsidR="009E042D">
        <w:rPr>
          <w:rFonts w:eastAsia="Segoe UI" w:cstheme="minorHAnsi"/>
          <w:color w:val="011A3C"/>
          <w:sz w:val="24"/>
          <w:szCs w:val="24"/>
          <w:lang w:val="en" w:eastAsia="en-AU"/>
        </w:rPr>
        <w:t>r</w:t>
      </w:r>
      <w:r w:rsidR="00AF1F09" w:rsidRPr="00260C1D">
        <w:rPr>
          <w:rFonts w:eastAsia="Segoe UI" w:cstheme="minorHAnsi"/>
          <w:color w:val="011A3C"/>
          <w:sz w:val="24"/>
          <w:szCs w:val="24"/>
          <w:lang w:val="en" w:eastAsia="en-AU"/>
        </w:rPr>
        <w:t>ate) + (</w:t>
      </w:r>
      <w:r w:rsidR="0061396E" w:rsidRPr="00260C1D">
        <w:rPr>
          <w:rFonts w:eastAsia="Segoe UI" w:cstheme="minorHAnsi"/>
          <w:color w:val="011A3C"/>
          <w:sz w:val="24"/>
          <w:szCs w:val="24"/>
          <w:lang w:val="en" w:eastAsia="en-AU"/>
        </w:rPr>
        <w:t xml:space="preserve">Year </w:t>
      </w:r>
      <w:r w:rsidR="00AF1F09" w:rsidRPr="00260C1D">
        <w:rPr>
          <w:rFonts w:eastAsia="Segoe UI" w:cstheme="minorHAnsi"/>
          <w:color w:val="011A3C"/>
          <w:sz w:val="24"/>
          <w:szCs w:val="24"/>
          <w:lang w:val="en" w:eastAsia="en-AU"/>
        </w:rPr>
        <w:t>2 Enrolment (11)</w:t>
      </w:r>
      <w:r w:rsidR="00E655E4">
        <w:rPr>
          <w:rFonts w:eastAsia="Segoe UI" w:cstheme="minorHAnsi"/>
          <w:color w:val="011A3C"/>
          <w:sz w:val="24"/>
          <w:szCs w:val="24"/>
          <w:lang w:val="en" w:eastAsia="en-AU"/>
        </w:rPr>
        <w:t xml:space="preserve"> × </w:t>
      </w:r>
      <w:r w:rsidR="0061396E" w:rsidRPr="00260C1D">
        <w:rPr>
          <w:rFonts w:eastAsia="Segoe UI" w:cstheme="minorHAnsi"/>
          <w:color w:val="011A3C"/>
          <w:sz w:val="24"/>
          <w:szCs w:val="24"/>
          <w:lang w:val="en" w:eastAsia="en-AU"/>
        </w:rPr>
        <w:t xml:space="preserve">Year </w:t>
      </w:r>
      <w:r w:rsidR="00AF1F09" w:rsidRPr="00260C1D">
        <w:rPr>
          <w:rFonts w:eastAsia="Segoe UI" w:cstheme="minorHAnsi"/>
          <w:color w:val="011A3C"/>
          <w:sz w:val="24"/>
          <w:szCs w:val="24"/>
          <w:lang w:val="en" w:eastAsia="en-AU"/>
        </w:rPr>
        <w:t xml:space="preserve">2 SFO weighted </w:t>
      </w:r>
      <w:r w:rsidR="009E042D">
        <w:rPr>
          <w:rFonts w:eastAsia="Segoe UI" w:cstheme="minorHAnsi"/>
          <w:color w:val="011A3C"/>
          <w:sz w:val="24"/>
          <w:szCs w:val="24"/>
          <w:lang w:val="en" w:eastAsia="en-AU"/>
        </w:rPr>
        <w:t>r</w:t>
      </w:r>
      <w:r w:rsidR="00AF1F09" w:rsidRPr="00260C1D">
        <w:rPr>
          <w:rFonts w:eastAsia="Segoe UI" w:cstheme="minorHAnsi"/>
          <w:color w:val="011A3C"/>
          <w:sz w:val="24"/>
          <w:szCs w:val="24"/>
          <w:lang w:val="en" w:eastAsia="en-AU"/>
        </w:rPr>
        <w:t>ate) + (</w:t>
      </w:r>
      <w:r w:rsidR="0061396E" w:rsidRPr="00260C1D">
        <w:rPr>
          <w:rFonts w:eastAsia="Segoe UI" w:cstheme="minorHAnsi"/>
          <w:color w:val="011A3C"/>
          <w:sz w:val="24"/>
          <w:szCs w:val="24"/>
          <w:lang w:val="en" w:eastAsia="en-AU"/>
        </w:rPr>
        <w:t xml:space="preserve">Year </w:t>
      </w:r>
      <w:r w:rsidR="00AF1F09" w:rsidRPr="00260C1D">
        <w:rPr>
          <w:rFonts w:eastAsia="Segoe UI" w:cstheme="minorHAnsi"/>
          <w:color w:val="011A3C"/>
          <w:sz w:val="24"/>
          <w:szCs w:val="24"/>
          <w:lang w:val="en" w:eastAsia="en-AU"/>
        </w:rPr>
        <w:t>3</w:t>
      </w:r>
      <w:r w:rsidR="0061396E" w:rsidRPr="00260C1D">
        <w:rPr>
          <w:rFonts w:eastAsia="Segoe UI" w:cstheme="minorHAnsi"/>
          <w:color w:val="011A3C"/>
          <w:sz w:val="24"/>
          <w:szCs w:val="24"/>
          <w:lang w:val="en" w:eastAsia="en-AU"/>
        </w:rPr>
        <w:t xml:space="preserve"> to </w:t>
      </w:r>
      <w:r w:rsidR="00AF1F09" w:rsidRPr="00260C1D">
        <w:rPr>
          <w:rFonts w:eastAsia="Segoe UI" w:cstheme="minorHAnsi"/>
          <w:color w:val="011A3C"/>
          <w:sz w:val="24"/>
          <w:szCs w:val="24"/>
          <w:lang w:val="en" w:eastAsia="en-AU"/>
        </w:rPr>
        <w:t>6 Enrolment (50)</w:t>
      </w:r>
      <w:r w:rsidR="00E655E4">
        <w:rPr>
          <w:rFonts w:eastAsia="Segoe UI" w:cstheme="minorHAnsi"/>
          <w:color w:val="011A3C"/>
          <w:sz w:val="24"/>
          <w:szCs w:val="24"/>
          <w:lang w:val="en" w:eastAsia="en-AU"/>
        </w:rPr>
        <w:t xml:space="preserve"> × </w:t>
      </w:r>
      <w:r w:rsidR="0061396E" w:rsidRPr="00260C1D">
        <w:rPr>
          <w:rFonts w:eastAsia="Segoe UI" w:cstheme="minorHAnsi"/>
          <w:color w:val="011A3C"/>
          <w:sz w:val="24"/>
          <w:szCs w:val="24"/>
          <w:lang w:val="en" w:eastAsia="en-AU"/>
        </w:rPr>
        <w:t xml:space="preserve">Year </w:t>
      </w:r>
      <w:r w:rsidR="00AF1F09" w:rsidRPr="00260C1D">
        <w:rPr>
          <w:rFonts w:eastAsia="Segoe UI" w:cstheme="minorHAnsi"/>
          <w:color w:val="011A3C"/>
          <w:sz w:val="24"/>
          <w:szCs w:val="24"/>
          <w:lang w:val="en" w:eastAsia="en-AU"/>
        </w:rPr>
        <w:t>3</w:t>
      </w:r>
      <w:r w:rsidR="0061396E" w:rsidRPr="00260C1D">
        <w:rPr>
          <w:rFonts w:eastAsia="Segoe UI" w:cstheme="minorHAnsi"/>
          <w:color w:val="011A3C"/>
          <w:sz w:val="24"/>
          <w:szCs w:val="24"/>
          <w:lang w:val="en" w:eastAsia="en-AU"/>
        </w:rPr>
        <w:t xml:space="preserve"> to </w:t>
      </w:r>
      <w:r w:rsidR="00AF1F09" w:rsidRPr="00260C1D">
        <w:rPr>
          <w:rFonts w:eastAsia="Segoe UI" w:cstheme="minorHAnsi"/>
          <w:color w:val="011A3C"/>
          <w:sz w:val="24"/>
          <w:szCs w:val="24"/>
          <w:lang w:val="en" w:eastAsia="en-AU"/>
        </w:rPr>
        <w:t xml:space="preserve">6 SFO weighted </w:t>
      </w:r>
      <w:r w:rsidR="009E042D">
        <w:rPr>
          <w:rFonts w:eastAsia="Segoe UI" w:cstheme="minorHAnsi"/>
          <w:color w:val="011A3C"/>
          <w:sz w:val="24"/>
          <w:szCs w:val="24"/>
          <w:lang w:val="en" w:eastAsia="en-AU"/>
        </w:rPr>
        <w:t>r</w:t>
      </w:r>
      <w:r w:rsidR="00AF1F09" w:rsidRPr="00260C1D">
        <w:rPr>
          <w:rFonts w:eastAsia="Segoe UI" w:cstheme="minorHAnsi"/>
          <w:color w:val="011A3C"/>
          <w:sz w:val="24"/>
          <w:szCs w:val="24"/>
          <w:lang w:val="en" w:eastAsia="en-AU"/>
        </w:rPr>
        <w:t>ate)</w:t>
      </w:r>
      <w:r w:rsidR="00E655E4">
        <w:rPr>
          <w:rFonts w:eastAsia="Segoe UI" w:cstheme="minorHAnsi"/>
          <w:color w:val="011A3C"/>
          <w:sz w:val="24"/>
          <w:szCs w:val="24"/>
          <w:lang w:val="en" w:eastAsia="en-AU"/>
        </w:rPr>
        <w:t xml:space="preserve"> × </w:t>
      </w:r>
      <w:r w:rsidR="00AF1F09" w:rsidRPr="00260C1D">
        <w:rPr>
          <w:rFonts w:eastAsia="Segoe UI" w:cstheme="minorHAnsi"/>
          <w:color w:val="011A3C"/>
          <w:sz w:val="24"/>
          <w:szCs w:val="24"/>
          <w:lang w:val="en" w:eastAsia="en-AU"/>
        </w:rPr>
        <w:t xml:space="preserve">(School SFO </w:t>
      </w:r>
      <w:r w:rsidR="009E042D">
        <w:rPr>
          <w:rFonts w:eastAsia="Segoe UI" w:cstheme="minorHAnsi"/>
          <w:color w:val="011A3C"/>
          <w:sz w:val="24"/>
          <w:szCs w:val="24"/>
          <w:lang w:val="en" w:eastAsia="en-AU"/>
        </w:rPr>
        <w:t>i</w:t>
      </w:r>
      <w:r w:rsidR="00AF1F09" w:rsidRPr="00260C1D">
        <w:rPr>
          <w:rFonts w:eastAsia="Segoe UI" w:cstheme="minorHAnsi"/>
          <w:color w:val="011A3C"/>
          <w:sz w:val="24"/>
          <w:szCs w:val="24"/>
          <w:lang w:val="en" w:eastAsia="en-AU"/>
        </w:rPr>
        <w:t>ndex (</w:t>
      </w:r>
      <w:r w:rsidR="00953A7E" w:rsidRPr="00260C1D">
        <w:rPr>
          <w:rFonts w:eastAsia="Segoe UI" w:cstheme="minorHAnsi"/>
          <w:color w:val="011A3C"/>
          <w:sz w:val="24"/>
          <w:szCs w:val="24"/>
          <w:lang w:val="en" w:eastAsia="en-AU"/>
        </w:rPr>
        <w:t>0</w:t>
      </w:r>
      <w:r w:rsidR="00AF1F09" w:rsidRPr="00260C1D">
        <w:rPr>
          <w:rFonts w:eastAsia="Segoe UI" w:cstheme="minorHAnsi"/>
          <w:color w:val="011A3C"/>
          <w:sz w:val="24"/>
          <w:szCs w:val="24"/>
          <w:lang w:val="en" w:eastAsia="en-AU"/>
        </w:rPr>
        <w:t xml:space="preserve">.5543) – SFO </w:t>
      </w:r>
      <w:r w:rsidR="0061396E" w:rsidRPr="00260C1D">
        <w:rPr>
          <w:rFonts w:eastAsia="Segoe UI" w:cstheme="minorHAnsi"/>
          <w:color w:val="011A3C"/>
          <w:sz w:val="24"/>
          <w:szCs w:val="24"/>
          <w:lang w:val="en" w:eastAsia="en-AU"/>
        </w:rPr>
        <w:t xml:space="preserve">density </w:t>
      </w:r>
      <w:r w:rsidR="00AF1F09" w:rsidRPr="00260C1D">
        <w:rPr>
          <w:rFonts w:eastAsia="Segoe UI" w:cstheme="minorHAnsi"/>
          <w:color w:val="011A3C"/>
          <w:sz w:val="24"/>
          <w:szCs w:val="24"/>
          <w:lang w:val="en" w:eastAsia="en-AU"/>
        </w:rPr>
        <w:t>threshold)</w:t>
      </w:r>
    </w:p>
    <w:p w14:paraId="6CCB0661" w14:textId="237816ED" w:rsidR="00B77069" w:rsidRPr="00260C1D" w:rsidRDefault="00AF1F09" w:rsidP="000D10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T</w:t>
      </w:r>
      <w:r w:rsidR="00B77069" w:rsidRPr="00260C1D">
        <w:rPr>
          <w:rFonts w:eastAsia="Segoe UI" w:cstheme="minorHAnsi"/>
          <w:b/>
          <w:color w:val="011A3C"/>
          <w:sz w:val="24"/>
          <w:szCs w:val="24"/>
          <w:lang w:val="en" w:eastAsia="en-AU"/>
        </w:rPr>
        <w:t>otal Allocation</w:t>
      </w:r>
      <w:r w:rsidR="00B77069" w:rsidRPr="00260C1D">
        <w:rPr>
          <w:rFonts w:eastAsia="Segoe UI" w:cstheme="minorHAnsi"/>
          <w:color w:val="011A3C"/>
          <w:sz w:val="24"/>
          <w:szCs w:val="24"/>
          <w:lang w:val="en" w:eastAsia="en-AU"/>
        </w:rPr>
        <w:t xml:space="preserve"> = Student allocation</w:t>
      </w:r>
      <w:r w:rsidR="0061396E" w:rsidRPr="00260C1D">
        <w:rPr>
          <w:rFonts w:eastAsia="Segoe UI" w:cstheme="minorHAnsi"/>
          <w:color w:val="011A3C"/>
          <w:sz w:val="24"/>
          <w:szCs w:val="24"/>
          <w:lang w:val="en" w:eastAsia="en-AU"/>
        </w:rPr>
        <w:t xml:space="preserve"> (</w:t>
      </w:r>
      <w:r w:rsidR="009E042D">
        <w:rPr>
          <w:rFonts w:eastAsia="Segoe UI" w:cstheme="minorHAnsi"/>
          <w:color w:val="011A3C"/>
          <w:sz w:val="24"/>
          <w:szCs w:val="24"/>
          <w:lang w:val="en" w:eastAsia="en-AU"/>
        </w:rPr>
        <w:t>P</w:t>
      </w:r>
      <w:r w:rsidR="0061396E" w:rsidRPr="00260C1D">
        <w:rPr>
          <w:rFonts w:eastAsia="Segoe UI" w:cstheme="minorHAnsi"/>
          <w:color w:val="011A3C"/>
          <w:sz w:val="24"/>
          <w:szCs w:val="24"/>
          <w:lang w:val="en" w:eastAsia="en-AU"/>
        </w:rPr>
        <w:t>art 1)</w:t>
      </w:r>
      <w:r w:rsidR="00B77069" w:rsidRPr="00260C1D">
        <w:rPr>
          <w:rFonts w:eastAsia="Segoe UI" w:cstheme="minorHAnsi"/>
          <w:color w:val="011A3C"/>
          <w:sz w:val="24"/>
          <w:szCs w:val="24"/>
          <w:lang w:val="en" w:eastAsia="en-AU"/>
        </w:rPr>
        <w:t xml:space="preserve"> + SFO </w:t>
      </w:r>
      <w:r w:rsidR="009E042D">
        <w:rPr>
          <w:rFonts w:eastAsia="Segoe UI" w:cstheme="minorHAnsi"/>
          <w:color w:val="011A3C"/>
          <w:sz w:val="24"/>
          <w:szCs w:val="24"/>
          <w:lang w:val="en" w:eastAsia="en-AU"/>
        </w:rPr>
        <w:t>a</w:t>
      </w:r>
      <w:r w:rsidR="00B77069" w:rsidRPr="00260C1D">
        <w:rPr>
          <w:rFonts w:eastAsia="Segoe UI" w:cstheme="minorHAnsi"/>
          <w:color w:val="011A3C"/>
          <w:sz w:val="24"/>
          <w:szCs w:val="24"/>
          <w:lang w:val="en" w:eastAsia="en-AU"/>
        </w:rPr>
        <w:t>llocation</w:t>
      </w:r>
      <w:r w:rsidR="0061396E" w:rsidRPr="00260C1D">
        <w:rPr>
          <w:rFonts w:eastAsia="Segoe UI" w:cstheme="minorHAnsi"/>
          <w:color w:val="011A3C"/>
          <w:sz w:val="24"/>
          <w:szCs w:val="24"/>
          <w:lang w:val="en" w:eastAsia="en-AU"/>
        </w:rPr>
        <w:t xml:space="preserve"> (</w:t>
      </w:r>
      <w:r w:rsidR="009E042D">
        <w:rPr>
          <w:rFonts w:eastAsia="Segoe UI" w:cstheme="minorHAnsi"/>
          <w:color w:val="011A3C"/>
          <w:sz w:val="24"/>
          <w:szCs w:val="24"/>
          <w:lang w:val="en" w:eastAsia="en-AU"/>
        </w:rPr>
        <w:t>P</w:t>
      </w:r>
      <w:r w:rsidR="0061396E" w:rsidRPr="00260C1D">
        <w:rPr>
          <w:rFonts w:eastAsia="Segoe UI" w:cstheme="minorHAnsi"/>
          <w:color w:val="011A3C"/>
          <w:sz w:val="24"/>
          <w:szCs w:val="24"/>
          <w:lang w:val="en" w:eastAsia="en-AU"/>
        </w:rPr>
        <w:t>art 2)</w:t>
      </w:r>
      <w:r w:rsidR="004555EC">
        <w:rPr>
          <w:rFonts w:eastAsia="Segoe UI" w:cstheme="minorHAnsi"/>
          <w:color w:val="011A3C"/>
          <w:sz w:val="24"/>
          <w:szCs w:val="24"/>
          <w:lang w:val="en" w:eastAsia="en-AU"/>
        </w:rPr>
        <w:t>.</w:t>
      </w:r>
      <w:r w:rsidR="0061396E" w:rsidRPr="00260C1D">
        <w:rPr>
          <w:rFonts w:eastAsia="Segoe UI" w:cstheme="minorHAnsi"/>
          <w:color w:val="011A3C"/>
          <w:sz w:val="24"/>
          <w:szCs w:val="24"/>
          <w:lang w:val="en" w:eastAsia="en-AU"/>
        </w:rPr>
        <w:t xml:space="preserve"> </w:t>
      </w:r>
      <w:r w:rsidR="004555EC">
        <w:rPr>
          <w:rFonts w:eastAsia="Segoe UI" w:cstheme="minorHAnsi"/>
          <w:color w:val="011A3C"/>
          <w:sz w:val="24"/>
          <w:szCs w:val="24"/>
          <w:lang w:val="en" w:eastAsia="en-AU"/>
        </w:rPr>
        <w:t>A</w:t>
      </w:r>
      <w:r w:rsidR="00557615" w:rsidRPr="00260C1D">
        <w:rPr>
          <w:rFonts w:eastAsia="Segoe UI" w:cstheme="minorHAnsi"/>
          <w:color w:val="011A3C"/>
          <w:sz w:val="24"/>
          <w:szCs w:val="24"/>
          <w:lang w:val="en" w:eastAsia="en-AU"/>
        </w:rPr>
        <w:t xml:space="preserve"> minimum allocation </w:t>
      </w:r>
      <w:r w:rsidR="0061396E" w:rsidRPr="00260C1D">
        <w:rPr>
          <w:rFonts w:eastAsia="Segoe UI" w:cstheme="minorHAnsi"/>
          <w:color w:val="011A3C"/>
          <w:sz w:val="24"/>
          <w:szCs w:val="24"/>
          <w:lang w:val="en" w:eastAsia="en-AU"/>
        </w:rPr>
        <w:t xml:space="preserve">is </w:t>
      </w:r>
      <w:r w:rsidR="00337C31" w:rsidRPr="00260C1D">
        <w:rPr>
          <w:rFonts w:eastAsia="Segoe UI" w:cstheme="minorHAnsi"/>
          <w:color w:val="011A3C"/>
          <w:sz w:val="24"/>
          <w:szCs w:val="24"/>
          <w:lang w:val="en" w:eastAsia="en-AU"/>
        </w:rPr>
        <w:t>provided if</w:t>
      </w:r>
      <w:r w:rsidR="0061396E" w:rsidRPr="00260C1D">
        <w:rPr>
          <w:rFonts w:eastAsia="Segoe UI" w:cstheme="minorHAnsi"/>
          <w:color w:val="011A3C"/>
          <w:sz w:val="24"/>
          <w:szCs w:val="24"/>
          <w:lang w:val="en" w:eastAsia="en-AU"/>
        </w:rPr>
        <w:t xml:space="preserve"> </w:t>
      </w:r>
      <w:r w:rsidR="009E042D">
        <w:rPr>
          <w:rFonts w:eastAsia="Segoe UI" w:cstheme="minorHAnsi"/>
          <w:color w:val="011A3C"/>
          <w:sz w:val="24"/>
          <w:szCs w:val="24"/>
          <w:lang w:val="en" w:eastAsia="en-AU"/>
        </w:rPr>
        <w:t>P</w:t>
      </w:r>
      <w:r w:rsidR="0061396E" w:rsidRPr="00260C1D">
        <w:rPr>
          <w:rFonts w:eastAsia="Segoe UI" w:cstheme="minorHAnsi"/>
          <w:color w:val="011A3C"/>
          <w:sz w:val="24"/>
          <w:szCs w:val="24"/>
          <w:lang w:val="en" w:eastAsia="en-AU"/>
        </w:rPr>
        <w:t>arts 1 and 2 do not generate the minimum funding of $5,000.</w:t>
      </w:r>
    </w:p>
    <w:p w14:paraId="2F0A1759" w14:textId="072B4F7A" w:rsidR="00017551" w:rsidRPr="00260C1D" w:rsidRDefault="00017551" w:rsidP="00017551">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202</w:t>
      </w:r>
      <w:r w:rsidR="00647B3B">
        <w:rPr>
          <w:rFonts w:eastAsia="Segoe UI" w:cstheme="minorHAnsi"/>
          <w:b/>
          <w:color w:val="011A3C"/>
          <w:sz w:val="27"/>
          <w:szCs w:val="27"/>
          <w:lang w:val="en" w:eastAsia="en-A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5"/>
        <w:gridCol w:w="1193"/>
        <w:gridCol w:w="3395"/>
        <w:gridCol w:w="3453"/>
      </w:tblGrid>
      <w:tr w:rsidR="00017551" w:rsidRPr="00260C1D" w14:paraId="6C86C548" w14:textId="77777777" w:rsidTr="00124D27">
        <w:trPr>
          <w:tblHeader/>
        </w:trPr>
        <w:tc>
          <w:tcPr>
            <w:tcW w:w="0" w:type="auto"/>
            <w:hideMark/>
          </w:tcPr>
          <w:p w14:paraId="312E7E6F" w14:textId="77777777" w:rsidR="00017551" w:rsidRPr="00614B09" w:rsidRDefault="00017551" w:rsidP="00017551">
            <w:pPr>
              <w:spacing w:after="0" w:line="240" w:lineRule="atLeas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Student Rates</w:t>
            </w:r>
          </w:p>
        </w:tc>
        <w:tc>
          <w:tcPr>
            <w:tcW w:w="0" w:type="auto"/>
            <w:hideMark/>
          </w:tcPr>
          <w:p w14:paraId="5FB53EA4" w14:textId="77777777" w:rsidR="00017551" w:rsidRPr="00614B09" w:rsidRDefault="00017551" w:rsidP="00017551">
            <w:pPr>
              <w:spacing w:after="0" w:line="240" w:lineRule="atLeas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Weighting</w:t>
            </w:r>
          </w:p>
        </w:tc>
        <w:tc>
          <w:tcPr>
            <w:tcW w:w="0" w:type="auto"/>
            <w:hideMark/>
          </w:tcPr>
          <w:p w14:paraId="4730FD02" w14:textId="77777777" w:rsidR="00017551" w:rsidRPr="00614B09" w:rsidRDefault="00017551" w:rsidP="00614B09">
            <w:pPr>
              <w:spacing w:before="100" w:beforeAutospacing="1" w:after="100" w:afterAutospacing="1"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Weighted per student rate ($)</w:t>
            </w:r>
          </w:p>
          <w:p w14:paraId="3D6710FD" w14:textId="77777777" w:rsidR="00017551" w:rsidRPr="00614B09" w:rsidRDefault="00017551" w:rsidP="00614B09">
            <w:pPr>
              <w:spacing w:before="100" w:beforeAutospacing="1" w:after="100" w:afterAutospacing="1"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(Part 1)</w:t>
            </w:r>
          </w:p>
        </w:tc>
        <w:tc>
          <w:tcPr>
            <w:tcW w:w="0" w:type="auto"/>
            <w:hideMark/>
          </w:tcPr>
          <w:p w14:paraId="36039CE4" w14:textId="77777777" w:rsidR="00017551" w:rsidRPr="00614B09" w:rsidRDefault="00017551" w:rsidP="00614B09">
            <w:pPr>
              <w:spacing w:before="100" w:beforeAutospacing="1" w:after="100" w:afterAutospacing="1"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Weighted SFO student rate ($)</w:t>
            </w:r>
          </w:p>
          <w:p w14:paraId="43A6AEA5" w14:textId="77777777" w:rsidR="00017551" w:rsidRPr="00614B09" w:rsidRDefault="00017551" w:rsidP="00614B09">
            <w:pPr>
              <w:spacing w:before="100" w:beforeAutospacing="1" w:after="100" w:afterAutospacing="1"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(Part 2, if applicable)</w:t>
            </w:r>
          </w:p>
        </w:tc>
      </w:tr>
      <w:tr w:rsidR="00545175" w:rsidRPr="00260C1D" w14:paraId="4EE4952E" w14:textId="77777777" w:rsidTr="00124D27">
        <w:tc>
          <w:tcPr>
            <w:tcW w:w="0" w:type="auto"/>
            <w:hideMark/>
          </w:tcPr>
          <w:p w14:paraId="094B5717" w14:textId="77777777" w:rsidR="00545175" w:rsidRPr="00260C1D" w:rsidRDefault="00545175" w:rsidP="00545175">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Prep-1</w:t>
            </w:r>
          </w:p>
        </w:tc>
        <w:tc>
          <w:tcPr>
            <w:tcW w:w="0" w:type="auto"/>
            <w:hideMark/>
          </w:tcPr>
          <w:p w14:paraId="2A58D19E" w14:textId="77777777" w:rsidR="00545175" w:rsidRPr="00260C1D" w:rsidRDefault="00545175" w:rsidP="00545175">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1.1750</w:t>
            </w:r>
          </w:p>
        </w:tc>
        <w:tc>
          <w:tcPr>
            <w:tcW w:w="0" w:type="auto"/>
            <w:hideMark/>
          </w:tcPr>
          <w:p w14:paraId="2C6E6015" w14:textId="2394BA7D" w:rsidR="00545175" w:rsidRPr="00545175" w:rsidRDefault="00545175" w:rsidP="00545175">
            <w:pPr>
              <w:spacing w:after="0" w:line="360" w:lineRule="atLeast"/>
              <w:jc w:val="right"/>
              <w:rPr>
                <w:rFonts w:eastAsia="Segoe UI" w:cstheme="minorHAnsi"/>
                <w:color w:val="323E4F" w:themeColor="text2" w:themeShade="BF"/>
                <w:sz w:val="24"/>
                <w:szCs w:val="24"/>
                <w:lang w:eastAsia="en-AU"/>
              </w:rPr>
            </w:pPr>
            <w:r w:rsidRPr="009B4DE1">
              <w:rPr>
                <w:sz w:val="24"/>
                <w:szCs w:val="24"/>
              </w:rPr>
              <w:t>45.37</w:t>
            </w:r>
          </w:p>
        </w:tc>
        <w:tc>
          <w:tcPr>
            <w:tcW w:w="0" w:type="auto"/>
            <w:hideMark/>
          </w:tcPr>
          <w:p w14:paraId="2168DC9F" w14:textId="1BC3059C" w:rsidR="00545175" w:rsidRPr="00545175" w:rsidRDefault="00545175" w:rsidP="00545175">
            <w:pPr>
              <w:spacing w:after="0" w:line="360" w:lineRule="atLeast"/>
              <w:jc w:val="right"/>
              <w:rPr>
                <w:rFonts w:eastAsia="Segoe UI" w:cstheme="minorHAnsi"/>
                <w:color w:val="323E4F" w:themeColor="text2" w:themeShade="BF"/>
                <w:sz w:val="24"/>
                <w:szCs w:val="24"/>
                <w:lang w:eastAsia="en-AU"/>
              </w:rPr>
            </w:pPr>
            <w:r w:rsidRPr="009B4DE1">
              <w:rPr>
                <w:sz w:val="24"/>
                <w:szCs w:val="24"/>
              </w:rPr>
              <w:t>866.02</w:t>
            </w:r>
          </w:p>
        </w:tc>
      </w:tr>
      <w:tr w:rsidR="00545175" w:rsidRPr="00260C1D" w14:paraId="18E5D519" w14:textId="77777777" w:rsidTr="00124D27">
        <w:tc>
          <w:tcPr>
            <w:tcW w:w="0" w:type="auto"/>
            <w:hideMark/>
          </w:tcPr>
          <w:p w14:paraId="323BE240" w14:textId="77777777" w:rsidR="00545175" w:rsidRPr="00260C1D" w:rsidRDefault="00545175" w:rsidP="00545175">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Year 2</w:t>
            </w:r>
          </w:p>
        </w:tc>
        <w:tc>
          <w:tcPr>
            <w:tcW w:w="0" w:type="auto"/>
            <w:hideMark/>
          </w:tcPr>
          <w:p w14:paraId="3E63713D" w14:textId="77777777" w:rsidR="00545175" w:rsidRPr="00260C1D" w:rsidRDefault="00545175" w:rsidP="00545175">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1.0910</w:t>
            </w:r>
          </w:p>
        </w:tc>
        <w:tc>
          <w:tcPr>
            <w:tcW w:w="0" w:type="auto"/>
            <w:hideMark/>
          </w:tcPr>
          <w:p w14:paraId="07FC0FA6" w14:textId="23BAEDFE" w:rsidR="00545175" w:rsidRPr="00545175" w:rsidRDefault="00545175" w:rsidP="00545175">
            <w:pPr>
              <w:spacing w:after="0" w:line="360" w:lineRule="atLeast"/>
              <w:jc w:val="right"/>
              <w:rPr>
                <w:rFonts w:eastAsia="Segoe UI" w:cstheme="minorHAnsi"/>
                <w:color w:val="323E4F" w:themeColor="text2" w:themeShade="BF"/>
                <w:sz w:val="24"/>
                <w:szCs w:val="24"/>
                <w:lang w:eastAsia="en-AU"/>
              </w:rPr>
            </w:pPr>
            <w:r w:rsidRPr="009B4DE1">
              <w:rPr>
                <w:sz w:val="24"/>
                <w:szCs w:val="24"/>
              </w:rPr>
              <w:t>42.12</w:t>
            </w:r>
          </w:p>
        </w:tc>
        <w:tc>
          <w:tcPr>
            <w:tcW w:w="0" w:type="auto"/>
            <w:hideMark/>
          </w:tcPr>
          <w:p w14:paraId="6BF108A7" w14:textId="5548E537" w:rsidR="00545175" w:rsidRPr="00545175" w:rsidRDefault="00545175" w:rsidP="00545175">
            <w:pPr>
              <w:spacing w:after="0" w:line="360" w:lineRule="atLeast"/>
              <w:jc w:val="right"/>
              <w:rPr>
                <w:rFonts w:eastAsia="Segoe UI" w:cstheme="minorHAnsi"/>
                <w:color w:val="323E4F" w:themeColor="text2" w:themeShade="BF"/>
                <w:sz w:val="24"/>
                <w:szCs w:val="24"/>
                <w:lang w:eastAsia="en-AU"/>
              </w:rPr>
            </w:pPr>
            <w:r w:rsidRPr="009B4DE1">
              <w:rPr>
                <w:sz w:val="24"/>
                <w:szCs w:val="24"/>
              </w:rPr>
              <w:t>804.11</w:t>
            </w:r>
          </w:p>
        </w:tc>
      </w:tr>
      <w:tr w:rsidR="00545175" w:rsidRPr="00260C1D" w14:paraId="7D6ECD01" w14:textId="77777777" w:rsidTr="00124D27">
        <w:tc>
          <w:tcPr>
            <w:tcW w:w="0" w:type="auto"/>
            <w:hideMark/>
          </w:tcPr>
          <w:p w14:paraId="442CDF3F" w14:textId="77777777" w:rsidR="00545175" w:rsidRPr="00260C1D" w:rsidRDefault="00545175" w:rsidP="00545175">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Years 3-6 (Base rates)</w:t>
            </w:r>
          </w:p>
        </w:tc>
        <w:tc>
          <w:tcPr>
            <w:tcW w:w="0" w:type="auto"/>
            <w:hideMark/>
          </w:tcPr>
          <w:p w14:paraId="087D5273" w14:textId="77777777" w:rsidR="00545175" w:rsidRPr="00260C1D" w:rsidRDefault="00545175" w:rsidP="00545175">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1.0000</w:t>
            </w:r>
          </w:p>
        </w:tc>
        <w:tc>
          <w:tcPr>
            <w:tcW w:w="0" w:type="auto"/>
            <w:hideMark/>
          </w:tcPr>
          <w:p w14:paraId="4AD0C218" w14:textId="688E54CE" w:rsidR="00545175" w:rsidRPr="00545175" w:rsidRDefault="00545175" w:rsidP="00545175">
            <w:pPr>
              <w:spacing w:after="0" w:line="360" w:lineRule="atLeast"/>
              <w:jc w:val="right"/>
              <w:rPr>
                <w:rFonts w:eastAsia="Segoe UI" w:cstheme="minorHAnsi"/>
                <w:color w:val="323E4F" w:themeColor="text2" w:themeShade="BF"/>
                <w:sz w:val="24"/>
                <w:szCs w:val="24"/>
                <w:lang w:eastAsia="en-AU"/>
              </w:rPr>
            </w:pPr>
            <w:r w:rsidRPr="009B4DE1">
              <w:rPr>
                <w:sz w:val="24"/>
                <w:szCs w:val="24"/>
              </w:rPr>
              <w:t>38.61</w:t>
            </w:r>
          </w:p>
        </w:tc>
        <w:tc>
          <w:tcPr>
            <w:tcW w:w="0" w:type="auto"/>
            <w:hideMark/>
          </w:tcPr>
          <w:p w14:paraId="45B2F506" w14:textId="37585D45" w:rsidR="00545175" w:rsidRPr="00545175" w:rsidRDefault="00545175" w:rsidP="00545175">
            <w:pPr>
              <w:spacing w:after="0" w:line="360" w:lineRule="atLeast"/>
              <w:jc w:val="right"/>
              <w:rPr>
                <w:rFonts w:eastAsia="Segoe UI" w:cstheme="minorHAnsi"/>
                <w:color w:val="323E4F" w:themeColor="text2" w:themeShade="BF"/>
                <w:sz w:val="24"/>
                <w:szCs w:val="24"/>
                <w:lang w:eastAsia="en-AU"/>
              </w:rPr>
            </w:pPr>
            <w:r w:rsidRPr="009B4DE1">
              <w:rPr>
                <w:sz w:val="24"/>
                <w:szCs w:val="24"/>
              </w:rPr>
              <w:t>737.04</w:t>
            </w:r>
          </w:p>
        </w:tc>
      </w:tr>
      <w:tr w:rsidR="00545175" w:rsidRPr="00260C1D" w14:paraId="0F8CC413" w14:textId="77777777" w:rsidTr="00124D27">
        <w:tc>
          <w:tcPr>
            <w:tcW w:w="0" w:type="auto"/>
            <w:hideMark/>
          </w:tcPr>
          <w:p w14:paraId="1EBB99CC" w14:textId="77777777" w:rsidR="00545175" w:rsidRPr="00260C1D" w:rsidRDefault="00545175" w:rsidP="00545175">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Years 7-9</w:t>
            </w:r>
          </w:p>
        </w:tc>
        <w:tc>
          <w:tcPr>
            <w:tcW w:w="0" w:type="auto"/>
            <w:hideMark/>
          </w:tcPr>
          <w:p w14:paraId="1E07F975" w14:textId="77777777" w:rsidR="00545175" w:rsidRPr="00260C1D" w:rsidRDefault="00545175" w:rsidP="00545175">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1.3051</w:t>
            </w:r>
          </w:p>
        </w:tc>
        <w:tc>
          <w:tcPr>
            <w:tcW w:w="0" w:type="auto"/>
            <w:hideMark/>
          </w:tcPr>
          <w:p w14:paraId="32F9C8E2" w14:textId="53FEF243" w:rsidR="00545175" w:rsidRPr="00545175" w:rsidRDefault="00545175" w:rsidP="00545175">
            <w:pPr>
              <w:spacing w:after="0" w:line="360" w:lineRule="atLeast"/>
              <w:jc w:val="right"/>
              <w:rPr>
                <w:rFonts w:eastAsia="Segoe UI" w:cstheme="minorHAnsi"/>
                <w:color w:val="323E4F" w:themeColor="text2" w:themeShade="BF"/>
                <w:sz w:val="24"/>
                <w:szCs w:val="24"/>
                <w:lang w:eastAsia="en-AU"/>
              </w:rPr>
            </w:pPr>
            <w:r w:rsidRPr="009B4DE1">
              <w:rPr>
                <w:sz w:val="24"/>
                <w:szCs w:val="24"/>
              </w:rPr>
              <w:t>50.39</w:t>
            </w:r>
          </w:p>
        </w:tc>
        <w:tc>
          <w:tcPr>
            <w:tcW w:w="0" w:type="auto"/>
            <w:hideMark/>
          </w:tcPr>
          <w:p w14:paraId="339C559A" w14:textId="76A0D824" w:rsidR="00545175" w:rsidRPr="00545175" w:rsidRDefault="00545175" w:rsidP="00545175">
            <w:pPr>
              <w:spacing w:after="0" w:line="360" w:lineRule="atLeast"/>
              <w:jc w:val="right"/>
              <w:rPr>
                <w:rFonts w:eastAsia="Segoe UI" w:cstheme="minorHAnsi"/>
                <w:color w:val="323E4F" w:themeColor="text2" w:themeShade="BF"/>
                <w:sz w:val="24"/>
                <w:szCs w:val="24"/>
                <w:lang w:eastAsia="en-AU"/>
              </w:rPr>
            </w:pPr>
            <w:r w:rsidRPr="009B4DE1">
              <w:rPr>
                <w:sz w:val="24"/>
                <w:szCs w:val="24"/>
              </w:rPr>
              <w:t>961.91</w:t>
            </w:r>
          </w:p>
        </w:tc>
      </w:tr>
    </w:tbl>
    <w:p w14:paraId="264AB930" w14:textId="20B6528E" w:rsidR="00017551" w:rsidRPr="00AD4CC3" w:rsidRDefault="00017551" w:rsidP="00F56244">
      <w:pPr>
        <w:pStyle w:val="ListParagraph"/>
        <w:numPr>
          <w:ilvl w:val="0"/>
          <w:numId w:val="66"/>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SFO Threshold</w:t>
      </w:r>
      <w:r w:rsidR="004555EC">
        <w:rPr>
          <w:rFonts w:eastAsia="Segoe UI" w:cstheme="minorHAnsi"/>
          <w:color w:val="011A3C"/>
          <w:sz w:val="24"/>
          <w:szCs w:val="24"/>
          <w:lang w:val="en" w:eastAsia="en-AU"/>
        </w:rPr>
        <w:t>:</w:t>
      </w:r>
      <w:r w:rsidRPr="00AD4CC3">
        <w:rPr>
          <w:rFonts w:eastAsia="Segoe UI" w:cstheme="minorHAnsi"/>
          <w:color w:val="011A3C"/>
          <w:sz w:val="24"/>
          <w:szCs w:val="24"/>
          <w:lang w:val="en" w:eastAsia="en-AU"/>
        </w:rPr>
        <w:t xml:space="preserve"> 0.4606</w:t>
      </w:r>
    </w:p>
    <w:p w14:paraId="1BAF2754" w14:textId="4FD85352" w:rsidR="00017551" w:rsidRPr="00AD4CC3" w:rsidRDefault="00017551" w:rsidP="00F56244">
      <w:pPr>
        <w:pStyle w:val="ListParagraph"/>
        <w:numPr>
          <w:ilvl w:val="0"/>
          <w:numId w:val="66"/>
        </w:numPr>
        <w:spacing w:before="100" w:beforeAutospacing="1" w:after="100" w:afterAutospacing="1" w:line="360" w:lineRule="atLeast"/>
        <w:rPr>
          <w:rFonts w:eastAsia="Segoe UI" w:cstheme="minorHAnsi"/>
          <w:color w:val="011A3C"/>
          <w:sz w:val="24"/>
          <w:szCs w:val="24"/>
          <w:lang w:val="en" w:eastAsia="en-AU"/>
        </w:rPr>
      </w:pPr>
      <w:r w:rsidRPr="00AD4CC3">
        <w:rPr>
          <w:rFonts w:eastAsia="Segoe UI" w:cstheme="minorHAnsi"/>
          <w:color w:val="011A3C"/>
          <w:sz w:val="24"/>
          <w:szCs w:val="24"/>
          <w:lang w:val="en" w:eastAsia="en-AU"/>
        </w:rPr>
        <w:t>Guaranteed Minimum</w:t>
      </w:r>
      <w:r w:rsidR="004555EC">
        <w:rPr>
          <w:rFonts w:eastAsia="Segoe UI" w:cstheme="minorHAnsi"/>
          <w:color w:val="011A3C"/>
          <w:sz w:val="24"/>
          <w:szCs w:val="24"/>
          <w:lang w:val="en" w:eastAsia="en-AU"/>
        </w:rPr>
        <w:t>:</w:t>
      </w:r>
      <w:r w:rsidRPr="00AD4CC3">
        <w:rPr>
          <w:rFonts w:eastAsia="Segoe UI" w:cstheme="minorHAnsi"/>
          <w:color w:val="011A3C"/>
          <w:sz w:val="24"/>
          <w:szCs w:val="24"/>
          <w:lang w:val="en" w:eastAsia="en-AU"/>
        </w:rPr>
        <w:t xml:space="preserve"> $5</w:t>
      </w:r>
      <w:r w:rsidR="00B473C1" w:rsidRPr="00AD4CC3">
        <w:rPr>
          <w:rFonts w:eastAsia="Segoe UI" w:cstheme="minorHAnsi"/>
          <w:color w:val="011A3C"/>
          <w:sz w:val="24"/>
          <w:szCs w:val="24"/>
          <w:lang w:val="en" w:eastAsia="en-AU"/>
        </w:rPr>
        <w:t>,</w:t>
      </w:r>
      <w:r w:rsidRPr="00AD4CC3">
        <w:rPr>
          <w:rFonts w:eastAsia="Segoe UI" w:cstheme="minorHAnsi"/>
          <w:color w:val="011A3C"/>
          <w:sz w:val="24"/>
          <w:szCs w:val="24"/>
          <w:lang w:val="en" w:eastAsia="en-AU"/>
        </w:rPr>
        <w:t>000</w:t>
      </w:r>
    </w:p>
    <w:p w14:paraId="7DF222FB" w14:textId="0B096F15" w:rsidR="00F7405B" w:rsidRPr="00AD4CC3" w:rsidRDefault="00017551" w:rsidP="00F56244">
      <w:pPr>
        <w:pStyle w:val="ListParagraph"/>
        <w:numPr>
          <w:ilvl w:val="0"/>
          <w:numId w:val="66"/>
        </w:numPr>
        <w:spacing w:before="100" w:beforeAutospacing="1" w:after="100" w:afterAutospacing="1" w:line="360" w:lineRule="atLeast"/>
        <w:rPr>
          <w:rFonts w:eastAsia="Segoe UI" w:cstheme="minorHAnsi"/>
          <w:color w:val="011A3C"/>
          <w:sz w:val="36"/>
          <w:szCs w:val="36"/>
          <w:lang w:val="en" w:eastAsia="en-AU"/>
        </w:rPr>
      </w:pPr>
      <w:r w:rsidRPr="00AD4CC3">
        <w:rPr>
          <w:rFonts w:eastAsia="Segoe UI" w:cstheme="minorHAnsi"/>
          <w:color w:val="011A3C"/>
          <w:sz w:val="24"/>
          <w:szCs w:val="24"/>
          <w:lang w:val="en" w:eastAsia="en-AU"/>
        </w:rPr>
        <w:t>Base Allocation</w:t>
      </w:r>
      <w:r w:rsidR="004555EC">
        <w:rPr>
          <w:rFonts w:eastAsia="Segoe UI" w:cstheme="minorHAnsi"/>
          <w:color w:val="011A3C"/>
          <w:sz w:val="24"/>
          <w:szCs w:val="24"/>
          <w:lang w:val="en" w:eastAsia="en-AU"/>
        </w:rPr>
        <w:t>:</w:t>
      </w:r>
      <w:r w:rsidRPr="00AD4CC3">
        <w:rPr>
          <w:rFonts w:eastAsia="Segoe UI" w:cstheme="minorHAnsi"/>
          <w:color w:val="011A3C"/>
          <w:sz w:val="24"/>
          <w:szCs w:val="24"/>
          <w:lang w:val="en" w:eastAsia="en-AU"/>
        </w:rPr>
        <w:t xml:space="preserve"> $3</w:t>
      </w:r>
      <w:r w:rsidR="00B473C1" w:rsidRPr="00AD4CC3">
        <w:rPr>
          <w:rFonts w:eastAsia="Segoe UI" w:cstheme="minorHAnsi"/>
          <w:color w:val="011A3C"/>
          <w:sz w:val="24"/>
          <w:szCs w:val="24"/>
          <w:lang w:val="en" w:eastAsia="en-AU"/>
        </w:rPr>
        <w:t>,</w:t>
      </w:r>
      <w:r w:rsidRPr="00AD4CC3">
        <w:rPr>
          <w:rFonts w:eastAsia="Segoe UI" w:cstheme="minorHAnsi"/>
          <w:color w:val="011A3C"/>
          <w:sz w:val="24"/>
          <w:szCs w:val="24"/>
          <w:lang w:val="en" w:eastAsia="en-AU"/>
        </w:rPr>
        <w:t>000</w:t>
      </w:r>
    </w:p>
    <w:p w14:paraId="230D0F26" w14:textId="470AE7B7" w:rsidR="00CA3357" w:rsidRPr="00260C1D" w:rsidRDefault="00CA3357">
      <w:pPr>
        <w:rPr>
          <w:rFonts w:eastAsia="Segoe UI" w:cstheme="minorHAnsi"/>
          <w:color w:val="011A3C"/>
          <w:sz w:val="36"/>
          <w:szCs w:val="36"/>
          <w:lang w:val="en" w:eastAsia="en-AU"/>
        </w:rPr>
      </w:pPr>
      <w:r w:rsidRPr="00260C1D">
        <w:rPr>
          <w:rFonts w:eastAsia="Segoe UI" w:cstheme="minorHAnsi"/>
          <w:color w:val="011A3C"/>
          <w:sz w:val="36"/>
          <w:szCs w:val="36"/>
          <w:lang w:val="en" w:eastAsia="en-AU"/>
        </w:rPr>
        <w:br w:type="page"/>
      </w:r>
    </w:p>
    <w:p w14:paraId="11C5C54B" w14:textId="64FFE9EF" w:rsidR="009B668A" w:rsidRPr="00260C1D" w:rsidRDefault="00C95606" w:rsidP="00532A33">
      <w:pPr>
        <w:pStyle w:val="Heading2"/>
      </w:pPr>
      <w:bookmarkStart w:id="38" w:name="_Toc141965236"/>
      <w:bookmarkStart w:id="39" w:name="_Toc145339566"/>
      <w:bookmarkStart w:id="40" w:name="_Toc153791889"/>
      <w:r w:rsidRPr="00260C1D">
        <w:lastRenderedPageBreak/>
        <w:t>M</w:t>
      </w:r>
      <w:r w:rsidR="009B668A" w:rsidRPr="00260C1D">
        <w:t>ental Health</w:t>
      </w:r>
      <w:r w:rsidR="00AA54CC" w:rsidRPr="00260C1D">
        <w:t xml:space="preserve"> Practi</w:t>
      </w:r>
      <w:r w:rsidR="00920576" w:rsidRPr="00260C1D">
        <w:t>ti</w:t>
      </w:r>
      <w:r w:rsidR="00AA54CC" w:rsidRPr="00260C1D">
        <w:t>oners</w:t>
      </w:r>
      <w:r w:rsidR="009B668A" w:rsidRPr="00260C1D">
        <w:t xml:space="preserve"> (Reference 119)</w:t>
      </w:r>
      <w:bookmarkEnd w:id="38"/>
      <w:bookmarkEnd w:id="39"/>
      <w:bookmarkEnd w:id="40"/>
    </w:p>
    <w:p w14:paraId="6B2E7CB3" w14:textId="2056C5F2" w:rsidR="009B668A" w:rsidRPr="00260C1D" w:rsidRDefault="009B668A" w:rsidP="004D307F">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Mental Health Practitioners (MHP) initiative provide</w:t>
      </w:r>
      <w:r w:rsidR="00400DB6" w:rsidRPr="00260C1D">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 funding to government school campuses with secondary enrolments to employ a mental health practitioner (mental health nurse, occupational therapist, psychologist or social worker) for between one and five days a week.</w:t>
      </w:r>
    </w:p>
    <w:p w14:paraId="7172D08B" w14:textId="6185322C" w:rsidR="009B668A" w:rsidRPr="00260C1D" w:rsidRDefault="009B668A" w:rsidP="009B668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Mental health practitioners provide direct counselling support to students and other early intervention and whole-school health promotion activities, as well as coordinating support for students with complex needs.</w:t>
      </w:r>
    </w:p>
    <w:p w14:paraId="564D426B" w14:textId="08622D88" w:rsidR="00D836DB" w:rsidRPr="00260C1D" w:rsidRDefault="00D836DB" w:rsidP="009B668A">
      <w:pPr>
        <w:spacing w:before="100" w:beforeAutospacing="1" w:after="100" w:afterAutospacing="1" w:line="360" w:lineRule="atLeast"/>
        <w:rPr>
          <w:rFonts w:eastAsia="Segoe UI"/>
          <w:color w:val="011A3C"/>
          <w:sz w:val="24"/>
          <w:szCs w:val="24"/>
          <w:lang w:val="en" w:eastAsia="en-AU"/>
        </w:rPr>
      </w:pPr>
      <w:r w:rsidRPr="48691DDA">
        <w:rPr>
          <w:rFonts w:eastAsia="Segoe UI"/>
          <w:color w:val="011A3C"/>
          <w:sz w:val="24"/>
          <w:szCs w:val="24"/>
          <w:lang w:val="en" w:eastAsia="en-AU"/>
        </w:rPr>
        <w:t xml:space="preserve">For further information on the MHP initiative, refer to </w:t>
      </w:r>
      <w:hyperlink r:id="rId22">
        <w:r w:rsidRPr="48691DDA">
          <w:rPr>
            <w:rStyle w:val="Hyperlink"/>
            <w:rFonts w:eastAsia="Segoe UI"/>
            <w:sz w:val="24"/>
            <w:szCs w:val="24"/>
            <w:lang w:val="en" w:eastAsia="en-AU"/>
          </w:rPr>
          <w:t xml:space="preserve">Mental </w:t>
        </w:r>
        <w:r w:rsidR="00A61561" w:rsidRPr="48691DDA">
          <w:rPr>
            <w:rStyle w:val="Hyperlink"/>
            <w:rFonts w:eastAsia="Segoe UI"/>
            <w:sz w:val="24"/>
            <w:szCs w:val="24"/>
            <w:lang w:val="en" w:eastAsia="en-AU"/>
          </w:rPr>
          <w:t>h</w:t>
        </w:r>
        <w:r w:rsidRPr="48691DDA">
          <w:rPr>
            <w:rStyle w:val="Hyperlink"/>
            <w:rFonts w:eastAsia="Segoe UI"/>
            <w:sz w:val="24"/>
            <w:szCs w:val="24"/>
            <w:lang w:val="en" w:eastAsia="en-AU"/>
          </w:rPr>
          <w:t xml:space="preserve">ealth </w:t>
        </w:r>
        <w:r w:rsidR="00A61561" w:rsidRPr="48691DDA">
          <w:rPr>
            <w:rStyle w:val="Hyperlink"/>
            <w:rFonts w:eastAsia="Segoe UI"/>
            <w:sz w:val="24"/>
            <w:szCs w:val="24"/>
            <w:lang w:val="en" w:eastAsia="en-AU"/>
          </w:rPr>
          <w:t>p</w:t>
        </w:r>
        <w:r w:rsidRPr="48691DDA">
          <w:rPr>
            <w:rStyle w:val="Hyperlink"/>
            <w:rFonts w:eastAsia="Segoe UI"/>
            <w:sz w:val="24"/>
            <w:szCs w:val="24"/>
            <w:lang w:val="en" w:eastAsia="en-AU"/>
          </w:rPr>
          <w:t xml:space="preserve">ractitioners in </w:t>
        </w:r>
        <w:r w:rsidR="00A61561" w:rsidRPr="48691DDA">
          <w:rPr>
            <w:rStyle w:val="Hyperlink"/>
            <w:rFonts w:eastAsia="Segoe UI"/>
            <w:sz w:val="24"/>
            <w:szCs w:val="24"/>
            <w:lang w:val="en" w:eastAsia="en-AU"/>
          </w:rPr>
          <w:t>s</w:t>
        </w:r>
        <w:r w:rsidRPr="48691DDA">
          <w:rPr>
            <w:rStyle w:val="Hyperlink"/>
            <w:rFonts w:eastAsia="Segoe UI"/>
            <w:sz w:val="24"/>
            <w:szCs w:val="24"/>
            <w:lang w:val="en" w:eastAsia="en-AU"/>
          </w:rPr>
          <w:t xml:space="preserve">econdary </w:t>
        </w:r>
        <w:r w:rsidR="008E06E4">
          <w:rPr>
            <w:rStyle w:val="Hyperlink"/>
            <w:rFonts w:eastAsia="Segoe UI"/>
            <w:sz w:val="24"/>
            <w:szCs w:val="24"/>
            <w:lang w:val="en" w:eastAsia="en-AU"/>
          </w:rPr>
          <w:t xml:space="preserve">and specialist </w:t>
        </w:r>
        <w:r w:rsidR="00A61561" w:rsidRPr="48691DDA">
          <w:rPr>
            <w:rStyle w:val="Hyperlink"/>
            <w:rFonts w:eastAsia="Segoe UI"/>
            <w:sz w:val="24"/>
            <w:szCs w:val="24"/>
            <w:lang w:val="en" w:eastAsia="en-AU"/>
          </w:rPr>
          <w:t>s</w:t>
        </w:r>
        <w:r w:rsidRPr="48691DDA">
          <w:rPr>
            <w:rStyle w:val="Hyperlink"/>
            <w:rFonts w:eastAsia="Segoe UI"/>
            <w:sz w:val="24"/>
            <w:szCs w:val="24"/>
            <w:lang w:val="en" w:eastAsia="en-AU"/>
          </w:rPr>
          <w:t>chools</w:t>
        </w:r>
      </w:hyperlink>
      <w:r w:rsidRPr="48691DDA">
        <w:rPr>
          <w:rFonts w:eastAsia="Segoe UI"/>
          <w:color w:val="011A3C"/>
          <w:sz w:val="24"/>
          <w:szCs w:val="24"/>
          <w:lang w:val="en" w:eastAsia="en-AU"/>
        </w:rPr>
        <w:t xml:space="preserve"> in the </w:t>
      </w:r>
      <w:r w:rsidR="00A61561" w:rsidRPr="48691DDA">
        <w:rPr>
          <w:rFonts w:eastAsia="Segoe UI"/>
          <w:color w:val="011A3C"/>
          <w:sz w:val="24"/>
          <w:szCs w:val="24"/>
          <w:lang w:val="en" w:eastAsia="en-AU"/>
        </w:rPr>
        <w:t>d</w:t>
      </w:r>
      <w:r w:rsidRPr="48691DDA">
        <w:rPr>
          <w:rFonts w:eastAsia="Segoe UI"/>
          <w:color w:val="011A3C"/>
          <w:sz w:val="24"/>
          <w:szCs w:val="24"/>
          <w:lang w:val="en" w:eastAsia="en-AU"/>
        </w:rPr>
        <w:t xml:space="preserve">epartment’s </w:t>
      </w:r>
      <w:hyperlink r:id="rId23">
        <w:r w:rsidRPr="48691DDA">
          <w:rPr>
            <w:rStyle w:val="Hyperlink"/>
            <w:rFonts w:eastAsia="Segoe UI"/>
            <w:sz w:val="24"/>
            <w:szCs w:val="24"/>
            <w:lang w:val="en" w:eastAsia="en-AU"/>
          </w:rPr>
          <w:t xml:space="preserve">Mental </w:t>
        </w:r>
        <w:r w:rsidR="00A61561" w:rsidRPr="48691DDA">
          <w:rPr>
            <w:rStyle w:val="Hyperlink"/>
            <w:rFonts w:eastAsia="Segoe UI"/>
            <w:sz w:val="24"/>
            <w:szCs w:val="24"/>
            <w:lang w:val="en" w:eastAsia="en-AU"/>
          </w:rPr>
          <w:t>h</w:t>
        </w:r>
        <w:r w:rsidRPr="48691DDA">
          <w:rPr>
            <w:rStyle w:val="Hyperlink"/>
            <w:rFonts w:eastAsia="Segoe UI"/>
            <w:sz w:val="24"/>
            <w:szCs w:val="24"/>
            <w:lang w:val="en" w:eastAsia="en-AU"/>
          </w:rPr>
          <w:t>ealth</w:t>
        </w:r>
        <w:r w:rsidR="00A61561" w:rsidRPr="48691DDA">
          <w:rPr>
            <w:rStyle w:val="Hyperlink"/>
            <w:rFonts w:eastAsia="Segoe UI"/>
            <w:sz w:val="24"/>
            <w:szCs w:val="24"/>
            <w:lang w:val="en" w:eastAsia="en-AU"/>
          </w:rPr>
          <w:t xml:space="preserve"> and wellbeing</w:t>
        </w:r>
        <w:r w:rsidRPr="48691DDA">
          <w:rPr>
            <w:rStyle w:val="Hyperlink"/>
            <w:rFonts w:eastAsia="Segoe UI"/>
            <w:sz w:val="24"/>
            <w:szCs w:val="24"/>
            <w:lang w:val="en" w:eastAsia="en-AU"/>
          </w:rPr>
          <w:t xml:space="preserve"> </w:t>
        </w:r>
        <w:r w:rsidR="00A61561" w:rsidRPr="48691DDA">
          <w:rPr>
            <w:rStyle w:val="Hyperlink"/>
            <w:rFonts w:eastAsia="Segoe UI"/>
            <w:sz w:val="24"/>
            <w:szCs w:val="24"/>
            <w:lang w:val="en" w:eastAsia="en-AU"/>
          </w:rPr>
          <w:t>t</w:t>
        </w:r>
        <w:r w:rsidRPr="48691DDA">
          <w:rPr>
            <w:rStyle w:val="Hyperlink"/>
            <w:rFonts w:eastAsia="Segoe UI"/>
            <w:sz w:val="24"/>
            <w:szCs w:val="24"/>
            <w:lang w:val="en" w:eastAsia="en-AU"/>
          </w:rPr>
          <w:t>oolkit</w:t>
        </w:r>
      </w:hyperlink>
      <w:r w:rsidRPr="48691DDA">
        <w:rPr>
          <w:rFonts w:eastAsia="Segoe UI"/>
          <w:color w:val="011A3C"/>
          <w:sz w:val="24"/>
          <w:szCs w:val="24"/>
          <w:lang w:val="en" w:eastAsia="en-AU"/>
        </w:rPr>
        <w:t>.</w:t>
      </w:r>
    </w:p>
    <w:p w14:paraId="5CB74587" w14:textId="24A96E9B" w:rsidR="009B668A" w:rsidRPr="00260C1D" w:rsidRDefault="001039D9" w:rsidP="009B668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Student Resource Package (</w:t>
      </w:r>
      <w:r w:rsidR="009B668A" w:rsidRPr="00260C1D">
        <w:rPr>
          <w:rFonts w:eastAsia="Segoe UI" w:cstheme="minorHAnsi"/>
          <w:color w:val="011A3C"/>
          <w:sz w:val="24"/>
          <w:szCs w:val="24"/>
          <w:lang w:val="en" w:eastAsia="en-AU"/>
        </w:rPr>
        <w:t>SRP</w:t>
      </w:r>
      <w:r w:rsidRPr="00260C1D">
        <w:rPr>
          <w:rFonts w:eastAsia="Segoe UI" w:cstheme="minorHAnsi"/>
          <w:color w:val="011A3C"/>
          <w:sz w:val="24"/>
          <w:szCs w:val="24"/>
          <w:lang w:val="en" w:eastAsia="en-AU"/>
        </w:rPr>
        <w:t>)</w:t>
      </w:r>
      <w:r w:rsidR="009B668A" w:rsidRPr="00260C1D">
        <w:rPr>
          <w:rFonts w:eastAsia="Segoe UI" w:cstheme="minorHAnsi"/>
          <w:color w:val="011A3C"/>
          <w:sz w:val="24"/>
          <w:szCs w:val="24"/>
          <w:lang w:val="en" w:eastAsia="en-AU"/>
        </w:rPr>
        <w:t xml:space="preserve"> funding </w:t>
      </w:r>
      <w:r w:rsidR="00400DB6" w:rsidRPr="00260C1D">
        <w:rPr>
          <w:rFonts w:eastAsia="Segoe UI" w:cstheme="minorHAnsi"/>
          <w:color w:val="011A3C"/>
          <w:sz w:val="24"/>
          <w:szCs w:val="24"/>
          <w:lang w:val="en" w:eastAsia="en-AU"/>
        </w:rPr>
        <w:t>is</w:t>
      </w:r>
      <w:r w:rsidR="009B668A" w:rsidRPr="00260C1D">
        <w:rPr>
          <w:rFonts w:eastAsia="Segoe UI" w:cstheme="minorHAnsi"/>
          <w:color w:val="011A3C"/>
          <w:sz w:val="24"/>
          <w:szCs w:val="24"/>
          <w:lang w:val="en" w:eastAsia="en-AU"/>
        </w:rPr>
        <w:t xml:space="preserve"> provided to cover the salary of an ongoing school-based mental health practitioner. </w:t>
      </w:r>
      <w:r w:rsidR="00EA153E" w:rsidRPr="00260C1D">
        <w:rPr>
          <w:rFonts w:eastAsia="Segoe UI" w:cstheme="minorHAnsi"/>
          <w:color w:val="011A3C"/>
          <w:sz w:val="24"/>
          <w:szCs w:val="24"/>
          <w:lang w:val="en" w:eastAsia="en-AU"/>
        </w:rPr>
        <w:t>All secondary school campuses</w:t>
      </w:r>
      <w:r w:rsidR="009B668A" w:rsidRPr="00260C1D">
        <w:rPr>
          <w:rFonts w:eastAsia="Segoe UI" w:cstheme="minorHAnsi"/>
          <w:color w:val="011A3C"/>
          <w:sz w:val="24"/>
          <w:szCs w:val="24"/>
          <w:lang w:val="en" w:eastAsia="en-AU"/>
        </w:rPr>
        <w:t xml:space="preserve"> will receive </w:t>
      </w:r>
      <w:r w:rsidR="000514AD" w:rsidRPr="00260C1D">
        <w:rPr>
          <w:rFonts w:eastAsia="Segoe UI" w:cstheme="minorHAnsi"/>
          <w:color w:val="011A3C"/>
          <w:sz w:val="24"/>
          <w:szCs w:val="24"/>
          <w:lang w:val="en" w:eastAsia="en-AU"/>
        </w:rPr>
        <w:t xml:space="preserve">an allocation </w:t>
      </w:r>
      <w:r w:rsidR="009B668A" w:rsidRPr="00260C1D">
        <w:rPr>
          <w:rFonts w:eastAsia="Segoe UI" w:cstheme="minorHAnsi"/>
          <w:color w:val="011A3C"/>
          <w:sz w:val="24"/>
          <w:szCs w:val="24"/>
          <w:lang w:val="en" w:eastAsia="en-AU"/>
        </w:rPr>
        <w:t xml:space="preserve">between a minimum of 0.2 FTE and a maximum of 1.0 FTE, depending on </w:t>
      </w:r>
      <w:r w:rsidR="000514AD" w:rsidRPr="00260C1D">
        <w:rPr>
          <w:rFonts w:eastAsia="Segoe UI" w:cstheme="minorHAnsi"/>
          <w:color w:val="011A3C"/>
          <w:sz w:val="24"/>
          <w:szCs w:val="24"/>
          <w:lang w:val="en" w:eastAsia="en-AU"/>
        </w:rPr>
        <w:t xml:space="preserve">the number of </w:t>
      </w:r>
      <w:r w:rsidR="009B668A" w:rsidRPr="00260C1D">
        <w:rPr>
          <w:rFonts w:eastAsia="Segoe UI" w:cstheme="minorHAnsi"/>
          <w:color w:val="011A3C"/>
          <w:sz w:val="24"/>
          <w:szCs w:val="24"/>
          <w:lang w:val="en" w:eastAsia="en-AU"/>
        </w:rPr>
        <w:t>secondary student enrolments.</w:t>
      </w:r>
    </w:p>
    <w:p w14:paraId="754E91C5" w14:textId="17AF45C6" w:rsidR="009B668A" w:rsidRPr="00502685" w:rsidRDefault="009B668A" w:rsidP="009B668A">
      <w:pPr>
        <w:spacing w:before="100" w:beforeAutospacing="1" w:after="100" w:afterAutospacing="1" w:line="360" w:lineRule="atLeast"/>
        <w:rPr>
          <w:rFonts w:eastAsia="Segoe UI"/>
          <w:color w:val="011A3C"/>
          <w:sz w:val="24"/>
          <w:szCs w:val="24"/>
          <w:lang w:val="en" w:eastAsia="en-AU"/>
        </w:rPr>
      </w:pPr>
      <w:r w:rsidRPr="0F59C8BC">
        <w:rPr>
          <w:rFonts w:eastAsia="Segoe UI"/>
          <w:color w:val="011A3C"/>
          <w:sz w:val="24"/>
          <w:szCs w:val="24"/>
          <w:lang w:val="en" w:eastAsia="en-AU"/>
        </w:rPr>
        <w:t>FTE allocations will be fixed from</w:t>
      </w:r>
      <w:r w:rsidR="00DC5407" w:rsidRPr="0F59C8BC">
        <w:rPr>
          <w:rFonts w:eastAsia="Segoe UI"/>
          <w:color w:val="011A3C"/>
          <w:sz w:val="24"/>
          <w:szCs w:val="24"/>
          <w:lang w:val="en" w:eastAsia="en-AU"/>
        </w:rPr>
        <w:t xml:space="preserve"> </w:t>
      </w:r>
      <w:r w:rsidR="00BD1340" w:rsidRPr="0F59C8BC">
        <w:rPr>
          <w:rFonts w:eastAsia="Segoe UI"/>
          <w:color w:val="011A3C"/>
          <w:sz w:val="24"/>
          <w:szCs w:val="24"/>
          <w:lang w:val="en" w:eastAsia="en-AU"/>
        </w:rPr>
        <w:t>the release of the</w:t>
      </w:r>
      <w:r w:rsidR="00BD1340" w:rsidRPr="0F59C8BC" w:rsidDel="002C18FC">
        <w:rPr>
          <w:rFonts w:eastAsia="Segoe UI"/>
          <w:color w:val="011A3C"/>
          <w:sz w:val="24"/>
          <w:szCs w:val="24"/>
          <w:lang w:val="en" w:eastAsia="en-AU"/>
        </w:rPr>
        <w:t xml:space="preserve"> </w:t>
      </w:r>
      <w:r w:rsidR="00BD1340" w:rsidRPr="0F59C8BC">
        <w:rPr>
          <w:rFonts w:eastAsia="Segoe UI"/>
          <w:color w:val="011A3C"/>
          <w:sz w:val="24"/>
          <w:szCs w:val="24"/>
          <w:lang w:val="en" w:eastAsia="en-AU"/>
        </w:rPr>
        <w:t>Confirmed SRP</w:t>
      </w:r>
      <w:r w:rsidR="00DC5407" w:rsidRPr="0F59C8BC">
        <w:rPr>
          <w:rFonts w:eastAsia="Segoe UI"/>
          <w:color w:val="011A3C"/>
          <w:sz w:val="24"/>
          <w:szCs w:val="24"/>
          <w:lang w:val="en" w:eastAsia="en-AU"/>
        </w:rPr>
        <w:t xml:space="preserve"> (</w:t>
      </w:r>
      <w:r w:rsidR="00284562">
        <w:rPr>
          <w:rFonts w:eastAsia="Segoe UI"/>
          <w:color w:val="011A3C"/>
          <w:sz w:val="24"/>
          <w:szCs w:val="24"/>
          <w:lang w:val="en" w:eastAsia="en-AU"/>
        </w:rPr>
        <w:t>April</w:t>
      </w:r>
      <w:r w:rsidR="00DC5407" w:rsidRPr="0F59C8BC">
        <w:rPr>
          <w:rFonts w:eastAsia="Segoe UI"/>
          <w:color w:val="011A3C"/>
          <w:sz w:val="24"/>
          <w:szCs w:val="24"/>
          <w:lang w:val="en" w:eastAsia="en-AU"/>
        </w:rPr>
        <w:t xml:space="preserve"> 2023) for two</w:t>
      </w:r>
      <w:r w:rsidR="003E31D3" w:rsidRPr="0F59C8BC">
        <w:rPr>
          <w:rFonts w:eastAsia="Segoe UI"/>
          <w:color w:val="011A3C"/>
          <w:sz w:val="24"/>
          <w:szCs w:val="24"/>
          <w:lang w:val="en" w:eastAsia="en-AU"/>
        </w:rPr>
        <w:t xml:space="preserve"> </w:t>
      </w:r>
      <w:r w:rsidR="00DC5407" w:rsidRPr="0F59C8BC">
        <w:rPr>
          <w:rFonts w:eastAsia="Segoe UI"/>
          <w:color w:val="011A3C"/>
          <w:sz w:val="24"/>
          <w:szCs w:val="24"/>
          <w:lang w:val="en" w:eastAsia="en-AU"/>
        </w:rPr>
        <w:t>year</w:t>
      </w:r>
      <w:r w:rsidR="003E31D3" w:rsidRPr="0F59C8BC">
        <w:rPr>
          <w:rFonts w:eastAsia="Segoe UI"/>
          <w:color w:val="011A3C"/>
          <w:sz w:val="24"/>
          <w:szCs w:val="24"/>
          <w:lang w:val="en" w:eastAsia="en-AU"/>
        </w:rPr>
        <w:t>s</w:t>
      </w:r>
      <w:r w:rsidR="00DC5407" w:rsidRPr="0F59C8BC">
        <w:rPr>
          <w:rFonts w:eastAsia="Segoe UI"/>
          <w:color w:val="011A3C"/>
          <w:sz w:val="24"/>
          <w:szCs w:val="24"/>
          <w:lang w:val="en" w:eastAsia="en-AU"/>
        </w:rPr>
        <w:t>.</w:t>
      </w:r>
      <w:r w:rsidRPr="0F59C8BC">
        <w:rPr>
          <w:rFonts w:eastAsia="Segoe UI"/>
          <w:color w:val="011A3C"/>
          <w:sz w:val="24"/>
          <w:szCs w:val="24"/>
          <w:lang w:val="en" w:eastAsia="en-AU"/>
        </w:rPr>
        <w:t xml:space="preserve"> </w:t>
      </w:r>
      <w:r w:rsidR="00484823" w:rsidRPr="0F59C8BC">
        <w:rPr>
          <w:rFonts w:eastAsia="Segoe UI"/>
          <w:color w:val="011A3C"/>
          <w:sz w:val="24"/>
          <w:szCs w:val="24"/>
          <w:lang w:val="en" w:eastAsia="en-AU"/>
        </w:rPr>
        <w:t>At the conclusion of the</w:t>
      </w:r>
      <w:r w:rsidR="003E31D3" w:rsidRPr="0F59C8BC">
        <w:rPr>
          <w:rFonts w:eastAsia="Segoe UI"/>
          <w:color w:val="011A3C"/>
          <w:sz w:val="24"/>
          <w:szCs w:val="24"/>
          <w:lang w:val="en" w:eastAsia="en-AU"/>
        </w:rPr>
        <w:t xml:space="preserve"> two-year period</w:t>
      </w:r>
      <w:r w:rsidR="000E7C67" w:rsidRPr="0F59C8BC">
        <w:rPr>
          <w:rFonts w:eastAsia="Segoe UI"/>
          <w:color w:val="011A3C"/>
          <w:sz w:val="24"/>
          <w:szCs w:val="24"/>
          <w:lang w:val="en" w:eastAsia="en-AU"/>
        </w:rPr>
        <w:t>,</w:t>
      </w:r>
      <w:r w:rsidR="002C18FC" w:rsidRPr="0F59C8BC">
        <w:rPr>
          <w:rFonts w:eastAsia="Segoe UI"/>
          <w:color w:val="011A3C"/>
          <w:sz w:val="24"/>
          <w:szCs w:val="24"/>
          <w:lang w:val="en" w:eastAsia="en-AU"/>
        </w:rPr>
        <w:t xml:space="preserve"> </w:t>
      </w:r>
      <w:r w:rsidRPr="0F59C8BC">
        <w:rPr>
          <w:rFonts w:eastAsia="Segoe UI"/>
          <w:color w:val="011A3C"/>
          <w:sz w:val="24"/>
          <w:szCs w:val="24"/>
          <w:lang w:val="en" w:eastAsia="en-AU"/>
        </w:rPr>
        <w:t xml:space="preserve">FTE allocations will be reviewed and adjustments </w:t>
      </w:r>
      <w:r w:rsidR="00AA45C0">
        <w:rPr>
          <w:rFonts w:eastAsia="Segoe UI"/>
          <w:color w:val="011A3C"/>
          <w:sz w:val="24"/>
          <w:szCs w:val="24"/>
          <w:lang w:val="en" w:eastAsia="en-AU"/>
        </w:rPr>
        <w:t>will be</w:t>
      </w:r>
      <w:r w:rsidR="4414E51C" w:rsidRPr="27919617">
        <w:rPr>
          <w:rFonts w:eastAsia="Segoe UI"/>
          <w:color w:val="011A3C"/>
          <w:sz w:val="24"/>
          <w:szCs w:val="24"/>
          <w:lang w:val="en" w:eastAsia="en-AU"/>
        </w:rPr>
        <w:t xml:space="preserve"> </w:t>
      </w:r>
      <w:r w:rsidRPr="00502685">
        <w:rPr>
          <w:rFonts w:eastAsia="Segoe UI"/>
          <w:color w:val="011A3C"/>
          <w:sz w:val="24"/>
          <w:szCs w:val="24"/>
          <w:lang w:val="en" w:eastAsia="en-AU"/>
        </w:rPr>
        <w:t>made</w:t>
      </w:r>
      <w:r w:rsidR="36A09595" w:rsidRPr="00502685">
        <w:rPr>
          <w:rFonts w:eastAsia="Segoe UI"/>
          <w:color w:val="011A3C"/>
          <w:sz w:val="24"/>
          <w:szCs w:val="24"/>
          <w:lang w:val="en" w:eastAsia="en-AU"/>
        </w:rPr>
        <w:t xml:space="preserve"> where schools have a significant increase in student enrolments</w:t>
      </w:r>
      <w:r w:rsidR="00806DB0">
        <w:rPr>
          <w:rFonts w:eastAsia="Segoe UI"/>
          <w:color w:val="011A3C"/>
          <w:sz w:val="24"/>
          <w:szCs w:val="24"/>
          <w:lang w:val="en" w:eastAsia="en-AU"/>
        </w:rPr>
        <w:t>.</w:t>
      </w:r>
    </w:p>
    <w:p w14:paraId="2B861B15" w14:textId="16F7BD57" w:rsidR="00DF78FB" w:rsidRPr="00260C1D" w:rsidRDefault="00DF78FB" w:rsidP="00DF78FB">
      <w:pPr>
        <w:rPr>
          <w:rFonts w:eastAsia="Segoe UI"/>
          <w:color w:val="011A3C"/>
          <w:sz w:val="24"/>
          <w:szCs w:val="24"/>
          <w:lang w:val="en" w:eastAsia="en-AU"/>
        </w:rPr>
      </w:pPr>
      <w:r w:rsidRPr="43615927">
        <w:rPr>
          <w:rFonts w:eastAsia="Segoe UI"/>
          <w:color w:val="011A3C"/>
          <w:sz w:val="24"/>
          <w:szCs w:val="24"/>
          <w:lang w:val="en" w:eastAsia="en-AU"/>
        </w:rPr>
        <w:t xml:space="preserve">This funding is provided for the Mental Health Practitioners initiative only and allocated funding must be spent for this purpose. Prior to spending any accrued unused funding, schools </w:t>
      </w:r>
      <w:r w:rsidR="002C18FC" w:rsidRPr="43615927">
        <w:rPr>
          <w:rFonts w:eastAsia="Segoe UI"/>
          <w:color w:val="011A3C"/>
          <w:sz w:val="24"/>
          <w:szCs w:val="24"/>
          <w:lang w:val="en" w:eastAsia="en-AU"/>
        </w:rPr>
        <w:t>must</w:t>
      </w:r>
      <w:r w:rsidRPr="43615927">
        <w:rPr>
          <w:rFonts w:eastAsia="Segoe UI"/>
          <w:color w:val="011A3C"/>
          <w:sz w:val="24"/>
          <w:szCs w:val="24"/>
          <w:lang w:val="en" w:eastAsia="en-AU"/>
        </w:rPr>
        <w:t xml:space="preserve"> engage with their </w:t>
      </w:r>
      <w:r w:rsidR="17EA7FA1" w:rsidRPr="43615927">
        <w:rPr>
          <w:rFonts w:eastAsia="Segoe UI"/>
          <w:color w:val="011A3C"/>
          <w:sz w:val="24"/>
          <w:szCs w:val="24"/>
          <w:lang w:val="en" w:eastAsia="en-AU"/>
        </w:rPr>
        <w:t xml:space="preserve">Regional </w:t>
      </w:r>
      <w:r w:rsidRPr="43615927">
        <w:rPr>
          <w:rFonts w:eastAsia="Segoe UI"/>
          <w:color w:val="011A3C"/>
          <w:sz w:val="24"/>
          <w:szCs w:val="24"/>
          <w:lang w:val="en" w:eastAsia="en-AU"/>
        </w:rPr>
        <w:t>Mental Health Coordinator</w:t>
      </w:r>
      <w:r w:rsidR="00753421" w:rsidRPr="00753421">
        <w:t xml:space="preserve"> </w:t>
      </w:r>
      <w:r w:rsidR="00753421" w:rsidRPr="00753421">
        <w:rPr>
          <w:rFonts w:eastAsia="Segoe UI"/>
          <w:color w:val="011A3C"/>
          <w:sz w:val="24"/>
          <w:szCs w:val="24"/>
          <w:lang w:val="en" w:eastAsia="en-AU"/>
        </w:rPr>
        <w:t>(MHC)</w:t>
      </w:r>
      <w:r w:rsidR="00E15F96">
        <w:rPr>
          <w:rFonts w:eastAsia="Segoe UI"/>
          <w:color w:val="011A3C"/>
          <w:sz w:val="24"/>
          <w:szCs w:val="24"/>
          <w:lang w:val="en" w:eastAsia="en-AU"/>
        </w:rPr>
        <w:t>.</w:t>
      </w:r>
      <w:r w:rsidR="00753421" w:rsidRPr="00753421">
        <w:rPr>
          <w:rFonts w:eastAsia="Segoe UI"/>
          <w:color w:val="011A3C"/>
          <w:sz w:val="24"/>
          <w:szCs w:val="24"/>
          <w:lang w:val="en" w:eastAsia="en-AU"/>
        </w:rPr>
        <w:t xml:space="preserve"> </w:t>
      </w:r>
      <w:r w:rsidR="00554433">
        <w:rPr>
          <w:rFonts w:eastAsia="Segoe UI"/>
          <w:color w:val="011A3C"/>
          <w:sz w:val="24"/>
          <w:szCs w:val="24"/>
          <w:lang w:val="en" w:eastAsia="en-AU"/>
        </w:rPr>
        <w:t>Further information and advice about suitable alternative u</w:t>
      </w:r>
      <w:r w:rsidR="00DC2590">
        <w:rPr>
          <w:rFonts w:eastAsia="Segoe UI"/>
          <w:color w:val="011A3C"/>
          <w:sz w:val="24"/>
          <w:szCs w:val="24"/>
          <w:lang w:val="en" w:eastAsia="en-AU"/>
        </w:rPr>
        <w:t>nused funding can be</w:t>
      </w:r>
      <w:r w:rsidR="00800DBA">
        <w:rPr>
          <w:rFonts w:eastAsia="Segoe UI"/>
          <w:color w:val="011A3C"/>
          <w:sz w:val="24"/>
          <w:szCs w:val="24"/>
          <w:lang w:val="en" w:eastAsia="en-AU"/>
        </w:rPr>
        <w:t xml:space="preserve"> </w:t>
      </w:r>
      <w:r w:rsidR="004776FC">
        <w:rPr>
          <w:rFonts w:eastAsia="Segoe UI"/>
          <w:color w:val="011A3C"/>
          <w:sz w:val="24"/>
          <w:szCs w:val="24"/>
          <w:lang w:val="en" w:eastAsia="en-AU"/>
        </w:rPr>
        <w:t xml:space="preserve">found in the </w:t>
      </w:r>
      <w:r w:rsidR="00C2215C">
        <w:rPr>
          <w:rFonts w:eastAsia="Segoe UI"/>
          <w:color w:val="011A3C"/>
          <w:sz w:val="24"/>
          <w:szCs w:val="24"/>
          <w:lang w:val="en" w:eastAsia="en-AU"/>
        </w:rPr>
        <w:t xml:space="preserve">MHP initiative </w:t>
      </w:r>
      <w:r w:rsidR="00753421" w:rsidRPr="00753421">
        <w:rPr>
          <w:rFonts w:eastAsia="Segoe UI"/>
          <w:color w:val="011A3C"/>
          <w:sz w:val="24"/>
          <w:szCs w:val="24"/>
          <w:lang w:val="en" w:eastAsia="en-AU"/>
        </w:rPr>
        <w:t>School Implementation Guide which can be accessed via Regional MHCs.</w:t>
      </w:r>
    </w:p>
    <w:p w14:paraId="623B20C9" w14:textId="1D2F0899" w:rsidR="009B668A" w:rsidRPr="00260C1D" w:rsidRDefault="009B668A" w:rsidP="00B61E94">
      <w:pPr>
        <w:spacing w:before="100" w:beforeAutospacing="1" w:after="100" w:afterAutospacing="1" w:line="288" w:lineRule="atLeast"/>
        <w:outlineLvl w:val="2"/>
        <w:rPr>
          <w:rFonts w:eastAsia="Segoe UI"/>
          <w:b/>
          <w:color w:val="011A3C"/>
          <w:sz w:val="27"/>
          <w:szCs w:val="27"/>
          <w:lang w:val="en" w:eastAsia="en-AU"/>
        </w:rPr>
      </w:pPr>
      <w:r w:rsidRPr="2D455031">
        <w:rPr>
          <w:rFonts w:eastAsia="Segoe UI"/>
          <w:b/>
          <w:color w:val="011A3C"/>
          <w:sz w:val="27"/>
          <w:szCs w:val="27"/>
          <w:lang w:val="en" w:eastAsia="en-AU"/>
        </w:rPr>
        <w:t>Eligibility</w:t>
      </w:r>
    </w:p>
    <w:p w14:paraId="4FDF6965" w14:textId="1D2F0899" w:rsidR="000D0F3F" w:rsidRPr="009B4DE1" w:rsidRDefault="009B668A" w:rsidP="00833928">
      <w:pPr>
        <w:rPr>
          <w:rFonts w:eastAsia="Segoe UI"/>
          <w:color w:val="011A3C"/>
          <w:sz w:val="24"/>
          <w:szCs w:val="24"/>
          <w:lang w:val="en" w:eastAsia="en-AU"/>
        </w:rPr>
      </w:pPr>
      <w:r w:rsidRPr="009B4DE1">
        <w:rPr>
          <w:rFonts w:eastAsia="Segoe UI"/>
          <w:color w:val="011A3C"/>
          <w:sz w:val="24"/>
          <w:szCs w:val="24"/>
          <w:lang w:val="en" w:eastAsia="en-AU"/>
        </w:rPr>
        <w:t xml:space="preserve">Funding </w:t>
      </w:r>
      <w:r w:rsidR="00586FF1" w:rsidRPr="009B4DE1">
        <w:rPr>
          <w:rFonts w:eastAsia="Segoe UI"/>
          <w:color w:val="011A3C"/>
          <w:sz w:val="24"/>
          <w:szCs w:val="24"/>
          <w:lang w:val="en" w:eastAsia="en-AU"/>
        </w:rPr>
        <w:t>is provided</w:t>
      </w:r>
      <w:r w:rsidRPr="009B4DE1">
        <w:rPr>
          <w:rFonts w:eastAsia="Segoe UI"/>
          <w:color w:val="011A3C"/>
          <w:sz w:val="24"/>
          <w:szCs w:val="24"/>
          <w:lang w:val="en" w:eastAsia="en-AU"/>
        </w:rPr>
        <w:t xml:space="preserve"> to </w:t>
      </w:r>
      <w:r w:rsidR="00825BDB" w:rsidRPr="009B4DE1">
        <w:rPr>
          <w:rFonts w:eastAsia="Segoe UI"/>
          <w:color w:val="011A3C"/>
          <w:sz w:val="24"/>
          <w:szCs w:val="24"/>
          <w:lang w:val="en" w:eastAsia="en-AU"/>
        </w:rPr>
        <w:t xml:space="preserve">Community, Language, </w:t>
      </w:r>
      <w:r w:rsidR="004E1F6F" w:rsidRPr="009B4DE1">
        <w:rPr>
          <w:rFonts w:eastAsia="Segoe UI"/>
          <w:color w:val="011A3C"/>
          <w:sz w:val="24"/>
          <w:szCs w:val="24"/>
          <w:lang w:val="en" w:eastAsia="en-AU"/>
        </w:rPr>
        <w:t xml:space="preserve">Secondary and Primary/Secondary Combined </w:t>
      </w:r>
      <w:r w:rsidRPr="009B4DE1">
        <w:rPr>
          <w:rFonts w:eastAsia="Segoe UI"/>
          <w:color w:val="011A3C"/>
          <w:sz w:val="24"/>
          <w:szCs w:val="24"/>
          <w:lang w:val="en" w:eastAsia="en-AU"/>
        </w:rPr>
        <w:t>campuses with secondary enrolments</w:t>
      </w:r>
      <w:r w:rsidR="00586FF1" w:rsidRPr="009B4DE1">
        <w:rPr>
          <w:rFonts w:eastAsia="Segoe UI"/>
          <w:color w:val="011A3C"/>
          <w:sz w:val="24"/>
          <w:szCs w:val="24"/>
          <w:lang w:val="en" w:eastAsia="en-AU"/>
        </w:rPr>
        <w:t>.</w:t>
      </w:r>
      <w:r w:rsidR="00B046EE" w:rsidRPr="009B4DE1">
        <w:rPr>
          <w:rFonts w:eastAsia="Segoe UI"/>
          <w:color w:val="011A3C"/>
          <w:sz w:val="24"/>
          <w:szCs w:val="24"/>
          <w:lang w:val="en" w:eastAsia="en-AU"/>
        </w:rPr>
        <w:t xml:space="preserve"> </w:t>
      </w:r>
      <w:r w:rsidR="001F1DD2" w:rsidRPr="009B4DE1">
        <w:rPr>
          <w:rFonts w:eastAsia="Segoe UI"/>
          <w:color w:val="011A3C"/>
          <w:sz w:val="24"/>
          <w:szCs w:val="24"/>
          <w:lang w:val="en" w:eastAsia="en-AU"/>
        </w:rPr>
        <w:t xml:space="preserve">Funding is also provided to </w:t>
      </w:r>
      <w:r w:rsidR="000D0F3F" w:rsidRPr="009B4DE1">
        <w:rPr>
          <w:rFonts w:eastAsia="Segoe UI"/>
          <w:color w:val="011A3C"/>
          <w:sz w:val="24"/>
          <w:szCs w:val="24"/>
          <w:lang w:val="en" w:eastAsia="en-AU"/>
        </w:rPr>
        <w:t>Virtual School Victoria.</w:t>
      </w:r>
    </w:p>
    <w:p w14:paraId="2C79778C" w14:textId="1D2F0899" w:rsidR="00BC3588" w:rsidRPr="009B4DE1" w:rsidRDefault="00B63F2C" w:rsidP="00833928">
      <w:pPr>
        <w:rPr>
          <w:rFonts w:eastAsia="Segoe UI"/>
          <w:color w:val="011A3C"/>
          <w:sz w:val="24"/>
          <w:szCs w:val="24"/>
          <w:lang w:val="en" w:eastAsia="en-AU"/>
        </w:rPr>
      </w:pPr>
      <w:r w:rsidRPr="009B4DE1">
        <w:rPr>
          <w:rFonts w:eastAsia="Segoe UI"/>
          <w:color w:val="011A3C"/>
          <w:sz w:val="24"/>
          <w:szCs w:val="24"/>
          <w:lang w:val="en" w:eastAsia="en-AU"/>
        </w:rPr>
        <w:t>F</w:t>
      </w:r>
      <w:r w:rsidR="007A6795" w:rsidRPr="009B4DE1">
        <w:rPr>
          <w:rFonts w:eastAsia="Segoe UI"/>
          <w:color w:val="011A3C"/>
          <w:sz w:val="24"/>
          <w:szCs w:val="24"/>
          <w:lang w:val="en" w:eastAsia="en-AU"/>
        </w:rPr>
        <w:t xml:space="preserve">unding is </w:t>
      </w:r>
      <w:r w:rsidR="00A05D7F" w:rsidRPr="009B4DE1">
        <w:rPr>
          <w:rFonts w:eastAsia="Segoe UI"/>
          <w:color w:val="011A3C"/>
          <w:sz w:val="24"/>
          <w:szCs w:val="24"/>
          <w:lang w:val="en" w:eastAsia="en-AU"/>
        </w:rPr>
        <w:t>allocated</w:t>
      </w:r>
      <w:r w:rsidR="0009028F" w:rsidRPr="009B4DE1">
        <w:rPr>
          <w:rFonts w:eastAsia="Segoe UI"/>
          <w:color w:val="011A3C"/>
          <w:sz w:val="24"/>
          <w:szCs w:val="24"/>
          <w:lang w:val="en" w:eastAsia="en-AU"/>
        </w:rPr>
        <w:t xml:space="preserve"> </w:t>
      </w:r>
      <w:r w:rsidR="007A6795" w:rsidRPr="009B4DE1">
        <w:rPr>
          <w:rFonts w:eastAsia="Segoe UI"/>
          <w:color w:val="011A3C"/>
          <w:sz w:val="24"/>
          <w:szCs w:val="24"/>
          <w:lang w:val="en" w:eastAsia="en-AU"/>
        </w:rPr>
        <w:t>as credit and cash</w:t>
      </w:r>
      <w:r w:rsidR="00A05D7F" w:rsidRPr="009B4DE1">
        <w:rPr>
          <w:rFonts w:eastAsia="Segoe UI"/>
          <w:color w:val="011A3C"/>
          <w:sz w:val="24"/>
          <w:szCs w:val="24"/>
          <w:lang w:val="en" w:eastAsia="en-AU"/>
        </w:rPr>
        <w:t xml:space="preserve"> funding</w:t>
      </w:r>
      <w:r w:rsidR="00B046EE" w:rsidRPr="009B4DE1">
        <w:rPr>
          <w:rFonts w:eastAsia="Segoe UI"/>
          <w:color w:val="011A3C"/>
          <w:sz w:val="24"/>
          <w:szCs w:val="24"/>
          <w:lang w:val="en" w:eastAsia="en-AU"/>
        </w:rPr>
        <w:t>.</w:t>
      </w:r>
    </w:p>
    <w:p w14:paraId="3E89349C" w14:textId="4641CE86" w:rsidR="00892A2A" w:rsidRPr="009B4DE1" w:rsidRDefault="00892A2A" w:rsidP="00833928">
      <w:pPr>
        <w:rPr>
          <w:rFonts w:eastAsia="Segoe UI"/>
          <w:color w:val="011A3C"/>
          <w:sz w:val="24"/>
          <w:szCs w:val="24"/>
          <w:lang w:val="en" w:eastAsia="en-AU"/>
        </w:rPr>
      </w:pPr>
      <w:r w:rsidRPr="009B4DE1">
        <w:rPr>
          <w:rFonts w:eastAsia="Segoe UI"/>
          <w:color w:val="011A3C"/>
          <w:sz w:val="24"/>
          <w:szCs w:val="24"/>
          <w:lang w:val="en" w:eastAsia="en-AU"/>
        </w:rPr>
        <w:t>The followi</w:t>
      </w:r>
      <w:r w:rsidR="004473B5" w:rsidRPr="009B4DE1">
        <w:rPr>
          <w:rFonts w:eastAsia="Segoe UI"/>
          <w:color w:val="011A3C"/>
          <w:sz w:val="24"/>
          <w:szCs w:val="24"/>
          <w:lang w:val="en" w:eastAsia="en-AU"/>
        </w:rPr>
        <w:t xml:space="preserve">ng </w:t>
      </w:r>
      <w:r w:rsidR="009D41E4" w:rsidRPr="009B4DE1">
        <w:rPr>
          <w:rFonts w:eastAsia="Segoe UI"/>
          <w:color w:val="011A3C"/>
          <w:sz w:val="24"/>
          <w:szCs w:val="24"/>
          <w:lang w:val="en" w:eastAsia="en-AU"/>
        </w:rPr>
        <w:t>schools</w:t>
      </w:r>
      <w:r w:rsidR="00723283" w:rsidRPr="009B4DE1">
        <w:rPr>
          <w:rFonts w:eastAsia="Segoe UI"/>
          <w:color w:val="011A3C"/>
          <w:sz w:val="24"/>
          <w:szCs w:val="24"/>
          <w:lang w:val="en" w:eastAsia="en-AU"/>
        </w:rPr>
        <w:t>/campuses</w:t>
      </w:r>
      <w:r w:rsidR="009D41E4" w:rsidRPr="009B4DE1">
        <w:rPr>
          <w:rFonts w:eastAsia="Segoe UI"/>
          <w:color w:val="011A3C"/>
          <w:sz w:val="24"/>
          <w:szCs w:val="24"/>
          <w:lang w:val="en" w:eastAsia="en-AU"/>
        </w:rPr>
        <w:t xml:space="preserve"> </w:t>
      </w:r>
      <w:r w:rsidR="002024AE" w:rsidRPr="009B4DE1">
        <w:rPr>
          <w:rFonts w:eastAsia="Segoe UI"/>
          <w:color w:val="011A3C"/>
          <w:sz w:val="24"/>
          <w:szCs w:val="24"/>
          <w:lang w:val="en" w:eastAsia="en-AU"/>
        </w:rPr>
        <w:t>do not receive this allocation</w:t>
      </w:r>
      <w:r w:rsidR="00C335C5" w:rsidRPr="009B4DE1">
        <w:rPr>
          <w:rFonts w:eastAsia="Segoe UI"/>
          <w:color w:val="011A3C"/>
          <w:sz w:val="24"/>
          <w:szCs w:val="24"/>
          <w:lang w:val="en" w:eastAsia="en-AU"/>
        </w:rPr>
        <w:t>:</w:t>
      </w:r>
    </w:p>
    <w:p w14:paraId="1B451E40" w14:textId="1D2F0899" w:rsidR="00C335C5" w:rsidRPr="009B4DE1" w:rsidRDefault="00C335C5" w:rsidP="00833928">
      <w:pPr>
        <w:pStyle w:val="ListParagraph"/>
        <w:numPr>
          <w:ilvl w:val="0"/>
          <w:numId w:val="181"/>
        </w:numPr>
        <w:rPr>
          <w:rFonts w:eastAsia="Segoe UI"/>
          <w:color w:val="011A3C"/>
          <w:sz w:val="24"/>
          <w:szCs w:val="24"/>
          <w:lang w:val="en" w:eastAsia="en-AU"/>
        </w:rPr>
      </w:pPr>
      <w:r w:rsidRPr="009B4DE1">
        <w:rPr>
          <w:rFonts w:eastAsia="Segoe UI"/>
          <w:color w:val="011A3C"/>
          <w:sz w:val="24"/>
          <w:szCs w:val="24"/>
          <w:lang w:val="en" w:eastAsia="en-AU"/>
        </w:rPr>
        <w:t>Frankston Special Developmental School</w:t>
      </w:r>
    </w:p>
    <w:p w14:paraId="056A4BA2" w14:textId="1D2F0899" w:rsidR="009C582C" w:rsidRPr="009B4DE1" w:rsidRDefault="009C582C" w:rsidP="00833928">
      <w:pPr>
        <w:pStyle w:val="ListParagraph"/>
        <w:numPr>
          <w:ilvl w:val="0"/>
          <w:numId w:val="181"/>
        </w:numPr>
        <w:rPr>
          <w:rFonts w:eastAsia="Segoe UI"/>
          <w:color w:val="011A3C"/>
          <w:sz w:val="24"/>
          <w:szCs w:val="24"/>
          <w:lang w:val="en" w:eastAsia="en-AU"/>
        </w:rPr>
      </w:pPr>
      <w:r w:rsidRPr="009B4DE1">
        <w:rPr>
          <w:rFonts w:eastAsia="Segoe UI"/>
          <w:color w:val="011A3C"/>
          <w:sz w:val="24"/>
          <w:szCs w:val="24"/>
          <w:lang w:val="en" w:eastAsia="en-AU"/>
        </w:rPr>
        <w:t>Rubicon Outdoor School</w:t>
      </w:r>
    </w:p>
    <w:p w14:paraId="5A17FC31" w14:textId="1D2F0899" w:rsidR="00567127" w:rsidRPr="009B4DE1" w:rsidRDefault="00567127" w:rsidP="00833928">
      <w:pPr>
        <w:pStyle w:val="ListParagraph"/>
        <w:numPr>
          <w:ilvl w:val="0"/>
          <w:numId w:val="181"/>
        </w:numPr>
        <w:rPr>
          <w:rFonts w:eastAsia="Segoe UI"/>
          <w:color w:val="011A3C"/>
          <w:sz w:val="24"/>
          <w:szCs w:val="24"/>
          <w:lang w:val="en" w:eastAsia="en-AU"/>
        </w:rPr>
      </w:pPr>
      <w:r w:rsidRPr="009B4DE1">
        <w:rPr>
          <w:rFonts w:eastAsia="Segoe UI"/>
          <w:color w:val="011A3C"/>
          <w:sz w:val="24"/>
          <w:szCs w:val="24"/>
          <w:lang w:val="en" w:eastAsia="en-AU"/>
        </w:rPr>
        <w:t>Outdoor School</w:t>
      </w:r>
    </w:p>
    <w:p w14:paraId="578BD683" w14:textId="1D2F0899" w:rsidR="00723283" w:rsidRPr="009B4DE1" w:rsidRDefault="00723283" w:rsidP="00833928">
      <w:pPr>
        <w:pStyle w:val="ListParagraph"/>
        <w:numPr>
          <w:ilvl w:val="0"/>
          <w:numId w:val="181"/>
        </w:numPr>
        <w:rPr>
          <w:rFonts w:eastAsia="Segoe UI"/>
          <w:color w:val="011A3C"/>
          <w:sz w:val="24"/>
          <w:szCs w:val="24"/>
          <w:lang w:val="en" w:eastAsia="en-AU"/>
        </w:rPr>
      </w:pPr>
      <w:r w:rsidRPr="009B4DE1">
        <w:rPr>
          <w:rFonts w:eastAsia="Segoe UI"/>
          <w:color w:val="011A3C"/>
          <w:sz w:val="24"/>
          <w:szCs w:val="24"/>
          <w:lang w:val="en" w:eastAsia="en-AU"/>
        </w:rPr>
        <w:t xml:space="preserve">Bendigo Senior Secondary College - </w:t>
      </w:r>
      <w:proofErr w:type="spellStart"/>
      <w:r w:rsidR="00A60339" w:rsidRPr="009B4DE1">
        <w:rPr>
          <w:rFonts w:eastAsia="Segoe UI"/>
          <w:color w:val="011A3C"/>
          <w:sz w:val="24"/>
          <w:szCs w:val="24"/>
          <w:lang w:val="en" w:eastAsia="en-AU"/>
        </w:rPr>
        <w:t>Netschool</w:t>
      </w:r>
      <w:proofErr w:type="spellEnd"/>
      <w:r w:rsidR="00A60339" w:rsidRPr="009B4DE1">
        <w:rPr>
          <w:rFonts w:eastAsia="Segoe UI"/>
          <w:color w:val="011A3C"/>
          <w:sz w:val="24"/>
          <w:szCs w:val="24"/>
          <w:lang w:val="en" w:eastAsia="en-AU"/>
        </w:rPr>
        <w:t xml:space="preserve"> Campus</w:t>
      </w:r>
    </w:p>
    <w:p w14:paraId="02C574AA" w14:textId="2C8C1EBE" w:rsidR="009B668A" w:rsidRPr="00260C1D" w:rsidRDefault="009B668A" w:rsidP="009B668A">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6C195AAC" w14:textId="5D28B86A" w:rsidR="009B668A" w:rsidRPr="00260C1D" w:rsidRDefault="009B668A" w:rsidP="009B668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 xml:space="preserve">Campus FTE </w:t>
      </w:r>
      <w:r w:rsidR="00F11AC8">
        <w:rPr>
          <w:rFonts w:eastAsia="Segoe UI" w:cstheme="minorHAnsi"/>
          <w:b/>
          <w:color w:val="011A3C"/>
          <w:sz w:val="24"/>
          <w:szCs w:val="24"/>
          <w:lang w:val="en" w:eastAsia="en-AU"/>
        </w:rPr>
        <w:t>a</w:t>
      </w:r>
      <w:r w:rsidRPr="00260C1D">
        <w:rPr>
          <w:rFonts w:eastAsia="Segoe UI" w:cstheme="minorHAnsi"/>
          <w:b/>
          <w:color w:val="011A3C"/>
          <w:sz w:val="24"/>
          <w:szCs w:val="24"/>
          <w:lang w:val="en" w:eastAsia="en-AU"/>
        </w:rPr>
        <w:t>llocation (Part 1)</w:t>
      </w:r>
      <w:r w:rsidRPr="00260C1D">
        <w:rPr>
          <w:rFonts w:eastAsia="Segoe UI" w:cstheme="minorHAnsi"/>
          <w:color w:val="011A3C"/>
          <w:sz w:val="24"/>
          <w:szCs w:val="24"/>
          <w:lang w:val="en" w:eastAsia="en-AU"/>
        </w:rPr>
        <w:t xml:space="preserve"> = Secondary </w:t>
      </w:r>
      <w:r w:rsidR="00F11AC8">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 xml:space="preserve">nrolments </w:t>
      </w:r>
      <w:r w:rsidR="00AE1ECA"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0.0008119</w:t>
      </w:r>
      <w:r w:rsidR="004E099D" w:rsidRPr="00260C1D">
        <w:rPr>
          <w:rFonts w:eastAsia="Segoe UI" w:cstheme="minorHAnsi"/>
          <w:color w:val="011A3C"/>
          <w:sz w:val="24"/>
          <w:szCs w:val="24"/>
          <w:lang w:val="en" w:eastAsia="en-AU"/>
        </w:rPr>
        <w:t xml:space="preserve"> </w:t>
      </w:r>
    </w:p>
    <w:p w14:paraId="23B86C2E" w14:textId="4D800658" w:rsidR="009B668A" w:rsidRPr="00260C1D" w:rsidRDefault="009B668A" w:rsidP="009B668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 xml:space="preserve">Funding </w:t>
      </w:r>
      <w:r w:rsidR="00F11AC8">
        <w:rPr>
          <w:rFonts w:eastAsia="Segoe UI" w:cstheme="minorHAnsi"/>
          <w:b/>
          <w:color w:val="011A3C"/>
          <w:sz w:val="24"/>
          <w:szCs w:val="24"/>
          <w:lang w:val="en" w:eastAsia="en-AU"/>
        </w:rPr>
        <w:t>c</w:t>
      </w:r>
      <w:r w:rsidRPr="00260C1D">
        <w:rPr>
          <w:rFonts w:eastAsia="Segoe UI" w:cstheme="minorHAnsi"/>
          <w:b/>
          <w:color w:val="011A3C"/>
          <w:sz w:val="24"/>
          <w:szCs w:val="24"/>
          <w:lang w:val="en" w:eastAsia="en-AU"/>
        </w:rPr>
        <w:t>alculation (Part 2)</w:t>
      </w:r>
      <w:r w:rsidRPr="00260C1D">
        <w:rPr>
          <w:rFonts w:eastAsia="Segoe UI" w:cstheme="minorHAnsi"/>
          <w:color w:val="011A3C"/>
          <w:sz w:val="24"/>
          <w:szCs w:val="24"/>
          <w:lang w:val="en" w:eastAsia="en-AU"/>
        </w:rPr>
        <w:t xml:space="preserve"> = Campus FTE </w:t>
      </w:r>
      <w:r w:rsidR="00AE1ECA">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llocation</w:t>
      </w:r>
      <w:r w:rsidR="004E099D" w:rsidRPr="00260C1D">
        <w:rPr>
          <w:rFonts w:eastAsia="Segoe UI" w:cstheme="minorHAnsi"/>
          <w:color w:val="011A3C"/>
          <w:sz w:val="24"/>
          <w:szCs w:val="24"/>
          <w:lang w:val="en" w:eastAsia="en-AU"/>
        </w:rPr>
        <w:t xml:space="preserve"> (rounded to 1 decimal)</w:t>
      </w:r>
      <w:r w:rsidRPr="00260C1D">
        <w:rPr>
          <w:rFonts w:eastAsia="Segoe UI" w:cstheme="minorHAnsi"/>
          <w:color w:val="011A3C"/>
          <w:sz w:val="24"/>
          <w:szCs w:val="24"/>
          <w:lang w:val="en" w:eastAsia="en-AU"/>
        </w:rPr>
        <w:t xml:space="preserve"> </w:t>
      </w:r>
      <w:r w:rsidR="00AE1EC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Rate</w:t>
      </w:r>
    </w:p>
    <w:p w14:paraId="219B837E" w14:textId="77777777" w:rsidR="009B668A" w:rsidRPr="00260C1D" w:rsidRDefault="009B668A" w:rsidP="009B668A">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lastRenderedPageBreak/>
        <w:t>Rate</w:t>
      </w:r>
    </w:p>
    <w:p w14:paraId="66102BA6" w14:textId="23EAE97C" w:rsidR="009B668A" w:rsidRDefault="009B668A" w:rsidP="009B668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Rate </w:t>
      </w:r>
      <w:r w:rsidR="00C53D2A" w:rsidRPr="00260C1D">
        <w:rPr>
          <w:rFonts w:eastAsia="Segoe UI" w:cstheme="minorHAnsi"/>
          <w:color w:val="011A3C"/>
          <w:sz w:val="24"/>
          <w:szCs w:val="24"/>
          <w:lang w:val="en" w:eastAsia="en-AU"/>
        </w:rPr>
        <w:t xml:space="preserve">= </w:t>
      </w:r>
      <w:r w:rsidR="00FC074C" w:rsidRPr="00260C1D">
        <w:rPr>
          <w:rFonts w:eastAsia="Segoe UI" w:cstheme="minorHAnsi"/>
          <w:color w:val="011A3C"/>
          <w:sz w:val="24"/>
          <w:szCs w:val="24"/>
          <w:lang w:val="en" w:eastAsia="en-AU"/>
        </w:rPr>
        <w:t>M</w:t>
      </w:r>
      <w:r w:rsidRPr="00260C1D">
        <w:rPr>
          <w:rFonts w:eastAsia="Segoe UI" w:cstheme="minorHAnsi"/>
          <w:color w:val="011A3C"/>
          <w:sz w:val="24"/>
          <w:szCs w:val="24"/>
          <w:lang w:val="en" w:eastAsia="en-AU"/>
        </w:rPr>
        <w:t xml:space="preserve">idpoint of an Education Support, Level 1 Range </w:t>
      </w:r>
      <w:r w:rsidR="001F6039">
        <w:rPr>
          <w:rFonts w:eastAsia="Segoe UI" w:cstheme="minorHAnsi"/>
          <w:color w:val="011A3C"/>
          <w:sz w:val="24"/>
          <w:szCs w:val="24"/>
          <w:lang w:val="en" w:eastAsia="en-AU"/>
        </w:rPr>
        <w:t>4</w:t>
      </w:r>
      <w:r w:rsidRPr="00260C1D">
        <w:rPr>
          <w:rFonts w:eastAsia="Segoe UI" w:cstheme="minorHAnsi"/>
          <w:color w:val="011A3C"/>
          <w:sz w:val="24"/>
          <w:szCs w:val="24"/>
          <w:lang w:val="en" w:eastAsia="en-AU"/>
        </w:rPr>
        <w:t>, position including school SRP on</w:t>
      </w:r>
      <w:r w:rsidR="00CD653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costs</w:t>
      </w:r>
    </w:p>
    <w:p w14:paraId="00C75A51" w14:textId="77777777" w:rsidR="00F10914" w:rsidRDefault="00F10914" w:rsidP="00F10914">
      <w:pPr>
        <w:shd w:val="clear" w:color="auto" w:fill="FFFFFF"/>
        <w:spacing w:after="180" w:line="336" w:lineRule="atLeast"/>
        <w:rPr>
          <w:rFonts w:ascii="Segoe UI" w:hAnsi="Segoe UI" w:cs="Segoe UI"/>
          <w:b/>
          <w:bCs/>
          <w:color w:val="242424"/>
          <w:sz w:val="42"/>
          <w:szCs w:val="42"/>
          <w:lang w:eastAsia="en-AU"/>
        </w:rPr>
      </w:pPr>
      <w:r>
        <w:rPr>
          <w:rFonts w:ascii="Segoe UI" w:hAnsi="Segoe UI" w:cs="Segoe UI"/>
          <w:b/>
          <w:bCs/>
          <w:color w:val="242424"/>
          <w:sz w:val="42"/>
          <w:szCs w:val="42"/>
          <w:lang w:eastAsia="en-AU"/>
        </w:rPr>
        <w:br w:type="page"/>
      </w:r>
    </w:p>
    <w:p w14:paraId="7F6C9781" w14:textId="0DDDC537" w:rsidR="00F10914" w:rsidRPr="00B148A2" w:rsidRDefault="003E6975" w:rsidP="00532A33">
      <w:pPr>
        <w:pStyle w:val="Heading2"/>
      </w:pPr>
      <w:bookmarkStart w:id="41" w:name="_Toc141965237"/>
      <w:bookmarkStart w:id="42" w:name="_Toc145339567"/>
      <w:bookmarkStart w:id="43" w:name="_Toc153791890"/>
      <w:r>
        <w:lastRenderedPageBreak/>
        <w:t>Camps Payment</w:t>
      </w:r>
      <w:r w:rsidR="00F10914">
        <w:t xml:space="preserve"> (Reference 144)</w:t>
      </w:r>
      <w:bookmarkEnd w:id="41"/>
      <w:bookmarkEnd w:id="42"/>
      <w:bookmarkEnd w:id="43"/>
    </w:p>
    <w:p w14:paraId="1984AC3F" w14:textId="77777777" w:rsidR="00C6567C" w:rsidRDefault="00C6567C" w:rsidP="00B148A2">
      <w:pPr>
        <w:spacing w:before="100" w:beforeAutospacing="1" w:after="100" w:afterAutospacing="1" w:line="288" w:lineRule="atLeast"/>
        <w:outlineLvl w:val="2"/>
        <w:rPr>
          <w:rFonts w:ascii="Segoe UI" w:hAnsi="Segoe UI" w:cs="Segoe UI"/>
          <w:b/>
          <w:bCs/>
          <w:color w:val="242424"/>
          <w:sz w:val="28"/>
          <w:szCs w:val="28"/>
          <w:lang w:eastAsia="en-AU"/>
        </w:rPr>
      </w:pPr>
      <w:r w:rsidRPr="00B148A2">
        <w:rPr>
          <w:rFonts w:eastAsia="Segoe UI"/>
          <w:b/>
          <w:color w:val="011A3C"/>
          <w:sz w:val="27"/>
          <w:szCs w:val="27"/>
          <w:lang w:val="en" w:eastAsia="en-AU"/>
        </w:rPr>
        <w:t>School camps (domestic) overnight on call</w:t>
      </w:r>
    </w:p>
    <w:p w14:paraId="11D0BC64" w14:textId="39277238" w:rsidR="00C6567C" w:rsidRPr="009B4DE1" w:rsidRDefault="00C6567C" w:rsidP="00833928">
      <w:pPr>
        <w:rPr>
          <w:rFonts w:eastAsia="Segoe UI"/>
          <w:color w:val="011A3C"/>
          <w:sz w:val="24"/>
          <w:szCs w:val="24"/>
          <w:lang w:val="en" w:eastAsia="en-AU"/>
        </w:rPr>
      </w:pPr>
      <w:r w:rsidRPr="009B4DE1">
        <w:rPr>
          <w:rFonts w:eastAsia="Segoe UI"/>
          <w:color w:val="011A3C"/>
          <w:sz w:val="24"/>
          <w:szCs w:val="24"/>
          <w:lang w:val="en" w:eastAsia="en-AU"/>
        </w:rPr>
        <w:t xml:space="preserve">This funding line is provided to schools to pay teachers and education support staff attending domestic overnight camps during term time for 8 hours on call at 50% from 11pm to 7am for each night on camp. </w:t>
      </w:r>
    </w:p>
    <w:p w14:paraId="0FD7F118" w14:textId="77777777" w:rsidR="00C6567C" w:rsidRPr="009B4DE1" w:rsidRDefault="00C6567C" w:rsidP="00833928">
      <w:pPr>
        <w:rPr>
          <w:rFonts w:eastAsia="Segoe UI"/>
          <w:color w:val="011A3C"/>
          <w:sz w:val="24"/>
          <w:szCs w:val="24"/>
          <w:lang w:val="en" w:eastAsia="en-AU"/>
        </w:rPr>
      </w:pPr>
      <w:r w:rsidRPr="009B4DE1">
        <w:rPr>
          <w:rFonts w:eastAsia="Segoe UI"/>
          <w:color w:val="011A3C"/>
          <w:sz w:val="24"/>
          <w:szCs w:val="24"/>
          <w:lang w:val="en" w:eastAsia="en-AU"/>
        </w:rPr>
        <w:t xml:space="preserve">Employees who are required to attend a school camp are regarded as being on call and available to perform duties during the overnight period between 11.00pm to 7.00am and will attract 50% time-in-lieu for the 8-hour period (i.e. 4 hours’ time in lieu).  Payment for this time-in-lieu is calculated at 100% of a teacher’s hourly rate or 150% of an education support class employees’ hourly rate.  </w:t>
      </w:r>
    </w:p>
    <w:p w14:paraId="06AD3141" w14:textId="5AAC4810" w:rsidR="00C6567C" w:rsidRPr="009B4DE1" w:rsidRDefault="00C6567C" w:rsidP="00833928">
      <w:pPr>
        <w:rPr>
          <w:rFonts w:eastAsia="Segoe UI"/>
          <w:color w:val="011A3C"/>
          <w:sz w:val="24"/>
          <w:szCs w:val="24"/>
          <w:lang w:val="en" w:eastAsia="en-AU"/>
        </w:rPr>
      </w:pPr>
      <w:r w:rsidRPr="009B4DE1">
        <w:rPr>
          <w:rFonts w:eastAsia="Segoe UI"/>
          <w:color w:val="011A3C"/>
          <w:sz w:val="24"/>
          <w:szCs w:val="24"/>
          <w:lang w:val="en" w:eastAsia="en-AU"/>
        </w:rPr>
        <w:t xml:space="preserve">Schools have full flexibility to determine the appropriate allocation of the funding across their individual school camp program including longer camps for certain year levels and subject </w:t>
      </w:r>
      <w:proofErr w:type="spellStart"/>
      <w:r w:rsidRPr="009B4DE1">
        <w:rPr>
          <w:rFonts w:eastAsia="Segoe UI"/>
          <w:color w:val="011A3C"/>
          <w:sz w:val="24"/>
          <w:szCs w:val="24"/>
          <w:lang w:val="en" w:eastAsia="en-AU"/>
        </w:rPr>
        <w:t>specialisations</w:t>
      </w:r>
      <w:proofErr w:type="spellEnd"/>
      <w:r w:rsidRPr="009B4DE1">
        <w:rPr>
          <w:rFonts w:eastAsia="Segoe UI"/>
          <w:color w:val="011A3C"/>
          <w:sz w:val="24"/>
          <w:szCs w:val="24"/>
          <w:lang w:val="en" w:eastAsia="en-AU"/>
        </w:rPr>
        <w:t xml:space="preserve">. Whilst schools will have different camp arrangements across student cohorts, this funding is calculated based on an average 3-day camp (2 overnights) for students in year levels from Grade 2 to Grade 6; and secondary schools from every year level from Year 7 to Year 12. </w:t>
      </w:r>
    </w:p>
    <w:p w14:paraId="66DC7746" w14:textId="714C62DB" w:rsidR="002F22C9" w:rsidRPr="00833928" w:rsidRDefault="00C6567C" w:rsidP="00833928">
      <w:pPr>
        <w:rPr>
          <w:lang w:val="en"/>
        </w:rPr>
      </w:pPr>
      <w:r w:rsidRPr="009B4DE1">
        <w:rPr>
          <w:rFonts w:eastAsia="Segoe UI"/>
          <w:color w:val="011A3C"/>
          <w:sz w:val="24"/>
          <w:szCs w:val="24"/>
          <w:lang w:val="en" w:eastAsia="en-AU"/>
        </w:rPr>
        <w:t xml:space="preserve">All school and campus types are eligible. The following </w:t>
      </w:r>
      <w:r w:rsidR="00EF7EF5">
        <w:rPr>
          <w:rFonts w:eastAsia="Segoe UI"/>
          <w:color w:val="011A3C"/>
          <w:sz w:val="24"/>
          <w:szCs w:val="24"/>
          <w:lang w:val="en" w:eastAsia="en-AU"/>
        </w:rPr>
        <w:t>2</w:t>
      </w:r>
      <w:r w:rsidR="00ED7AF1" w:rsidRPr="009B4DE1">
        <w:rPr>
          <w:rFonts w:eastAsia="Segoe UI"/>
          <w:color w:val="011A3C"/>
          <w:sz w:val="24"/>
          <w:szCs w:val="24"/>
          <w:lang w:val="en" w:eastAsia="en-AU"/>
        </w:rPr>
        <w:t xml:space="preserve"> </w:t>
      </w:r>
      <w:r w:rsidRPr="009B4DE1">
        <w:rPr>
          <w:rFonts w:eastAsia="Segoe UI"/>
          <w:color w:val="011A3C"/>
          <w:sz w:val="24"/>
          <w:szCs w:val="24"/>
          <w:lang w:val="en" w:eastAsia="en-AU"/>
        </w:rPr>
        <w:t>schools are not funded: Parkville College, Victorian School of Languages. Small rural schools as defined by the eligibility of Rural School Size Adjustment Factor (Reference 4) get an additional Rural Loading.</w:t>
      </w:r>
      <w:r w:rsidRPr="00833928">
        <w:rPr>
          <w:lang w:val="en"/>
        </w:rPr>
        <w:t xml:space="preserve"> </w:t>
      </w:r>
    </w:p>
    <w:p w14:paraId="6DF0A959" w14:textId="2E68A88F" w:rsidR="00C6567C" w:rsidRPr="00B148A2" w:rsidRDefault="00C6567C" w:rsidP="00B148A2">
      <w:pPr>
        <w:spacing w:before="100" w:beforeAutospacing="1" w:after="100" w:afterAutospacing="1" w:line="288" w:lineRule="atLeast"/>
        <w:outlineLvl w:val="2"/>
        <w:rPr>
          <w:rFonts w:eastAsia="Segoe UI"/>
          <w:b/>
          <w:color w:val="011A3C"/>
          <w:sz w:val="27"/>
          <w:szCs w:val="27"/>
          <w:lang w:val="en" w:eastAsia="en-AU"/>
        </w:rPr>
      </w:pPr>
      <w:r w:rsidRPr="00B148A2">
        <w:rPr>
          <w:rFonts w:eastAsia="Segoe UI"/>
          <w:b/>
          <w:color w:val="011A3C"/>
          <w:sz w:val="27"/>
          <w:szCs w:val="27"/>
          <w:lang w:val="en" w:eastAsia="en-AU"/>
        </w:rPr>
        <w:t>Eligibility</w:t>
      </w:r>
    </w:p>
    <w:p w14:paraId="449DAF2C" w14:textId="77777777" w:rsidR="00C6567C" w:rsidRPr="00B148A2" w:rsidRDefault="00C6567C" w:rsidP="00C6567C">
      <w:pPr>
        <w:pStyle w:val="Default"/>
        <w:rPr>
          <w:rFonts w:asciiTheme="minorHAnsi" w:eastAsia="Segoe UI" w:hAnsiTheme="minorHAnsi" w:cstheme="minorBidi"/>
          <w:color w:val="011A3C"/>
          <w:lang w:val="en" w:eastAsia="en-AU"/>
        </w:rPr>
      </w:pPr>
      <w:r w:rsidRPr="00B148A2">
        <w:rPr>
          <w:rFonts w:asciiTheme="minorHAnsi" w:eastAsia="Segoe UI" w:hAnsiTheme="minorHAnsi" w:cstheme="minorBidi"/>
          <w:color w:val="011A3C"/>
          <w:lang w:val="en" w:eastAsia="en-AU"/>
        </w:rPr>
        <w:t xml:space="preserve">Schools with the following school types are eligible for the on-call payment funding at a campus level: </w:t>
      </w:r>
    </w:p>
    <w:p w14:paraId="7055FDED" w14:textId="77777777" w:rsidR="00C6567C" w:rsidRPr="00B148A2" w:rsidRDefault="00C6567C" w:rsidP="00C6567C">
      <w:pPr>
        <w:pStyle w:val="Default"/>
        <w:numPr>
          <w:ilvl w:val="0"/>
          <w:numId w:val="157"/>
        </w:numPr>
        <w:adjustRightInd/>
        <w:spacing w:after="8"/>
        <w:rPr>
          <w:rFonts w:asciiTheme="minorHAnsi" w:eastAsia="Segoe UI" w:hAnsiTheme="minorHAnsi" w:cstheme="minorBidi"/>
          <w:color w:val="011A3C"/>
          <w:lang w:val="en" w:eastAsia="en-AU"/>
        </w:rPr>
      </w:pPr>
      <w:r w:rsidRPr="00B148A2">
        <w:rPr>
          <w:rFonts w:asciiTheme="minorHAnsi" w:eastAsia="Segoe UI" w:hAnsiTheme="minorHAnsi" w:cstheme="minorBidi"/>
          <w:color w:val="011A3C"/>
          <w:lang w:val="en" w:eastAsia="en-AU"/>
        </w:rPr>
        <w:t xml:space="preserve">Primary </w:t>
      </w:r>
    </w:p>
    <w:p w14:paraId="2DFB7039" w14:textId="77777777" w:rsidR="00C6567C" w:rsidRPr="00B148A2" w:rsidRDefault="00C6567C" w:rsidP="00C6567C">
      <w:pPr>
        <w:pStyle w:val="Default"/>
        <w:numPr>
          <w:ilvl w:val="0"/>
          <w:numId w:val="157"/>
        </w:numPr>
        <w:adjustRightInd/>
        <w:spacing w:after="8"/>
        <w:rPr>
          <w:rFonts w:asciiTheme="minorHAnsi" w:eastAsia="Segoe UI" w:hAnsiTheme="minorHAnsi" w:cstheme="minorBidi"/>
          <w:color w:val="011A3C"/>
          <w:lang w:val="en" w:eastAsia="en-AU"/>
        </w:rPr>
      </w:pPr>
      <w:r w:rsidRPr="00B148A2">
        <w:rPr>
          <w:rFonts w:asciiTheme="minorHAnsi" w:eastAsia="Segoe UI" w:hAnsiTheme="minorHAnsi" w:cstheme="minorBidi"/>
          <w:color w:val="011A3C"/>
          <w:lang w:val="en" w:eastAsia="en-AU"/>
        </w:rPr>
        <w:t xml:space="preserve">Secondary </w:t>
      </w:r>
    </w:p>
    <w:p w14:paraId="220D0FC1" w14:textId="77777777" w:rsidR="00C6567C" w:rsidRPr="00B148A2" w:rsidRDefault="00C6567C" w:rsidP="00C6567C">
      <w:pPr>
        <w:pStyle w:val="Default"/>
        <w:numPr>
          <w:ilvl w:val="0"/>
          <w:numId w:val="157"/>
        </w:numPr>
        <w:adjustRightInd/>
        <w:rPr>
          <w:rFonts w:asciiTheme="minorHAnsi" w:eastAsia="Segoe UI" w:hAnsiTheme="minorHAnsi" w:cstheme="minorBidi"/>
          <w:color w:val="011A3C"/>
          <w:lang w:val="en" w:eastAsia="en-AU"/>
        </w:rPr>
      </w:pPr>
      <w:r w:rsidRPr="00B148A2">
        <w:rPr>
          <w:rFonts w:asciiTheme="minorHAnsi" w:eastAsia="Segoe UI" w:hAnsiTheme="minorHAnsi" w:cstheme="minorBidi"/>
          <w:color w:val="011A3C"/>
          <w:lang w:val="en" w:eastAsia="en-AU"/>
        </w:rPr>
        <w:t xml:space="preserve">Primary/Secondary Combined </w:t>
      </w:r>
    </w:p>
    <w:p w14:paraId="6A2218CE" w14:textId="77777777" w:rsidR="00C6567C" w:rsidRDefault="00C6567C" w:rsidP="00C6567C">
      <w:pPr>
        <w:pStyle w:val="Default"/>
        <w:numPr>
          <w:ilvl w:val="0"/>
          <w:numId w:val="157"/>
        </w:numPr>
        <w:adjustRightInd/>
        <w:spacing w:after="8"/>
        <w:rPr>
          <w:rFonts w:asciiTheme="minorHAnsi" w:eastAsia="Segoe UI" w:hAnsiTheme="minorHAnsi" w:cstheme="minorBidi"/>
          <w:color w:val="011A3C"/>
          <w:lang w:val="en" w:eastAsia="en-AU"/>
        </w:rPr>
      </w:pPr>
      <w:r w:rsidRPr="00B148A2">
        <w:rPr>
          <w:rFonts w:asciiTheme="minorHAnsi" w:eastAsia="Segoe UI" w:hAnsiTheme="minorHAnsi" w:cstheme="minorBidi"/>
          <w:color w:val="011A3C"/>
          <w:lang w:val="en" w:eastAsia="en-AU"/>
        </w:rPr>
        <w:t>Special Schools</w:t>
      </w:r>
    </w:p>
    <w:p w14:paraId="3F7FF82A" w14:textId="62012C62" w:rsidR="002F7186" w:rsidRPr="00B148A2" w:rsidRDefault="002F7186" w:rsidP="00C6567C">
      <w:pPr>
        <w:pStyle w:val="Default"/>
        <w:numPr>
          <w:ilvl w:val="0"/>
          <w:numId w:val="157"/>
        </w:numPr>
        <w:adjustRightInd/>
        <w:spacing w:after="8"/>
        <w:rPr>
          <w:rFonts w:asciiTheme="minorHAnsi" w:eastAsia="Segoe UI" w:hAnsiTheme="minorHAnsi" w:cstheme="minorBidi"/>
          <w:color w:val="011A3C"/>
          <w:lang w:val="en" w:eastAsia="en-AU"/>
        </w:rPr>
      </w:pPr>
      <w:r>
        <w:rPr>
          <w:rFonts w:asciiTheme="minorHAnsi" w:eastAsia="Segoe UI" w:hAnsiTheme="minorHAnsi" w:cstheme="minorBidi"/>
          <w:color w:val="011A3C"/>
          <w:lang w:val="en" w:eastAsia="en-AU"/>
        </w:rPr>
        <w:t>Language</w:t>
      </w:r>
    </w:p>
    <w:p w14:paraId="64CBF55B" w14:textId="77777777" w:rsidR="00C6567C" w:rsidRPr="00B148A2" w:rsidRDefault="00C6567C" w:rsidP="00C6567C">
      <w:pPr>
        <w:pStyle w:val="Default"/>
        <w:numPr>
          <w:ilvl w:val="0"/>
          <w:numId w:val="157"/>
        </w:numPr>
        <w:adjustRightInd/>
        <w:spacing w:after="8"/>
        <w:rPr>
          <w:rFonts w:asciiTheme="minorHAnsi" w:eastAsia="Segoe UI" w:hAnsiTheme="minorHAnsi" w:cstheme="minorBidi"/>
          <w:color w:val="011A3C"/>
          <w:lang w:val="en" w:eastAsia="en-AU"/>
        </w:rPr>
      </w:pPr>
      <w:r w:rsidRPr="00B148A2">
        <w:rPr>
          <w:rFonts w:asciiTheme="minorHAnsi" w:eastAsia="Segoe UI" w:hAnsiTheme="minorHAnsi" w:cstheme="minorBidi"/>
          <w:color w:val="011A3C"/>
          <w:lang w:val="en" w:eastAsia="en-AU"/>
        </w:rPr>
        <w:t>Camp</w:t>
      </w:r>
    </w:p>
    <w:p w14:paraId="7F909160" w14:textId="77777777" w:rsidR="00C6567C" w:rsidRPr="00B148A2" w:rsidRDefault="00C6567C" w:rsidP="00C6567C">
      <w:pPr>
        <w:pStyle w:val="Default"/>
        <w:spacing w:after="8"/>
        <w:rPr>
          <w:rFonts w:asciiTheme="minorHAnsi" w:eastAsia="Segoe UI" w:hAnsiTheme="minorHAnsi" w:cstheme="minorBidi"/>
          <w:color w:val="011A3C"/>
          <w:lang w:val="en" w:eastAsia="en-AU"/>
        </w:rPr>
      </w:pPr>
    </w:p>
    <w:p w14:paraId="6826109A" w14:textId="77777777" w:rsidR="00C6567C" w:rsidRPr="00B148A2" w:rsidRDefault="00C6567C" w:rsidP="00B148A2">
      <w:pPr>
        <w:pStyle w:val="Default"/>
        <w:rPr>
          <w:rFonts w:asciiTheme="minorHAnsi" w:eastAsia="Segoe UI" w:hAnsiTheme="minorHAnsi" w:cstheme="minorBidi"/>
          <w:color w:val="011A3C"/>
          <w:lang w:val="en" w:eastAsia="en-AU"/>
        </w:rPr>
      </w:pPr>
      <w:r w:rsidRPr="00B148A2">
        <w:rPr>
          <w:rFonts w:asciiTheme="minorHAnsi" w:eastAsia="Segoe UI" w:hAnsiTheme="minorHAnsi" w:cstheme="minorBidi"/>
          <w:color w:val="011A3C"/>
          <w:lang w:val="en" w:eastAsia="en-AU"/>
        </w:rPr>
        <w:t xml:space="preserve">The allocations have the following specific elements: </w:t>
      </w:r>
    </w:p>
    <w:p w14:paraId="1757C02F" w14:textId="77777777" w:rsidR="00C6567C" w:rsidRPr="00B148A2" w:rsidRDefault="00C6567C" w:rsidP="00B148A2">
      <w:pPr>
        <w:pStyle w:val="Default"/>
        <w:rPr>
          <w:rFonts w:eastAsia="Segoe UI"/>
          <w:color w:val="011A3C"/>
          <w:lang w:val="en" w:eastAsia="en-AU"/>
        </w:rPr>
      </w:pPr>
      <w:r w:rsidRPr="00B148A2">
        <w:rPr>
          <w:rFonts w:asciiTheme="minorHAnsi" w:eastAsia="Segoe UI" w:hAnsiTheme="minorHAnsi" w:cstheme="minorBidi"/>
          <w:color w:val="011A3C"/>
          <w:lang w:val="en" w:eastAsia="en-AU"/>
        </w:rPr>
        <w:t>mainstream school specific per student rate + 40% loading if it is designated rural</w:t>
      </w:r>
    </w:p>
    <w:p w14:paraId="1C74958E" w14:textId="77777777" w:rsidR="00C6567C" w:rsidRPr="00B148A2" w:rsidRDefault="00C6567C" w:rsidP="00B148A2">
      <w:pPr>
        <w:pStyle w:val="Default"/>
        <w:rPr>
          <w:rFonts w:eastAsia="Segoe UI"/>
          <w:color w:val="011A3C"/>
          <w:lang w:val="en" w:eastAsia="en-AU"/>
        </w:rPr>
      </w:pPr>
      <w:r w:rsidRPr="00B148A2">
        <w:rPr>
          <w:rFonts w:asciiTheme="minorHAnsi" w:eastAsia="Segoe UI" w:hAnsiTheme="minorHAnsi" w:cstheme="minorBidi"/>
          <w:color w:val="011A3C"/>
          <w:lang w:val="en" w:eastAsia="en-AU"/>
        </w:rPr>
        <w:t>index specialist schools specific per student rate + 40% loading if it is designated rural</w:t>
      </w:r>
    </w:p>
    <w:p w14:paraId="3F9A3131" w14:textId="77777777" w:rsidR="00C6567C" w:rsidRPr="00B148A2" w:rsidRDefault="00C6567C" w:rsidP="00B148A2">
      <w:pPr>
        <w:pStyle w:val="Default"/>
        <w:rPr>
          <w:rFonts w:eastAsia="Segoe UI"/>
          <w:color w:val="011A3C"/>
          <w:lang w:val="en" w:eastAsia="en-AU"/>
        </w:rPr>
      </w:pPr>
      <w:r w:rsidRPr="00B148A2">
        <w:rPr>
          <w:rFonts w:asciiTheme="minorHAnsi" w:eastAsia="Segoe UI" w:hAnsiTheme="minorHAnsi" w:cstheme="minorBidi"/>
          <w:color w:val="011A3C"/>
          <w:lang w:val="en" w:eastAsia="en-AU"/>
        </w:rPr>
        <w:t>camp schools specific per student rate + 40% loading if it is designated rural</w:t>
      </w:r>
    </w:p>
    <w:p w14:paraId="195DFF04" w14:textId="77777777" w:rsidR="00C6567C" w:rsidRPr="00B148A2" w:rsidRDefault="00C6567C" w:rsidP="00B148A2">
      <w:pPr>
        <w:pStyle w:val="Default"/>
        <w:rPr>
          <w:rFonts w:eastAsia="Segoe UI"/>
          <w:color w:val="011A3C"/>
          <w:lang w:val="en" w:eastAsia="en-AU"/>
        </w:rPr>
      </w:pPr>
      <w:r w:rsidRPr="00B148A2">
        <w:rPr>
          <w:rFonts w:asciiTheme="minorHAnsi" w:eastAsia="Segoe UI" w:hAnsiTheme="minorHAnsi" w:cstheme="minorBidi"/>
          <w:color w:val="011A3C"/>
          <w:lang w:val="en" w:eastAsia="en-AU"/>
        </w:rPr>
        <w:t>small schools have a funding floor to provide a minimum</w:t>
      </w:r>
    </w:p>
    <w:p w14:paraId="460D0A9A" w14:textId="77777777" w:rsidR="00C6567C" w:rsidRPr="00B148A2" w:rsidRDefault="00C6567C" w:rsidP="00B148A2">
      <w:pPr>
        <w:pStyle w:val="Default"/>
        <w:rPr>
          <w:rFonts w:eastAsia="Segoe UI"/>
          <w:color w:val="011A3C"/>
          <w:lang w:val="en" w:eastAsia="en-AU"/>
        </w:rPr>
      </w:pPr>
    </w:p>
    <w:p w14:paraId="659CE5D1" w14:textId="56FD0F50" w:rsidR="00C6567C" w:rsidRPr="00833928" w:rsidRDefault="00C6567C" w:rsidP="009B4DE1">
      <w:pPr>
        <w:pStyle w:val="Default"/>
      </w:pPr>
      <w:r w:rsidRPr="00B148A2">
        <w:rPr>
          <w:rFonts w:asciiTheme="minorHAnsi" w:eastAsia="Segoe UI" w:hAnsiTheme="minorHAnsi" w:cstheme="minorBidi"/>
          <w:color w:val="011A3C"/>
          <w:lang w:val="en" w:eastAsia="en-AU"/>
        </w:rPr>
        <w:t>The funding is calculated to provide primary schools with funding to cover the overnight on-call payment for, on average, a 3-day camp for all students in all year levels from Grade 2 to Grade 6; and to secondary schools to cover the overnight on-call payments for, on average, a 3-day camp for all students in every year level from Year 7 to Year 12.</w:t>
      </w:r>
    </w:p>
    <w:p w14:paraId="4F296382" w14:textId="77777777" w:rsidR="00C6567C" w:rsidRPr="00B148A2" w:rsidRDefault="00C6567C" w:rsidP="00B148A2">
      <w:pPr>
        <w:spacing w:before="100" w:beforeAutospacing="1" w:after="100" w:afterAutospacing="1" w:line="288" w:lineRule="atLeast"/>
        <w:outlineLvl w:val="2"/>
        <w:rPr>
          <w:rFonts w:eastAsia="Segoe UI"/>
          <w:b/>
          <w:color w:val="011A3C"/>
          <w:sz w:val="27"/>
          <w:szCs w:val="27"/>
          <w:lang w:val="en" w:eastAsia="en-AU"/>
        </w:rPr>
      </w:pPr>
      <w:r w:rsidRPr="00B148A2">
        <w:rPr>
          <w:rFonts w:eastAsia="Segoe UI"/>
          <w:b/>
          <w:color w:val="011A3C"/>
          <w:sz w:val="27"/>
          <w:szCs w:val="27"/>
          <w:lang w:val="en" w:eastAsia="en-AU"/>
        </w:rPr>
        <w:t>Calculation</w:t>
      </w:r>
    </w:p>
    <w:p w14:paraId="04D09CE1" w14:textId="4541658D" w:rsidR="00C6567C" w:rsidRPr="00B148A2" w:rsidRDefault="00C6567C" w:rsidP="009B4DE1">
      <w:pPr>
        <w:rPr>
          <w:rFonts w:eastAsia="Segoe UI"/>
          <w:color w:val="011A3C"/>
          <w:sz w:val="24"/>
          <w:szCs w:val="24"/>
          <w:lang w:val="en" w:eastAsia="en-AU"/>
        </w:rPr>
      </w:pPr>
      <w:r w:rsidRPr="00B148A2">
        <w:rPr>
          <w:rFonts w:eastAsia="Segoe UI"/>
          <w:color w:val="011A3C"/>
          <w:sz w:val="24"/>
          <w:szCs w:val="24"/>
          <w:lang w:val="en" w:eastAsia="en-AU"/>
        </w:rPr>
        <w:t>All student enrolments from Grade 2 onwards are eligible to receive funding.</w:t>
      </w:r>
    </w:p>
    <w:p w14:paraId="55C850EC" w14:textId="77777777" w:rsidR="00C6567C" w:rsidRPr="00B148A2" w:rsidRDefault="00C6567C" w:rsidP="00B148A2">
      <w:pPr>
        <w:rPr>
          <w:rFonts w:eastAsia="Segoe UI"/>
          <w:color w:val="011A3C"/>
          <w:sz w:val="24"/>
          <w:szCs w:val="24"/>
          <w:u w:val="single"/>
          <w:lang w:val="en" w:eastAsia="en-AU"/>
        </w:rPr>
      </w:pPr>
      <w:r w:rsidRPr="00B148A2">
        <w:rPr>
          <w:rFonts w:eastAsia="Segoe UI"/>
          <w:color w:val="011A3C"/>
          <w:sz w:val="24"/>
          <w:szCs w:val="24"/>
          <w:u w:val="single"/>
          <w:lang w:val="en" w:eastAsia="en-AU"/>
        </w:rPr>
        <w:t>Formula</w:t>
      </w:r>
    </w:p>
    <w:p w14:paraId="00D55DAF" w14:textId="77777777" w:rsidR="00C6567C" w:rsidRPr="00B148A2" w:rsidRDefault="00C6567C" w:rsidP="00B148A2">
      <w:pPr>
        <w:rPr>
          <w:rFonts w:eastAsia="Segoe UI"/>
          <w:color w:val="011A3C"/>
          <w:sz w:val="24"/>
          <w:szCs w:val="24"/>
          <w:lang w:val="en" w:eastAsia="en-AU"/>
        </w:rPr>
      </w:pPr>
      <w:r w:rsidRPr="00B148A2">
        <w:rPr>
          <w:rFonts w:eastAsia="Segoe UI"/>
          <w:color w:val="011A3C"/>
          <w:sz w:val="24"/>
          <w:szCs w:val="24"/>
          <w:lang w:val="en" w:eastAsia="en-AU"/>
        </w:rPr>
        <w:t>Funding for each school = Rate X Eligible Enrolments. Small schools have a funding floor as defined below.</w:t>
      </w:r>
    </w:p>
    <w:p w14:paraId="1477B4EE" w14:textId="77777777" w:rsidR="00C6567C" w:rsidRDefault="00C6567C" w:rsidP="00B148A2">
      <w:pPr>
        <w:rPr>
          <w:rFonts w:eastAsia="Segoe UI"/>
          <w:color w:val="011A3C"/>
          <w:sz w:val="24"/>
          <w:szCs w:val="24"/>
          <w:lang w:val="en" w:eastAsia="en-AU"/>
        </w:rPr>
      </w:pPr>
      <w:r w:rsidRPr="00B148A2">
        <w:rPr>
          <w:rFonts w:eastAsia="Segoe UI"/>
          <w:color w:val="011A3C"/>
          <w:sz w:val="24"/>
          <w:szCs w:val="24"/>
          <w:lang w:val="en" w:eastAsia="en-AU"/>
        </w:rPr>
        <w:lastRenderedPageBreak/>
        <w:t>Eligible Enrolments = All enrolments except Prep and Grade 1.</w:t>
      </w:r>
    </w:p>
    <w:p w14:paraId="234354F0" w14:textId="77777777" w:rsidR="00C6567C" w:rsidRPr="00B148A2" w:rsidRDefault="00C6567C" w:rsidP="00B148A2">
      <w:pPr>
        <w:spacing w:after="0"/>
        <w:rPr>
          <w:rFonts w:eastAsia="Segoe UI"/>
          <w:color w:val="011A3C"/>
          <w:sz w:val="24"/>
          <w:szCs w:val="24"/>
          <w:lang w:val="en" w:eastAsia="en-AU"/>
        </w:rPr>
      </w:pPr>
    </w:p>
    <w:p w14:paraId="4F64C456" w14:textId="77777777" w:rsidR="00C6567C" w:rsidRPr="00B148A2" w:rsidRDefault="00C6567C" w:rsidP="00B148A2">
      <w:pPr>
        <w:rPr>
          <w:rFonts w:eastAsia="Segoe UI"/>
          <w:color w:val="011A3C"/>
          <w:sz w:val="24"/>
          <w:szCs w:val="24"/>
          <w:u w:val="single"/>
          <w:lang w:val="en" w:eastAsia="en-AU"/>
        </w:rPr>
      </w:pPr>
      <w:r w:rsidRPr="00B148A2">
        <w:rPr>
          <w:rFonts w:eastAsia="Segoe UI"/>
          <w:color w:val="011A3C"/>
          <w:sz w:val="24"/>
          <w:szCs w:val="24"/>
          <w:u w:val="single"/>
          <w:lang w:val="en" w:eastAsia="en-AU"/>
        </w:rPr>
        <w:t>Rates:</w:t>
      </w:r>
    </w:p>
    <w:p w14:paraId="67CCED38" w14:textId="1A79629F" w:rsidR="00C6567C" w:rsidRPr="00B148A2" w:rsidRDefault="00C6567C" w:rsidP="00B148A2">
      <w:pPr>
        <w:rPr>
          <w:rFonts w:eastAsia="Segoe UI"/>
          <w:color w:val="011A3C"/>
          <w:sz w:val="24"/>
          <w:szCs w:val="24"/>
          <w:lang w:val="en" w:eastAsia="en-AU"/>
        </w:rPr>
      </w:pPr>
      <w:r w:rsidRPr="00B148A2">
        <w:rPr>
          <w:rFonts w:eastAsia="Segoe UI"/>
          <w:color w:val="011A3C"/>
          <w:sz w:val="24"/>
          <w:szCs w:val="24"/>
          <w:lang w:val="en" w:eastAsia="en-AU"/>
        </w:rPr>
        <w:t>Mainstream / Language school rate : $</w:t>
      </w:r>
      <w:r w:rsidR="00833B4F" w:rsidRPr="00833B4F">
        <w:rPr>
          <w:rFonts w:eastAsia="Segoe UI"/>
          <w:color w:val="011A3C"/>
          <w:sz w:val="24"/>
          <w:szCs w:val="24"/>
          <w:lang w:val="en" w:eastAsia="en-AU"/>
        </w:rPr>
        <w:t>50.58</w:t>
      </w:r>
    </w:p>
    <w:p w14:paraId="3BB57AED" w14:textId="3DC9395D" w:rsidR="00C6567C" w:rsidRPr="00B148A2" w:rsidRDefault="00C6567C" w:rsidP="00B148A2">
      <w:pPr>
        <w:rPr>
          <w:rFonts w:eastAsia="Segoe UI"/>
          <w:color w:val="011A3C"/>
          <w:sz w:val="24"/>
          <w:szCs w:val="24"/>
          <w:lang w:val="en" w:eastAsia="en-AU"/>
        </w:rPr>
      </w:pPr>
      <w:r w:rsidRPr="00B148A2">
        <w:rPr>
          <w:rFonts w:eastAsia="Segoe UI"/>
          <w:color w:val="011A3C"/>
          <w:sz w:val="24"/>
          <w:szCs w:val="24"/>
          <w:lang w:val="en" w:eastAsia="en-AU"/>
        </w:rPr>
        <w:t>Special School rate :  $</w:t>
      </w:r>
      <w:r w:rsidR="00833B4F" w:rsidRPr="00833B4F">
        <w:rPr>
          <w:rFonts w:eastAsia="Segoe UI"/>
          <w:color w:val="011A3C"/>
          <w:sz w:val="24"/>
          <w:szCs w:val="24"/>
          <w:lang w:val="en" w:eastAsia="en-AU"/>
        </w:rPr>
        <w:t>168.60</w:t>
      </w:r>
    </w:p>
    <w:p w14:paraId="3C399A0F" w14:textId="6BAA8930" w:rsidR="00C6567C" w:rsidRDefault="00C6567C" w:rsidP="00B148A2">
      <w:pPr>
        <w:rPr>
          <w:rFonts w:eastAsia="Segoe UI"/>
          <w:color w:val="011A3C"/>
          <w:sz w:val="24"/>
          <w:szCs w:val="24"/>
          <w:lang w:val="en" w:eastAsia="en-AU"/>
        </w:rPr>
      </w:pPr>
      <w:r w:rsidRPr="00B148A2">
        <w:rPr>
          <w:rFonts w:eastAsia="Segoe UI"/>
          <w:color w:val="011A3C"/>
          <w:sz w:val="24"/>
          <w:szCs w:val="24"/>
          <w:lang w:val="en" w:eastAsia="en-AU"/>
        </w:rPr>
        <w:t>Camp Schools rate :  $</w:t>
      </w:r>
      <w:r w:rsidR="00641898" w:rsidRPr="00641898">
        <w:rPr>
          <w:rFonts w:eastAsia="Segoe UI"/>
          <w:color w:val="011A3C"/>
          <w:sz w:val="24"/>
          <w:szCs w:val="24"/>
          <w:lang w:val="en" w:eastAsia="en-AU"/>
        </w:rPr>
        <w:t>384.92</w:t>
      </w:r>
    </w:p>
    <w:p w14:paraId="6349BB81" w14:textId="791F44BF" w:rsidR="0021346E" w:rsidRDefault="0021346E" w:rsidP="00B148A2">
      <w:pPr>
        <w:rPr>
          <w:rFonts w:eastAsia="Segoe UI"/>
          <w:color w:val="011A3C"/>
          <w:sz w:val="24"/>
          <w:szCs w:val="24"/>
          <w:lang w:val="en" w:eastAsia="en-AU"/>
        </w:rPr>
      </w:pPr>
      <w:r w:rsidRPr="0021346E">
        <w:rPr>
          <w:rFonts w:eastAsia="Segoe UI"/>
          <w:color w:val="011A3C"/>
          <w:sz w:val="24"/>
          <w:szCs w:val="24"/>
          <w:lang w:val="en" w:eastAsia="en-AU"/>
        </w:rPr>
        <w:t>Special campus of mainstream schools funded at special school rate</w:t>
      </w:r>
      <w:r>
        <w:rPr>
          <w:rFonts w:eastAsia="Segoe UI"/>
          <w:color w:val="011A3C"/>
          <w:sz w:val="24"/>
          <w:szCs w:val="24"/>
          <w:lang w:val="en" w:eastAsia="en-AU"/>
        </w:rPr>
        <w:t>.</w:t>
      </w:r>
    </w:p>
    <w:p w14:paraId="1E6A528C" w14:textId="77777777" w:rsidR="00C6567C" w:rsidRPr="00B148A2" w:rsidRDefault="00C6567C" w:rsidP="00B148A2">
      <w:pPr>
        <w:spacing w:after="0"/>
        <w:rPr>
          <w:rFonts w:eastAsia="Segoe UI"/>
          <w:color w:val="011A3C"/>
          <w:sz w:val="24"/>
          <w:szCs w:val="24"/>
          <w:lang w:val="en" w:eastAsia="en-AU"/>
        </w:rPr>
      </w:pPr>
    </w:p>
    <w:p w14:paraId="08D801A0" w14:textId="77777777" w:rsidR="00C6567C" w:rsidRPr="00B148A2" w:rsidRDefault="00C6567C" w:rsidP="00B148A2">
      <w:pPr>
        <w:rPr>
          <w:rFonts w:eastAsia="Segoe UI"/>
          <w:color w:val="011A3C"/>
          <w:sz w:val="24"/>
          <w:szCs w:val="24"/>
          <w:u w:val="single"/>
          <w:lang w:val="en" w:eastAsia="en-AU"/>
        </w:rPr>
      </w:pPr>
      <w:r w:rsidRPr="00B148A2">
        <w:rPr>
          <w:rFonts w:eastAsia="Segoe UI"/>
          <w:color w:val="011A3C"/>
          <w:sz w:val="24"/>
          <w:szCs w:val="24"/>
          <w:u w:val="single"/>
          <w:lang w:val="en" w:eastAsia="en-AU"/>
        </w:rPr>
        <w:t>Funding Floor for small school:</w:t>
      </w:r>
    </w:p>
    <w:p w14:paraId="61C3183C" w14:textId="14566B29" w:rsidR="00C6567C" w:rsidRPr="00B148A2" w:rsidRDefault="00C6567C" w:rsidP="00B148A2">
      <w:pPr>
        <w:rPr>
          <w:rFonts w:eastAsia="Segoe UI"/>
          <w:color w:val="011A3C"/>
          <w:sz w:val="24"/>
          <w:szCs w:val="24"/>
          <w:lang w:val="en" w:eastAsia="en-AU"/>
        </w:rPr>
      </w:pPr>
      <w:r w:rsidRPr="00B148A2">
        <w:rPr>
          <w:rFonts w:eastAsia="Segoe UI"/>
          <w:color w:val="011A3C"/>
          <w:sz w:val="24"/>
          <w:szCs w:val="24"/>
          <w:lang w:val="en" w:eastAsia="en-AU"/>
        </w:rPr>
        <w:t>Mainstream / Camp / Language: $</w:t>
      </w:r>
      <w:r w:rsidR="00641898" w:rsidRPr="00641898">
        <w:rPr>
          <w:rFonts w:eastAsia="Segoe UI"/>
          <w:color w:val="011A3C"/>
          <w:sz w:val="24"/>
          <w:szCs w:val="24"/>
          <w:lang w:val="en" w:eastAsia="en-AU"/>
        </w:rPr>
        <w:t>512.45</w:t>
      </w:r>
      <w:r w:rsidRPr="00B148A2">
        <w:rPr>
          <w:rFonts w:eastAsia="Segoe UI"/>
          <w:color w:val="011A3C"/>
          <w:sz w:val="24"/>
          <w:szCs w:val="24"/>
          <w:lang w:val="en" w:eastAsia="en-AU"/>
        </w:rPr>
        <w:t xml:space="preserve"> total for 0 to 9.9 Enrolments and $</w:t>
      </w:r>
      <w:r w:rsidR="00641898" w:rsidRPr="00641898">
        <w:rPr>
          <w:rFonts w:eastAsia="Segoe UI"/>
          <w:color w:val="011A3C"/>
          <w:sz w:val="24"/>
          <w:szCs w:val="24"/>
          <w:lang w:val="en" w:eastAsia="en-AU"/>
        </w:rPr>
        <w:t>1,024.89</w:t>
      </w:r>
      <w:r w:rsidRPr="00B148A2">
        <w:rPr>
          <w:rFonts w:eastAsia="Segoe UI"/>
          <w:color w:val="011A3C"/>
          <w:sz w:val="24"/>
          <w:szCs w:val="24"/>
          <w:lang w:val="en" w:eastAsia="en-AU"/>
        </w:rPr>
        <w:t xml:space="preserve"> total for 10 to 19.9 </w:t>
      </w:r>
      <w:proofErr w:type="spellStart"/>
      <w:r w:rsidRPr="00B148A2">
        <w:rPr>
          <w:rFonts w:eastAsia="Segoe UI"/>
          <w:color w:val="011A3C"/>
          <w:sz w:val="24"/>
          <w:szCs w:val="24"/>
          <w:lang w:val="en" w:eastAsia="en-AU"/>
        </w:rPr>
        <w:t>enrols</w:t>
      </w:r>
      <w:proofErr w:type="spellEnd"/>
      <w:r w:rsidRPr="00B148A2">
        <w:rPr>
          <w:rFonts w:eastAsia="Segoe UI"/>
          <w:color w:val="011A3C"/>
          <w:sz w:val="24"/>
          <w:szCs w:val="24"/>
          <w:lang w:val="en" w:eastAsia="en-AU"/>
        </w:rPr>
        <w:t>.</w:t>
      </w:r>
    </w:p>
    <w:p w14:paraId="1485B015" w14:textId="5855183E" w:rsidR="00C6567C" w:rsidRPr="00B148A2" w:rsidRDefault="00C6567C" w:rsidP="00B148A2">
      <w:pPr>
        <w:rPr>
          <w:rFonts w:eastAsia="Segoe UI"/>
          <w:color w:val="011A3C"/>
          <w:sz w:val="24"/>
          <w:szCs w:val="24"/>
          <w:lang w:val="en" w:eastAsia="en-AU"/>
        </w:rPr>
      </w:pPr>
      <w:r w:rsidRPr="00B148A2">
        <w:rPr>
          <w:rFonts w:eastAsia="Segoe UI"/>
          <w:color w:val="011A3C"/>
          <w:sz w:val="24"/>
          <w:szCs w:val="24"/>
          <w:lang w:val="en" w:eastAsia="en-AU"/>
        </w:rPr>
        <w:t>Special : $</w:t>
      </w:r>
      <w:r w:rsidR="00333FD6" w:rsidRPr="00333FD6">
        <w:rPr>
          <w:rFonts w:eastAsia="Segoe UI"/>
          <w:color w:val="011A3C"/>
          <w:sz w:val="24"/>
          <w:szCs w:val="24"/>
          <w:lang w:val="en" w:eastAsia="en-AU"/>
        </w:rPr>
        <w:t>1,708.16</w:t>
      </w:r>
      <w:r w:rsidRPr="00B148A2">
        <w:rPr>
          <w:rFonts w:eastAsia="Segoe UI"/>
          <w:color w:val="011A3C"/>
          <w:sz w:val="24"/>
          <w:szCs w:val="24"/>
          <w:lang w:val="en" w:eastAsia="en-AU"/>
        </w:rPr>
        <w:t xml:space="preserve"> total for 0 to 9.9 Enrolments and $</w:t>
      </w:r>
      <w:r w:rsidR="0078599B" w:rsidRPr="0078599B">
        <w:rPr>
          <w:rFonts w:eastAsia="Segoe UI"/>
          <w:color w:val="011A3C"/>
          <w:sz w:val="24"/>
          <w:szCs w:val="24"/>
          <w:lang w:val="en" w:eastAsia="en-AU"/>
        </w:rPr>
        <w:t>3,416.31</w:t>
      </w:r>
      <w:r w:rsidRPr="00B148A2">
        <w:rPr>
          <w:rFonts w:eastAsia="Segoe UI"/>
          <w:color w:val="011A3C"/>
          <w:sz w:val="24"/>
          <w:szCs w:val="24"/>
          <w:lang w:val="en" w:eastAsia="en-AU"/>
        </w:rPr>
        <w:t xml:space="preserve"> total for 10 to 19.9 </w:t>
      </w:r>
      <w:proofErr w:type="spellStart"/>
      <w:r w:rsidRPr="00B148A2">
        <w:rPr>
          <w:rFonts w:eastAsia="Segoe UI"/>
          <w:color w:val="011A3C"/>
          <w:sz w:val="24"/>
          <w:szCs w:val="24"/>
          <w:lang w:val="en" w:eastAsia="en-AU"/>
        </w:rPr>
        <w:t>enrols</w:t>
      </w:r>
      <w:proofErr w:type="spellEnd"/>
      <w:r w:rsidRPr="00B148A2">
        <w:rPr>
          <w:rFonts w:eastAsia="Segoe UI"/>
          <w:color w:val="011A3C"/>
          <w:sz w:val="24"/>
          <w:szCs w:val="24"/>
          <w:lang w:val="en" w:eastAsia="en-AU"/>
        </w:rPr>
        <w:t>.</w:t>
      </w:r>
    </w:p>
    <w:p w14:paraId="67C0D9E3" w14:textId="77777777" w:rsidR="00C6567C" w:rsidRDefault="00C6567C" w:rsidP="00B148A2">
      <w:pPr>
        <w:spacing w:after="0"/>
      </w:pPr>
    </w:p>
    <w:p w14:paraId="6C73C582" w14:textId="77777777" w:rsidR="00C6567C" w:rsidRPr="00B148A2" w:rsidRDefault="00C6567C" w:rsidP="00B148A2">
      <w:pPr>
        <w:rPr>
          <w:rFonts w:eastAsia="Segoe UI"/>
          <w:color w:val="011A3C"/>
          <w:sz w:val="24"/>
          <w:szCs w:val="24"/>
          <w:u w:val="single"/>
          <w:lang w:val="en" w:eastAsia="en-AU"/>
        </w:rPr>
      </w:pPr>
      <w:r w:rsidRPr="00B148A2">
        <w:rPr>
          <w:rFonts w:eastAsia="Segoe UI"/>
          <w:color w:val="011A3C"/>
          <w:sz w:val="24"/>
          <w:szCs w:val="24"/>
          <w:u w:val="single"/>
          <w:lang w:val="en" w:eastAsia="en-AU"/>
        </w:rPr>
        <w:t xml:space="preserve">Rural Loading </w:t>
      </w:r>
    </w:p>
    <w:p w14:paraId="306D0995" w14:textId="77777777" w:rsidR="00C6567C" w:rsidRPr="00B148A2" w:rsidRDefault="00C6567C" w:rsidP="00B148A2">
      <w:pPr>
        <w:rPr>
          <w:rFonts w:eastAsia="Segoe UI"/>
          <w:color w:val="011A3C"/>
          <w:sz w:val="24"/>
          <w:szCs w:val="24"/>
          <w:lang w:val="en" w:eastAsia="en-AU"/>
        </w:rPr>
      </w:pPr>
      <w:r w:rsidRPr="00B148A2">
        <w:rPr>
          <w:rFonts w:eastAsia="Segoe UI"/>
          <w:color w:val="011A3C"/>
          <w:sz w:val="24"/>
          <w:szCs w:val="24"/>
          <w:lang w:val="en" w:eastAsia="en-AU"/>
        </w:rPr>
        <w:t>Rural Loading = 40%</w:t>
      </w:r>
    </w:p>
    <w:p w14:paraId="6B41AD44" w14:textId="7208CE34" w:rsidR="00C6567C" w:rsidRPr="00833928" w:rsidRDefault="00C6567C" w:rsidP="009B4DE1">
      <w:r w:rsidRPr="00B148A2">
        <w:rPr>
          <w:rFonts w:eastAsia="Segoe UI"/>
          <w:color w:val="011A3C"/>
          <w:sz w:val="24"/>
          <w:szCs w:val="24"/>
          <w:lang w:val="en" w:eastAsia="en-AU"/>
        </w:rPr>
        <w:t>Eligibility for rural loading is the same as defined for Rural School Size Adjustment Factor (Reference 4).</w:t>
      </w:r>
    </w:p>
    <w:p w14:paraId="51A0EBEF" w14:textId="77777777" w:rsidR="00C6567C" w:rsidRPr="00B148A2" w:rsidRDefault="00C6567C" w:rsidP="00B148A2">
      <w:pPr>
        <w:spacing w:before="100" w:beforeAutospacing="1" w:after="100" w:afterAutospacing="1" w:line="288" w:lineRule="atLeast"/>
        <w:outlineLvl w:val="2"/>
        <w:rPr>
          <w:rFonts w:eastAsia="Segoe UI"/>
          <w:b/>
          <w:color w:val="011A3C"/>
          <w:sz w:val="27"/>
          <w:szCs w:val="27"/>
          <w:lang w:val="en" w:eastAsia="en-AU"/>
        </w:rPr>
      </w:pPr>
      <w:r w:rsidRPr="00B148A2">
        <w:rPr>
          <w:rFonts w:eastAsia="Segoe UI"/>
          <w:b/>
          <w:color w:val="011A3C"/>
          <w:sz w:val="27"/>
          <w:szCs w:val="27"/>
          <w:lang w:val="en" w:eastAsia="en-AU"/>
        </w:rPr>
        <w:t>Other relevant information</w:t>
      </w:r>
    </w:p>
    <w:p w14:paraId="25880EC3" w14:textId="1A680621" w:rsidR="00C6567C" w:rsidRPr="00B148A2" w:rsidRDefault="00C6567C" w:rsidP="00C6567C">
      <w:pPr>
        <w:shd w:val="clear" w:color="auto" w:fill="FFFFFF"/>
        <w:spacing w:after="270" w:line="336" w:lineRule="atLeast"/>
        <w:rPr>
          <w:rFonts w:eastAsia="Segoe UI"/>
          <w:color w:val="011A3C"/>
          <w:sz w:val="24"/>
          <w:szCs w:val="24"/>
          <w:lang w:val="en" w:eastAsia="en-AU"/>
        </w:rPr>
      </w:pPr>
      <w:r w:rsidRPr="00B148A2">
        <w:rPr>
          <w:rFonts w:eastAsia="Segoe UI"/>
          <w:color w:val="011A3C"/>
          <w:sz w:val="24"/>
          <w:szCs w:val="24"/>
          <w:lang w:val="en" w:eastAsia="en-AU"/>
        </w:rPr>
        <w:t xml:space="preserve">Schools are also reminded that the </w:t>
      </w:r>
      <w:r w:rsidR="00AC6BFB">
        <w:rPr>
          <w:rFonts w:eastAsia="Segoe UI"/>
          <w:color w:val="011A3C"/>
          <w:sz w:val="24"/>
          <w:szCs w:val="24"/>
          <w:lang w:val="en" w:eastAsia="en-AU"/>
        </w:rPr>
        <w:t>202</w:t>
      </w:r>
      <w:r w:rsidR="005F55FB">
        <w:rPr>
          <w:rFonts w:eastAsia="Segoe UI"/>
          <w:color w:val="011A3C"/>
          <w:sz w:val="24"/>
          <w:szCs w:val="24"/>
          <w:lang w:val="en" w:eastAsia="en-AU"/>
        </w:rPr>
        <w:t>4</w:t>
      </w:r>
      <w:r w:rsidR="00AC6BFB" w:rsidRPr="00B148A2">
        <w:rPr>
          <w:rFonts w:eastAsia="Segoe UI"/>
          <w:color w:val="011A3C"/>
          <w:sz w:val="24"/>
          <w:szCs w:val="24"/>
          <w:lang w:val="en" w:eastAsia="en-AU"/>
        </w:rPr>
        <w:t xml:space="preserve"> </w:t>
      </w:r>
      <w:r w:rsidRPr="00B148A2">
        <w:rPr>
          <w:rFonts w:eastAsia="Segoe UI"/>
          <w:color w:val="011A3C"/>
          <w:sz w:val="24"/>
          <w:szCs w:val="24"/>
          <w:lang w:val="en" w:eastAsia="en-AU"/>
        </w:rPr>
        <w:t xml:space="preserve">school budgets provide casual relief teaching (CRT) cover for </w:t>
      </w:r>
      <w:r w:rsidR="005F55FB">
        <w:rPr>
          <w:rFonts w:eastAsia="Segoe UI"/>
          <w:color w:val="011A3C"/>
          <w:sz w:val="24"/>
          <w:szCs w:val="24"/>
          <w:lang w:val="en" w:eastAsia="en-AU"/>
        </w:rPr>
        <w:t>one</w:t>
      </w:r>
      <w:r w:rsidR="005F55FB" w:rsidRPr="00B148A2">
        <w:rPr>
          <w:rFonts w:eastAsia="Segoe UI"/>
          <w:color w:val="011A3C"/>
          <w:sz w:val="24"/>
          <w:szCs w:val="24"/>
          <w:lang w:val="en" w:eastAsia="en-AU"/>
        </w:rPr>
        <w:t xml:space="preserve"> </w:t>
      </w:r>
      <w:r w:rsidRPr="00B148A2">
        <w:rPr>
          <w:rFonts w:eastAsia="Segoe UI"/>
          <w:color w:val="011A3C"/>
          <w:sz w:val="24"/>
          <w:szCs w:val="24"/>
          <w:lang w:val="en" w:eastAsia="en-AU"/>
        </w:rPr>
        <w:t xml:space="preserve">professional practice day (PPD) in </w:t>
      </w:r>
      <w:r w:rsidR="005F55FB">
        <w:rPr>
          <w:rFonts w:eastAsia="Segoe UI"/>
          <w:color w:val="011A3C"/>
          <w:sz w:val="24"/>
          <w:szCs w:val="24"/>
          <w:lang w:val="en" w:eastAsia="en-AU"/>
        </w:rPr>
        <w:t>2024</w:t>
      </w:r>
      <w:r w:rsidRPr="00B148A2">
        <w:rPr>
          <w:rFonts w:eastAsia="Segoe UI"/>
          <w:color w:val="011A3C"/>
          <w:sz w:val="24"/>
          <w:szCs w:val="24"/>
          <w:lang w:val="en" w:eastAsia="en-AU"/>
        </w:rPr>
        <w:t xml:space="preserve">. If schools hold a common PPD in </w:t>
      </w:r>
      <w:r w:rsidR="005F55FB">
        <w:rPr>
          <w:rFonts w:eastAsia="Segoe UI"/>
          <w:color w:val="011A3C"/>
          <w:sz w:val="24"/>
          <w:szCs w:val="24"/>
          <w:lang w:val="en" w:eastAsia="en-AU"/>
        </w:rPr>
        <w:t>2024</w:t>
      </w:r>
      <w:r w:rsidRPr="00B148A2">
        <w:rPr>
          <w:rFonts w:eastAsia="Segoe UI"/>
          <w:color w:val="011A3C"/>
          <w:sz w:val="24"/>
          <w:szCs w:val="24"/>
          <w:lang w:val="en" w:eastAsia="en-AU"/>
        </w:rPr>
        <w:t>, this CRT funding can be flexibly redeployed towards any time-in-lieu arrangements. </w:t>
      </w:r>
    </w:p>
    <w:p w14:paraId="6FAB07A2" w14:textId="77777777" w:rsidR="00C6567C" w:rsidRPr="00B148A2" w:rsidRDefault="00C6567C" w:rsidP="00C6567C">
      <w:pPr>
        <w:spacing w:line="360" w:lineRule="auto"/>
        <w:rPr>
          <w:rFonts w:eastAsia="Segoe UI"/>
          <w:color w:val="011A3C"/>
          <w:sz w:val="24"/>
          <w:szCs w:val="24"/>
          <w:lang w:val="en" w:eastAsia="en-AU"/>
        </w:rPr>
      </w:pPr>
      <w:r w:rsidRPr="00B148A2">
        <w:rPr>
          <w:rFonts w:eastAsia="Segoe UI"/>
          <w:color w:val="011A3C"/>
          <w:sz w:val="24"/>
          <w:szCs w:val="24"/>
          <w:lang w:val="en" w:eastAsia="en-AU"/>
        </w:rPr>
        <w:t xml:space="preserve">The full and updated guidelines for time-in-lieu are available here: </w:t>
      </w:r>
    </w:p>
    <w:p w14:paraId="0F50C5EB" w14:textId="77777777" w:rsidR="00C6567C" w:rsidRDefault="00000000" w:rsidP="00C6567C">
      <w:pPr>
        <w:numPr>
          <w:ilvl w:val="0"/>
          <w:numId w:val="159"/>
        </w:numPr>
        <w:spacing w:before="100" w:beforeAutospacing="1" w:after="100" w:afterAutospacing="1" w:line="360" w:lineRule="auto"/>
        <w:rPr>
          <w:rStyle w:val="Hyperlink"/>
          <w:rFonts w:eastAsia="Times New Roman"/>
          <w:color w:val="0000EE"/>
          <w14:ligatures w14:val="standardContextual"/>
        </w:rPr>
      </w:pPr>
      <w:hyperlink r:id="rId24" w:history="1">
        <w:r w:rsidR="00C6567C">
          <w:rPr>
            <w:rStyle w:val="Hyperlink"/>
            <w:rFonts w:ascii="Segoe UI" w:hAnsi="Segoe UI" w:cs="Segoe UI"/>
            <w:color w:val="0000EE"/>
          </w:rPr>
          <w:t>Time in lieu guidelines (DOCX)</w:t>
        </w:r>
      </w:hyperlink>
    </w:p>
    <w:p w14:paraId="579AFFD9" w14:textId="0ECDE1D9" w:rsidR="00AD16F0" w:rsidRPr="00260C1D" w:rsidRDefault="00000000" w:rsidP="00B148A2">
      <w:pPr>
        <w:numPr>
          <w:ilvl w:val="0"/>
          <w:numId w:val="159"/>
        </w:numPr>
        <w:spacing w:before="100" w:beforeAutospacing="1" w:after="100" w:afterAutospacing="1" w:line="360" w:lineRule="auto"/>
        <w:rPr>
          <w:rStyle w:val="Hyperlink"/>
          <w:rFonts w:cstheme="minorHAnsi"/>
        </w:rPr>
      </w:pPr>
      <w:hyperlink r:id="rId25" w:history="1">
        <w:r w:rsidR="00C6567C">
          <w:rPr>
            <w:rStyle w:val="Hyperlink"/>
            <w:rFonts w:ascii="Segoe UI" w:hAnsi="Segoe UI" w:cs="Segoe UI"/>
            <w:color w:val="0000EE"/>
          </w:rPr>
          <w:t>Time in lieu guidelines (PDF)</w:t>
        </w:r>
      </w:hyperlink>
    </w:p>
    <w:p w14:paraId="226E8AE9" w14:textId="77777777" w:rsidR="00CB044F" w:rsidRDefault="00CB044F" w:rsidP="003D144A">
      <w:pPr>
        <w:pStyle w:val="Heading1"/>
      </w:pPr>
      <w:r>
        <w:br w:type="page"/>
      </w:r>
    </w:p>
    <w:p w14:paraId="26FB9095" w14:textId="0B8C5A3D" w:rsidR="00ED4312" w:rsidRPr="00260C1D" w:rsidRDefault="00ED4312" w:rsidP="003D144A">
      <w:pPr>
        <w:pStyle w:val="Heading1"/>
      </w:pPr>
      <w:bookmarkStart w:id="44" w:name="_Toc141965238"/>
      <w:bookmarkStart w:id="45" w:name="_Toc145339568"/>
      <w:bookmarkStart w:id="46" w:name="_Toc153791891"/>
      <w:r w:rsidRPr="00260C1D">
        <w:lastRenderedPageBreak/>
        <w:t>Equity Funding (Student</w:t>
      </w:r>
      <w:r w:rsidR="00E710D1">
        <w:t>-b</w:t>
      </w:r>
      <w:r w:rsidRPr="00260C1D">
        <w:t>ased Funding)</w:t>
      </w:r>
      <w:bookmarkEnd w:id="44"/>
      <w:bookmarkEnd w:id="45"/>
      <w:bookmarkEnd w:id="46"/>
    </w:p>
    <w:p w14:paraId="43E8830D" w14:textId="77777777" w:rsidR="004923E8" w:rsidRPr="00AD4CC3" w:rsidRDefault="004923E8" w:rsidP="00AD4CC3">
      <w:pPr>
        <w:spacing w:before="100" w:beforeAutospacing="1" w:after="100" w:afterAutospacing="1" w:line="312" w:lineRule="atLeast"/>
        <w:outlineLvl w:val="1"/>
        <w:rPr>
          <w:rFonts w:eastAsia="Segoe UI" w:cstheme="minorHAnsi"/>
          <w:b/>
          <w:color w:val="011A3C"/>
          <w:sz w:val="36"/>
          <w:szCs w:val="36"/>
          <w:lang w:val="en" w:eastAsia="en-AU"/>
        </w:rPr>
      </w:pPr>
      <w:r w:rsidRPr="00AD4CC3">
        <w:rPr>
          <w:rFonts w:eastAsia="Segoe UI" w:cstheme="minorHAnsi"/>
          <w:b/>
          <w:color w:val="011A3C"/>
          <w:sz w:val="36"/>
          <w:szCs w:val="36"/>
          <w:lang w:val="en" w:eastAsia="en-AU"/>
        </w:rPr>
        <w:t>Policy</w:t>
      </w:r>
    </w:p>
    <w:p w14:paraId="49F856AC" w14:textId="77777777" w:rsidR="004923E8" w:rsidRPr="00260C1D" w:rsidRDefault="004923E8" w:rsidP="00A92C40">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This policy provides information about how funding is allocated to schools through the Student Resource Package (SRP) for additional learning needs.</w:t>
      </w:r>
    </w:p>
    <w:p w14:paraId="5721F33A" w14:textId="77777777" w:rsidR="004923E8" w:rsidRPr="00AD4CC3" w:rsidRDefault="004923E8" w:rsidP="00AD4CC3">
      <w:pPr>
        <w:spacing w:before="100" w:beforeAutospacing="1" w:after="100" w:afterAutospacing="1" w:line="312" w:lineRule="atLeast"/>
        <w:outlineLvl w:val="1"/>
        <w:rPr>
          <w:rFonts w:eastAsia="Segoe UI" w:cstheme="minorHAnsi"/>
          <w:b/>
          <w:color w:val="011A3C"/>
          <w:sz w:val="36"/>
          <w:szCs w:val="36"/>
          <w:lang w:val="en" w:eastAsia="en-AU"/>
        </w:rPr>
      </w:pPr>
      <w:r w:rsidRPr="00AD4CC3">
        <w:rPr>
          <w:rFonts w:eastAsia="Segoe UI" w:cstheme="minorHAnsi"/>
          <w:b/>
          <w:color w:val="011A3C"/>
          <w:sz w:val="36"/>
          <w:szCs w:val="36"/>
          <w:lang w:val="en" w:eastAsia="en-AU"/>
        </w:rPr>
        <w:t>Details</w:t>
      </w:r>
    </w:p>
    <w:p w14:paraId="4C7CE3BE" w14:textId="25FCFF98" w:rsidR="004923E8" w:rsidRPr="00260C1D" w:rsidRDefault="004923E8" w:rsidP="00A92C40">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Equity funding is one of two types of </w:t>
      </w:r>
      <w:r w:rsidR="00A92C40" w:rsidRPr="00260C1D">
        <w:rPr>
          <w:rFonts w:eastAsia="Segoe UI" w:cstheme="minorHAnsi"/>
          <w:color w:val="011A3C"/>
          <w:sz w:val="24"/>
          <w:szCs w:val="24"/>
          <w:lang w:val="en" w:eastAsia="en-AU"/>
        </w:rPr>
        <w:t>student-based</w:t>
      </w:r>
      <w:r w:rsidRPr="00260C1D">
        <w:rPr>
          <w:rFonts w:eastAsia="Segoe UI" w:cstheme="minorHAnsi"/>
          <w:color w:val="011A3C"/>
          <w:sz w:val="24"/>
          <w:szCs w:val="24"/>
          <w:lang w:val="en" w:eastAsia="en-AU"/>
        </w:rPr>
        <w:t xml:space="preserve"> funding. The other type of student</w:t>
      </w:r>
      <w:r w:rsidR="00E710D1">
        <w:rPr>
          <w:rFonts w:eastAsia="Segoe UI" w:cstheme="minorHAnsi"/>
          <w:color w:val="011A3C"/>
          <w:sz w:val="24"/>
          <w:szCs w:val="24"/>
          <w:lang w:val="en" w:eastAsia="en-AU"/>
        </w:rPr>
        <w:t>-</w:t>
      </w:r>
      <w:r w:rsidRPr="00260C1D">
        <w:rPr>
          <w:rFonts w:eastAsia="Segoe UI" w:cstheme="minorHAnsi"/>
          <w:color w:val="011A3C"/>
          <w:sz w:val="24"/>
          <w:szCs w:val="24"/>
          <w:lang w:val="en" w:eastAsia="en-AU"/>
        </w:rPr>
        <w:t>based funding is </w:t>
      </w:r>
      <w:hyperlink r:id="rId26" w:history="1">
        <w:r w:rsidRPr="00260C1D">
          <w:rPr>
            <w:rStyle w:val="Hyperlink"/>
            <w:rFonts w:eastAsia="Segoe UI" w:cstheme="minorHAnsi"/>
            <w:sz w:val="24"/>
            <w:szCs w:val="24"/>
            <w:lang w:val="en" w:eastAsia="en-AU"/>
          </w:rPr>
          <w:t>Core Student Learning Allocation Funding.</w:t>
        </w:r>
      </w:hyperlink>
    </w:p>
    <w:p w14:paraId="6E39CA89" w14:textId="1C0D594C" w:rsidR="004923E8" w:rsidRPr="00260C1D" w:rsidRDefault="004923E8" w:rsidP="00A92C40">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Student</w:t>
      </w:r>
      <w:r w:rsidR="00E710D1">
        <w:rPr>
          <w:rFonts w:eastAsia="Segoe UI" w:cstheme="minorHAnsi"/>
          <w:color w:val="011A3C"/>
          <w:sz w:val="24"/>
          <w:szCs w:val="24"/>
          <w:lang w:val="en" w:eastAsia="en-AU"/>
        </w:rPr>
        <w:t>-</w:t>
      </w:r>
      <w:r w:rsidRPr="00260C1D">
        <w:rPr>
          <w:rFonts w:eastAsia="Segoe UI" w:cstheme="minorHAnsi"/>
          <w:color w:val="011A3C"/>
          <w:sz w:val="24"/>
          <w:szCs w:val="24"/>
          <w:lang w:val="en" w:eastAsia="en-AU"/>
        </w:rPr>
        <w:t>based funding represents the main funding source for all schools and comprises approximately 90% of the total SRP provided to schools. This funding is designed to cover core teaching and learning, leadership, teaching support, professional development, relief teaching, payroll tax and superannuation costs for the school. </w:t>
      </w:r>
    </w:p>
    <w:p w14:paraId="3A1BD3CB" w14:textId="77777777" w:rsidR="004923E8" w:rsidRPr="00260C1D" w:rsidRDefault="004923E8" w:rsidP="004923E8">
      <w:pPr>
        <w:pStyle w:val="NormalWeb"/>
        <w:rPr>
          <w:rFonts w:asciiTheme="minorHAnsi" w:hAnsiTheme="minorHAnsi" w:cstheme="minorHAnsi"/>
          <w:color w:val="011A3C"/>
          <w:lang w:val="en"/>
        </w:rPr>
      </w:pPr>
      <w:r w:rsidRPr="00260C1D">
        <w:rPr>
          <w:rFonts w:asciiTheme="minorHAnsi" w:hAnsiTheme="minorHAnsi" w:cstheme="minorHAnsi"/>
          <w:color w:val="011A3C"/>
          <w:lang w:val="en"/>
        </w:rPr>
        <w:t>The SRP provides equity funding where additional funding is required to compensate for additional learning needs. The specific types of Equity funding are listed below.</w:t>
      </w:r>
    </w:p>
    <w:p w14:paraId="5898ED7C" w14:textId="77777777" w:rsidR="004923E8" w:rsidRPr="0058362E" w:rsidRDefault="004923E8" w:rsidP="004923E8">
      <w:pPr>
        <w:pStyle w:val="NormalWeb"/>
        <w:rPr>
          <w:rFonts w:asciiTheme="minorHAnsi" w:hAnsiTheme="minorHAnsi" w:cstheme="minorHAnsi"/>
          <w:color w:val="011A3C"/>
        </w:rPr>
      </w:pPr>
      <w:r w:rsidRPr="0058362E">
        <w:rPr>
          <w:rFonts w:asciiTheme="minorHAnsi" w:hAnsiTheme="minorHAnsi" w:cstheme="minorHAnsi"/>
          <w:color w:val="011A3C"/>
        </w:rPr>
        <w:t>The </w:t>
      </w:r>
      <w:hyperlink r:id="rId27" w:history="1">
        <w:r w:rsidRPr="00614B09">
          <w:rPr>
            <w:rStyle w:val="Hyperlink"/>
            <w:rFonts w:asciiTheme="minorHAnsi" w:eastAsiaTheme="minorHAnsi" w:hAnsiTheme="minorHAnsi" w:cstheme="minorHAnsi"/>
            <w:lang w:val="en"/>
          </w:rPr>
          <w:t>Guidance tab</w:t>
        </w:r>
      </w:hyperlink>
      <w:r w:rsidRPr="0058362E">
        <w:rPr>
          <w:rFonts w:asciiTheme="minorHAnsi" w:hAnsiTheme="minorHAnsi" w:cstheme="minorHAnsi"/>
          <w:color w:val="011A3C"/>
        </w:rPr>
        <w:t> </w:t>
      </w:r>
      <w:r w:rsidRPr="00614B09">
        <w:rPr>
          <w:rFonts w:asciiTheme="minorHAnsi" w:eastAsiaTheme="minorHAnsi" w:hAnsiTheme="minorHAnsi" w:cstheme="minorHAnsi"/>
          <w:color w:val="011A3C"/>
          <w:lang w:eastAsia="en-US"/>
        </w:rPr>
        <w:t>provides information about each of the specific types of equity funding:</w:t>
      </w:r>
    </w:p>
    <w:p w14:paraId="7DDB869C" w14:textId="77777777" w:rsidR="004923E8" w:rsidRPr="00260C1D" w:rsidRDefault="004923E8" w:rsidP="006C1424">
      <w:pPr>
        <w:pStyle w:val="Heading3"/>
      </w:pPr>
      <w:r w:rsidRPr="00260C1D">
        <w:rPr>
          <w:rStyle w:val="Strong"/>
        </w:rPr>
        <w:t>Education State (Including additional Gonski) </w:t>
      </w:r>
    </w:p>
    <w:p w14:paraId="69C80355" w14:textId="77777777" w:rsidR="004923E8" w:rsidRPr="00614B09" w:rsidRDefault="004923E8" w:rsidP="00F56244">
      <w:pPr>
        <w:pStyle w:val="ListParagraph"/>
        <w:numPr>
          <w:ilvl w:val="0"/>
          <w:numId w:val="67"/>
        </w:numPr>
        <w:spacing w:before="100" w:beforeAutospacing="1" w:after="100" w:afterAutospacing="1" w:line="240" w:lineRule="auto"/>
        <w:rPr>
          <w:rFonts w:cstheme="minorHAnsi"/>
          <w:color w:val="011A3C"/>
          <w:sz w:val="24"/>
          <w:szCs w:val="24"/>
        </w:rPr>
      </w:pPr>
      <w:r w:rsidRPr="00614B09">
        <w:rPr>
          <w:rFonts w:cstheme="minorHAnsi"/>
          <w:color w:val="011A3C"/>
          <w:sz w:val="24"/>
          <w:szCs w:val="24"/>
        </w:rPr>
        <w:t>Equity (Social Disadvantage)</w:t>
      </w:r>
    </w:p>
    <w:p w14:paraId="3934CD0A" w14:textId="77777777" w:rsidR="004923E8" w:rsidRPr="00614B09" w:rsidRDefault="004923E8" w:rsidP="00F56244">
      <w:pPr>
        <w:pStyle w:val="ListParagraph"/>
        <w:numPr>
          <w:ilvl w:val="0"/>
          <w:numId w:val="67"/>
        </w:numPr>
        <w:spacing w:before="100" w:beforeAutospacing="1" w:after="100" w:afterAutospacing="1" w:line="240" w:lineRule="auto"/>
        <w:rPr>
          <w:rFonts w:cstheme="minorHAnsi"/>
          <w:color w:val="011A3C"/>
          <w:sz w:val="24"/>
          <w:szCs w:val="24"/>
        </w:rPr>
      </w:pPr>
      <w:r w:rsidRPr="00614B09">
        <w:rPr>
          <w:rFonts w:cstheme="minorHAnsi"/>
          <w:color w:val="011A3C"/>
          <w:sz w:val="24"/>
          <w:szCs w:val="24"/>
        </w:rPr>
        <w:t>Equity (Catch Up)</w:t>
      </w:r>
    </w:p>
    <w:p w14:paraId="39AAC775" w14:textId="77777777" w:rsidR="004923E8" w:rsidRPr="00260C1D" w:rsidRDefault="004923E8" w:rsidP="006C1424">
      <w:pPr>
        <w:pStyle w:val="Heading3"/>
      </w:pPr>
      <w:r w:rsidRPr="00260C1D">
        <w:rPr>
          <w:rStyle w:val="Strong"/>
        </w:rPr>
        <w:t>Other Equity</w:t>
      </w:r>
    </w:p>
    <w:p w14:paraId="67B2B0A3" w14:textId="77777777" w:rsidR="004923E8" w:rsidRPr="00614B09" w:rsidRDefault="004923E8" w:rsidP="00F56244">
      <w:pPr>
        <w:pStyle w:val="ListParagraph"/>
        <w:numPr>
          <w:ilvl w:val="0"/>
          <w:numId w:val="67"/>
        </w:numPr>
        <w:spacing w:before="100" w:beforeAutospacing="1" w:after="100" w:afterAutospacing="1" w:line="240" w:lineRule="auto"/>
        <w:rPr>
          <w:rFonts w:cstheme="minorHAnsi"/>
          <w:color w:val="011A3C"/>
          <w:sz w:val="24"/>
          <w:szCs w:val="24"/>
        </w:rPr>
      </w:pPr>
      <w:r w:rsidRPr="00614B09">
        <w:rPr>
          <w:rFonts w:cstheme="minorHAnsi"/>
          <w:color w:val="011A3C"/>
          <w:sz w:val="24"/>
          <w:szCs w:val="24"/>
        </w:rPr>
        <w:t>Mobility</w:t>
      </w:r>
    </w:p>
    <w:p w14:paraId="4D2F54F3" w14:textId="77777777" w:rsidR="004923E8" w:rsidRPr="00260C1D" w:rsidRDefault="004923E8" w:rsidP="006C1424">
      <w:pPr>
        <w:pStyle w:val="Heading3"/>
      </w:pPr>
      <w:r w:rsidRPr="00260C1D">
        <w:rPr>
          <w:rStyle w:val="Strong"/>
        </w:rPr>
        <w:t>Programs for Students with Disabilities</w:t>
      </w:r>
    </w:p>
    <w:p w14:paraId="2BDAD229" w14:textId="4B519FE4" w:rsidR="004923E8" w:rsidRPr="00614B09" w:rsidRDefault="004923E8" w:rsidP="00F56244">
      <w:pPr>
        <w:pStyle w:val="ListParagraph"/>
        <w:numPr>
          <w:ilvl w:val="0"/>
          <w:numId w:val="67"/>
        </w:numPr>
        <w:spacing w:before="100" w:beforeAutospacing="1" w:after="100" w:afterAutospacing="1" w:line="240" w:lineRule="auto"/>
        <w:rPr>
          <w:rFonts w:cstheme="minorHAnsi"/>
          <w:color w:val="011A3C"/>
          <w:sz w:val="24"/>
          <w:szCs w:val="24"/>
        </w:rPr>
      </w:pPr>
      <w:r w:rsidRPr="00614B09">
        <w:rPr>
          <w:rFonts w:cstheme="minorHAnsi"/>
          <w:color w:val="011A3C"/>
          <w:sz w:val="24"/>
          <w:szCs w:val="24"/>
        </w:rPr>
        <w:t>Program for Students with Disabilities Levels 1-6</w:t>
      </w:r>
    </w:p>
    <w:p w14:paraId="04BD273F" w14:textId="77777777" w:rsidR="004923E8" w:rsidRPr="00614B09" w:rsidRDefault="004923E8" w:rsidP="00F56244">
      <w:pPr>
        <w:pStyle w:val="ListParagraph"/>
        <w:numPr>
          <w:ilvl w:val="0"/>
          <w:numId w:val="67"/>
        </w:numPr>
        <w:spacing w:before="100" w:beforeAutospacing="1" w:after="100" w:afterAutospacing="1" w:line="240" w:lineRule="auto"/>
        <w:rPr>
          <w:rFonts w:cstheme="minorHAnsi"/>
          <w:color w:val="011A3C"/>
          <w:sz w:val="24"/>
          <w:szCs w:val="24"/>
        </w:rPr>
      </w:pPr>
      <w:r w:rsidRPr="00614B09">
        <w:rPr>
          <w:rFonts w:cstheme="minorHAnsi"/>
          <w:color w:val="011A3C"/>
          <w:sz w:val="24"/>
          <w:szCs w:val="24"/>
        </w:rPr>
        <w:t>Program for Students with Disabilities — Transition Support Funding</w:t>
      </w:r>
    </w:p>
    <w:p w14:paraId="67973FC6" w14:textId="77777777" w:rsidR="004923E8" w:rsidRPr="00614B09" w:rsidRDefault="004923E8" w:rsidP="00F56244">
      <w:pPr>
        <w:pStyle w:val="ListParagraph"/>
        <w:numPr>
          <w:ilvl w:val="0"/>
          <w:numId w:val="67"/>
        </w:numPr>
        <w:spacing w:before="100" w:beforeAutospacing="1" w:after="100" w:afterAutospacing="1" w:line="240" w:lineRule="auto"/>
        <w:rPr>
          <w:rFonts w:cstheme="minorHAnsi"/>
          <w:color w:val="011A3C"/>
          <w:sz w:val="24"/>
          <w:szCs w:val="24"/>
        </w:rPr>
      </w:pPr>
      <w:r w:rsidRPr="00614B09">
        <w:rPr>
          <w:rFonts w:cstheme="minorHAnsi"/>
          <w:color w:val="011A3C"/>
          <w:sz w:val="24"/>
          <w:szCs w:val="24"/>
        </w:rPr>
        <w:t>Special School Complexity</w:t>
      </w:r>
    </w:p>
    <w:p w14:paraId="30768F5C" w14:textId="77777777" w:rsidR="004923E8" w:rsidRPr="00614B09" w:rsidRDefault="004923E8" w:rsidP="00F56244">
      <w:pPr>
        <w:pStyle w:val="ListParagraph"/>
        <w:numPr>
          <w:ilvl w:val="0"/>
          <w:numId w:val="67"/>
        </w:numPr>
        <w:spacing w:before="100" w:beforeAutospacing="1" w:after="100" w:afterAutospacing="1" w:line="240" w:lineRule="auto"/>
        <w:rPr>
          <w:rFonts w:cstheme="minorHAnsi"/>
          <w:color w:val="011A3C"/>
          <w:sz w:val="24"/>
          <w:szCs w:val="24"/>
        </w:rPr>
      </w:pPr>
      <w:r w:rsidRPr="00614B09">
        <w:rPr>
          <w:rFonts w:cstheme="minorHAnsi"/>
          <w:color w:val="011A3C"/>
          <w:sz w:val="24"/>
          <w:szCs w:val="24"/>
        </w:rPr>
        <w:t>Interpreter Staff Salaries</w:t>
      </w:r>
    </w:p>
    <w:p w14:paraId="4F667CA3" w14:textId="77777777" w:rsidR="004923E8" w:rsidRPr="00614B09" w:rsidRDefault="004923E8" w:rsidP="00F56244">
      <w:pPr>
        <w:pStyle w:val="ListParagraph"/>
        <w:numPr>
          <w:ilvl w:val="0"/>
          <w:numId w:val="67"/>
        </w:numPr>
        <w:spacing w:before="100" w:beforeAutospacing="1" w:after="100" w:afterAutospacing="1" w:line="240" w:lineRule="auto"/>
        <w:rPr>
          <w:rFonts w:cstheme="minorHAnsi"/>
          <w:color w:val="011A3C"/>
          <w:sz w:val="24"/>
          <w:szCs w:val="24"/>
        </w:rPr>
      </w:pPr>
      <w:r w:rsidRPr="00614B09">
        <w:rPr>
          <w:rFonts w:cstheme="minorHAnsi"/>
          <w:color w:val="011A3C"/>
          <w:sz w:val="24"/>
          <w:szCs w:val="24"/>
        </w:rPr>
        <w:t>Medical Intervention Support</w:t>
      </w:r>
    </w:p>
    <w:p w14:paraId="29C8463E" w14:textId="5D0DA170" w:rsidR="004923E8" w:rsidRPr="00614B09" w:rsidRDefault="004923E8" w:rsidP="00F56244">
      <w:pPr>
        <w:pStyle w:val="ListParagraph"/>
        <w:numPr>
          <w:ilvl w:val="0"/>
          <w:numId w:val="67"/>
        </w:numPr>
        <w:spacing w:before="100" w:beforeAutospacing="1" w:after="100" w:afterAutospacing="1" w:line="240" w:lineRule="auto"/>
        <w:rPr>
          <w:rFonts w:cstheme="minorHAnsi"/>
          <w:color w:val="011A3C"/>
          <w:sz w:val="24"/>
          <w:szCs w:val="24"/>
        </w:rPr>
      </w:pPr>
      <w:r w:rsidRPr="00614B09">
        <w:rPr>
          <w:rFonts w:cstheme="minorHAnsi"/>
          <w:color w:val="011A3C"/>
          <w:sz w:val="24"/>
          <w:szCs w:val="24"/>
        </w:rPr>
        <w:t>Special School Transport Administrative Cost</w:t>
      </w:r>
    </w:p>
    <w:p w14:paraId="033B87E0" w14:textId="77777777" w:rsidR="004923E8" w:rsidRPr="00260C1D" w:rsidRDefault="004923E8" w:rsidP="004923E8">
      <w:pPr>
        <w:rPr>
          <w:rFonts w:cstheme="minorHAnsi"/>
        </w:rPr>
      </w:pPr>
      <w:r w:rsidRPr="00260C1D">
        <w:rPr>
          <w:rStyle w:val="Strong"/>
          <w:rFonts w:cstheme="minorHAnsi"/>
          <w:color w:val="011A3C"/>
        </w:rPr>
        <w:t>English as an Additional Language</w:t>
      </w:r>
    </w:p>
    <w:p w14:paraId="1DD85D91" w14:textId="77777777" w:rsidR="004923E8" w:rsidRPr="00614B09" w:rsidRDefault="004923E8" w:rsidP="00F56244">
      <w:pPr>
        <w:pStyle w:val="ListParagraph"/>
        <w:numPr>
          <w:ilvl w:val="0"/>
          <w:numId w:val="67"/>
        </w:numPr>
        <w:spacing w:before="100" w:beforeAutospacing="1" w:after="100" w:afterAutospacing="1" w:line="240" w:lineRule="auto"/>
        <w:rPr>
          <w:rFonts w:cstheme="minorHAnsi"/>
          <w:color w:val="011A3C"/>
          <w:sz w:val="24"/>
          <w:szCs w:val="24"/>
        </w:rPr>
      </w:pPr>
      <w:r w:rsidRPr="00614B09">
        <w:rPr>
          <w:rFonts w:cstheme="minorHAnsi"/>
          <w:color w:val="011A3C"/>
          <w:sz w:val="24"/>
          <w:szCs w:val="24"/>
        </w:rPr>
        <w:t>EAL Program Funding</w:t>
      </w:r>
    </w:p>
    <w:p w14:paraId="08F9152C" w14:textId="361B95E5" w:rsidR="00DF4FFA" w:rsidRPr="00833928" w:rsidRDefault="004923E8" w:rsidP="009B4DE1">
      <w:pPr>
        <w:pStyle w:val="ListParagraph"/>
        <w:numPr>
          <w:ilvl w:val="0"/>
          <w:numId w:val="67"/>
        </w:numPr>
        <w:spacing w:before="100" w:beforeAutospacing="1" w:after="100" w:afterAutospacing="1" w:line="240" w:lineRule="auto"/>
        <w:rPr>
          <w:rStyle w:val="Strong"/>
        </w:rPr>
      </w:pPr>
      <w:r w:rsidRPr="00614B09">
        <w:rPr>
          <w:rFonts w:cstheme="minorHAnsi"/>
          <w:color w:val="011A3C"/>
          <w:sz w:val="24"/>
          <w:szCs w:val="24"/>
        </w:rPr>
        <w:t>EAL Contingency Funding</w:t>
      </w:r>
    </w:p>
    <w:p w14:paraId="4386459A" w14:textId="2D6EA693" w:rsidR="0012059E" w:rsidRPr="00260C1D" w:rsidRDefault="004923E8" w:rsidP="0012059E">
      <w:pPr>
        <w:rPr>
          <w:rStyle w:val="Strong"/>
          <w:rFonts w:cstheme="minorHAnsi"/>
          <w:color w:val="011A3C"/>
        </w:rPr>
      </w:pPr>
      <w:r w:rsidRPr="00260C1D">
        <w:rPr>
          <w:rStyle w:val="Strong"/>
          <w:rFonts w:cstheme="minorHAnsi"/>
          <w:color w:val="011A3C"/>
        </w:rPr>
        <w:t>Disability Inclusion</w:t>
      </w:r>
    </w:p>
    <w:p w14:paraId="219AFA09" w14:textId="5307CDA4" w:rsidR="004923E8" w:rsidRPr="00614B09" w:rsidRDefault="0012059E" w:rsidP="004923E8">
      <w:pPr>
        <w:spacing w:before="100" w:beforeAutospacing="1" w:after="100" w:afterAutospacing="1" w:line="240" w:lineRule="auto"/>
        <w:rPr>
          <w:rFonts w:cstheme="minorHAnsi"/>
          <w:color w:val="011A3C"/>
          <w:sz w:val="24"/>
          <w:szCs w:val="24"/>
        </w:rPr>
      </w:pPr>
      <w:bookmarkStart w:id="47" w:name="_Hlk99872727"/>
      <w:r w:rsidRPr="00614B09">
        <w:rPr>
          <w:rFonts w:cstheme="minorHAnsi"/>
          <w:color w:val="011A3C"/>
          <w:sz w:val="24"/>
          <w:szCs w:val="24"/>
        </w:rPr>
        <w:lastRenderedPageBreak/>
        <w:t>A</w:t>
      </w:r>
      <w:r w:rsidR="004923E8" w:rsidRPr="00614B09">
        <w:rPr>
          <w:rFonts w:cstheme="minorHAnsi"/>
          <w:color w:val="011A3C"/>
          <w:sz w:val="24"/>
          <w:szCs w:val="24"/>
        </w:rPr>
        <w:t>pplicable to schools in Bayside Peninsula, Barwon</w:t>
      </w:r>
      <w:r w:rsidR="008C6E3C" w:rsidRPr="00614B09">
        <w:rPr>
          <w:rFonts w:cstheme="minorHAnsi"/>
          <w:color w:val="011A3C"/>
          <w:sz w:val="24"/>
          <w:szCs w:val="24"/>
        </w:rPr>
        <w:t>, Central Highlands</w:t>
      </w:r>
      <w:r w:rsidR="009E56BE" w:rsidRPr="00614B09">
        <w:rPr>
          <w:rFonts w:cstheme="minorHAnsi"/>
          <w:color w:val="011A3C"/>
          <w:sz w:val="24"/>
          <w:szCs w:val="24"/>
        </w:rPr>
        <w:t>, Inner Gippsland,</w:t>
      </w:r>
      <w:r w:rsidR="008C6E3C" w:rsidRPr="00614B09">
        <w:rPr>
          <w:rFonts w:cstheme="minorHAnsi"/>
          <w:color w:val="011A3C"/>
          <w:sz w:val="24"/>
          <w:szCs w:val="24"/>
        </w:rPr>
        <w:t xml:space="preserve"> </w:t>
      </w:r>
      <w:r w:rsidR="004923E8" w:rsidRPr="00614B09">
        <w:rPr>
          <w:rFonts w:cstheme="minorHAnsi"/>
          <w:color w:val="011A3C"/>
          <w:sz w:val="24"/>
          <w:szCs w:val="24"/>
        </w:rPr>
        <w:t xml:space="preserve">Loddon Campaspe </w:t>
      </w:r>
      <w:r w:rsidR="008C6E3C" w:rsidRPr="00614B09">
        <w:rPr>
          <w:rFonts w:cstheme="minorHAnsi"/>
          <w:color w:val="011A3C"/>
          <w:sz w:val="24"/>
          <w:szCs w:val="24"/>
        </w:rPr>
        <w:t>Mallee</w:t>
      </w:r>
      <w:r w:rsidR="009E56BE" w:rsidRPr="00614B09">
        <w:rPr>
          <w:rFonts w:cstheme="minorHAnsi"/>
          <w:color w:val="011A3C"/>
          <w:sz w:val="24"/>
          <w:szCs w:val="24"/>
        </w:rPr>
        <w:t xml:space="preserve">, </w:t>
      </w:r>
      <w:r w:rsidR="008C6E3C" w:rsidRPr="00614B09">
        <w:rPr>
          <w:rFonts w:cstheme="minorHAnsi"/>
          <w:color w:val="011A3C"/>
          <w:sz w:val="24"/>
          <w:szCs w:val="24"/>
        </w:rPr>
        <w:t>Outer Eastern Melbourne</w:t>
      </w:r>
      <w:r w:rsidR="009E56BE" w:rsidRPr="00614B09">
        <w:rPr>
          <w:rFonts w:cstheme="minorHAnsi"/>
          <w:color w:val="011A3C"/>
          <w:sz w:val="24"/>
          <w:szCs w:val="24"/>
        </w:rPr>
        <w:t>, Ovens Murray</w:t>
      </w:r>
      <w:r w:rsidR="00762AE2">
        <w:rPr>
          <w:rFonts w:cstheme="minorHAnsi"/>
          <w:color w:val="011A3C"/>
          <w:sz w:val="24"/>
          <w:szCs w:val="24"/>
        </w:rPr>
        <w:t>,</w:t>
      </w:r>
      <w:r w:rsidR="009E56BE" w:rsidRPr="00614B09">
        <w:rPr>
          <w:rFonts w:cstheme="minorHAnsi"/>
          <w:color w:val="011A3C"/>
          <w:sz w:val="24"/>
          <w:szCs w:val="24"/>
        </w:rPr>
        <w:t xml:space="preserve"> Western Melbourne</w:t>
      </w:r>
      <w:r w:rsidR="001E4194">
        <w:rPr>
          <w:rFonts w:cstheme="minorHAnsi"/>
          <w:color w:val="011A3C"/>
          <w:sz w:val="24"/>
          <w:szCs w:val="24"/>
        </w:rPr>
        <w:t xml:space="preserve">, </w:t>
      </w:r>
      <w:r w:rsidR="001E4194" w:rsidRPr="009B4DE1">
        <w:rPr>
          <w:rFonts w:cstheme="minorHAnsi"/>
          <w:color w:val="011A3C"/>
          <w:sz w:val="24"/>
          <w:szCs w:val="24"/>
        </w:rPr>
        <w:t xml:space="preserve">North Eastern Melbourne, Southern Melbourne, </w:t>
      </w:r>
      <w:proofErr w:type="spellStart"/>
      <w:r w:rsidR="001E4194" w:rsidRPr="009B4DE1">
        <w:rPr>
          <w:rFonts w:cstheme="minorHAnsi"/>
          <w:color w:val="011A3C"/>
          <w:sz w:val="24"/>
          <w:szCs w:val="24"/>
        </w:rPr>
        <w:t>Brimbank</w:t>
      </w:r>
      <w:proofErr w:type="spellEnd"/>
      <w:r w:rsidR="001E4194" w:rsidRPr="009B4DE1">
        <w:rPr>
          <w:rFonts w:cstheme="minorHAnsi"/>
          <w:color w:val="011A3C"/>
          <w:sz w:val="24"/>
          <w:szCs w:val="24"/>
        </w:rPr>
        <w:t xml:space="preserve"> Melton, and Goulburn</w:t>
      </w:r>
      <w:r w:rsidR="009E56BE" w:rsidRPr="00614B09">
        <w:rPr>
          <w:rFonts w:cstheme="minorHAnsi"/>
          <w:color w:val="011A3C"/>
          <w:sz w:val="24"/>
          <w:szCs w:val="24"/>
        </w:rPr>
        <w:t xml:space="preserve"> </w:t>
      </w:r>
      <w:r w:rsidR="004923E8" w:rsidRPr="00614B09">
        <w:rPr>
          <w:rFonts w:cstheme="minorHAnsi"/>
          <w:color w:val="011A3C"/>
          <w:sz w:val="24"/>
          <w:szCs w:val="24"/>
        </w:rPr>
        <w:t xml:space="preserve">Areas, </w:t>
      </w:r>
      <w:r w:rsidR="008C6E3C" w:rsidRPr="00614B09">
        <w:rPr>
          <w:rFonts w:cstheme="minorHAnsi"/>
          <w:color w:val="011A3C"/>
          <w:sz w:val="24"/>
          <w:szCs w:val="24"/>
        </w:rPr>
        <w:t xml:space="preserve">as well as </w:t>
      </w:r>
      <w:r w:rsidR="001974C0">
        <w:rPr>
          <w:rFonts w:cstheme="minorHAnsi"/>
          <w:color w:val="011A3C"/>
          <w:sz w:val="24"/>
          <w:szCs w:val="24"/>
        </w:rPr>
        <w:t>12</w:t>
      </w:r>
      <w:r w:rsidR="001974C0" w:rsidRPr="00614B09">
        <w:rPr>
          <w:rFonts w:cstheme="minorHAnsi"/>
          <w:color w:val="011A3C"/>
          <w:sz w:val="24"/>
          <w:szCs w:val="24"/>
        </w:rPr>
        <w:t xml:space="preserve"> </w:t>
      </w:r>
      <w:r w:rsidR="008C6E3C" w:rsidRPr="00614B09">
        <w:rPr>
          <w:rFonts w:cstheme="minorHAnsi"/>
          <w:color w:val="011A3C"/>
          <w:sz w:val="24"/>
          <w:szCs w:val="24"/>
        </w:rPr>
        <w:t xml:space="preserve">specified </w:t>
      </w:r>
      <w:hyperlink r:id="rId28" w:tgtFrame="_blank" w:history="1">
        <w:r w:rsidR="004923E8" w:rsidRPr="00614B09">
          <w:rPr>
            <w:rStyle w:val="Hyperlink"/>
            <w:rFonts w:eastAsia="Segoe UI" w:cstheme="minorHAnsi"/>
            <w:sz w:val="24"/>
            <w:szCs w:val="24"/>
            <w:lang w:val="en" w:eastAsia="en-AU"/>
          </w:rPr>
          <w:t>supported inclusion schools</w:t>
        </w:r>
      </w:hyperlink>
      <w:r w:rsidR="004923E8" w:rsidRPr="00614B09">
        <w:rPr>
          <w:rFonts w:cstheme="minorHAnsi"/>
          <w:color w:val="011A3C"/>
          <w:sz w:val="24"/>
          <w:szCs w:val="24"/>
        </w:rPr>
        <w:t xml:space="preserve"> in </w:t>
      </w:r>
      <w:r w:rsidR="001974C0">
        <w:rPr>
          <w:rFonts w:cstheme="minorHAnsi"/>
          <w:color w:val="011A3C"/>
          <w:sz w:val="24"/>
          <w:szCs w:val="24"/>
        </w:rPr>
        <w:t>2024</w:t>
      </w:r>
      <w:r w:rsidR="004923E8" w:rsidRPr="00614B09">
        <w:rPr>
          <w:rFonts w:cstheme="minorHAnsi"/>
          <w:color w:val="011A3C"/>
          <w:sz w:val="24"/>
          <w:szCs w:val="24"/>
        </w:rPr>
        <w:t xml:space="preserve">. </w:t>
      </w:r>
    </w:p>
    <w:bookmarkEnd w:id="47"/>
    <w:p w14:paraId="5176E843" w14:textId="2BE9EDAF" w:rsidR="004923E8" w:rsidRPr="00614B09" w:rsidRDefault="004923E8" w:rsidP="00F56244">
      <w:pPr>
        <w:pStyle w:val="ListParagraph"/>
        <w:numPr>
          <w:ilvl w:val="0"/>
          <w:numId w:val="67"/>
        </w:numPr>
        <w:spacing w:before="100" w:beforeAutospacing="1" w:after="100" w:afterAutospacing="1" w:line="240" w:lineRule="auto"/>
        <w:rPr>
          <w:rFonts w:cstheme="minorHAnsi"/>
          <w:color w:val="011A3C"/>
          <w:sz w:val="24"/>
          <w:szCs w:val="24"/>
        </w:rPr>
      </w:pPr>
      <w:r w:rsidRPr="00614B09">
        <w:rPr>
          <w:rFonts w:cstheme="minorHAnsi"/>
          <w:color w:val="011A3C"/>
          <w:sz w:val="24"/>
          <w:szCs w:val="24"/>
        </w:rPr>
        <w:t xml:space="preserve">Tier 2 School level </w:t>
      </w:r>
      <w:r w:rsidR="002A4A14" w:rsidRPr="00614B09">
        <w:rPr>
          <w:rFonts w:cstheme="minorHAnsi"/>
          <w:color w:val="011A3C"/>
          <w:sz w:val="24"/>
          <w:szCs w:val="24"/>
        </w:rPr>
        <w:t>f</w:t>
      </w:r>
      <w:r w:rsidRPr="00614B09">
        <w:rPr>
          <w:rFonts w:cstheme="minorHAnsi"/>
          <w:color w:val="011A3C"/>
          <w:sz w:val="24"/>
          <w:szCs w:val="24"/>
        </w:rPr>
        <w:t xml:space="preserve">unding </w:t>
      </w:r>
    </w:p>
    <w:p w14:paraId="59B926A2" w14:textId="73AEC7CD" w:rsidR="004923E8" w:rsidRPr="00614B09" w:rsidRDefault="004923E8" w:rsidP="00F56244">
      <w:pPr>
        <w:pStyle w:val="ListParagraph"/>
        <w:numPr>
          <w:ilvl w:val="0"/>
          <w:numId w:val="67"/>
        </w:numPr>
        <w:spacing w:before="100" w:beforeAutospacing="1" w:after="100" w:afterAutospacing="1" w:line="240" w:lineRule="auto"/>
        <w:rPr>
          <w:rFonts w:cstheme="minorHAnsi"/>
          <w:color w:val="011A3C"/>
          <w:sz w:val="24"/>
          <w:szCs w:val="24"/>
        </w:rPr>
      </w:pPr>
      <w:r w:rsidRPr="00614B09">
        <w:rPr>
          <w:rFonts w:cstheme="minorHAnsi"/>
          <w:color w:val="011A3C"/>
          <w:sz w:val="24"/>
          <w:szCs w:val="24"/>
        </w:rPr>
        <w:t xml:space="preserve">Tier 3 Student level </w:t>
      </w:r>
      <w:r w:rsidR="002A4A14" w:rsidRPr="00614B09">
        <w:rPr>
          <w:rFonts w:cstheme="minorHAnsi"/>
          <w:color w:val="011A3C"/>
          <w:sz w:val="24"/>
          <w:szCs w:val="24"/>
        </w:rPr>
        <w:t>funding</w:t>
      </w:r>
    </w:p>
    <w:p w14:paraId="4D970DA4" w14:textId="6C79D8BE" w:rsidR="009B65A2" w:rsidRPr="00614B09" w:rsidRDefault="009B65A2" w:rsidP="00F56244">
      <w:pPr>
        <w:pStyle w:val="ListParagraph"/>
        <w:numPr>
          <w:ilvl w:val="0"/>
          <w:numId w:val="67"/>
        </w:numPr>
        <w:spacing w:before="100" w:beforeAutospacing="1" w:after="100" w:afterAutospacing="1" w:line="240" w:lineRule="auto"/>
        <w:rPr>
          <w:rFonts w:cstheme="minorHAnsi"/>
          <w:color w:val="011A3C"/>
          <w:sz w:val="24"/>
          <w:szCs w:val="24"/>
        </w:rPr>
      </w:pPr>
      <w:r w:rsidRPr="00614B09">
        <w:rPr>
          <w:rFonts w:cstheme="minorHAnsi"/>
          <w:color w:val="011A3C"/>
          <w:sz w:val="24"/>
          <w:szCs w:val="24"/>
        </w:rPr>
        <w:t>Disability</w:t>
      </w:r>
      <w:r w:rsidR="00762AE2">
        <w:rPr>
          <w:rFonts w:cstheme="minorHAnsi"/>
          <w:color w:val="011A3C"/>
          <w:sz w:val="24"/>
          <w:szCs w:val="24"/>
        </w:rPr>
        <w:t xml:space="preserve"> Inclusion</w:t>
      </w:r>
      <w:r w:rsidRPr="00614B09">
        <w:rPr>
          <w:rFonts w:cstheme="minorHAnsi"/>
          <w:color w:val="011A3C"/>
          <w:sz w:val="24"/>
          <w:szCs w:val="24"/>
        </w:rPr>
        <w:t xml:space="preserve"> Transition </w:t>
      </w:r>
      <w:r w:rsidR="00762AE2">
        <w:rPr>
          <w:rFonts w:cstheme="minorHAnsi"/>
          <w:color w:val="011A3C"/>
          <w:sz w:val="24"/>
          <w:szCs w:val="24"/>
        </w:rPr>
        <w:t>F</w:t>
      </w:r>
      <w:r w:rsidRPr="00614B09">
        <w:rPr>
          <w:rFonts w:cstheme="minorHAnsi"/>
          <w:color w:val="011A3C"/>
          <w:sz w:val="24"/>
          <w:szCs w:val="24"/>
        </w:rPr>
        <w:t>unding</w:t>
      </w:r>
    </w:p>
    <w:p w14:paraId="2F0BFBF4" w14:textId="1EE1075E" w:rsidR="004923E8" w:rsidRDefault="004923E8" w:rsidP="004923E8">
      <w:pPr>
        <w:pStyle w:val="NormalWeb"/>
        <w:rPr>
          <w:rFonts w:asciiTheme="minorHAnsi" w:eastAsiaTheme="minorHAnsi" w:hAnsiTheme="minorHAnsi" w:cstheme="minorHAnsi"/>
          <w:color w:val="011A3C"/>
          <w:lang w:eastAsia="en-US"/>
        </w:rPr>
      </w:pPr>
      <w:r w:rsidRPr="00614B09">
        <w:rPr>
          <w:rFonts w:asciiTheme="minorHAnsi" w:eastAsiaTheme="minorHAnsi" w:hAnsiTheme="minorHAnsi" w:cstheme="minorHAnsi"/>
          <w:color w:val="011A3C"/>
          <w:lang w:eastAsia="en-US"/>
        </w:rPr>
        <w:t>Not all types of funding are available to all schools. Funding is assessed according to school and student need</w:t>
      </w:r>
      <w:r w:rsidR="007F4652">
        <w:rPr>
          <w:rFonts w:asciiTheme="minorHAnsi" w:eastAsiaTheme="minorHAnsi" w:hAnsiTheme="minorHAnsi" w:cstheme="minorHAnsi"/>
          <w:color w:val="011A3C"/>
          <w:lang w:eastAsia="en-US"/>
        </w:rPr>
        <w:t>s</w:t>
      </w:r>
      <w:r w:rsidRPr="00614B09">
        <w:rPr>
          <w:rFonts w:asciiTheme="minorHAnsi" w:eastAsiaTheme="minorHAnsi" w:hAnsiTheme="minorHAnsi" w:cstheme="minorHAnsi"/>
          <w:color w:val="011A3C"/>
          <w:lang w:eastAsia="en-US"/>
        </w:rPr>
        <w:t>.</w:t>
      </w:r>
      <w:r w:rsidR="00762AE2">
        <w:rPr>
          <w:rFonts w:asciiTheme="minorHAnsi" w:eastAsiaTheme="minorHAnsi" w:hAnsiTheme="minorHAnsi" w:cstheme="minorHAnsi"/>
          <w:color w:val="011A3C"/>
          <w:lang w:eastAsia="en-US"/>
        </w:rPr>
        <w:t xml:space="preserve"> </w:t>
      </w:r>
    </w:p>
    <w:p w14:paraId="056D4461" w14:textId="375E0D55" w:rsidR="00762AE2" w:rsidRPr="009F5D3F" w:rsidRDefault="00762AE2" w:rsidP="00095EA3">
      <w:pPr>
        <w:spacing w:before="100" w:beforeAutospacing="1" w:after="100" w:afterAutospacing="1" w:line="240" w:lineRule="auto"/>
        <w:rPr>
          <w:rFonts w:cstheme="minorHAnsi"/>
          <w:color w:val="011A3C"/>
        </w:rPr>
      </w:pPr>
      <w:r w:rsidRPr="009F5D3F">
        <w:rPr>
          <w:rFonts w:cstheme="minorHAnsi"/>
          <w:color w:val="011A3C"/>
          <w:sz w:val="24"/>
          <w:szCs w:val="24"/>
        </w:rPr>
        <w:t xml:space="preserve">In addition to the above areas, schools in </w:t>
      </w:r>
      <w:r w:rsidR="00D82B2C" w:rsidRPr="009B4DE1">
        <w:rPr>
          <w:rFonts w:cstheme="minorHAnsi"/>
          <w:color w:val="011A3C"/>
          <w:sz w:val="24"/>
          <w:szCs w:val="24"/>
        </w:rPr>
        <w:t>Hume Merri-bek, Outer Gippsland, Wimmera South West, and Inner Eastern Melbourne</w:t>
      </w:r>
      <w:r w:rsidR="00D82B2C" w:rsidRPr="005975E1" w:rsidDel="00D82B2C">
        <w:rPr>
          <w:rFonts w:cstheme="minorHAnsi"/>
          <w:color w:val="011A3C"/>
          <w:sz w:val="24"/>
          <w:szCs w:val="24"/>
        </w:rPr>
        <w:t xml:space="preserve"> </w:t>
      </w:r>
      <w:r w:rsidRPr="00614B09">
        <w:rPr>
          <w:rFonts w:cstheme="minorHAnsi"/>
          <w:color w:val="011A3C"/>
          <w:sz w:val="24"/>
          <w:szCs w:val="24"/>
        </w:rPr>
        <w:t>Areas</w:t>
      </w:r>
      <w:r>
        <w:rPr>
          <w:rFonts w:cstheme="minorHAnsi"/>
          <w:color w:val="011A3C"/>
          <w:sz w:val="24"/>
          <w:szCs w:val="24"/>
        </w:rPr>
        <w:t xml:space="preserve"> will receive the equivalent of a half-year allocation of Tier 2 school level funding in </w:t>
      </w:r>
      <w:r w:rsidR="005727C0">
        <w:rPr>
          <w:rFonts w:cstheme="minorHAnsi"/>
          <w:color w:val="011A3C"/>
          <w:sz w:val="24"/>
          <w:szCs w:val="24"/>
        </w:rPr>
        <w:t>2024</w:t>
      </w:r>
      <w:r>
        <w:rPr>
          <w:rFonts w:cstheme="minorHAnsi"/>
          <w:color w:val="011A3C"/>
          <w:sz w:val="24"/>
          <w:szCs w:val="24"/>
        </w:rPr>
        <w:t>.</w:t>
      </w:r>
    </w:p>
    <w:p w14:paraId="79CD9714" w14:textId="77777777" w:rsidR="004923E8" w:rsidRPr="00614B09" w:rsidRDefault="004923E8" w:rsidP="004923E8">
      <w:pPr>
        <w:pStyle w:val="NormalWeb"/>
        <w:rPr>
          <w:rFonts w:asciiTheme="minorHAnsi" w:eastAsiaTheme="minorHAnsi" w:hAnsiTheme="minorHAnsi" w:cstheme="minorHAnsi"/>
          <w:color w:val="011A3C"/>
          <w:lang w:eastAsia="en-US"/>
        </w:rPr>
      </w:pPr>
      <w:r w:rsidRPr="00614B09">
        <w:rPr>
          <w:rFonts w:asciiTheme="minorHAnsi" w:eastAsiaTheme="minorHAnsi" w:hAnsiTheme="minorHAnsi" w:cstheme="minorHAnsi"/>
          <w:color w:val="011A3C"/>
          <w:lang w:eastAsia="en-US"/>
        </w:rPr>
        <w:t>Schools are expected to use SRP funds for the purpose for which it was allocated.</w:t>
      </w:r>
    </w:p>
    <w:p w14:paraId="5F29D97E" w14:textId="77777777" w:rsidR="004923E8" w:rsidRPr="00614B09" w:rsidRDefault="004923E8" w:rsidP="004923E8">
      <w:pPr>
        <w:pStyle w:val="NormalWeb"/>
        <w:rPr>
          <w:rFonts w:asciiTheme="minorHAnsi" w:eastAsiaTheme="minorHAnsi" w:hAnsiTheme="minorHAnsi" w:cstheme="minorHAnsi"/>
          <w:color w:val="011A3C"/>
          <w:lang w:eastAsia="en-US"/>
        </w:rPr>
      </w:pPr>
      <w:r w:rsidRPr="00614B09">
        <w:rPr>
          <w:rFonts w:asciiTheme="minorHAnsi" w:eastAsiaTheme="minorHAnsi" w:hAnsiTheme="minorHAnsi" w:cstheme="minorHAnsi"/>
          <w:color w:val="011A3C"/>
          <w:lang w:eastAsia="en-US"/>
        </w:rPr>
        <w:t>For more general information on the SRP, please refer to the </w:t>
      </w:r>
      <w:hyperlink r:id="rId29" w:history="1">
        <w:r w:rsidRPr="00614B09">
          <w:rPr>
            <w:rFonts w:asciiTheme="minorHAnsi" w:eastAsiaTheme="minorHAnsi" w:hAnsiTheme="minorHAnsi" w:cstheme="minorHAnsi"/>
            <w:color w:val="011A3C"/>
            <w:lang w:eastAsia="en-US"/>
          </w:rPr>
          <w:t>Student Resource Package — Overview page</w:t>
        </w:r>
      </w:hyperlink>
      <w:r w:rsidRPr="00614B09">
        <w:rPr>
          <w:rFonts w:asciiTheme="minorHAnsi" w:eastAsiaTheme="minorHAnsi" w:hAnsiTheme="minorHAnsi" w:cstheme="minorHAnsi"/>
          <w:color w:val="011A3C"/>
          <w:lang w:eastAsia="en-US"/>
        </w:rPr>
        <w:t>.</w:t>
      </w:r>
    </w:p>
    <w:p w14:paraId="6389A118" w14:textId="77777777" w:rsidR="004923E8" w:rsidRPr="00260C1D" w:rsidRDefault="004923E8" w:rsidP="00C116FE">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Related policies</w:t>
      </w:r>
    </w:p>
    <w:p w14:paraId="31F60C42" w14:textId="4C233688" w:rsidR="004923E8" w:rsidRPr="00DF4FFA" w:rsidRDefault="00000000" w:rsidP="00F56244">
      <w:pPr>
        <w:pStyle w:val="ListParagraph"/>
        <w:numPr>
          <w:ilvl w:val="0"/>
          <w:numId w:val="96"/>
        </w:numPr>
        <w:spacing w:before="100" w:beforeAutospacing="1" w:after="100" w:afterAutospacing="1" w:line="240" w:lineRule="auto"/>
        <w:rPr>
          <w:rStyle w:val="Hyperlink"/>
          <w:rFonts w:eastAsia="Segoe UI" w:cstheme="minorHAnsi"/>
          <w:sz w:val="24"/>
          <w:szCs w:val="24"/>
          <w:lang w:val="en" w:eastAsia="en-AU"/>
        </w:rPr>
      </w:pPr>
      <w:hyperlink r:id="rId30" w:history="1">
        <w:r w:rsidR="004923E8" w:rsidRPr="007F4652">
          <w:rPr>
            <w:rStyle w:val="Hyperlink"/>
            <w:rFonts w:eastAsia="Segoe UI" w:cstheme="minorHAnsi"/>
            <w:sz w:val="24"/>
            <w:szCs w:val="24"/>
            <w:lang w:val="en" w:eastAsia="en-AU"/>
          </w:rPr>
          <w:t>Disability Inclusion Funding and Support</w:t>
        </w:r>
      </w:hyperlink>
    </w:p>
    <w:p w14:paraId="47410117" w14:textId="77777777" w:rsidR="004923E8" w:rsidRPr="00DF4FFA" w:rsidRDefault="00000000" w:rsidP="00F56244">
      <w:pPr>
        <w:pStyle w:val="ListParagraph"/>
        <w:numPr>
          <w:ilvl w:val="0"/>
          <w:numId w:val="96"/>
        </w:numPr>
        <w:spacing w:before="100" w:beforeAutospacing="1" w:after="100" w:afterAutospacing="1" w:line="240" w:lineRule="auto"/>
        <w:rPr>
          <w:rStyle w:val="Hyperlink"/>
          <w:rFonts w:eastAsia="Segoe UI" w:cstheme="minorHAnsi"/>
          <w:sz w:val="24"/>
          <w:szCs w:val="24"/>
          <w:lang w:val="en" w:eastAsia="en-AU"/>
        </w:rPr>
      </w:pPr>
      <w:hyperlink r:id="rId31" w:history="1">
        <w:r w:rsidR="004923E8" w:rsidRPr="00DF4FFA">
          <w:rPr>
            <w:rStyle w:val="Hyperlink"/>
            <w:rFonts w:eastAsia="Segoe UI" w:cstheme="minorHAnsi"/>
            <w:sz w:val="24"/>
            <w:szCs w:val="24"/>
            <w:lang w:val="en" w:eastAsia="en-AU"/>
          </w:rPr>
          <w:t>EAL — Support and Funding</w:t>
        </w:r>
      </w:hyperlink>
    </w:p>
    <w:p w14:paraId="23D3A347" w14:textId="77777777" w:rsidR="004923E8" w:rsidRPr="00DF4FFA" w:rsidRDefault="00000000" w:rsidP="00F56244">
      <w:pPr>
        <w:pStyle w:val="ListParagraph"/>
        <w:numPr>
          <w:ilvl w:val="0"/>
          <w:numId w:val="96"/>
        </w:numPr>
        <w:spacing w:before="100" w:beforeAutospacing="1" w:after="100" w:afterAutospacing="1" w:line="240" w:lineRule="auto"/>
        <w:rPr>
          <w:rStyle w:val="Hyperlink"/>
          <w:rFonts w:eastAsia="Segoe UI" w:cstheme="minorHAnsi"/>
          <w:sz w:val="24"/>
          <w:szCs w:val="24"/>
          <w:lang w:val="en" w:eastAsia="en-AU"/>
        </w:rPr>
      </w:pPr>
      <w:hyperlink r:id="rId32" w:history="1">
        <w:r w:rsidR="004923E8" w:rsidRPr="00DF4FFA">
          <w:rPr>
            <w:rStyle w:val="Hyperlink"/>
            <w:rFonts w:eastAsia="Segoe UI" w:cstheme="minorHAnsi"/>
            <w:sz w:val="24"/>
            <w:szCs w:val="24"/>
            <w:lang w:val="en" w:eastAsia="en-AU"/>
          </w:rPr>
          <w:t>Finance Manual — Financial Management for Schools</w:t>
        </w:r>
      </w:hyperlink>
    </w:p>
    <w:p w14:paraId="092B9F0E" w14:textId="77777777" w:rsidR="004923E8" w:rsidRPr="00DF4FFA" w:rsidRDefault="00000000" w:rsidP="00F56244">
      <w:pPr>
        <w:pStyle w:val="ListParagraph"/>
        <w:numPr>
          <w:ilvl w:val="0"/>
          <w:numId w:val="96"/>
        </w:numPr>
        <w:spacing w:before="100" w:beforeAutospacing="1" w:after="100" w:afterAutospacing="1" w:line="240" w:lineRule="auto"/>
        <w:rPr>
          <w:rStyle w:val="Hyperlink"/>
          <w:rFonts w:eastAsia="Segoe UI" w:cstheme="minorHAnsi"/>
          <w:sz w:val="24"/>
          <w:szCs w:val="24"/>
          <w:lang w:val="en" w:eastAsia="en-AU"/>
        </w:rPr>
      </w:pPr>
      <w:hyperlink r:id="rId33" w:history="1">
        <w:r w:rsidR="004923E8" w:rsidRPr="00DF4FFA">
          <w:rPr>
            <w:rStyle w:val="Hyperlink"/>
            <w:rFonts w:eastAsia="Segoe UI" w:cstheme="minorHAnsi"/>
            <w:sz w:val="24"/>
            <w:szCs w:val="24"/>
            <w:lang w:val="en" w:eastAsia="en-AU"/>
          </w:rPr>
          <w:t>Framework for Improving School Outcomes</w:t>
        </w:r>
      </w:hyperlink>
    </w:p>
    <w:p w14:paraId="6981A1C4" w14:textId="77777777" w:rsidR="004923E8" w:rsidRPr="00DF4FFA" w:rsidRDefault="00000000" w:rsidP="00F56244">
      <w:pPr>
        <w:pStyle w:val="ListParagraph"/>
        <w:numPr>
          <w:ilvl w:val="0"/>
          <w:numId w:val="96"/>
        </w:numPr>
        <w:spacing w:before="100" w:beforeAutospacing="1" w:after="100" w:afterAutospacing="1" w:line="240" w:lineRule="auto"/>
        <w:rPr>
          <w:rStyle w:val="Hyperlink"/>
          <w:rFonts w:eastAsia="Segoe UI" w:cstheme="minorHAnsi"/>
          <w:sz w:val="24"/>
          <w:szCs w:val="24"/>
          <w:lang w:val="en" w:eastAsia="en-AU"/>
        </w:rPr>
      </w:pPr>
      <w:hyperlink r:id="rId34" w:history="1">
        <w:r w:rsidR="004923E8" w:rsidRPr="00DF4FFA">
          <w:rPr>
            <w:rStyle w:val="Hyperlink"/>
            <w:rFonts w:eastAsia="Segoe UI" w:cstheme="minorHAnsi"/>
            <w:sz w:val="24"/>
            <w:szCs w:val="24"/>
            <w:lang w:val="en" w:eastAsia="en-AU"/>
          </w:rPr>
          <w:t>Student Enrolment Census</w:t>
        </w:r>
      </w:hyperlink>
    </w:p>
    <w:p w14:paraId="2D27D98F" w14:textId="77777777" w:rsidR="004923E8" w:rsidRPr="00DF4FFA" w:rsidRDefault="00000000" w:rsidP="00F56244">
      <w:pPr>
        <w:pStyle w:val="ListParagraph"/>
        <w:numPr>
          <w:ilvl w:val="0"/>
          <w:numId w:val="96"/>
        </w:numPr>
        <w:spacing w:before="100" w:beforeAutospacing="1" w:after="100" w:afterAutospacing="1" w:line="240" w:lineRule="auto"/>
        <w:rPr>
          <w:rStyle w:val="Hyperlink"/>
          <w:rFonts w:eastAsia="Segoe UI" w:cstheme="minorHAnsi"/>
          <w:sz w:val="24"/>
          <w:szCs w:val="24"/>
          <w:lang w:val="en" w:eastAsia="en-AU"/>
        </w:rPr>
      </w:pPr>
      <w:hyperlink r:id="rId35" w:history="1">
        <w:r w:rsidR="004923E8" w:rsidRPr="00DF4FFA">
          <w:rPr>
            <w:rStyle w:val="Hyperlink"/>
            <w:rFonts w:eastAsia="Segoe UI" w:cstheme="minorHAnsi"/>
            <w:sz w:val="24"/>
            <w:szCs w:val="24"/>
            <w:lang w:val="en" w:eastAsia="en-AU"/>
          </w:rPr>
          <w:t>Student Resource Package — Overview</w:t>
        </w:r>
      </w:hyperlink>
    </w:p>
    <w:p w14:paraId="6CD2185D" w14:textId="77777777" w:rsidR="004923E8" w:rsidRPr="00DF4FFA" w:rsidRDefault="00000000" w:rsidP="00F56244">
      <w:pPr>
        <w:pStyle w:val="ListParagraph"/>
        <w:numPr>
          <w:ilvl w:val="0"/>
          <w:numId w:val="96"/>
        </w:numPr>
        <w:spacing w:before="100" w:beforeAutospacing="1" w:after="100" w:afterAutospacing="1" w:line="240" w:lineRule="auto"/>
        <w:rPr>
          <w:rStyle w:val="Hyperlink"/>
          <w:rFonts w:eastAsia="Segoe UI" w:cstheme="minorHAnsi"/>
          <w:sz w:val="24"/>
          <w:szCs w:val="24"/>
          <w:lang w:val="en" w:eastAsia="en-AU"/>
        </w:rPr>
      </w:pPr>
      <w:hyperlink r:id="rId36" w:history="1">
        <w:r w:rsidR="004923E8" w:rsidRPr="00DF4FFA">
          <w:rPr>
            <w:rStyle w:val="Hyperlink"/>
            <w:rFonts w:eastAsia="Segoe UI" w:cstheme="minorHAnsi"/>
            <w:sz w:val="24"/>
            <w:szCs w:val="24"/>
            <w:lang w:val="en" w:eastAsia="en-AU"/>
          </w:rPr>
          <w:t>Student Resource Package — Core Student Learning Allocation funding (Student Based Funding)</w:t>
        </w:r>
      </w:hyperlink>
    </w:p>
    <w:p w14:paraId="52FDAAAF" w14:textId="77777777" w:rsidR="004923E8" w:rsidRPr="00DF4FFA" w:rsidRDefault="00000000" w:rsidP="00F56244">
      <w:pPr>
        <w:pStyle w:val="ListParagraph"/>
        <w:numPr>
          <w:ilvl w:val="0"/>
          <w:numId w:val="96"/>
        </w:numPr>
        <w:spacing w:before="100" w:beforeAutospacing="1" w:after="100" w:afterAutospacing="1" w:line="240" w:lineRule="auto"/>
        <w:rPr>
          <w:rStyle w:val="Hyperlink"/>
          <w:rFonts w:eastAsia="Segoe UI" w:cstheme="minorHAnsi"/>
          <w:sz w:val="24"/>
          <w:szCs w:val="24"/>
          <w:lang w:val="en" w:eastAsia="en-AU"/>
        </w:rPr>
      </w:pPr>
      <w:hyperlink r:id="rId37" w:history="1">
        <w:r w:rsidR="004923E8" w:rsidRPr="00DF4FFA">
          <w:rPr>
            <w:rStyle w:val="Hyperlink"/>
            <w:rFonts w:eastAsia="Segoe UI" w:cstheme="minorHAnsi"/>
            <w:sz w:val="24"/>
            <w:szCs w:val="24"/>
            <w:lang w:val="en" w:eastAsia="en-AU"/>
          </w:rPr>
          <w:t>Student Resource Package — Managing the Budget</w:t>
        </w:r>
      </w:hyperlink>
    </w:p>
    <w:p w14:paraId="6889E200" w14:textId="77777777" w:rsidR="004923E8" w:rsidRPr="00DF4FFA" w:rsidRDefault="00000000" w:rsidP="00F56244">
      <w:pPr>
        <w:pStyle w:val="ListParagraph"/>
        <w:numPr>
          <w:ilvl w:val="0"/>
          <w:numId w:val="96"/>
        </w:numPr>
        <w:spacing w:before="100" w:beforeAutospacing="1" w:after="100" w:afterAutospacing="1" w:line="240" w:lineRule="auto"/>
        <w:rPr>
          <w:rStyle w:val="Hyperlink"/>
          <w:rFonts w:eastAsia="Segoe UI" w:cstheme="minorHAnsi"/>
          <w:sz w:val="24"/>
          <w:szCs w:val="24"/>
          <w:lang w:val="en" w:eastAsia="en-AU"/>
        </w:rPr>
      </w:pPr>
      <w:hyperlink r:id="rId38" w:history="1">
        <w:r w:rsidR="004923E8" w:rsidRPr="00DF4FFA">
          <w:rPr>
            <w:rStyle w:val="Hyperlink"/>
            <w:rFonts w:eastAsia="Segoe UI" w:cstheme="minorHAnsi"/>
            <w:sz w:val="24"/>
            <w:szCs w:val="24"/>
            <w:lang w:val="en" w:eastAsia="en-AU"/>
          </w:rPr>
          <w:t>Student Resource Package — School Infrastructure</w:t>
        </w:r>
      </w:hyperlink>
    </w:p>
    <w:p w14:paraId="0CAFFF75" w14:textId="77777777" w:rsidR="004923E8" w:rsidRPr="00DF4FFA" w:rsidRDefault="00000000" w:rsidP="00F56244">
      <w:pPr>
        <w:pStyle w:val="ListParagraph"/>
        <w:numPr>
          <w:ilvl w:val="0"/>
          <w:numId w:val="96"/>
        </w:numPr>
        <w:spacing w:before="100" w:beforeAutospacing="1" w:after="100" w:afterAutospacing="1" w:line="240" w:lineRule="auto"/>
        <w:rPr>
          <w:rStyle w:val="Hyperlink"/>
          <w:rFonts w:eastAsia="Segoe UI" w:cstheme="minorHAnsi"/>
          <w:sz w:val="24"/>
          <w:szCs w:val="24"/>
          <w:lang w:val="en" w:eastAsia="en-AU"/>
        </w:rPr>
      </w:pPr>
      <w:hyperlink r:id="rId39" w:history="1">
        <w:r w:rsidR="004923E8" w:rsidRPr="00DF4FFA">
          <w:rPr>
            <w:rStyle w:val="Hyperlink"/>
            <w:rFonts w:eastAsia="Segoe UI" w:cstheme="minorHAnsi"/>
            <w:sz w:val="24"/>
            <w:szCs w:val="24"/>
            <w:lang w:val="en" w:eastAsia="en-AU"/>
          </w:rPr>
          <w:t>Student Resource Package — School Specific Programs</w:t>
        </w:r>
      </w:hyperlink>
    </w:p>
    <w:p w14:paraId="56E7DCBB" w14:textId="77777777" w:rsidR="004923E8" w:rsidRPr="00DF4FFA" w:rsidRDefault="00000000" w:rsidP="00F56244">
      <w:pPr>
        <w:pStyle w:val="ListParagraph"/>
        <w:numPr>
          <w:ilvl w:val="0"/>
          <w:numId w:val="96"/>
        </w:numPr>
        <w:spacing w:before="100" w:beforeAutospacing="1" w:after="100" w:afterAutospacing="1" w:line="240" w:lineRule="auto"/>
        <w:rPr>
          <w:rStyle w:val="Hyperlink"/>
          <w:rFonts w:eastAsia="Segoe UI" w:cstheme="minorHAnsi"/>
          <w:sz w:val="24"/>
          <w:szCs w:val="24"/>
          <w:lang w:val="en" w:eastAsia="en-AU"/>
        </w:rPr>
      </w:pPr>
      <w:hyperlink r:id="rId40" w:history="1">
        <w:r w:rsidR="004923E8" w:rsidRPr="00DF4FFA">
          <w:rPr>
            <w:rStyle w:val="Hyperlink"/>
            <w:rFonts w:eastAsia="Segoe UI" w:cstheme="minorHAnsi"/>
            <w:sz w:val="24"/>
            <w:szCs w:val="24"/>
            <w:lang w:val="en" w:eastAsia="en-AU"/>
          </w:rPr>
          <w:t>Student Resource Package — Targeted Initiatives</w:t>
        </w:r>
      </w:hyperlink>
    </w:p>
    <w:p w14:paraId="180BD8BD" w14:textId="77777777" w:rsidR="004923E8" w:rsidRPr="00DF4FFA" w:rsidRDefault="00000000" w:rsidP="00F56244">
      <w:pPr>
        <w:pStyle w:val="ListParagraph"/>
        <w:numPr>
          <w:ilvl w:val="0"/>
          <w:numId w:val="96"/>
        </w:numPr>
        <w:spacing w:before="100" w:beforeAutospacing="1" w:after="100" w:afterAutospacing="1" w:line="240" w:lineRule="auto"/>
        <w:rPr>
          <w:rStyle w:val="Hyperlink"/>
          <w:rFonts w:eastAsia="Segoe UI" w:cstheme="minorHAnsi"/>
          <w:sz w:val="24"/>
          <w:szCs w:val="24"/>
          <w:lang w:val="en" w:eastAsia="en-AU"/>
        </w:rPr>
      </w:pPr>
      <w:hyperlink r:id="rId41" w:history="1">
        <w:r w:rsidR="004923E8" w:rsidRPr="00DF4FFA">
          <w:rPr>
            <w:rStyle w:val="Hyperlink"/>
            <w:rFonts w:eastAsia="Segoe UI" w:cstheme="minorHAnsi"/>
            <w:sz w:val="24"/>
            <w:szCs w:val="24"/>
            <w:lang w:val="en" w:eastAsia="en-AU"/>
          </w:rPr>
          <w:t>Students with Disability</w:t>
        </w:r>
      </w:hyperlink>
    </w:p>
    <w:p w14:paraId="1986863B" w14:textId="77777777" w:rsidR="004923E8" w:rsidRPr="00260C1D" w:rsidRDefault="004923E8" w:rsidP="004D307F">
      <w:pPr>
        <w:spacing w:before="100" w:beforeAutospacing="1" w:after="100" w:afterAutospacing="1" w:line="312" w:lineRule="atLeast"/>
        <w:outlineLvl w:val="1"/>
        <w:rPr>
          <w:rFonts w:eastAsia="Segoe UI" w:cstheme="minorHAnsi"/>
          <w:b/>
          <w:color w:val="011A3C"/>
          <w:sz w:val="36"/>
          <w:szCs w:val="36"/>
          <w:lang w:val="en" w:eastAsia="en-AU"/>
        </w:rPr>
      </w:pPr>
      <w:r w:rsidRPr="00260C1D">
        <w:rPr>
          <w:rFonts w:eastAsia="Segoe UI" w:cstheme="minorHAnsi"/>
          <w:b/>
          <w:color w:val="011A3C"/>
          <w:sz w:val="36"/>
          <w:szCs w:val="36"/>
          <w:lang w:val="en" w:eastAsia="en-AU"/>
        </w:rPr>
        <w:t>Contacts</w:t>
      </w:r>
    </w:p>
    <w:p w14:paraId="58D8486B" w14:textId="77777777" w:rsidR="004923E8" w:rsidRPr="00260C1D" w:rsidRDefault="004923E8" w:rsidP="006D6E02">
      <w:pPr>
        <w:pStyle w:val="NormalWeb"/>
        <w:rPr>
          <w:rFonts w:asciiTheme="minorHAnsi" w:hAnsiTheme="minorHAnsi" w:cstheme="minorHAnsi"/>
          <w:color w:val="011A3C"/>
        </w:rPr>
      </w:pPr>
      <w:r w:rsidRPr="00260C1D">
        <w:rPr>
          <w:rStyle w:val="Strong"/>
          <w:rFonts w:asciiTheme="minorHAnsi" w:hAnsiTheme="minorHAnsi" w:cstheme="minorHAnsi"/>
          <w:color w:val="011A3C"/>
        </w:rPr>
        <w:t>SRP Support</w:t>
      </w:r>
      <w:r w:rsidRPr="00260C1D">
        <w:rPr>
          <w:rFonts w:asciiTheme="minorHAnsi" w:hAnsiTheme="minorHAnsi" w:cstheme="minorHAnsi"/>
          <w:color w:val="011A3C"/>
        </w:rPr>
        <w:br/>
      </w:r>
      <w:r w:rsidRPr="00260C1D">
        <w:rPr>
          <w:rFonts w:asciiTheme="minorHAnsi" w:eastAsiaTheme="minorHAnsi" w:hAnsiTheme="minorHAnsi" w:cstheme="minorHAnsi"/>
          <w:color w:val="011A3C"/>
          <w:sz w:val="22"/>
          <w:szCs w:val="22"/>
          <w:lang w:eastAsia="en-US"/>
        </w:rPr>
        <w:t>Phone: </w:t>
      </w:r>
      <w:hyperlink r:id="rId42" w:history="1">
        <w:r w:rsidRPr="00260C1D">
          <w:rPr>
            <w:rStyle w:val="rpl-text-label"/>
            <w:rFonts w:asciiTheme="minorHAnsi" w:hAnsiTheme="minorHAnsi" w:cstheme="minorHAnsi"/>
            <w:color w:val="1855BF"/>
          </w:rPr>
          <w:t>1800 641 943</w:t>
        </w:r>
      </w:hyperlink>
      <w:r w:rsidRPr="00260C1D">
        <w:rPr>
          <w:rFonts w:asciiTheme="minorHAnsi" w:hAnsiTheme="minorHAnsi" w:cstheme="minorHAnsi"/>
          <w:color w:val="011A3C"/>
        </w:rPr>
        <w:br/>
      </w:r>
      <w:r w:rsidRPr="00260C1D">
        <w:rPr>
          <w:rFonts w:asciiTheme="minorHAnsi" w:eastAsiaTheme="minorHAnsi" w:hAnsiTheme="minorHAnsi" w:cstheme="minorHAnsi"/>
          <w:color w:val="011A3C"/>
          <w:sz w:val="22"/>
          <w:szCs w:val="22"/>
          <w:lang w:eastAsia="en-US"/>
        </w:rPr>
        <w:t>Email:</w:t>
      </w:r>
      <w:r w:rsidRPr="00260C1D">
        <w:rPr>
          <w:rFonts w:asciiTheme="minorHAnsi" w:hAnsiTheme="minorHAnsi" w:cstheme="minorHAnsi"/>
          <w:color w:val="011A3C"/>
        </w:rPr>
        <w:t> </w:t>
      </w:r>
      <w:hyperlink r:id="rId43" w:history="1">
        <w:r w:rsidRPr="00260C1D">
          <w:rPr>
            <w:rStyle w:val="rpl-text-label"/>
            <w:rFonts w:asciiTheme="minorHAnsi" w:hAnsiTheme="minorHAnsi" w:cstheme="minorHAnsi"/>
            <w:color w:val="1855BF"/>
          </w:rPr>
          <w:t>studentresourcepackage@education.vic.gov.au</w:t>
        </w:r>
      </w:hyperlink>
    </w:p>
    <w:p w14:paraId="7C5F198B" w14:textId="77777777" w:rsidR="004923E8" w:rsidRPr="00260C1D" w:rsidRDefault="004923E8" w:rsidP="004923E8">
      <w:pPr>
        <w:pStyle w:val="NormalWeb"/>
        <w:rPr>
          <w:rFonts w:asciiTheme="minorHAnsi" w:hAnsiTheme="minorHAnsi" w:cstheme="minorHAnsi"/>
          <w:color w:val="011A3C"/>
        </w:rPr>
      </w:pPr>
      <w:r w:rsidRPr="00260C1D">
        <w:rPr>
          <w:rStyle w:val="Strong"/>
          <w:rFonts w:asciiTheme="minorHAnsi" w:hAnsiTheme="minorHAnsi" w:cstheme="minorHAnsi"/>
          <w:color w:val="011A3C"/>
        </w:rPr>
        <w:t>Contact details</w:t>
      </w:r>
      <w:r w:rsidRPr="00260C1D">
        <w:rPr>
          <w:rFonts w:asciiTheme="minorHAnsi" w:hAnsiTheme="minorHAnsi" w:cstheme="minorHAnsi"/>
          <w:color w:val="011A3C"/>
        </w:rPr>
        <w:t>: </w:t>
      </w:r>
      <w:hyperlink r:id="rId44" w:tgtFrame="_blank" w:history="1">
        <w:r w:rsidRPr="00260C1D">
          <w:rPr>
            <w:rStyle w:val="rpl-text-label"/>
            <w:rFonts w:asciiTheme="minorHAnsi" w:hAnsiTheme="minorHAnsi" w:cstheme="minorHAnsi"/>
            <w:color w:val="1855BF"/>
          </w:rPr>
          <w:t>Services Portal (Service Request SRP </w:t>
        </w:r>
        <w:r w:rsidRPr="00260C1D">
          <w:rPr>
            <w:rStyle w:val="rpl-text-icongroup"/>
            <w:rFonts w:asciiTheme="minorHAnsi" w:hAnsiTheme="minorHAnsi" w:cstheme="minorHAnsi"/>
            <w:color w:val="1855BF"/>
          </w:rPr>
          <w:t>Option)</w:t>
        </w:r>
      </w:hyperlink>
      <w:r w:rsidRPr="00260C1D">
        <w:rPr>
          <w:rFonts w:asciiTheme="minorHAnsi" w:hAnsiTheme="minorHAnsi" w:cstheme="minorHAnsi"/>
          <w:color w:val="011A3C"/>
        </w:rPr>
        <w:t> </w:t>
      </w:r>
      <w:hyperlink r:id="rId45" w:history="1">
        <w:r w:rsidRPr="00260C1D">
          <w:rPr>
            <w:rStyle w:val="rpl-text-label"/>
            <w:rFonts w:asciiTheme="minorHAnsi" w:hAnsiTheme="minorHAnsi" w:cstheme="minorHAnsi"/>
            <w:color w:val="1855BF"/>
          </w:rPr>
          <w:t>1800 641 943</w:t>
        </w:r>
      </w:hyperlink>
    </w:p>
    <w:p w14:paraId="6763E02E" w14:textId="77777777" w:rsidR="004923E8" w:rsidRPr="00260C1D" w:rsidRDefault="004923E8" w:rsidP="004923E8">
      <w:pPr>
        <w:pStyle w:val="NormalWeb"/>
        <w:rPr>
          <w:rFonts w:asciiTheme="minorHAnsi" w:hAnsiTheme="minorHAnsi" w:cstheme="minorHAnsi"/>
          <w:color w:val="011A3C"/>
        </w:rPr>
      </w:pPr>
      <w:r w:rsidRPr="00260C1D">
        <w:rPr>
          <w:rStyle w:val="Strong"/>
          <w:rFonts w:asciiTheme="minorHAnsi" w:hAnsiTheme="minorHAnsi" w:cstheme="minorHAnsi"/>
          <w:color w:val="011A3C"/>
        </w:rPr>
        <w:t>For queries regarding the PSD</w:t>
      </w:r>
      <w:r w:rsidRPr="00260C1D">
        <w:rPr>
          <w:rFonts w:asciiTheme="minorHAnsi" w:hAnsiTheme="minorHAnsi" w:cstheme="minorHAnsi"/>
          <w:color w:val="011A3C"/>
        </w:rPr>
        <w:t>: </w:t>
      </w:r>
      <w:hyperlink r:id="rId46" w:tgtFrame="_blank" w:history="1">
        <w:r w:rsidRPr="00260C1D">
          <w:rPr>
            <w:rStyle w:val="rpl-text-label"/>
            <w:rFonts w:asciiTheme="minorHAnsi" w:hAnsiTheme="minorHAnsi" w:cstheme="minorHAnsi"/>
            <w:color w:val="1855BF"/>
          </w:rPr>
          <w:t>Services </w:t>
        </w:r>
        <w:r w:rsidRPr="00260C1D">
          <w:rPr>
            <w:rStyle w:val="rpl-text-icongroup"/>
            <w:rFonts w:asciiTheme="minorHAnsi" w:hAnsiTheme="minorHAnsi" w:cstheme="minorHAnsi"/>
            <w:color w:val="1855BF"/>
          </w:rPr>
          <w:t>Portal</w:t>
        </w:r>
      </w:hyperlink>
      <w:r w:rsidRPr="00260C1D">
        <w:rPr>
          <w:rFonts w:asciiTheme="minorHAnsi" w:hAnsiTheme="minorHAnsi" w:cstheme="minorHAnsi"/>
          <w:color w:val="011A3C"/>
        </w:rPr>
        <w:t> </w:t>
      </w:r>
      <w:r w:rsidRPr="00260C1D">
        <w:rPr>
          <w:rFonts w:asciiTheme="minorHAnsi" w:eastAsiaTheme="minorHAnsi" w:hAnsiTheme="minorHAnsi" w:cstheme="minorHAnsi"/>
          <w:color w:val="011A3C"/>
          <w:sz w:val="22"/>
          <w:szCs w:val="22"/>
          <w:lang w:eastAsia="en-US"/>
        </w:rPr>
        <w:t>(‘log a request’ and select ‘PSDMS’)</w:t>
      </w:r>
    </w:p>
    <w:p w14:paraId="70B40B90" w14:textId="16FDD5E5" w:rsidR="00ED4312" w:rsidRPr="00260C1D" w:rsidRDefault="004923E8" w:rsidP="00614B09">
      <w:pPr>
        <w:pStyle w:val="NormalWeb"/>
        <w:rPr>
          <w:rFonts w:eastAsia="Segoe UI"/>
          <w:lang w:val="en"/>
        </w:rPr>
      </w:pPr>
      <w:r w:rsidRPr="00260C1D">
        <w:rPr>
          <w:rStyle w:val="Strong"/>
          <w:rFonts w:asciiTheme="minorHAnsi" w:hAnsiTheme="minorHAnsi" w:cstheme="minorHAnsi"/>
          <w:color w:val="011A3C"/>
        </w:rPr>
        <w:t>For queries regarding EAL</w:t>
      </w:r>
      <w:r w:rsidRPr="00260C1D">
        <w:rPr>
          <w:rFonts w:asciiTheme="minorHAnsi" w:hAnsiTheme="minorHAnsi" w:cstheme="minorHAnsi"/>
          <w:color w:val="011A3C"/>
        </w:rPr>
        <w:t>:</w:t>
      </w:r>
      <w:r w:rsidRPr="00260C1D">
        <w:rPr>
          <w:rFonts w:asciiTheme="minorHAnsi" w:hAnsiTheme="minorHAnsi" w:cstheme="minorHAnsi"/>
          <w:color w:val="011A3C"/>
        </w:rPr>
        <w:br/>
        <w:t>Phone: </w:t>
      </w:r>
      <w:hyperlink r:id="rId47" w:history="1">
        <w:r w:rsidRPr="00260C1D">
          <w:rPr>
            <w:rStyle w:val="rpl-text-label"/>
            <w:rFonts w:asciiTheme="minorHAnsi" w:hAnsiTheme="minorHAnsi" w:cstheme="minorHAnsi"/>
            <w:color w:val="1855BF"/>
          </w:rPr>
          <w:t>03 7022 1111</w:t>
        </w:r>
      </w:hyperlink>
      <w:r w:rsidRPr="00260C1D">
        <w:rPr>
          <w:rFonts w:asciiTheme="minorHAnsi" w:hAnsiTheme="minorHAnsi" w:cstheme="minorHAnsi"/>
          <w:color w:val="011A3C"/>
        </w:rPr>
        <w:br/>
        <w:t>Email: </w:t>
      </w:r>
      <w:hyperlink r:id="rId48" w:history="1">
        <w:r w:rsidRPr="00260C1D">
          <w:rPr>
            <w:rStyle w:val="rpl-text-label"/>
            <w:rFonts w:asciiTheme="minorHAnsi" w:hAnsiTheme="minorHAnsi" w:cstheme="minorHAnsi"/>
            <w:color w:val="1855BF"/>
          </w:rPr>
          <w:t>eal@education.vic.gov.au</w:t>
        </w:r>
      </w:hyperlink>
    </w:p>
    <w:p w14:paraId="78D3554F" w14:textId="35BFAFEB" w:rsidR="00AD16F0" w:rsidRPr="00260C1D" w:rsidRDefault="00AD16F0" w:rsidP="00532A33">
      <w:pPr>
        <w:pStyle w:val="Heading2"/>
      </w:pPr>
      <w:bookmarkStart w:id="48" w:name="_Toc141965239"/>
      <w:bookmarkStart w:id="49" w:name="_Toc145339569"/>
      <w:bookmarkStart w:id="50" w:name="_Toc153791892"/>
      <w:r w:rsidRPr="00260C1D">
        <w:lastRenderedPageBreak/>
        <w:t>Equity (Social Disadvantage) (Reference 11)</w:t>
      </w:r>
      <w:bookmarkEnd w:id="48"/>
      <w:bookmarkEnd w:id="49"/>
      <w:bookmarkEnd w:id="50"/>
    </w:p>
    <w:p w14:paraId="5E7CAAF0"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for Equity (Social Disadvantage) provides an individual loading for students from disadvantaged backgrounds that will increase with the density of disadvantage at the school. Social disadvantage can often place students well behind their peers when entering the education system. Increased funding for schools has proven to raise educational outcomes, particularly for these students. Schools will use Social Disadvantage funding to deliver tailored educational programs that meet the needs of this cohort of students.</w:t>
      </w:r>
    </w:p>
    <w:p w14:paraId="6FB6A11C" w14:textId="2B7D1B39"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Equity (Social Disadvantage) loading allocates funding based on parental occupation, parental education and the level of concentration of disadvantage in a school. Students with the highest level of need will be targeted with the most funding to ensure schools have the resources to support them. The loading is need</w:t>
      </w:r>
      <w:r w:rsidR="00A05D7F">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based, </w:t>
      </w:r>
      <w:r w:rsidR="00C53D2A" w:rsidRPr="00260C1D">
        <w:rPr>
          <w:rFonts w:eastAsia="Segoe UI" w:cstheme="minorHAnsi"/>
          <w:color w:val="011A3C"/>
          <w:sz w:val="24"/>
          <w:szCs w:val="24"/>
          <w:lang w:val="en" w:eastAsia="en-AU"/>
        </w:rPr>
        <w:t>however,</w:t>
      </w:r>
      <w:r w:rsidRPr="00260C1D">
        <w:rPr>
          <w:rFonts w:eastAsia="Segoe UI" w:cstheme="minorHAnsi"/>
          <w:color w:val="011A3C"/>
          <w:sz w:val="24"/>
          <w:szCs w:val="24"/>
          <w:lang w:val="en" w:eastAsia="en-AU"/>
        </w:rPr>
        <w:t xml:space="preserve"> to increase year</w:t>
      </w:r>
      <w:r w:rsidR="00172FB0">
        <w:rPr>
          <w:rFonts w:eastAsia="Segoe UI" w:cstheme="minorHAnsi"/>
          <w:color w:val="011A3C"/>
          <w:sz w:val="24"/>
          <w:szCs w:val="24"/>
          <w:lang w:val="en" w:eastAsia="en-AU"/>
        </w:rPr>
        <w:t>-</w:t>
      </w:r>
      <w:r w:rsidRPr="00260C1D">
        <w:rPr>
          <w:rFonts w:eastAsia="Segoe UI" w:cstheme="minorHAnsi"/>
          <w:color w:val="011A3C"/>
          <w:sz w:val="24"/>
          <w:szCs w:val="24"/>
          <w:lang w:val="en" w:eastAsia="en-AU"/>
        </w:rPr>
        <w:t>on</w:t>
      </w:r>
      <w:r w:rsidR="00172FB0">
        <w:rPr>
          <w:rFonts w:eastAsia="Segoe UI" w:cstheme="minorHAnsi"/>
          <w:color w:val="011A3C"/>
          <w:sz w:val="24"/>
          <w:szCs w:val="24"/>
          <w:lang w:val="en" w:eastAsia="en-AU"/>
        </w:rPr>
        <w:t>-</w:t>
      </w:r>
      <w:r w:rsidRPr="00260C1D">
        <w:rPr>
          <w:rFonts w:eastAsia="Segoe UI" w:cstheme="minorHAnsi"/>
          <w:color w:val="011A3C"/>
          <w:sz w:val="24"/>
          <w:szCs w:val="24"/>
          <w:lang w:val="en" w:eastAsia="en-AU"/>
        </w:rPr>
        <w:t>year stability for schools, a floor on negative funding changes and a weighted rolling average is applied to this loading.</w:t>
      </w:r>
    </w:p>
    <w:p w14:paraId="4C4FACE7" w14:textId="798A26A8"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Whil</w:t>
      </w:r>
      <w:r w:rsidR="00A05D7F">
        <w:rPr>
          <w:rFonts w:eastAsia="Segoe UI" w:cstheme="minorHAnsi"/>
          <w:color w:val="011A3C"/>
          <w:sz w:val="24"/>
          <w:szCs w:val="24"/>
          <w:lang w:val="en" w:eastAsia="en-AU"/>
        </w:rPr>
        <w:t>st</w:t>
      </w:r>
      <w:r w:rsidRPr="00260C1D">
        <w:rPr>
          <w:rFonts w:eastAsia="Segoe UI" w:cstheme="minorHAnsi"/>
          <w:color w:val="011A3C"/>
          <w:sz w:val="24"/>
          <w:szCs w:val="24"/>
          <w:lang w:val="en" w:eastAsia="en-AU"/>
        </w:rPr>
        <w:t xml:space="preserve"> having similarities to the former Student Family Occupation (SFO) index, the Equity (Social Disadvantage) funding contains some important differences:</w:t>
      </w:r>
    </w:p>
    <w:p w14:paraId="27A8EBF7" w14:textId="77777777" w:rsidR="00AD16F0" w:rsidRPr="009E56BE" w:rsidRDefault="00AD16F0" w:rsidP="00F56244">
      <w:pPr>
        <w:pStyle w:val="ListParagraph"/>
        <w:numPr>
          <w:ilvl w:val="0"/>
          <w:numId w:val="68"/>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 xml:space="preserve">Social Disadvantage </w:t>
      </w:r>
      <w:proofErr w:type="spellStart"/>
      <w:r w:rsidRPr="009E56BE">
        <w:rPr>
          <w:rFonts w:eastAsia="Segoe UI" w:cstheme="minorHAnsi"/>
          <w:color w:val="011A3C"/>
          <w:sz w:val="24"/>
          <w:szCs w:val="24"/>
          <w:lang w:val="en" w:eastAsia="en-AU"/>
        </w:rPr>
        <w:t>utilises</w:t>
      </w:r>
      <w:proofErr w:type="spellEnd"/>
      <w:r w:rsidRPr="009E56BE">
        <w:rPr>
          <w:rFonts w:eastAsia="Segoe UI" w:cstheme="minorHAnsi"/>
          <w:color w:val="011A3C"/>
          <w:sz w:val="24"/>
          <w:szCs w:val="24"/>
          <w:lang w:val="en" w:eastAsia="en-AU"/>
        </w:rPr>
        <w:t xml:space="preserve"> both the Student Family Education (SFE) and SFO index, further strengthening the targeting of existing and new equity funding.</w:t>
      </w:r>
    </w:p>
    <w:p w14:paraId="1671389A" w14:textId="77777777" w:rsidR="00AD16F0" w:rsidRPr="009E56BE" w:rsidRDefault="00AD16F0" w:rsidP="00F56244">
      <w:pPr>
        <w:pStyle w:val="ListParagraph"/>
        <w:numPr>
          <w:ilvl w:val="0"/>
          <w:numId w:val="68"/>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The median threshold previously used under the SFO for equity no longer exists.</w:t>
      </w:r>
    </w:p>
    <w:p w14:paraId="10952592" w14:textId="77777777" w:rsidR="00AD16F0" w:rsidRPr="009E56BE" w:rsidRDefault="00AD16F0" w:rsidP="00F56244">
      <w:pPr>
        <w:pStyle w:val="ListParagraph"/>
        <w:numPr>
          <w:ilvl w:val="0"/>
          <w:numId w:val="68"/>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All students identified with high needs will be provided with funding.</w:t>
      </w:r>
    </w:p>
    <w:p w14:paraId="44CEF94D" w14:textId="77777777" w:rsidR="00AD16F0" w:rsidRPr="00260C1D" w:rsidRDefault="00AD16F0" w:rsidP="00AD16F0">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Eligibility</w:t>
      </w:r>
    </w:p>
    <w:p w14:paraId="533EDFB4" w14:textId="658A3CC0" w:rsidR="00AD16F0" w:rsidRPr="009E56BE" w:rsidRDefault="00AD16F0" w:rsidP="00F56244">
      <w:pPr>
        <w:pStyle w:val="ListParagraph"/>
        <w:numPr>
          <w:ilvl w:val="0"/>
          <w:numId w:val="68"/>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 xml:space="preserve">All </w:t>
      </w:r>
      <w:r w:rsidR="00A05D7F">
        <w:rPr>
          <w:rFonts w:eastAsia="Segoe UI" w:cstheme="minorHAnsi"/>
          <w:color w:val="011A3C"/>
          <w:sz w:val="24"/>
          <w:szCs w:val="24"/>
          <w:lang w:val="en" w:eastAsia="en-AU"/>
        </w:rPr>
        <w:t>s</w:t>
      </w:r>
      <w:r w:rsidRPr="009E56BE">
        <w:rPr>
          <w:rFonts w:eastAsia="Segoe UI" w:cstheme="minorHAnsi"/>
          <w:color w:val="011A3C"/>
          <w:sz w:val="24"/>
          <w:szCs w:val="24"/>
          <w:lang w:val="en" w:eastAsia="en-AU"/>
        </w:rPr>
        <w:t>chool types are eligible</w:t>
      </w:r>
      <w:r w:rsidR="00A05D7F">
        <w:rPr>
          <w:rFonts w:eastAsia="Segoe UI" w:cstheme="minorHAnsi"/>
          <w:color w:val="011A3C"/>
          <w:sz w:val="24"/>
          <w:szCs w:val="24"/>
          <w:lang w:val="en" w:eastAsia="en-AU"/>
        </w:rPr>
        <w:t>. S</w:t>
      </w:r>
      <w:r w:rsidRPr="009E56BE">
        <w:rPr>
          <w:rFonts w:eastAsia="Segoe UI" w:cstheme="minorHAnsi"/>
          <w:color w:val="011A3C"/>
          <w:sz w:val="24"/>
          <w:szCs w:val="24"/>
          <w:lang w:val="en" w:eastAsia="en-AU"/>
        </w:rPr>
        <w:t xml:space="preserve">tudents identified with high needs will be provided with funding at </w:t>
      </w:r>
      <w:r w:rsidR="00EC143E" w:rsidRPr="009E56BE">
        <w:rPr>
          <w:rFonts w:eastAsia="Segoe UI" w:cstheme="minorHAnsi"/>
          <w:color w:val="011A3C"/>
          <w:sz w:val="24"/>
          <w:szCs w:val="24"/>
          <w:lang w:val="en" w:eastAsia="en-AU"/>
        </w:rPr>
        <w:t xml:space="preserve">school </w:t>
      </w:r>
      <w:r w:rsidR="00C53D2A" w:rsidRPr="009E56BE">
        <w:rPr>
          <w:rFonts w:eastAsia="Segoe UI" w:cstheme="minorHAnsi"/>
          <w:color w:val="011A3C"/>
          <w:sz w:val="24"/>
          <w:szCs w:val="24"/>
          <w:lang w:val="en" w:eastAsia="en-AU"/>
        </w:rPr>
        <w:t>level. *</w:t>
      </w:r>
    </w:p>
    <w:p w14:paraId="71A599AD" w14:textId="77777777" w:rsidR="00A05D7F" w:rsidRDefault="00A05D7F" w:rsidP="000E2834">
      <w:pPr>
        <w:pStyle w:val="ListParagraph"/>
        <w:spacing w:before="100" w:beforeAutospacing="1" w:after="100" w:afterAutospacing="1" w:line="360" w:lineRule="atLeast"/>
        <w:ind w:left="0"/>
        <w:rPr>
          <w:rFonts w:eastAsia="Segoe UI" w:cstheme="minorHAnsi"/>
          <w:color w:val="011A3C"/>
          <w:sz w:val="24"/>
          <w:szCs w:val="24"/>
          <w:lang w:val="en" w:eastAsia="en-AU"/>
        </w:rPr>
      </w:pPr>
    </w:p>
    <w:p w14:paraId="0FD86462" w14:textId="2F4F66FD" w:rsidR="00EC143E" w:rsidRPr="00260C1D" w:rsidRDefault="00EC143E" w:rsidP="000E2834">
      <w:pPr>
        <w:pStyle w:val="ListParagraph"/>
        <w:spacing w:before="100" w:beforeAutospacing="1" w:after="100" w:afterAutospacing="1" w:line="360" w:lineRule="atLeast"/>
        <w:ind w:left="0"/>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will be calculated at the Indicative budget cycle</w:t>
      </w:r>
      <w:r w:rsidR="00FB4A51" w:rsidRPr="00260C1D">
        <w:rPr>
          <w:rFonts w:eastAsia="Segoe UI" w:cstheme="minorHAnsi"/>
          <w:color w:val="011A3C"/>
          <w:sz w:val="24"/>
          <w:szCs w:val="24"/>
          <w:lang w:val="en" w:eastAsia="en-AU"/>
        </w:rPr>
        <w:t xml:space="preserve"> only</w:t>
      </w:r>
      <w:r w:rsidR="00172FB0">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A05D7F">
        <w:rPr>
          <w:rFonts w:eastAsia="Segoe UI" w:cstheme="minorHAnsi"/>
          <w:color w:val="011A3C"/>
          <w:sz w:val="24"/>
          <w:szCs w:val="24"/>
          <w:lang w:val="en" w:eastAsia="en-AU"/>
        </w:rPr>
        <w:t>Funding is</w:t>
      </w:r>
      <w:r w:rsidRPr="00260C1D">
        <w:rPr>
          <w:rFonts w:eastAsia="Segoe UI" w:cstheme="minorHAnsi"/>
          <w:color w:val="011A3C"/>
          <w:sz w:val="24"/>
          <w:szCs w:val="24"/>
          <w:lang w:val="en" w:eastAsia="en-AU"/>
        </w:rPr>
        <w:t xml:space="preserve"> </w:t>
      </w:r>
      <w:r w:rsidR="00A05D7F">
        <w:rPr>
          <w:rFonts w:eastAsia="Segoe UI" w:cstheme="minorHAnsi"/>
          <w:color w:val="011A3C"/>
          <w:sz w:val="24"/>
          <w:szCs w:val="24"/>
          <w:lang w:val="en" w:eastAsia="en-AU"/>
        </w:rPr>
        <w:t>allocated</w:t>
      </w:r>
      <w:r w:rsidR="00A05D7F" w:rsidRPr="00260C1D">
        <w:rPr>
          <w:rFonts w:eastAsia="Segoe UI" w:cstheme="minorHAnsi"/>
          <w:color w:val="011A3C"/>
          <w:sz w:val="24"/>
          <w:szCs w:val="24"/>
          <w:lang w:val="en" w:eastAsia="en-AU"/>
        </w:rPr>
        <w:t xml:space="preserve"> </w:t>
      </w:r>
      <w:r w:rsidR="00A05D7F">
        <w:rPr>
          <w:rFonts w:eastAsia="Segoe UI" w:cstheme="minorHAnsi"/>
          <w:color w:val="011A3C"/>
          <w:sz w:val="24"/>
          <w:szCs w:val="24"/>
          <w:lang w:val="en" w:eastAsia="en-AU"/>
        </w:rPr>
        <w:t>as</w:t>
      </w:r>
      <w:r w:rsidR="00A05D7F"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cash and credit funding.</w:t>
      </w:r>
    </w:p>
    <w:p w14:paraId="0CBC6621" w14:textId="6291D655" w:rsidR="00AD16F0" w:rsidRPr="00260C1D" w:rsidRDefault="00AD16F0" w:rsidP="00AF025A">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How social disadvantage is identified</w:t>
      </w:r>
    </w:p>
    <w:p w14:paraId="32A6CA51"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level of Social Disadvantage is measured through the student’s Student Family Occupation and Education (SFOE), which is a combination of their SFO and SFE categories. The matrix below in Table 1 depicts the possible SFOE categories a student may have. These categories are used to determine which students come from disadvantaged backgrounds and the Social Disadvantage loading they would attract. There are two levels of Social Disadvantage loadings available, depending on the student’s level of need: </w:t>
      </w:r>
    </w:p>
    <w:p w14:paraId="43AC6675" w14:textId="08E20067" w:rsidR="00AD16F0" w:rsidRPr="00260C1D" w:rsidRDefault="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Level 1</w:t>
      </w:r>
      <w:r w:rsidRPr="00260C1D">
        <w:rPr>
          <w:rFonts w:eastAsia="Segoe UI" w:cstheme="minorHAnsi"/>
          <w:color w:val="011A3C"/>
          <w:sz w:val="24"/>
          <w:szCs w:val="24"/>
          <w:lang w:val="en" w:eastAsia="en-AU"/>
        </w:rPr>
        <w:t>: For students with parents who are unemployed with below diploma level education or have lower skilled jobs with very low or low education</w:t>
      </w:r>
      <w:r w:rsidR="003C39A1">
        <w:rPr>
          <w:rFonts w:eastAsia="Segoe UI" w:cstheme="minorHAnsi"/>
          <w:color w:val="011A3C"/>
          <w:sz w:val="24"/>
          <w:szCs w:val="24"/>
          <w:lang w:val="en" w:eastAsia="en-AU"/>
        </w:rPr>
        <w:t>.</w:t>
      </w:r>
    </w:p>
    <w:p w14:paraId="47E378F6" w14:textId="05C0CCC5"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lastRenderedPageBreak/>
        <w:t>Level 2</w:t>
      </w:r>
      <w:r w:rsidRPr="00260C1D">
        <w:rPr>
          <w:rFonts w:eastAsia="Segoe UI" w:cstheme="minorHAnsi"/>
          <w:color w:val="011A3C"/>
          <w:sz w:val="24"/>
          <w:szCs w:val="24"/>
          <w:lang w:val="en" w:eastAsia="en-AU"/>
        </w:rPr>
        <w:t>: For students with parents who have various combinations of medium and low skilled jobs and education levels, or are unemployed with a diploma level education</w:t>
      </w:r>
      <w:r w:rsidR="003C39A1">
        <w:rPr>
          <w:rFonts w:eastAsia="Segoe UI" w:cstheme="minorHAnsi"/>
          <w:color w:val="011A3C"/>
          <w:sz w:val="24"/>
          <w:szCs w:val="24"/>
          <w:lang w:val="en" w:eastAsia="en-AU"/>
        </w:rPr>
        <w:t>.</w:t>
      </w:r>
    </w:p>
    <w:p w14:paraId="7CA442C4" w14:textId="77777777" w:rsidR="00AD16F0" w:rsidRPr="00260C1D" w:rsidRDefault="00AD16F0" w:rsidP="00AD16F0">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Table 1</w:t>
      </w:r>
    </w:p>
    <w:p w14:paraId="44A24B65" w14:textId="12DAB920"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letters</w:t>
      </w:r>
      <w:r w:rsidR="000E2834" w:rsidRPr="00260C1D">
        <w:rPr>
          <w:rFonts w:eastAsia="Segoe UI" w:cstheme="minorHAnsi"/>
          <w:color w:val="011A3C"/>
          <w:sz w:val="24"/>
          <w:szCs w:val="24"/>
          <w:lang w:val="en" w:eastAsia="en-AU"/>
        </w:rPr>
        <w:t xml:space="preserve"> (A to U)</w:t>
      </w:r>
      <w:r w:rsidRPr="00260C1D">
        <w:rPr>
          <w:rFonts w:eastAsia="Segoe UI" w:cstheme="minorHAnsi"/>
          <w:color w:val="011A3C"/>
          <w:sz w:val="24"/>
          <w:szCs w:val="24"/>
          <w:lang w:val="en" w:eastAsia="en-AU"/>
        </w:rPr>
        <w:t xml:space="preserve"> in the </w:t>
      </w:r>
      <w:r w:rsidR="00992D19" w:rsidRPr="00260C1D">
        <w:rPr>
          <w:rFonts w:eastAsia="Segoe UI" w:cstheme="minorHAnsi"/>
          <w:color w:val="011A3C"/>
          <w:sz w:val="24"/>
          <w:szCs w:val="24"/>
          <w:lang w:val="en" w:eastAsia="en-AU"/>
        </w:rPr>
        <w:t>far-right</w:t>
      </w:r>
      <w:r w:rsidRPr="00260C1D">
        <w:rPr>
          <w:rFonts w:eastAsia="Segoe UI" w:cstheme="minorHAnsi"/>
          <w:color w:val="011A3C"/>
          <w:sz w:val="24"/>
          <w:szCs w:val="24"/>
          <w:lang w:val="en" w:eastAsia="en-AU"/>
        </w:rPr>
        <w:t xml:space="preserve"> columns reference SFO categories</w:t>
      </w:r>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2511"/>
        <w:gridCol w:w="4987"/>
        <w:gridCol w:w="419"/>
        <w:gridCol w:w="405"/>
        <w:gridCol w:w="400"/>
        <w:gridCol w:w="434"/>
        <w:gridCol w:w="445"/>
        <w:gridCol w:w="443"/>
      </w:tblGrid>
      <w:tr w:rsidR="00124D27" w:rsidRPr="00260C1D" w14:paraId="4EF03356" w14:textId="77777777" w:rsidTr="00833928">
        <w:trPr>
          <w:trHeight w:val="281"/>
          <w:tblHeader/>
        </w:trPr>
        <w:tc>
          <w:tcPr>
            <w:tcW w:w="0" w:type="auto"/>
            <w:hideMark/>
          </w:tcPr>
          <w:p w14:paraId="213334A4" w14:textId="77777777" w:rsidR="00124D27" w:rsidRPr="00260C1D" w:rsidRDefault="00124D27" w:rsidP="00AD16F0">
            <w:pPr>
              <w:spacing w:after="0" w:line="24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CASES21 Code</w:t>
            </w:r>
          </w:p>
        </w:tc>
        <w:tc>
          <w:tcPr>
            <w:tcW w:w="0" w:type="auto"/>
            <w:hideMark/>
          </w:tcPr>
          <w:p w14:paraId="44772DFA" w14:textId="77777777" w:rsidR="00124D27" w:rsidRPr="00260C1D" w:rsidRDefault="00124D27" w:rsidP="00AD16F0">
            <w:pPr>
              <w:spacing w:after="0" w:line="24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Education Category</w:t>
            </w:r>
          </w:p>
        </w:tc>
        <w:tc>
          <w:tcPr>
            <w:tcW w:w="0" w:type="auto"/>
            <w:gridSpan w:val="6"/>
            <w:hideMark/>
          </w:tcPr>
          <w:p w14:paraId="74E6A260" w14:textId="1CF55EC9" w:rsidR="00124D27" w:rsidRPr="00260C1D" w:rsidRDefault="00124D27" w:rsidP="00124D27">
            <w:pPr>
              <w:spacing w:after="0" w:line="24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SFO Category</w:t>
            </w:r>
          </w:p>
        </w:tc>
      </w:tr>
      <w:tr w:rsidR="00AD16F0" w:rsidRPr="00260C1D" w14:paraId="269767A4" w14:textId="77777777" w:rsidTr="00833928">
        <w:trPr>
          <w:trHeight w:val="352"/>
        </w:trPr>
        <w:tc>
          <w:tcPr>
            <w:tcW w:w="0" w:type="auto"/>
            <w:hideMark/>
          </w:tcPr>
          <w:p w14:paraId="6FEE4AD2" w14:textId="77777777" w:rsidR="00AD16F0" w:rsidRPr="00260C1D" w:rsidRDefault="00AD16F0" w:rsidP="00AD16F0">
            <w:pPr>
              <w:spacing w:after="0" w:line="240" w:lineRule="atLeast"/>
              <w:rPr>
                <w:rFonts w:eastAsia="Segoe UI" w:cstheme="minorHAnsi"/>
                <w:color w:val="323E4F" w:themeColor="text2" w:themeShade="BF"/>
                <w:sz w:val="20"/>
                <w:szCs w:val="20"/>
                <w:lang w:eastAsia="en-AU"/>
              </w:rPr>
            </w:pPr>
          </w:p>
        </w:tc>
        <w:tc>
          <w:tcPr>
            <w:tcW w:w="0" w:type="auto"/>
            <w:hideMark/>
          </w:tcPr>
          <w:p w14:paraId="23B95FAA" w14:textId="77777777" w:rsidR="00AD16F0" w:rsidRPr="00260C1D" w:rsidRDefault="00AD16F0" w:rsidP="00AD16F0">
            <w:pPr>
              <w:spacing w:after="0" w:line="360" w:lineRule="atLeast"/>
              <w:rPr>
                <w:rFonts w:eastAsia="Segoe UI" w:cstheme="minorHAnsi"/>
                <w:color w:val="323E4F" w:themeColor="text2" w:themeShade="BF"/>
                <w:sz w:val="20"/>
                <w:szCs w:val="20"/>
                <w:lang w:eastAsia="en-AU"/>
              </w:rPr>
            </w:pPr>
          </w:p>
        </w:tc>
        <w:tc>
          <w:tcPr>
            <w:tcW w:w="0" w:type="auto"/>
            <w:hideMark/>
          </w:tcPr>
          <w:p w14:paraId="1997BC86"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A</w:t>
            </w:r>
          </w:p>
        </w:tc>
        <w:tc>
          <w:tcPr>
            <w:tcW w:w="0" w:type="auto"/>
            <w:hideMark/>
          </w:tcPr>
          <w:p w14:paraId="6D282A42"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B</w:t>
            </w:r>
          </w:p>
        </w:tc>
        <w:tc>
          <w:tcPr>
            <w:tcW w:w="0" w:type="auto"/>
            <w:hideMark/>
          </w:tcPr>
          <w:p w14:paraId="38EA0E0D"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C</w:t>
            </w:r>
          </w:p>
        </w:tc>
        <w:tc>
          <w:tcPr>
            <w:tcW w:w="0" w:type="auto"/>
            <w:hideMark/>
          </w:tcPr>
          <w:p w14:paraId="0629EE1B"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D</w:t>
            </w:r>
          </w:p>
        </w:tc>
        <w:tc>
          <w:tcPr>
            <w:tcW w:w="0" w:type="auto"/>
            <w:hideMark/>
          </w:tcPr>
          <w:p w14:paraId="11A02C12"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N</w:t>
            </w:r>
          </w:p>
        </w:tc>
        <w:tc>
          <w:tcPr>
            <w:tcW w:w="0" w:type="auto"/>
            <w:hideMark/>
          </w:tcPr>
          <w:p w14:paraId="48C77319"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U</w:t>
            </w:r>
          </w:p>
        </w:tc>
      </w:tr>
      <w:tr w:rsidR="00AD16F0" w:rsidRPr="00260C1D" w14:paraId="3AAD9EFF" w14:textId="77777777" w:rsidTr="00833928">
        <w:trPr>
          <w:trHeight w:val="352"/>
        </w:trPr>
        <w:tc>
          <w:tcPr>
            <w:tcW w:w="0" w:type="auto"/>
            <w:hideMark/>
          </w:tcPr>
          <w:p w14:paraId="196FC517"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6FE8B3E8"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SFE Not Stated/Unknown</w:t>
            </w:r>
          </w:p>
        </w:tc>
        <w:tc>
          <w:tcPr>
            <w:tcW w:w="0" w:type="auto"/>
            <w:hideMark/>
          </w:tcPr>
          <w:p w14:paraId="4D4AC018"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47B83973"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0180DDBA"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47C6E018"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338FC30D"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2D3A8FDB"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r>
      <w:tr w:rsidR="00AD16F0" w:rsidRPr="00260C1D" w14:paraId="5E241894" w14:textId="77777777" w:rsidTr="00833928">
        <w:trPr>
          <w:trHeight w:val="352"/>
        </w:trPr>
        <w:tc>
          <w:tcPr>
            <w:tcW w:w="0" w:type="auto"/>
            <w:hideMark/>
          </w:tcPr>
          <w:p w14:paraId="31B97FB1"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w:t>
            </w:r>
          </w:p>
        </w:tc>
        <w:tc>
          <w:tcPr>
            <w:tcW w:w="0" w:type="auto"/>
            <w:hideMark/>
          </w:tcPr>
          <w:p w14:paraId="34648816"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 xml:space="preserve">SFE </w:t>
            </w:r>
            <w:proofErr w:type="spellStart"/>
            <w:r w:rsidRPr="00260C1D">
              <w:rPr>
                <w:rFonts w:eastAsia="Segoe UI" w:cstheme="minorHAnsi"/>
                <w:color w:val="323E4F" w:themeColor="text2" w:themeShade="BF"/>
                <w:sz w:val="24"/>
                <w:szCs w:val="24"/>
                <w:lang w:eastAsia="en-AU"/>
              </w:rPr>
              <w:t>Yr</w:t>
            </w:r>
            <w:proofErr w:type="spellEnd"/>
            <w:r w:rsidRPr="00260C1D">
              <w:rPr>
                <w:rFonts w:eastAsia="Segoe UI" w:cstheme="minorHAnsi"/>
                <w:color w:val="323E4F" w:themeColor="text2" w:themeShade="BF"/>
                <w:sz w:val="24"/>
                <w:szCs w:val="24"/>
                <w:lang w:eastAsia="en-AU"/>
              </w:rPr>
              <w:t xml:space="preserve"> 9 or below</w:t>
            </w:r>
          </w:p>
        </w:tc>
        <w:tc>
          <w:tcPr>
            <w:tcW w:w="0" w:type="auto"/>
            <w:hideMark/>
          </w:tcPr>
          <w:p w14:paraId="0FC58538"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279464ED"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02F098B1"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b/>
                <w:color w:val="323E4F" w:themeColor="text2" w:themeShade="BF"/>
                <w:sz w:val="24"/>
                <w:szCs w:val="24"/>
                <w:lang w:eastAsia="en-AU"/>
              </w:rPr>
              <w:t>2</w:t>
            </w:r>
          </w:p>
        </w:tc>
        <w:tc>
          <w:tcPr>
            <w:tcW w:w="0" w:type="auto"/>
            <w:hideMark/>
          </w:tcPr>
          <w:p w14:paraId="631E6171"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b/>
                <w:color w:val="323E4F" w:themeColor="text2" w:themeShade="BF"/>
                <w:sz w:val="24"/>
                <w:szCs w:val="24"/>
                <w:lang w:eastAsia="en-AU"/>
              </w:rPr>
              <w:t>1</w:t>
            </w:r>
          </w:p>
        </w:tc>
        <w:tc>
          <w:tcPr>
            <w:tcW w:w="0" w:type="auto"/>
            <w:hideMark/>
          </w:tcPr>
          <w:p w14:paraId="1F8D0D2A"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b/>
                <w:color w:val="323E4F" w:themeColor="text2" w:themeShade="BF"/>
                <w:sz w:val="24"/>
                <w:szCs w:val="24"/>
                <w:lang w:eastAsia="en-AU"/>
              </w:rPr>
              <w:t>1</w:t>
            </w:r>
          </w:p>
        </w:tc>
        <w:tc>
          <w:tcPr>
            <w:tcW w:w="0" w:type="auto"/>
            <w:hideMark/>
          </w:tcPr>
          <w:p w14:paraId="013EB7F6"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r>
      <w:tr w:rsidR="00AD16F0" w:rsidRPr="00260C1D" w14:paraId="3430E808" w14:textId="77777777" w:rsidTr="00833928">
        <w:trPr>
          <w:trHeight w:val="352"/>
        </w:trPr>
        <w:tc>
          <w:tcPr>
            <w:tcW w:w="0" w:type="auto"/>
            <w:hideMark/>
          </w:tcPr>
          <w:p w14:paraId="29CFD928"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w:t>
            </w:r>
          </w:p>
        </w:tc>
        <w:tc>
          <w:tcPr>
            <w:tcW w:w="0" w:type="auto"/>
            <w:hideMark/>
          </w:tcPr>
          <w:p w14:paraId="25CAAE59"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 xml:space="preserve">SFE </w:t>
            </w:r>
            <w:proofErr w:type="spellStart"/>
            <w:r w:rsidRPr="00260C1D">
              <w:rPr>
                <w:rFonts w:eastAsia="Segoe UI" w:cstheme="minorHAnsi"/>
                <w:color w:val="323E4F" w:themeColor="text2" w:themeShade="BF"/>
                <w:sz w:val="24"/>
                <w:szCs w:val="24"/>
                <w:lang w:eastAsia="en-AU"/>
              </w:rPr>
              <w:t>Yr</w:t>
            </w:r>
            <w:proofErr w:type="spellEnd"/>
            <w:r w:rsidRPr="00260C1D">
              <w:rPr>
                <w:rFonts w:eastAsia="Segoe UI" w:cstheme="minorHAnsi"/>
                <w:color w:val="323E4F" w:themeColor="text2" w:themeShade="BF"/>
                <w:sz w:val="24"/>
                <w:szCs w:val="24"/>
                <w:lang w:eastAsia="en-AU"/>
              </w:rPr>
              <w:t xml:space="preserve"> 10 or equivalent</w:t>
            </w:r>
          </w:p>
        </w:tc>
        <w:tc>
          <w:tcPr>
            <w:tcW w:w="0" w:type="auto"/>
            <w:hideMark/>
          </w:tcPr>
          <w:p w14:paraId="6B8F4580"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726A300A"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6EC1E93D"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b/>
                <w:color w:val="323E4F" w:themeColor="text2" w:themeShade="BF"/>
                <w:sz w:val="24"/>
                <w:szCs w:val="24"/>
                <w:lang w:eastAsia="en-AU"/>
              </w:rPr>
              <w:t>2</w:t>
            </w:r>
          </w:p>
        </w:tc>
        <w:tc>
          <w:tcPr>
            <w:tcW w:w="0" w:type="auto"/>
            <w:hideMark/>
          </w:tcPr>
          <w:p w14:paraId="201DC1DF"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b/>
                <w:color w:val="323E4F" w:themeColor="text2" w:themeShade="BF"/>
                <w:sz w:val="24"/>
                <w:szCs w:val="24"/>
                <w:lang w:eastAsia="en-AU"/>
              </w:rPr>
              <w:t>1</w:t>
            </w:r>
          </w:p>
        </w:tc>
        <w:tc>
          <w:tcPr>
            <w:tcW w:w="0" w:type="auto"/>
            <w:hideMark/>
          </w:tcPr>
          <w:p w14:paraId="30A35377"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b/>
                <w:color w:val="323E4F" w:themeColor="text2" w:themeShade="BF"/>
                <w:sz w:val="24"/>
                <w:szCs w:val="24"/>
                <w:lang w:eastAsia="en-AU"/>
              </w:rPr>
              <w:t>1</w:t>
            </w:r>
          </w:p>
        </w:tc>
        <w:tc>
          <w:tcPr>
            <w:tcW w:w="0" w:type="auto"/>
            <w:hideMark/>
          </w:tcPr>
          <w:p w14:paraId="04C5D2B4"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r>
      <w:tr w:rsidR="00AD16F0" w:rsidRPr="00260C1D" w14:paraId="37456050" w14:textId="77777777" w:rsidTr="00833928">
        <w:trPr>
          <w:trHeight w:val="352"/>
        </w:trPr>
        <w:tc>
          <w:tcPr>
            <w:tcW w:w="0" w:type="auto"/>
            <w:hideMark/>
          </w:tcPr>
          <w:p w14:paraId="53424DED"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3</w:t>
            </w:r>
          </w:p>
        </w:tc>
        <w:tc>
          <w:tcPr>
            <w:tcW w:w="0" w:type="auto"/>
            <w:hideMark/>
          </w:tcPr>
          <w:p w14:paraId="31B460D4"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 xml:space="preserve">SFE </w:t>
            </w:r>
            <w:proofErr w:type="spellStart"/>
            <w:r w:rsidRPr="00260C1D">
              <w:rPr>
                <w:rFonts w:eastAsia="Segoe UI" w:cstheme="minorHAnsi"/>
                <w:color w:val="323E4F" w:themeColor="text2" w:themeShade="BF"/>
                <w:sz w:val="24"/>
                <w:szCs w:val="24"/>
                <w:lang w:eastAsia="en-AU"/>
              </w:rPr>
              <w:t>Yr</w:t>
            </w:r>
            <w:proofErr w:type="spellEnd"/>
            <w:r w:rsidRPr="00260C1D">
              <w:rPr>
                <w:rFonts w:eastAsia="Segoe UI" w:cstheme="minorHAnsi"/>
                <w:color w:val="323E4F" w:themeColor="text2" w:themeShade="BF"/>
                <w:sz w:val="24"/>
                <w:szCs w:val="24"/>
                <w:lang w:eastAsia="en-AU"/>
              </w:rPr>
              <w:t> 11 or equivalent</w:t>
            </w:r>
          </w:p>
        </w:tc>
        <w:tc>
          <w:tcPr>
            <w:tcW w:w="0" w:type="auto"/>
            <w:hideMark/>
          </w:tcPr>
          <w:p w14:paraId="6FF375C9"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69FA98E0"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4DC7C921"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b/>
                <w:color w:val="323E4F" w:themeColor="text2" w:themeShade="BF"/>
                <w:sz w:val="24"/>
                <w:szCs w:val="24"/>
                <w:lang w:eastAsia="en-AU"/>
              </w:rPr>
              <w:t>2</w:t>
            </w:r>
          </w:p>
        </w:tc>
        <w:tc>
          <w:tcPr>
            <w:tcW w:w="0" w:type="auto"/>
            <w:hideMark/>
          </w:tcPr>
          <w:p w14:paraId="047BC538"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b/>
                <w:color w:val="323E4F" w:themeColor="text2" w:themeShade="BF"/>
                <w:sz w:val="24"/>
                <w:szCs w:val="24"/>
                <w:lang w:eastAsia="en-AU"/>
              </w:rPr>
              <w:t>2</w:t>
            </w:r>
          </w:p>
        </w:tc>
        <w:tc>
          <w:tcPr>
            <w:tcW w:w="0" w:type="auto"/>
            <w:hideMark/>
          </w:tcPr>
          <w:p w14:paraId="1B499ABC"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b/>
                <w:color w:val="323E4F" w:themeColor="text2" w:themeShade="BF"/>
                <w:sz w:val="24"/>
                <w:szCs w:val="24"/>
                <w:lang w:eastAsia="en-AU"/>
              </w:rPr>
              <w:t>1</w:t>
            </w:r>
          </w:p>
        </w:tc>
        <w:tc>
          <w:tcPr>
            <w:tcW w:w="0" w:type="auto"/>
            <w:hideMark/>
          </w:tcPr>
          <w:p w14:paraId="71C1EA45"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r>
      <w:tr w:rsidR="00AD16F0" w:rsidRPr="00260C1D" w14:paraId="41C4DDDB" w14:textId="77777777" w:rsidTr="00833928">
        <w:trPr>
          <w:trHeight w:val="352"/>
        </w:trPr>
        <w:tc>
          <w:tcPr>
            <w:tcW w:w="0" w:type="auto"/>
            <w:hideMark/>
          </w:tcPr>
          <w:p w14:paraId="7B8CB1A7"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4</w:t>
            </w:r>
          </w:p>
        </w:tc>
        <w:tc>
          <w:tcPr>
            <w:tcW w:w="0" w:type="auto"/>
            <w:hideMark/>
          </w:tcPr>
          <w:p w14:paraId="5F8856A4"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 xml:space="preserve">SFE </w:t>
            </w:r>
            <w:proofErr w:type="spellStart"/>
            <w:r w:rsidRPr="00260C1D">
              <w:rPr>
                <w:rFonts w:eastAsia="Segoe UI" w:cstheme="minorHAnsi"/>
                <w:color w:val="323E4F" w:themeColor="text2" w:themeShade="BF"/>
                <w:sz w:val="24"/>
                <w:szCs w:val="24"/>
                <w:lang w:eastAsia="en-AU"/>
              </w:rPr>
              <w:t>Yr</w:t>
            </w:r>
            <w:proofErr w:type="spellEnd"/>
            <w:r w:rsidRPr="00260C1D">
              <w:rPr>
                <w:rFonts w:eastAsia="Segoe UI" w:cstheme="minorHAnsi"/>
                <w:color w:val="323E4F" w:themeColor="text2" w:themeShade="BF"/>
                <w:sz w:val="24"/>
                <w:szCs w:val="24"/>
                <w:lang w:eastAsia="en-AU"/>
              </w:rPr>
              <w:t xml:space="preserve"> 12 or equivalent</w:t>
            </w:r>
          </w:p>
        </w:tc>
        <w:tc>
          <w:tcPr>
            <w:tcW w:w="0" w:type="auto"/>
            <w:hideMark/>
          </w:tcPr>
          <w:p w14:paraId="0C70BEE7"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5C5857EB"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4431AE75"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40FEA169"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b/>
                <w:color w:val="323E4F" w:themeColor="text2" w:themeShade="BF"/>
                <w:sz w:val="24"/>
                <w:szCs w:val="24"/>
                <w:lang w:eastAsia="en-AU"/>
              </w:rPr>
              <w:t>2</w:t>
            </w:r>
          </w:p>
        </w:tc>
        <w:tc>
          <w:tcPr>
            <w:tcW w:w="0" w:type="auto"/>
            <w:hideMark/>
          </w:tcPr>
          <w:p w14:paraId="038309FF"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b/>
                <w:color w:val="323E4F" w:themeColor="text2" w:themeShade="BF"/>
                <w:sz w:val="24"/>
                <w:szCs w:val="24"/>
                <w:lang w:eastAsia="en-AU"/>
              </w:rPr>
              <w:t>1</w:t>
            </w:r>
          </w:p>
        </w:tc>
        <w:tc>
          <w:tcPr>
            <w:tcW w:w="0" w:type="auto"/>
            <w:hideMark/>
          </w:tcPr>
          <w:p w14:paraId="55232EBD"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r>
      <w:tr w:rsidR="00AD16F0" w:rsidRPr="00260C1D" w14:paraId="1E072772" w14:textId="77777777" w:rsidTr="00833928">
        <w:trPr>
          <w:trHeight w:val="352"/>
        </w:trPr>
        <w:tc>
          <w:tcPr>
            <w:tcW w:w="0" w:type="auto"/>
            <w:hideMark/>
          </w:tcPr>
          <w:p w14:paraId="387FE231"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w:t>
            </w:r>
          </w:p>
        </w:tc>
        <w:tc>
          <w:tcPr>
            <w:tcW w:w="0" w:type="auto"/>
            <w:hideMark/>
          </w:tcPr>
          <w:p w14:paraId="1D153E28"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SFE Certificate I to IV</w:t>
            </w:r>
          </w:p>
        </w:tc>
        <w:tc>
          <w:tcPr>
            <w:tcW w:w="0" w:type="auto"/>
            <w:hideMark/>
          </w:tcPr>
          <w:p w14:paraId="52FE3B87"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7E3E9051"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4133714E"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6D8E9D2B"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b/>
                <w:color w:val="323E4F" w:themeColor="text2" w:themeShade="BF"/>
                <w:sz w:val="24"/>
                <w:szCs w:val="24"/>
                <w:lang w:eastAsia="en-AU"/>
              </w:rPr>
              <w:t>2</w:t>
            </w:r>
          </w:p>
        </w:tc>
        <w:tc>
          <w:tcPr>
            <w:tcW w:w="0" w:type="auto"/>
            <w:hideMark/>
          </w:tcPr>
          <w:p w14:paraId="133060AD"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b/>
                <w:color w:val="323E4F" w:themeColor="text2" w:themeShade="BF"/>
                <w:sz w:val="24"/>
                <w:szCs w:val="24"/>
                <w:lang w:eastAsia="en-AU"/>
              </w:rPr>
              <w:t>1</w:t>
            </w:r>
          </w:p>
        </w:tc>
        <w:tc>
          <w:tcPr>
            <w:tcW w:w="0" w:type="auto"/>
            <w:hideMark/>
          </w:tcPr>
          <w:p w14:paraId="41F98F9C"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r>
      <w:tr w:rsidR="00AD16F0" w:rsidRPr="00260C1D" w14:paraId="03FAA323" w14:textId="77777777" w:rsidTr="00833928">
        <w:trPr>
          <w:trHeight w:val="352"/>
        </w:trPr>
        <w:tc>
          <w:tcPr>
            <w:tcW w:w="0" w:type="auto"/>
            <w:hideMark/>
          </w:tcPr>
          <w:p w14:paraId="1380F6BD"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6</w:t>
            </w:r>
          </w:p>
        </w:tc>
        <w:tc>
          <w:tcPr>
            <w:tcW w:w="0" w:type="auto"/>
            <w:hideMark/>
          </w:tcPr>
          <w:p w14:paraId="55867E96"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SFE Advanced Dip/Diploma</w:t>
            </w:r>
          </w:p>
        </w:tc>
        <w:tc>
          <w:tcPr>
            <w:tcW w:w="0" w:type="auto"/>
            <w:hideMark/>
          </w:tcPr>
          <w:p w14:paraId="23B316BD"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287C06C3"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391C1FDC"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06FF1D88"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041C9F62"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b/>
                <w:color w:val="323E4F" w:themeColor="text2" w:themeShade="BF"/>
                <w:sz w:val="24"/>
                <w:szCs w:val="24"/>
                <w:lang w:eastAsia="en-AU"/>
              </w:rPr>
              <w:t>2</w:t>
            </w:r>
          </w:p>
        </w:tc>
        <w:tc>
          <w:tcPr>
            <w:tcW w:w="0" w:type="auto"/>
            <w:hideMark/>
          </w:tcPr>
          <w:p w14:paraId="591B3630"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r>
      <w:tr w:rsidR="00AD16F0" w:rsidRPr="00260C1D" w14:paraId="01EAA570" w14:textId="77777777" w:rsidTr="00833928">
        <w:trPr>
          <w:trHeight w:val="352"/>
        </w:trPr>
        <w:tc>
          <w:tcPr>
            <w:tcW w:w="0" w:type="auto"/>
            <w:hideMark/>
          </w:tcPr>
          <w:p w14:paraId="41512512"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7</w:t>
            </w:r>
          </w:p>
        </w:tc>
        <w:tc>
          <w:tcPr>
            <w:tcW w:w="0" w:type="auto"/>
            <w:hideMark/>
          </w:tcPr>
          <w:p w14:paraId="6107F595"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SFE Bachelor degree or above</w:t>
            </w:r>
          </w:p>
        </w:tc>
        <w:tc>
          <w:tcPr>
            <w:tcW w:w="0" w:type="auto"/>
            <w:hideMark/>
          </w:tcPr>
          <w:p w14:paraId="0965515D"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0EEF1669"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053B6169"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5214B383"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7F379588"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127086A8"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r>
    </w:tbl>
    <w:p w14:paraId="21D97B54"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density of need according to each school’s new SFOE index will further weight the Social Disadvantage loadings.</w:t>
      </w:r>
    </w:p>
    <w:p w14:paraId="6E73BE7B" w14:textId="77AF06C3" w:rsidR="006E0424"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To calculate the SFO index, the parent’s occupation is </w:t>
      </w:r>
      <w:proofErr w:type="spellStart"/>
      <w:r w:rsidRPr="00260C1D">
        <w:rPr>
          <w:rFonts w:eastAsia="Segoe UI" w:cstheme="minorHAnsi"/>
          <w:color w:val="011A3C"/>
          <w:sz w:val="24"/>
          <w:szCs w:val="24"/>
          <w:lang w:val="en" w:eastAsia="en-AU"/>
        </w:rPr>
        <w:t>categorised</w:t>
      </w:r>
      <w:proofErr w:type="spellEnd"/>
      <w:r w:rsidRPr="00260C1D">
        <w:rPr>
          <w:rFonts w:eastAsia="Segoe UI" w:cstheme="minorHAnsi"/>
          <w:color w:val="011A3C"/>
          <w:sz w:val="24"/>
          <w:szCs w:val="24"/>
          <w:lang w:val="en" w:eastAsia="en-AU"/>
        </w:rPr>
        <w:t xml:space="preserve"> and weighted according to the categories found in Table 2 below. </w:t>
      </w:r>
    </w:p>
    <w:p w14:paraId="259AF545" w14:textId="77777777" w:rsidR="006E0424" w:rsidRDefault="00AD16F0" w:rsidP="00AB7A20">
      <w:pPr>
        <w:spacing w:after="100" w:afterAutospacing="1" w:line="360" w:lineRule="atLeast"/>
        <w:rPr>
          <w:rFonts w:eastAsia="Segoe UI" w:cstheme="minorHAnsi"/>
          <w:b/>
          <w:bCs/>
          <w:color w:val="011A3C"/>
          <w:sz w:val="24"/>
          <w:szCs w:val="24"/>
          <w:lang w:val="en" w:eastAsia="en-AU"/>
        </w:rPr>
      </w:pPr>
      <w:bookmarkStart w:id="51" w:name="_Hlk130545820"/>
      <w:r w:rsidRPr="00950CBB">
        <w:rPr>
          <w:b/>
          <w:color w:val="011A3C"/>
          <w:sz w:val="24"/>
          <w:lang w:val="en"/>
        </w:rPr>
        <w:t>Data regarding occupational categories is collected each year as part of the August census</w:t>
      </w:r>
      <w:r w:rsidR="001101C8" w:rsidRPr="00950CBB">
        <w:rPr>
          <w:b/>
          <w:color w:val="011A3C"/>
          <w:sz w:val="24"/>
          <w:lang w:val="en"/>
        </w:rPr>
        <w:t>.</w:t>
      </w:r>
      <w:r w:rsidR="006E0424">
        <w:rPr>
          <w:rFonts w:eastAsia="Segoe UI" w:cstheme="minorHAnsi"/>
          <w:b/>
          <w:bCs/>
          <w:color w:val="011A3C"/>
          <w:sz w:val="24"/>
          <w:szCs w:val="24"/>
          <w:lang w:val="en" w:eastAsia="en-AU"/>
        </w:rPr>
        <w:t xml:space="preserve"> </w:t>
      </w:r>
    </w:p>
    <w:p w14:paraId="2F5CFD7E" w14:textId="11F618A9" w:rsidR="00AD16F0" w:rsidRPr="00AB7A20" w:rsidRDefault="001800F3" w:rsidP="00AB7A20">
      <w:pPr>
        <w:spacing w:after="100" w:afterAutospacing="1" w:line="360" w:lineRule="atLeast"/>
        <w:rPr>
          <w:rFonts w:eastAsia="Segoe UI" w:cstheme="minorHAnsi"/>
          <w:b/>
          <w:bCs/>
          <w:color w:val="011A3C"/>
          <w:sz w:val="24"/>
          <w:szCs w:val="24"/>
          <w:lang w:val="en" w:eastAsia="en-AU"/>
        </w:rPr>
      </w:pPr>
      <w:r w:rsidRPr="001800F3">
        <w:rPr>
          <w:rFonts w:eastAsia="Segoe UI" w:cstheme="minorHAnsi"/>
          <w:b/>
          <w:bCs/>
          <w:color w:val="011A3C"/>
          <w:sz w:val="24"/>
          <w:szCs w:val="24"/>
          <w:lang w:val="en" w:eastAsia="en-AU"/>
        </w:rPr>
        <w:t>While schools can access Panorama data, this is not used for SRP funding purposes. Only data collected at census is used for SRP funding.</w:t>
      </w:r>
    </w:p>
    <w:bookmarkEnd w:id="51"/>
    <w:p w14:paraId="1D758931" w14:textId="77777777" w:rsidR="00AD16F0" w:rsidRPr="00260C1D" w:rsidRDefault="00AD16F0" w:rsidP="00AD16F0">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Table 2</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
        <w:gridCol w:w="7828"/>
        <w:gridCol w:w="1808"/>
      </w:tblGrid>
      <w:tr w:rsidR="00AD16F0" w:rsidRPr="00DF4FFA" w14:paraId="22C6F4D3" w14:textId="77777777" w:rsidTr="00833928">
        <w:trPr>
          <w:trHeight w:val="318"/>
          <w:tblHeader/>
        </w:trPr>
        <w:tc>
          <w:tcPr>
            <w:tcW w:w="0" w:type="auto"/>
            <w:hideMark/>
          </w:tcPr>
          <w:p w14:paraId="411CDC0A" w14:textId="77777777" w:rsidR="00AD16F0" w:rsidRPr="00DF4FFA" w:rsidRDefault="00AD16F0" w:rsidP="000E2834">
            <w:pPr>
              <w:spacing w:after="0" w:line="240" w:lineRule="atLeast"/>
              <w:jc w:val="center"/>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Category</w:t>
            </w:r>
          </w:p>
        </w:tc>
        <w:tc>
          <w:tcPr>
            <w:tcW w:w="0" w:type="auto"/>
            <w:hideMark/>
          </w:tcPr>
          <w:p w14:paraId="0B32512A" w14:textId="77777777" w:rsidR="00AD16F0" w:rsidRPr="00DF4FFA" w:rsidRDefault="00AD16F0" w:rsidP="00AD16F0">
            <w:pPr>
              <w:spacing w:after="0" w:line="240" w:lineRule="atLeas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Occupation Grouping</w:t>
            </w:r>
          </w:p>
        </w:tc>
        <w:tc>
          <w:tcPr>
            <w:tcW w:w="856" w:type="pct"/>
            <w:hideMark/>
          </w:tcPr>
          <w:p w14:paraId="24607075" w14:textId="77777777" w:rsidR="00AD16F0" w:rsidRPr="00DF4FFA" w:rsidRDefault="00AD16F0" w:rsidP="000E2834">
            <w:pPr>
              <w:spacing w:after="0" w:line="240" w:lineRule="atLeast"/>
              <w:jc w:val="center"/>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Weighting</w:t>
            </w:r>
          </w:p>
        </w:tc>
      </w:tr>
      <w:tr w:rsidR="00AD16F0" w:rsidRPr="00260C1D" w14:paraId="20B03929" w14:textId="77777777" w:rsidTr="00833928">
        <w:trPr>
          <w:trHeight w:val="756"/>
        </w:trPr>
        <w:tc>
          <w:tcPr>
            <w:tcW w:w="0" w:type="auto"/>
            <w:hideMark/>
          </w:tcPr>
          <w:p w14:paraId="45AAFE98"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A</w:t>
            </w:r>
          </w:p>
        </w:tc>
        <w:tc>
          <w:tcPr>
            <w:tcW w:w="0" w:type="auto"/>
            <w:hideMark/>
          </w:tcPr>
          <w:p w14:paraId="4BF5F30C"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Senior management in large business organisation, government administration and defence, and qualified professionals</w:t>
            </w:r>
          </w:p>
        </w:tc>
        <w:tc>
          <w:tcPr>
            <w:tcW w:w="856" w:type="pct"/>
            <w:hideMark/>
          </w:tcPr>
          <w:p w14:paraId="3579E76E"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0.00</w:t>
            </w:r>
          </w:p>
        </w:tc>
      </w:tr>
      <w:tr w:rsidR="00AD16F0" w:rsidRPr="00260C1D" w14:paraId="4E55E16C" w14:textId="77777777" w:rsidTr="00833928">
        <w:trPr>
          <w:trHeight w:val="384"/>
        </w:trPr>
        <w:tc>
          <w:tcPr>
            <w:tcW w:w="0" w:type="auto"/>
            <w:hideMark/>
          </w:tcPr>
          <w:p w14:paraId="238D9756"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B</w:t>
            </w:r>
          </w:p>
        </w:tc>
        <w:tc>
          <w:tcPr>
            <w:tcW w:w="0" w:type="auto"/>
            <w:hideMark/>
          </w:tcPr>
          <w:p w14:paraId="09F395FD"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Other business managers, arts/media/sports persons and associate professionals</w:t>
            </w:r>
          </w:p>
        </w:tc>
        <w:tc>
          <w:tcPr>
            <w:tcW w:w="856" w:type="pct"/>
            <w:hideMark/>
          </w:tcPr>
          <w:p w14:paraId="60CDB2EC"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0.25</w:t>
            </w:r>
          </w:p>
        </w:tc>
      </w:tr>
      <w:tr w:rsidR="00AD16F0" w:rsidRPr="00260C1D" w14:paraId="58D1EDF8" w14:textId="77777777" w:rsidTr="00833928">
        <w:trPr>
          <w:trHeight w:val="384"/>
        </w:trPr>
        <w:tc>
          <w:tcPr>
            <w:tcW w:w="0" w:type="auto"/>
            <w:hideMark/>
          </w:tcPr>
          <w:p w14:paraId="4FB5D655"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C</w:t>
            </w:r>
          </w:p>
        </w:tc>
        <w:tc>
          <w:tcPr>
            <w:tcW w:w="0" w:type="auto"/>
            <w:hideMark/>
          </w:tcPr>
          <w:p w14:paraId="0DEC5C84"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Tradesmen/women, skilled office, sales and service staff</w:t>
            </w:r>
          </w:p>
        </w:tc>
        <w:tc>
          <w:tcPr>
            <w:tcW w:w="856" w:type="pct"/>
            <w:hideMark/>
          </w:tcPr>
          <w:p w14:paraId="3FA5DB11"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0.50</w:t>
            </w:r>
          </w:p>
        </w:tc>
      </w:tr>
      <w:tr w:rsidR="00AD16F0" w:rsidRPr="00260C1D" w14:paraId="30C2DE6E" w14:textId="77777777" w:rsidTr="00833928">
        <w:trPr>
          <w:trHeight w:val="384"/>
        </w:trPr>
        <w:tc>
          <w:tcPr>
            <w:tcW w:w="0" w:type="auto"/>
            <w:hideMark/>
          </w:tcPr>
          <w:p w14:paraId="08A33849"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D</w:t>
            </w:r>
          </w:p>
        </w:tc>
        <w:tc>
          <w:tcPr>
            <w:tcW w:w="0" w:type="auto"/>
            <w:hideMark/>
          </w:tcPr>
          <w:p w14:paraId="78B2FF4A"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Machine operators, hospitality staff, assistants, labourers and related workers</w:t>
            </w:r>
          </w:p>
        </w:tc>
        <w:tc>
          <w:tcPr>
            <w:tcW w:w="856" w:type="pct"/>
            <w:hideMark/>
          </w:tcPr>
          <w:p w14:paraId="05F8B19F" w14:textId="77777777" w:rsidR="00AD16F0" w:rsidRPr="00260C1D" w:rsidRDefault="00AD16F0" w:rsidP="00124D27">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0.75</w:t>
            </w:r>
          </w:p>
        </w:tc>
      </w:tr>
      <w:tr w:rsidR="00AD16F0" w:rsidRPr="00260C1D" w14:paraId="365A89AF" w14:textId="77777777" w:rsidTr="00833928">
        <w:trPr>
          <w:trHeight w:val="384"/>
        </w:trPr>
        <w:tc>
          <w:tcPr>
            <w:tcW w:w="0" w:type="auto"/>
            <w:hideMark/>
          </w:tcPr>
          <w:p w14:paraId="3EDBE83E" w14:textId="77777777" w:rsidR="00AD16F0" w:rsidRPr="00260C1D" w:rsidRDefault="00AD16F0" w:rsidP="000E28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N</w:t>
            </w:r>
          </w:p>
        </w:tc>
        <w:tc>
          <w:tcPr>
            <w:tcW w:w="0" w:type="auto"/>
            <w:hideMark/>
          </w:tcPr>
          <w:p w14:paraId="15697AE7"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Unemployed &amp; pensioners (for 12 months or longer)</w:t>
            </w:r>
          </w:p>
        </w:tc>
        <w:tc>
          <w:tcPr>
            <w:tcW w:w="856" w:type="pct"/>
            <w:hideMark/>
          </w:tcPr>
          <w:p w14:paraId="0A9CA45F" w14:textId="77777777" w:rsidR="00AD16F0" w:rsidRPr="00260C1D" w:rsidRDefault="00AD16F0" w:rsidP="00124D27">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1.00</w:t>
            </w:r>
          </w:p>
        </w:tc>
      </w:tr>
    </w:tbl>
    <w:p w14:paraId="4A60C8C1" w14:textId="3370A243"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 xml:space="preserve">Data recorded in the August census as </w:t>
      </w:r>
      <w:r w:rsidR="007C45D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unknown</w:t>
      </w:r>
      <w:r w:rsidR="007C45D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is </w:t>
      </w:r>
      <w:r w:rsidR="000E2834" w:rsidRPr="00260C1D">
        <w:rPr>
          <w:rFonts w:eastAsia="Segoe UI" w:cstheme="minorHAnsi"/>
          <w:color w:val="011A3C"/>
          <w:sz w:val="24"/>
          <w:szCs w:val="24"/>
          <w:lang w:val="en" w:eastAsia="en-AU"/>
        </w:rPr>
        <w:t xml:space="preserve">allocated to </w:t>
      </w:r>
      <w:r w:rsidRPr="00260C1D">
        <w:rPr>
          <w:rFonts w:eastAsia="Segoe UI" w:cstheme="minorHAnsi"/>
          <w:color w:val="011A3C"/>
          <w:sz w:val="24"/>
          <w:szCs w:val="24"/>
          <w:lang w:val="en" w:eastAsia="en-AU"/>
        </w:rPr>
        <w:t xml:space="preserve">the SFO density </w:t>
      </w:r>
      <w:r w:rsidR="00113120" w:rsidRPr="00260C1D">
        <w:rPr>
          <w:rFonts w:eastAsia="Segoe UI" w:cstheme="minorHAnsi"/>
          <w:color w:val="011A3C"/>
          <w:sz w:val="24"/>
          <w:szCs w:val="24"/>
          <w:lang w:val="en" w:eastAsia="en-AU"/>
        </w:rPr>
        <w:t>category as ‘</w:t>
      </w:r>
      <w:r w:rsidRPr="00260C1D">
        <w:rPr>
          <w:rFonts w:eastAsia="Segoe UI" w:cstheme="minorHAnsi"/>
          <w:color w:val="011A3C"/>
          <w:sz w:val="24"/>
          <w:szCs w:val="24"/>
          <w:lang w:val="en" w:eastAsia="en-AU"/>
        </w:rPr>
        <w:t>Occupation Group A</w:t>
      </w:r>
      <w:r w:rsidR="00113120"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and attracts a zero weighting.</w:t>
      </w:r>
    </w:p>
    <w:p w14:paraId="7E026735" w14:textId="680710BF"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For detailed </w:t>
      </w:r>
      <w:proofErr w:type="spellStart"/>
      <w:r w:rsidRPr="00260C1D">
        <w:rPr>
          <w:rFonts w:eastAsia="Segoe UI" w:cstheme="minorHAnsi"/>
          <w:color w:val="011A3C"/>
          <w:sz w:val="24"/>
          <w:szCs w:val="24"/>
          <w:lang w:val="en" w:eastAsia="en-AU"/>
        </w:rPr>
        <w:t>categorisation</w:t>
      </w:r>
      <w:proofErr w:type="spellEnd"/>
      <w:r w:rsidRPr="00260C1D">
        <w:rPr>
          <w:rFonts w:eastAsia="Segoe UI" w:cstheme="minorHAnsi"/>
          <w:color w:val="011A3C"/>
          <w:sz w:val="24"/>
          <w:szCs w:val="24"/>
          <w:lang w:val="en" w:eastAsia="en-AU"/>
        </w:rPr>
        <w:t xml:space="preserve"> of SFO occupational categories</w:t>
      </w:r>
      <w:r w:rsidR="00D836DB" w:rsidRPr="00260C1D">
        <w:rPr>
          <w:rFonts w:eastAsia="Segoe UI" w:cstheme="minorHAnsi"/>
          <w:color w:val="011A3C"/>
          <w:sz w:val="24"/>
          <w:szCs w:val="24"/>
          <w:lang w:val="en" w:eastAsia="en-AU"/>
        </w:rPr>
        <w:t>, refer to the</w:t>
      </w:r>
      <w:r w:rsidRPr="00260C1D">
        <w:rPr>
          <w:rFonts w:eastAsia="Segoe UI" w:cstheme="minorHAnsi"/>
          <w:color w:val="011A3C"/>
          <w:sz w:val="24"/>
          <w:szCs w:val="24"/>
          <w:lang w:val="en" w:eastAsia="en-AU"/>
        </w:rPr>
        <w:t xml:space="preserve"> link below:</w:t>
      </w:r>
    </w:p>
    <w:p w14:paraId="3D3E46F4" w14:textId="57D4F3B4" w:rsidR="00AD16F0" w:rsidRPr="00260C1D" w:rsidRDefault="00000000" w:rsidP="00AD16F0">
      <w:pPr>
        <w:spacing w:before="100" w:beforeAutospacing="1" w:after="100" w:afterAutospacing="1" w:line="360" w:lineRule="atLeast"/>
        <w:rPr>
          <w:rFonts w:eastAsia="Segoe UI" w:cstheme="minorHAnsi"/>
          <w:color w:val="011A3C"/>
          <w:sz w:val="24"/>
          <w:szCs w:val="24"/>
          <w:u w:val="single"/>
          <w:lang w:val="en" w:eastAsia="en-AU"/>
        </w:rPr>
      </w:pPr>
      <w:hyperlink r:id="rId49" w:history="1">
        <w:r w:rsidR="00B12989">
          <w:rPr>
            <w:rFonts w:eastAsia="Segoe UI" w:cstheme="minorHAnsi"/>
            <w:color w:val="4472C4" w:themeColor="accent1"/>
            <w:sz w:val="24"/>
            <w:szCs w:val="24"/>
            <w:u w:val="single"/>
            <w:lang w:val="en" w:eastAsia="en-AU"/>
          </w:rPr>
          <w:t>Student Family Occupation Education Portal</w:t>
        </w:r>
      </w:hyperlink>
    </w:p>
    <w:p w14:paraId="1934CB4C" w14:textId="77777777" w:rsidR="00AD16F0" w:rsidRPr="00260C1D" w:rsidRDefault="00AD16F0" w:rsidP="00C53D2A">
      <w:pPr>
        <w:rPr>
          <w:rFonts w:cstheme="minorHAnsi"/>
          <w:b/>
          <w:lang w:val="en" w:eastAsia="en-AU"/>
        </w:rPr>
      </w:pPr>
      <w:r w:rsidRPr="00260C1D">
        <w:rPr>
          <w:rFonts w:cstheme="minorHAnsi"/>
          <w:b/>
          <w:lang w:val="en" w:eastAsia="en-AU"/>
        </w:rPr>
        <w:t>SFO, SFO and SFOE index calculation</w:t>
      </w:r>
    </w:p>
    <w:p w14:paraId="1967CF1F" w14:textId="428569FA"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SFO index is then calculated using the method below: </w:t>
      </w:r>
      <w:r w:rsidRPr="00260C1D">
        <w:rPr>
          <w:rFonts w:eastAsia="Segoe UI" w:cstheme="minorHAnsi"/>
          <w:color w:val="011A3C"/>
          <w:sz w:val="24"/>
          <w:szCs w:val="24"/>
          <w:lang w:val="en" w:eastAsia="en-AU"/>
        </w:rPr>
        <w:br/>
      </w:r>
      <w:r w:rsidRPr="00260C1D">
        <w:rPr>
          <w:rFonts w:eastAsia="Segoe UI" w:cstheme="minorHAnsi"/>
          <w:color w:val="011A3C"/>
          <w:sz w:val="24"/>
          <w:szCs w:val="24"/>
          <w:lang w:val="en" w:eastAsia="en-AU"/>
        </w:rPr>
        <w:br/>
      </w:r>
      <w:r w:rsidRPr="00260C1D">
        <w:rPr>
          <w:rFonts w:eastAsia="Segoe UI" w:cstheme="minorHAnsi"/>
          <w:b/>
          <w:color w:val="011A3C"/>
          <w:sz w:val="24"/>
          <w:szCs w:val="24"/>
          <w:lang w:val="en" w:eastAsia="en-AU"/>
        </w:rPr>
        <w:t>SFO calculation =</w:t>
      </w:r>
      <w:r w:rsidRPr="00260C1D">
        <w:rPr>
          <w:rFonts w:eastAsia="Segoe UI" w:cstheme="minorHAnsi"/>
          <w:color w:val="011A3C"/>
          <w:sz w:val="24"/>
          <w:szCs w:val="24"/>
          <w:lang w:val="en" w:eastAsia="en-AU"/>
        </w:rPr>
        <w:t xml:space="preserve"> (</w:t>
      </w:r>
      <w:r w:rsidR="002265F9">
        <w:rPr>
          <w:rFonts w:eastAsia="Segoe UI" w:cstheme="minorHAnsi"/>
          <w:color w:val="011A3C"/>
          <w:sz w:val="24"/>
          <w:szCs w:val="24"/>
          <w:lang w:val="en" w:eastAsia="en-AU"/>
        </w:rPr>
        <w:t>N</w:t>
      </w:r>
      <w:r w:rsidRPr="00260C1D">
        <w:rPr>
          <w:rFonts w:eastAsia="Segoe UI" w:cstheme="minorHAnsi"/>
          <w:color w:val="011A3C"/>
          <w:sz w:val="24"/>
          <w:szCs w:val="24"/>
          <w:lang w:val="en" w:eastAsia="en-AU"/>
        </w:rPr>
        <w:t>umber of students</w:t>
      </w:r>
      <w:r w:rsidR="00E655E4">
        <w:rPr>
          <w:rFonts w:eastAsia="Segoe UI" w:cstheme="minorHAnsi"/>
          <w:color w:val="011A3C"/>
          <w:sz w:val="24"/>
          <w:szCs w:val="24"/>
          <w:lang w:val="en" w:eastAsia="en-AU"/>
        </w:rPr>
        <w:t xml:space="preserve"> × </w:t>
      </w:r>
      <w:r w:rsidR="002265F9">
        <w:rPr>
          <w:rFonts w:eastAsia="Segoe UI" w:cstheme="minorHAnsi"/>
          <w:color w:val="011A3C"/>
          <w:sz w:val="24"/>
          <w:szCs w:val="24"/>
          <w:lang w:val="en" w:eastAsia="en-AU"/>
        </w:rPr>
        <w:t>W</w:t>
      </w:r>
      <w:r w:rsidRPr="00260C1D">
        <w:rPr>
          <w:rFonts w:eastAsia="Segoe UI" w:cstheme="minorHAnsi"/>
          <w:color w:val="011A3C"/>
          <w:sz w:val="24"/>
          <w:szCs w:val="24"/>
          <w:lang w:val="en" w:eastAsia="en-AU"/>
        </w:rPr>
        <w:t>eighting for each occupational category)/</w:t>
      </w:r>
      <w:r w:rsidR="002265F9">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otal number of students based on the occupational groupings and weightings in Table 2</w:t>
      </w:r>
    </w:p>
    <w:p w14:paraId="3E8187B1"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To calculate the SFE index, the parent’s educational qualification is </w:t>
      </w:r>
      <w:proofErr w:type="spellStart"/>
      <w:r w:rsidRPr="00260C1D">
        <w:rPr>
          <w:rFonts w:eastAsia="Segoe UI" w:cstheme="minorHAnsi"/>
          <w:color w:val="011A3C"/>
          <w:sz w:val="24"/>
          <w:szCs w:val="24"/>
          <w:lang w:val="en" w:eastAsia="en-AU"/>
        </w:rPr>
        <w:t>categorised</w:t>
      </w:r>
      <w:proofErr w:type="spellEnd"/>
      <w:r w:rsidRPr="00260C1D">
        <w:rPr>
          <w:rFonts w:eastAsia="Segoe UI" w:cstheme="minorHAnsi"/>
          <w:color w:val="011A3C"/>
          <w:sz w:val="24"/>
          <w:szCs w:val="24"/>
          <w:lang w:val="en" w:eastAsia="en-AU"/>
        </w:rPr>
        <w:t xml:space="preserve"> and weighted according to the categories found in Table 3 below. Data regarding educational qualification is collected annually as part of the August census.</w:t>
      </w:r>
    </w:p>
    <w:p w14:paraId="0A3F6A52" w14:textId="77777777" w:rsidR="00AD16F0" w:rsidRPr="00260C1D" w:rsidRDefault="00AD16F0" w:rsidP="00AD16F0">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Table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93"/>
        <w:gridCol w:w="6321"/>
        <w:gridCol w:w="1742"/>
      </w:tblGrid>
      <w:tr w:rsidR="00AD16F0" w:rsidRPr="00DF4FFA" w14:paraId="0FCD0208" w14:textId="77777777" w:rsidTr="00080034">
        <w:trPr>
          <w:tblHeader/>
        </w:trPr>
        <w:tc>
          <w:tcPr>
            <w:tcW w:w="0" w:type="auto"/>
            <w:hideMark/>
          </w:tcPr>
          <w:p w14:paraId="3DDE772C" w14:textId="77777777" w:rsidR="00AD16F0" w:rsidRPr="00DF4FFA" w:rsidRDefault="00AD16F0" w:rsidP="00AD16F0">
            <w:pPr>
              <w:spacing w:after="0" w:line="240" w:lineRule="atLeas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CASES21 Code</w:t>
            </w:r>
          </w:p>
        </w:tc>
        <w:tc>
          <w:tcPr>
            <w:tcW w:w="0" w:type="auto"/>
            <w:hideMark/>
          </w:tcPr>
          <w:p w14:paraId="1A8EB358" w14:textId="77777777" w:rsidR="00AD16F0" w:rsidRPr="00DF4FFA" w:rsidRDefault="00AD16F0" w:rsidP="00AD16F0">
            <w:pPr>
              <w:spacing w:after="0" w:line="240" w:lineRule="atLeas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Qualification Grouping</w:t>
            </w:r>
          </w:p>
        </w:tc>
        <w:tc>
          <w:tcPr>
            <w:tcW w:w="0" w:type="auto"/>
            <w:hideMark/>
          </w:tcPr>
          <w:p w14:paraId="6F830112" w14:textId="77777777" w:rsidR="00AD16F0" w:rsidRPr="00DF4FFA" w:rsidRDefault="00AD16F0" w:rsidP="00AD16F0">
            <w:pPr>
              <w:spacing w:after="0" w:line="240" w:lineRule="atLeas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Weighting</w:t>
            </w:r>
          </w:p>
        </w:tc>
      </w:tr>
      <w:tr w:rsidR="00AD16F0" w:rsidRPr="00260C1D" w14:paraId="71D9A649" w14:textId="77777777" w:rsidTr="00080034">
        <w:tc>
          <w:tcPr>
            <w:tcW w:w="0" w:type="auto"/>
            <w:hideMark/>
          </w:tcPr>
          <w:p w14:paraId="46D3B55D" w14:textId="77777777" w:rsidR="00AD16F0" w:rsidRPr="00260C1D" w:rsidRDefault="00AD16F0" w:rsidP="00124D27">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w:t>
            </w:r>
          </w:p>
        </w:tc>
        <w:tc>
          <w:tcPr>
            <w:tcW w:w="0" w:type="auto"/>
            <w:hideMark/>
          </w:tcPr>
          <w:p w14:paraId="42E17D10"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Not stated/Unknown</w:t>
            </w:r>
          </w:p>
        </w:tc>
        <w:tc>
          <w:tcPr>
            <w:tcW w:w="0" w:type="auto"/>
            <w:hideMark/>
          </w:tcPr>
          <w:p w14:paraId="5F87A534" w14:textId="77777777" w:rsidR="00AD16F0" w:rsidRPr="00260C1D" w:rsidRDefault="00AD16F0" w:rsidP="00124D27">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0.00</w:t>
            </w:r>
          </w:p>
        </w:tc>
      </w:tr>
      <w:tr w:rsidR="00AD16F0" w:rsidRPr="00260C1D" w14:paraId="62361FF4" w14:textId="77777777" w:rsidTr="00080034">
        <w:tc>
          <w:tcPr>
            <w:tcW w:w="0" w:type="auto"/>
            <w:hideMark/>
          </w:tcPr>
          <w:p w14:paraId="45CD3C06" w14:textId="77777777" w:rsidR="00AD16F0" w:rsidRPr="00260C1D" w:rsidRDefault="00AD16F0" w:rsidP="00124D27">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7</w:t>
            </w:r>
          </w:p>
        </w:tc>
        <w:tc>
          <w:tcPr>
            <w:tcW w:w="0" w:type="auto"/>
            <w:hideMark/>
          </w:tcPr>
          <w:p w14:paraId="6D84959B"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Bachelor degree or above</w:t>
            </w:r>
          </w:p>
        </w:tc>
        <w:tc>
          <w:tcPr>
            <w:tcW w:w="0" w:type="auto"/>
            <w:hideMark/>
          </w:tcPr>
          <w:p w14:paraId="126C5CF0" w14:textId="77777777" w:rsidR="00AD16F0" w:rsidRPr="00260C1D" w:rsidRDefault="00AD16F0" w:rsidP="00124D27">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0.00</w:t>
            </w:r>
          </w:p>
        </w:tc>
      </w:tr>
      <w:tr w:rsidR="00AD16F0" w:rsidRPr="00260C1D" w14:paraId="61C3873E" w14:textId="77777777" w:rsidTr="00080034">
        <w:tc>
          <w:tcPr>
            <w:tcW w:w="0" w:type="auto"/>
            <w:hideMark/>
          </w:tcPr>
          <w:p w14:paraId="5174B964" w14:textId="77777777" w:rsidR="00AD16F0" w:rsidRPr="00260C1D" w:rsidRDefault="00AD16F0" w:rsidP="00124D27">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6</w:t>
            </w:r>
          </w:p>
        </w:tc>
        <w:tc>
          <w:tcPr>
            <w:tcW w:w="0" w:type="auto"/>
            <w:hideMark/>
          </w:tcPr>
          <w:p w14:paraId="05F924CC"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Advanced diploma/Diploma</w:t>
            </w:r>
          </w:p>
        </w:tc>
        <w:tc>
          <w:tcPr>
            <w:tcW w:w="0" w:type="auto"/>
            <w:hideMark/>
          </w:tcPr>
          <w:p w14:paraId="42055610" w14:textId="77777777" w:rsidR="00AD16F0" w:rsidRPr="00260C1D" w:rsidRDefault="00AD16F0" w:rsidP="00124D27">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0.40</w:t>
            </w:r>
          </w:p>
        </w:tc>
      </w:tr>
      <w:tr w:rsidR="00AD16F0" w:rsidRPr="00260C1D" w14:paraId="1947C446" w14:textId="77777777" w:rsidTr="00080034">
        <w:tc>
          <w:tcPr>
            <w:tcW w:w="0" w:type="auto"/>
            <w:hideMark/>
          </w:tcPr>
          <w:p w14:paraId="252830CA" w14:textId="77777777" w:rsidR="00AD16F0" w:rsidRPr="00260C1D" w:rsidRDefault="00AD16F0" w:rsidP="00124D27">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w:t>
            </w:r>
          </w:p>
        </w:tc>
        <w:tc>
          <w:tcPr>
            <w:tcW w:w="0" w:type="auto"/>
            <w:hideMark/>
          </w:tcPr>
          <w:p w14:paraId="11E47201"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Certificate I to IV (inc. trade certificate)</w:t>
            </w:r>
          </w:p>
        </w:tc>
        <w:tc>
          <w:tcPr>
            <w:tcW w:w="0" w:type="auto"/>
            <w:hideMark/>
          </w:tcPr>
          <w:p w14:paraId="03F641D2" w14:textId="77777777" w:rsidR="00AD16F0" w:rsidRPr="00260C1D" w:rsidRDefault="00AD16F0" w:rsidP="00124D27">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0.50</w:t>
            </w:r>
          </w:p>
        </w:tc>
      </w:tr>
      <w:tr w:rsidR="00AD16F0" w:rsidRPr="00260C1D" w14:paraId="72867884" w14:textId="77777777" w:rsidTr="00080034">
        <w:tc>
          <w:tcPr>
            <w:tcW w:w="0" w:type="auto"/>
            <w:hideMark/>
          </w:tcPr>
          <w:p w14:paraId="714160A2" w14:textId="77777777" w:rsidR="00AD16F0" w:rsidRPr="00260C1D" w:rsidRDefault="00AD16F0" w:rsidP="00124D27">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4</w:t>
            </w:r>
          </w:p>
        </w:tc>
        <w:tc>
          <w:tcPr>
            <w:tcW w:w="0" w:type="auto"/>
            <w:hideMark/>
          </w:tcPr>
          <w:p w14:paraId="74251152"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Year 12 or equivalent</w:t>
            </w:r>
          </w:p>
        </w:tc>
        <w:tc>
          <w:tcPr>
            <w:tcW w:w="0" w:type="auto"/>
            <w:hideMark/>
          </w:tcPr>
          <w:p w14:paraId="4D167B56" w14:textId="77777777" w:rsidR="00AD16F0" w:rsidRPr="00260C1D" w:rsidRDefault="00AD16F0" w:rsidP="00124D27">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0.40</w:t>
            </w:r>
          </w:p>
        </w:tc>
      </w:tr>
      <w:tr w:rsidR="00AD16F0" w:rsidRPr="00260C1D" w14:paraId="06FAA619" w14:textId="77777777" w:rsidTr="00080034">
        <w:tc>
          <w:tcPr>
            <w:tcW w:w="0" w:type="auto"/>
            <w:hideMark/>
          </w:tcPr>
          <w:p w14:paraId="2BCA5DD6" w14:textId="77777777" w:rsidR="00AD16F0" w:rsidRPr="00260C1D" w:rsidRDefault="00AD16F0" w:rsidP="00124D27">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3</w:t>
            </w:r>
          </w:p>
        </w:tc>
        <w:tc>
          <w:tcPr>
            <w:tcW w:w="0" w:type="auto"/>
            <w:hideMark/>
          </w:tcPr>
          <w:p w14:paraId="0D7E9437"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Year 11 or equivalent</w:t>
            </w:r>
          </w:p>
        </w:tc>
        <w:tc>
          <w:tcPr>
            <w:tcW w:w="0" w:type="auto"/>
            <w:hideMark/>
          </w:tcPr>
          <w:p w14:paraId="4C08C1AB" w14:textId="77777777" w:rsidR="00AD16F0" w:rsidRPr="00260C1D" w:rsidRDefault="00AD16F0" w:rsidP="00124D27">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0.70</w:t>
            </w:r>
          </w:p>
        </w:tc>
      </w:tr>
      <w:tr w:rsidR="00AD16F0" w:rsidRPr="00260C1D" w14:paraId="4A507812" w14:textId="77777777" w:rsidTr="00080034">
        <w:tc>
          <w:tcPr>
            <w:tcW w:w="0" w:type="auto"/>
            <w:hideMark/>
          </w:tcPr>
          <w:p w14:paraId="58C2D2EA" w14:textId="77777777" w:rsidR="00AD16F0" w:rsidRPr="00260C1D" w:rsidRDefault="00AD16F0" w:rsidP="00124D27">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w:t>
            </w:r>
          </w:p>
        </w:tc>
        <w:tc>
          <w:tcPr>
            <w:tcW w:w="0" w:type="auto"/>
            <w:hideMark/>
          </w:tcPr>
          <w:p w14:paraId="45223FF0"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Year 10 or equivalent</w:t>
            </w:r>
          </w:p>
        </w:tc>
        <w:tc>
          <w:tcPr>
            <w:tcW w:w="0" w:type="auto"/>
            <w:hideMark/>
          </w:tcPr>
          <w:p w14:paraId="4DFBA75D" w14:textId="77777777" w:rsidR="00AD16F0" w:rsidRPr="00260C1D" w:rsidRDefault="00AD16F0" w:rsidP="00124D27">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0.90</w:t>
            </w:r>
          </w:p>
        </w:tc>
      </w:tr>
      <w:tr w:rsidR="00AD16F0" w:rsidRPr="00260C1D" w14:paraId="3FD6984C" w14:textId="77777777" w:rsidTr="00080034">
        <w:tc>
          <w:tcPr>
            <w:tcW w:w="0" w:type="auto"/>
            <w:hideMark/>
          </w:tcPr>
          <w:p w14:paraId="0C1B29DA" w14:textId="77777777" w:rsidR="00AD16F0" w:rsidRPr="00260C1D" w:rsidRDefault="00AD16F0" w:rsidP="00124D27">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w:t>
            </w:r>
          </w:p>
        </w:tc>
        <w:tc>
          <w:tcPr>
            <w:tcW w:w="0" w:type="auto"/>
            <w:hideMark/>
          </w:tcPr>
          <w:p w14:paraId="09214579" w14:textId="77777777" w:rsidR="00AD16F0" w:rsidRPr="00260C1D" w:rsidRDefault="00AD16F0" w:rsidP="00AD16F0">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Year 9 or equivalent or below</w:t>
            </w:r>
          </w:p>
        </w:tc>
        <w:tc>
          <w:tcPr>
            <w:tcW w:w="0" w:type="auto"/>
            <w:hideMark/>
          </w:tcPr>
          <w:p w14:paraId="5C72EC0D" w14:textId="77777777" w:rsidR="00AD16F0" w:rsidRPr="00260C1D" w:rsidRDefault="00AD16F0" w:rsidP="00124D27">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1.00</w:t>
            </w:r>
          </w:p>
        </w:tc>
      </w:tr>
    </w:tbl>
    <w:p w14:paraId="269D72D4"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NOTE: CASES21 Code 8 is No non-school qualification and defaults to the highest year of school completion.</w:t>
      </w:r>
    </w:p>
    <w:p w14:paraId="014AF2FB"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SFE index is then calculated using the method below: </w:t>
      </w:r>
    </w:p>
    <w:p w14:paraId="335830FF" w14:textId="2E18942D"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SFE calculation = (</w:t>
      </w:r>
      <w:r w:rsidR="002265F9">
        <w:rPr>
          <w:rFonts w:eastAsia="Segoe UI" w:cstheme="minorHAnsi"/>
          <w:color w:val="011A3C"/>
          <w:sz w:val="24"/>
          <w:szCs w:val="24"/>
          <w:lang w:val="en" w:eastAsia="en-AU"/>
        </w:rPr>
        <w:t>N</w:t>
      </w:r>
      <w:r w:rsidRPr="00260C1D">
        <w:rPr>
          <w:rFonts w:eastAsia="Segoe UI" w:cstheme="minorHAnsi"/>
          <w:color w:val="011A3C"/>
          <w:sz w:val="24"/>
          <w:szCs w:val="24"/>
          <w:lang w:val="en" w:eastAsia="en-AU"/>
        </w:rPr>
        <w:t>umber of students</w:t>
      </w:r>
      <w:r w:rsidR="00E655E4">
        <w:rPr>
          <w:rFonts w:eastAsia="Segoe UI" w:cstheme="minorHAnsi"/>
          <w:color w:val="011A3C"/>
          <w:sz w:val="24"/>
          <w:szCs w:val="24"/>
          <w:lang w:val="en" w:eastAsia="en-AU"/>
        </w:rPr>
        <w:t xml:space="preserve"> × </w:t>
      </w:r>
      <w:r w:rsidR="002265F9">
        <w:rPr>
          <w:rFonts w:eastAsia="Segoe UI" w:cstheme="minorHAnsi"/>
          <w:color w:val="011A3C"/>
          <w:sz w:val="24"/>
          <w:szCs w:val="24"/>
          <w:lang w:val="en" w:eastAsia="en-AU"/>
        </w:rPr>
        <w:t>W</w:t>
      </w:r>
      <w:r w:rsidRPr="00260C1D">
        <w:rPr>
          <w:rFonts w:eastAsia="Segoe UI" w:cstheme="minorHAnsi"/>
          <w:color w:val="011A3C"/>
          <w:sz w:val="24"/>
          <w:szCs w:val="24"/>
          <w:lang w:val="en" w:eastAsia="en-AU"/>
        </w:rPr>
        <w:t>eighting for each educational category)/</w:t>
      </w:r>
      <w:r w:rsidR="002265F9">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otal number of students</w:t>
      </w:r>
    </w:p>
    <w:p w14:paraId="595C67C0"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To determine the SFOE index with the SFO and SFE indices, the following calculation is used:</w:t>
      </w:r>
    </w:p>
    <w:p w14:paraId="4905102C" w14:textId="17FFC0E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SFOE calculation =</w:t>
      </w:r>
      <w:r w:rsidRPr="00260C1D">
        <w:rPr>
          <w:rFonts w:eastAsia="Segoe UI" w:cstheme="minorHAnsi"/>
          <w:color w:val="011A3C"/>
          <w:sz w:val="24"/>
          <w:szCs w:val="24"/>
          <w:lang w:val="en" w:eastAsia="en-AU"/>
        </w:rPr>
        <w:t xml:space="preserve"> (SFO index + SFE index)/2</w:t>
      </w:r>
    </w:p>
    <w:p w14:paraId="624A3ADA"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Example: If a school has an SFO of 0.6342 and an SFE of 0.6156, the SFOE index would be 0.6249.</w:t>
      </w:r>
    </w:p>
    <w:p w14:paraId="54C0B95A" w14:textId="5B71076D" w:rsidR="00AD16F0" w:rsidRPr="00833928" w:rsidRDefault="00AD16F0" w:rsidP="00AD16F0">
      <w:pPr>
        <w:spacing w:before="100" w:beforeAutospacing="1" w:after="100" w:afterAutospacing="1" w:line="288" w:lineRule="atLeast"/>
        <w:outlineLvl w:val="2"/>
        <w:rPr>
          <w:color w:val="011A3C"/>
          <w:sz w:val="24"/>
          <w:lang w:val="en"/>
        </w:rPr>
      </w:pPr>
      <w:r w:rsidRPr="00833928">
        <w:rPr>
          <w:color w:val="011A3C"/>
          <w:sz w:val="24"/>
          <w:lang w:val="en"/>
        </w:rPr>
        <w:lastRenderedPageBreak/>
        <w:t>How social disadvantage funding is calculated</w:t>
      </w:r>
      <w:r w:rsidR="00954CC8">
        <w:rPr>
          <w:rFonts w:eastAsia="Segoe UI" w:cstheme="minorHAnsi"/>
          <w:color w:val="011A3C"/>
          <w:sz w:val="24"/>
          <w:szCs w:val="24"/>
          <w:lang w:val="en" w:eastAsia="en-AU"/>
        </w:rPr>
        <w:t>:</w:t>
      </w:r>
    </w:p>
    <w:p w14:paraId="00938AB7" w14:textId="6BDFCA5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Social Disadvantage funding is allocated to schools based on the number of eligible students. Measures are applied to provide more stability in funding while reflecting the need profile of current and more recent student cohorts. A weighted rolling average based on the current year and two years preceding will be used to determine the inputs </w:t>
      </w:r>
      <w:r w:rsidR="002265F9">
        <w:rPr>
          <w:rFonts w:eastAsia="Segoe UI" w:cstheme="minorHAnsi"/>
          <w:color w:val="011A3C"/>
          <w:sz w:val="24"/>
          <w:szCs w:val="24"/>
          <w:lang w:val="en" w:eastAsia="en-AU"/>
        </w:rPr>
        <w:t>to calculate</w:t>
      </w:r>
      <w:r w:rsidR="002265F9"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Social Disadvantage funding allocations. The weightings are 70 per cent of the current year, 20 per cent of the prior year, and 10 per cent of the year before that will be applied to the campus SFOE index and the number of eligible Level 1 and 2 students.</w:t>
      </w:r>
    </w:p>
    <w:p w14:paraId="373D39DD"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To determine how much Social Disadvantage funding a school will receive, the following method is used (weighted accordingly for the current year and the two previous years): </w:t>
      </w:r>
    </w:p>
    <w:p w14:paraId="42E1B3A5" w14:textId="5772C4B5" w:rsidR="00AD16F0" w:rsidRPr="009E56BE" w:rsidRDefault="00AD16F0" w:rsidP="00F56244">
      <w:pPr>
        <w:pStyle w:val="ListParagraph"/>
        <w:numPr>
          <w:ilvl w:val="0"/>
          <w:numId w:val="68"/>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 xml:space="preserve">The school’s SFOE will be used to calculate the rate of Social Disadvantage loading each student will attract. Where a school’s SFOE is at or below the Minimum SFOE </w:t>
      </w:r>
      <w:r w:rsidR="002265F9">
        <w:rPr>
          <w:rFonts w:eastAsia="Segoe UI" w:cstheme="minorHAnsi"/>
          <w:color w:val="011A3C"/>
          <w:sz w:val="24"/>
          <w:szCs w:val="24"/>
          <w:lang w:val="en" w:eastAsia="en-AU"/>
        </w:rPr>
        <w:t>t</w:t>
      </w:r>
      <w:r w:rsidRPr="009E56BE">
        <w:rPr>
          <w:rFonts w:eastAsia="Segoe UI" w:cstheme="minorHAnsi"/>
          <w:color w:val="011A3C"/>
          <w:sz w:val="24"/>
          <w:szCs w:val="24"/>
          <w:lang w:val="en" w:eastAsia="en-AU"/>
        </w:rPr>
        <w:t xml:space="preserve">hreshold, the minimum rate of each loading will be applied and, where it is at or above the Maximum SFOE </w:t>
      </w:r>
      <w:r w:rsidR="002265F9">
        <w:rPr>
          <w:rFonts w:eastAsia="Segoe UI" w:cstheme="minorHAnsi"/>
          <w:color w:val="011A3C"/>
          <w:sz w:val="24"/>
          <w:szCs w:val="24"/>
          <w:lang w:val="en" w:eastAsia="en-AU"/>
        </w:rPr>
        <w:t>t</w:t>
      </w:r>
      <w:r w:rsidRPr="009E56BE">
        <w:rPr>
          <w:rFonts w:eastAsia="Segoe UI" w:cstheme="minorHAnsi"/>
          <w:color w:val="011A3C"/>
          <w:sz w:val="24"/>
          <w:szCs w:val="24"/>
          <w:lang w:val="en" w:eastAsia="en-AU"/>
        </w:rPr>
        <w:t xml:space="preserve">hreshold, each student attracts the Maximum </w:t>
      </w:r>
      <w:r w:rsidR="002265F9">
        <w:rPr>
          <w:rFonts w:eastAsia="Segoe UI" w:cstheme="minorHAnsi"/>
          <w:color w:val="011A3C"/>
          <w:sz w:val="24"/>
          <w:szCs w:val="24"/>
          <w:lang w:val="en" w:eastAsia="en-AU"/>
        </w:rPr>
        <w:t>r</w:t>
      </w:r>
      <w:r w:rsidRPr="009E56BE">
        <w:rPr>
          <w:rFonts w:eastAsia="Segoe UI" w:cstheme="minorHAnsi"/>
          <w:color w:val="011A3C"/>
          <w:sz w:val="24"/>
          <w:szCs w:val="24"/>
          <w:lang w:val="en" w:eastAsia="en-AU"/>
        </w:rPr>
        <w:t>ate for their loading. (Thresholds and rates can be found in Table 4). </w:t>
      </w:r>
    </w:p>
    <w:p w14:paraId="67B59682" w14:textId="77777777" w:rsidR="00AD16F0" w:rsidRPr="009E56BE" w:rsidRDefault="00AD16F0" w:rsidP="00F56244">
      <w:pPr>
        <w:pStyle w:val="ListParagraph"/>
        <w:numPr>
          <w:ilvl w:val="0"/>
          <w:numId w:val="68"/>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For schools with an SFOE between the Minimum SFOE threshold and the Maximum SFOE threshold, the rate will be tapered based on their SFOE index. To determine the taper, the following calculation is used:</w:t>
      </w:r>
    </w:p>
    <w:p w14:paraId="3C5BE3B3" w14:textId="445BAD2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((Campus SFOE – Minimum SFOE </w:t>
      </w:r>
      <w:r w:rsidR="002265F9">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 xml:space="preserve">hreshold) / (Maximum SFOE </w:t>
      </w:r>
      <w:r w:rsidR="002265F9">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hreshold</w:t>
      </w:r>
      <w:r w:rsidR="00770357" w:rsidRPr="00260C1D">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 xml:space="preserve">Minimum SFOE </w:t>
      </w:r>
      <w:r w:rsidR="002265F9">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hreshold))</w:t>
      </w:r>
    </w:p>
    <w:p w14:paraId="2C3B2824"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This is then applied to each loading rate by:</w:t>
      </w:r>
    </w:p>
    <w:p w14:paraId="747FA5F2" w14:textId="139316DC"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Min</w:t>
      </w:r>
      <w:r w:rsidR="002265F9">
        <w:rPr>
          <w:rFonts w:eastAsia="Segoe UI" w:cstheme="minorHAnsi"/>
          <w:color w:val="011A3C"/>
          <w:sz w:val="24"/>
          <w:szCs w:val="24"/>
          <w:lang w:val="en" w:eastAsia="en-AU"/>
        </w:rPr>
        <w:t>imum</w:t>
      </w:r>
      <w:r w:rsidRPr="00260C1D">
        <w:rPr>
          <w:rFonts w:eastAsia="Segoe UI" w:cstheme="minorHAnsi"/>
          <w:color w:val="011A3C"/>
          <w:sz w:val="24"/>
          <w:szCs w:val="24"/>
          <w:lang w:val="en" w:eastAsia="en-AU"/>
        </w:rPr>
        <w:t xml:space="preserve"> </w:t>
      </w:r>
      <w:r w:rsidR="002265F9">
        <w:rPr>
          <w:rFonts w:eastAsia="Segoe UI" w:cstheme="minorHAnsi"/>
          <w:color w:val="011A3C"/>
          <w:sz w:val="24"/>
          <w:szCs w:val="24"/>
          <w:lang w:val="en" w:eastAsia="en-AU"/>
        </w:rPr>
        <w:t>f</w:t>
      </w:r>
      <w:r w:rsidRPr="00260C1D">
        <w:rPr>
          <w:rFonts w:eastAsia="Segoe UI" w:cstheme="minorHAnsi"/>
          <w:color w:val="011A3C"/>
          <w:sz w:val="24"/>
          <w:szCs w:val="24"/>
          <w:lang w:val="en" w:eastAsia="en-AU"/>
        </w:rPr>
        <w:t xml:space="preserve">unding </w:t>
      </w:r>
      <w:r w:rsidR="002265F9">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 + (Taper</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(Max</w:t>
      </w:r>
      <w:r w:rsidR="002265F9">
        <w:rPr>
          <w:rFonts w:eastAsia="Segoe UI" w:cstheme="minorHAnsi"/>
          <w:color w:val="011A3C"/>
          <w:sz w:val="24"/>
          <w:szCs w:val="24"/>
          <w:lang w:val="en" w:eastAsia="en-AU"/>
        </w:rPr>
        <w:t>imum</w:t>
      </w:r>
      <w:r w:rsidRPr="00260C1D">
        <w:rPr>
          <w:rFonts w:eastAsia="Segoe UI" w:cstheme="minorHAnsi"/>
          <w:color w:val="011A3C"/>
          <w:sz w:val="24"/>
          <w:szCs w:val="24"/>
          <w:lang w:val="en" w:eastAsia="en-AU"/>
        </w:rPr>
        <w:t xml:space="preserve"> </w:t>
      </w:r>
      <w:r w:rsidR="002265F9">
        <w:rPr>
          <w:rFonts w:eastAsia="Segoe UI" w:cstheme="minorHAnsi"/>
          <w:color w:val="011A3C"/>
          <w:sz w:val="24"/>
          <w:szCs w:val="24"/>
          <w:lang w:val="en" w:eastAsia="en-AU"/>
        </w:rPr>
        <w:t>f</w:t>
      </w:r>
      <w:r w:rsidRPr="00260C1D">
        <w:rPr>
          <w:rFonts w:eastAsia="Segoe UI" w:cstheme="minorHAnsi"/>
          <w:color w:val="011A3C"/>
          <w:sz w:val="24"/>
          <w:szCs w:val="24"/>
          <w:lang w:val="en" w:eastAsia="en-AU"/>
        </w:rPr>
        <w:t xml:space="preserve">unding </w:t>
      </w:r>
      <w:r w:rsidR="002265F9">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 – Min</w:t>
      </w:r>
      <w:r w:rsidR="002265F9">
        <w:rPr>
          <w:rFonts w:eastAsia="Segoe UI" w:cstheme="minorHAnsi"/>
          <w:color w:val="011A3C"/>
          <w:sz w:val="24"/>
          <w:szCs w:val="24"/>
          <w:lang w:val="en" w:eastAsia="en-AU"/>
        </w:rPr>
        <w:t>imum</w:t>
      </w:r>
      <w:r w:rsidRPr="00260C1D">
        <w:rPr>
          <w:rFonts w:eastAsia="Segoe UI" w:cstheme="minorHAnsi"/>
          <w:color w:val="011A3C"/>
          <w:sz w:val="24"/>
          <w:szCs w:val="24"/>
          <w:lang w:val="en" w:eastAsia="en-AU"/>
        </w:rPr>
        <w:t xml:space="preserve"> </w:t>
      </w:r>
      <w:r w:rsidR="002265F9">
        <w:rPr>
          <w:rFonts w:eastAsia="Segoe UI" w:cstheme="minorHAnsi"/>
          <w:color w:val="011A3C"/>
          <w:sz w:val="24"/>
          <w:szCs w:val="24"/>
          <w:lang w:val="en" w:eastAsia="en-AU"/>
        </w:rPr>
        <w:t>f</w:t>
      </w:r>
      <w:r w:rsidRPr="00260C1D">
        <w:rPr>
          <w:rFonts w:eastAsia="Segoe UI" w:cstheme="minorHAnsi"/>
          <w:color w:val="011A3C"/>
          <w:sz w:val="24"/>
          <w:szCs w:val="24"/>
          <w:lang w:val="en" w:eastAsia="en-AU"/>
        </w:rPr>
        <w:t xml:space="preserve">unding </w:t>
      </w:r>
      <w:r w:rsidR="002265F9">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p>
    <w:p w14:paraId="600E2FF2" w14:textId="20AD2CCA" w:rsidR="00AD16F0" w:rsidRPr="009E56BE" w:rsidRDefault="00AD16F0" w:rsidP="00F56244">
      <w:pPr>
        <w:pStyle w:val="ListParagraph"/>
        <w:numPr>
          <w:ilvl w:val="0"/>
          <w:numId w:val="68"/>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 xml:space="preserve">Once the Social Disadvantage loading rates are determined for the school, it is multiplied by the number of enrolled students eligible for either the </w:t>
      </w:r>
      <w:r w:rsidR="00292520">
        <w:rPr>
          <w:rFonts w:eastAsia="Segoe UI" w:cstheme="minorHAnsi"/>
          <w:color w:val="011A3C"/>
          <w:sz w:val="24"/>
          <w:szCs w:val="24"/>
          <w:lang w:val="en" w:eastAsia="en-AU"/>
        </w:rPr>
        <w:t>L</w:t>
      </w:r>
      <w:r w:rsidRPr="009E56BE">
        <w:rPr>
          <w:rFonts w:eastAsia="Segoe UI" w:cstheme="minorHAnsi"/>
          <w:color w:val="011A3C"/>
          <w:sz w:val="24"/>
          <w:szCs w:val="24"/>
          <w:lang w:val="en" w:eastAsia="en-AU"/>
        </w:rPr>
        <w:t xml:space="preserve">evel 1 loading or </w:t>
      </w:r>
      <w:r w:rsidR="00292520">
        <w:rPr>
          <w:rFonts w:eastAsia="Segoe UI" w:cstheme="minorHAnsi"/>
          <w:color w:val="011A3C"/>
          <w:sz w:val="24"/>
          <w:szCs w:val="24"/>
          <w:lang w:val="en" w:eastAsia="en-AU"/>
        </w:rPr>
        <w:t>L</w:t>
      </w:r>
      <w:r w:rsidRPr="009E56BE">
        <w:rPr>
          <w:rFonts w:eastAsia="Segoe UI" w:cstheme="minorHAnsi"/>
          <w:color w:val="011A3C"/>
          <w:sz w:val="24"/>
          <w:szCs w:val="24"/>
          <w:lang w:val="en" w:eastAsia="en-AU"/>
        </w:rPr>
        <w:t>evel 2 loading, respectively. The enrolment is based on the students recorded in the August census of the preceding year.</w:t>
      </w:r>
    </w:p>
    <w:p w14:paraId="1B523AA5" w14:textId="5A31ACB4" w:rsidR="00AD16F0" w:rsidRPr="009E56BE" w:rsidRDefault="00AD16F0" w:rsidP="00F56244">
      <w:pPr>
        <w:pStyle w:val="ListParagraph"/>
        <w:numPr>
          <w:ilvl w:val="0"/>
          <w:numId w:val="68"/>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 xml:space="preserve">The school’s overall Social Disadvantage funding is calculated by combining both the total </w:t>
      </w:r>
      <w:r w:rsidR="00292520">
        <w:rPr>
          <w:rFonts w:eastAsia="Segoe UI" w:cstheme="minorHAnsi"/>
          <w:color w:val="011A3C"/>
          <w:sz w:val="24"/>
          <w:szCs w:val="24"/>
          <w:lang w:val="en" w:eastAsia="en-AU"/>
        </w:rPr>
        <w:t>L</w:t>
      </w:r>
      <w:r w:rsidRPr="009E56BE">
        <w:rPr>
          <w:rFonts w:eastAsia="Segoe UI" w:cstheme="minorHAnsi"/>
          <w:color w:val="011A3C"/>
          <w:sz w:val="24"/>
          <w:szCs w:val="24"/>
          <w:lang w:val="en" w:eastAsia="en-AU"/>
        </w:rPr>
        <w:t xml:space="preserve">evel 1 and </w:t>
      </w:r>
      <w:r w:rsidR="00292520">
        <w:rPr>
          <w:rFonts w:eastAsia="Segoe UI" w:cstheme="minorHAnsi"/>
          <w:color w:val="011A3C"/>
          <w:sz w:val="24"/>
          <w:szCs w:val="24"/>
          <w:lang w:val="en" w:eastAsia="en-AU"/>
        </w:rPr>
        <w:t>L</w:t>
      </w:r>
      <w:r w:rsidRPr="009E56BE">
        <w:rPr>
          <w:rFonts w:eastAsia="Segoe UI" w:cstheme="minorHAnsi"/>
          <w:color w:val="011A3C"/>
          <w:sz w:val="24"/>
          <w:szCs w:val="24"/>
          <w:lang w:val="en" w:eastAsia="en-AU"/>
        </w:rPr>
        <w:t xml:space="preserve">evel 2 loadings </w:t>
      </w:r>
      <w:r w:rsidR="00292520">
        <w:rPr>
          <w:rFonts w:eastAsia="Segoe UI" w:cstheme="minorHAnsi"/>
          <w:color w:val="011A3C"/>
          <w:sz w:val="24"/>
          <w:szCs w:val="24"/>
          <w:lang w:val="en" w:eastAsia="en-AU"/>
        </w:rPr>
        <w:t>for eligible students</w:t>
      </w:r>
      <w:r w:rsidRPr="009E56BE">
        <w:rPr>
          <w:rFonts w:eastAsia="Segoe UI" w:cstheme="minorHAnsi"/>
          <w:color w:val="011A3C"/>
          <w:sz w:val="24"/>
          <w:szCs w:val="24"/>
          <w:lang w:val="en" w:eastAsia="en-AU"/>
        </w:rPr>
        <w:t>. </w:t>
      </w:r>
    </w:p>
    <w:p w14:paraId="3CA09CB7" w14:textId="3234A39C" w:rsidR="00AD16F0" w:rsidRPr="009E56BE" w:rsidRDefault="00AD16F0" w:rsidP="00F56244">
      <w:pPr>
        <w:pStyle w:val="ListParagraph"/>
        <w:numPr>
          <w:ilvl w:val="0"/>
          <w:numId w:val="68"/>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To further reduce negative funding variability, a $90,000 floor on negative funding changes is applied to a school’s Social Disadvantage funding allocation from one year to the next. This means that a school’s Social Disadvantage funding allocation will not reduce by more than $90,000 year</w:t>
      </w:r>
      <w:r w:rsidR="00246E78">
        <w:rPr>
          <w:rFonts w:eastAsia="Segoe UI" w:cstheme="minorHAnsi"/>
          <w:color w:val="011A3C"/>
          <w:sz w:val="24"/>
          <w:szCs w:val="24"/>
          <w:lang w:val="en" w:eastAsia="en-AU"/>
        </w:rPr>
        <w:t>-</w:t>
      </w:r>
      <w:r w:rsidRPr="009E56BE">
        <w:rPr>
          <w:rFonts w:eastAsia="Segoe UI" w:cstheme="minorHAnsi"/>
          <w:color w:val="011A3C"/>
          <w:sz w:val="24"/>
          <w:szCs w:val="24"/>
          <w:lang w:val="en" w:eastAsia="en-AU"/>
        </w:rPr>
        <w:t>on</w:t>
      </w:r>
      <w:r w:rsidR="00246E78">
        <w:rPr>
          <w:rFonts w:eastAsia="Segoe UI" w:cstheme="minorHAnsi"/>
          <w:color w:val="011A3C"/>
          <w:sz w:val="24"/>
          <w:szCs w:val="24"/>
          <w:lang w:val="en" w:eastAsia="en-AU"/>
        </w:rPr>
        <w:t>-</w:t>
      </w:r>
      <w:r w:rsidRPr="009E56BE">
        <w:rPr>
          <w:rFonts w:eastAsia="Segoe UI" w:cstheme="minorHAnsi"/>
          <w:color w:val="011A3C"/>
          <w:sz w:val="24"/>
          <w:szCs w:val="24"/>
          <w:lang w:val="en" w:eastAsia="en-AU"/>
        </w:rPr>
        <w:t>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1"/>
        <w:gridCol w:w="1243"/>
        <w:gridCol w:w="1243"/>
        <w:gridCol w:w="1243"/>
        <w:gridCol w:w="1244"/>
        <w:gridCol w:w="1244"/>
        <w:gridCol w:w="1244"/>
        <w:gridCol w:w="1244"/>
      </w:tblGrid>
      <w:tr w:rsidR="00AD16F0" w:rsidRPr="00260C1D" w14:paraId="034B5224" w14:textId="77777777" w:rsidTr="00113120">
        <w:trPr>
          <w:tblHeader/>
        </w:trPr>
        <w:tc>
          <w:tcPr>
            <w:tcW w:w="500" w:type="pct"/>
            <w:gridSpan w:val="8"/>
            <w:vAlign w:val="center"/>
            <w:hideMark/>
          </w:tcPr>
          <w:p w14:paraId="78A8EAF9" w14:textId="77777777" w:rsidR="00AD16F0" w:rsidRPr="00260C1D" w:rsidRDefault="00AD16F0" w:rsidP="00AD16F0">
            <w:pPr>
              <w:spacing w:before="100" w:beforeAutospacing="1" w:after="100" w:afterAutospacing="1" w:line="288" w:lineRule="atLeast"/>
              <w:textAlignment w:val="top"/>
              <w:outlineLvl w:val="3"/>
              <w:rPr>
                <w:rFonts w:eastAsia="Segoe UI" w:cstheme="minorHAnsi"/>
                <w:color w:val="323E4F" w:themeColor="text2" w:themeShade="BF"/>
                <w:sz w:val="24"/>
                <w:szCs w:val="24"/>
                <w:lang w:eastAsia="en-AU"/>
              </w:rPr>
            </w:pPr>
            <w:r w:rsidRPr="00260C1D">
              <w:rPr>
                <w:rFonts w:eastAsia="Segoe UI" w:cstheme="minorHAnsi"/>
                <w:b/>
                <w:color w:val="323E4F" w:themeColor="text2" w:themeShade="BF"/>
                <w:sz w:val="24"/>
                <w:szCs w:val="24"/>
                <w:lang w:eastAsia="en-AU"/>
              </w:rPr>
              <w:lastRenderedPageBreak/>
              <w:t>Example</w:t>
            </w:r>
            <w:r w:rsidRPr="00260C1D">
              <w:rPr>
                <w:rFonts w:eastAsia="Segoe UI" w:cstheme="minorHAnsi"/>
                <w:color w:val="323E4F" w:themeColor="text2" w:themeShade="BF"/>
                <w:sz w:val="24"/>
                <w:szCs w:val="24"/>
                <w:lang w:eastAsia="en-AU"/>
              </w:rPr>
              <w:t xml:space="preserve"> - Social Disadvantage funding for a primary school with the following SFOE and enrolment numbers over three years:</w:t>
            </w:r>
          </w:p>
        </w:tc>
      </w:tr>
      <w:tr w:rsidR="00124D27" w:rsidRPr="00DF4FFA" w14:paraId="1257E45A" w14:textId="77777777" w:rsidTr="00113120">
        <w:trPr>
          <w:tblHeader/>
        </w:trPr>
        <w:tc>
          <w:tcPr>
            <w:tcW w:w="705" w:type="pct"/>
            <w:hideMark/>
          </w:tcPr>
          <w:p w14:paraId="7B9ACFF8" w14:textId="77777777" w:rsidR="00AD16F0" w:rsidRPr="00DF4FFA" w:rsidRDefault="00AD16F0" w:rsidP="00AD16F0">
            <w:pPr>
              <w:spacing w:after="0" w:line="240" w:lineRule="auto"/>
              <w:rPr>
                <w:rFonts w:eastAsia="Segoe UI" w:cstheme="minorHAnsi"/>
                <w:b/>
                <w:bCs/>
                <w:color w:val="323E4F" w:themeColor="text2" w:themeShade="BF"/>
                <w:sz w:val="24"/>
                <w:szCs w:val="24"/>
                <w:lang w:eastAsia="en-AU"/>
              </w:rPr>
            </w:pPr>
          </w:p>
        </w:tc>
        <w:tc>
          <w:tcPr>
            <w:tcW w:w="500" w:type="pct"/>
            <w:vAlign w:val="center"/>
            <w:hideMark/>
          </w:tcPr>
          <w:p w14:paraId="7D295354" w14:textId="2E325052" w:rsidR="00AD16F0" w:rsidRPr="00DF4FFA" w:rsidRDefault="00E1381B"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202</w:t>
            </w:r>
            <w:r w:rsidR="00516800">
              <w:rPr>
                <w:rFonts w:eastAsia="Segoe UI" w:cstheme="minorHAnsi"/>
                <w:b/>
                <w:bCs/>
                <w:color w:val="323E4F" w:themeColor="text2" w:themeShade="BF"/>
                <w:sz w:val="24"/>
                <w:szCs w:val="24"/>
                <w:lang w:eastAsia="en-AU"/>
              </w:rPr>
              <w:t>4</w:t>
            </w:r>
            <w:r w:rsidRPr="00DF4FFA">
              <w:rPr>
                <w:rFonts w:eastAsia="Segoe UI" w:cstheme="minorHAnsi"/>
                <w:b/>
                <w:bCs/>
                <w:color w:val="323E4F" w:themeColor="text2" w:themeShade="BF"/>
                <w:sz w:val="24"/>
                <w:szCs w:val="24"/>
                <w:lang w:eastAsia="en-AU"/>
              </w:rPr>
              <w:t xml:space="preserve"> </w:t>
            </w:r>
            <w:r w:rsidR="00AD16F0" w:rsidRPr="00DF4FFA">
              <w:rPr>
                <w:rFonts w:eastAsia="Segoe UI" w:cstheme="minorHAnsi"/>
                <w:b/>
                <w:bCs/>
                <w:color w:val="323E4F" w:themeColor="text2" w:themeShade="BF"/>
                <w:sz w:val="24"/>
                <w:szCs w:val="24"/>
                <w:lang w:eastAsia="en-AU"/>
              </w:rPr>
              <w:t>Actual</w:t>
            </w:r>
          </w:p>
        </w:tc>
        <w:tc>
          <w:tcPr>
            <w:tcW w:w="500" w:type="pct"/>
            <w:vAlign w:val="center"/>
            <w:hideMark/>
          </w:tcPr>
          <w:p w14:paraId="356EC68F" w14:textId="5B40167B" w:rsidR="00AD16F0" w:rsidRPr="00DF4FFA" w:rsidRDefault="00E1381B"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202</w:t>
            </w:r>
            <w:r w:rsidR="00516800">
              <w:rPr>
                <w:rFonts w:eastAsia="Segoe UI" w:cstheme="minorHAnsi"/>
                <w:b/>
                <w:bCs/>
                <w:color w:val="323E4F" w:themeColor="text2" w:themeShade="BF"/>
                <w:sz w:val="24"/>
                <w:szCs w:val="24"/>
                <w:lang w:eastAsia="en-AU"/>
              </w:rPr>
              <w:t>3</w:t>
            </w:r>
            <w:r w:rsidRPr="00DF4FFA">
              <w:rPr>
                <w:rFonts w:eastAsia="Segoe UI" w:cstheme="minorHAnsi"/>
                <w:b/>
                <w:bCs/>
                <w:color w:val="323E4F" w:themeColor="text2" w:themeShade="BF"/>
                <w:sz w:val="24"/>
                <w:szCs w:val="24"/>
                <w:lang w:eastAsia="en-AU"/>
              </w:rPr>
              <w:t xml:space="preserve"> </w:t>
            </w:r>
            <w:r w:rsidR="00AD16F0" w:rsidRPr="00DF4FFA">
              <w:rPr>
                <w:rFonts w:eastAsia="Segoe UI" w:cstheme="minorHAnsi"/>
                <w:b/>
                <w:bCs/>
                <w:color w:val="323E4F" w:themeColor="text2" w:themeShade="BF"/>
                <w:sz w:val="24"/>
                <w:szCs w:val="24"/>
                <w:lang w:eastAsia="en-AU"/>
              </w:rPr>
              <w:t>Actual</w:t>
            </w:r>
          </w:p>
        </w:tc>
        <w:tc>
          <w:tcPr>
            <w:tcW w:w="500" w:type="pct"/>
            <w:vAlign w:val="center"/>
            <w:hideMark/>
          </w:tcPr>
          <w:p w14:paraId="75C43E54" w14:textId="44AB4B78" w:rsidR="00AD16F0" w:rsidRPr="00DF4FFA" w:rsidRDefault="00E1381B"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202</w:t>
            </w:r>
            <w:r w:rsidR="00516800">
              <w:rPr>
                <w:rFonts w:eastAsia="Segoe UI" w:cstheme="minorHAnsi"/>
                <w:b/>
                <w:bCs/>
                <w:color w:val="323E4F" w:themeColor="text2" w:themeShade="BF"/>
                <w:sz w:val="24"/>
                <w:szCs w:val="24"/>
                <w:lang w:eastAsia="en-AU"/>
              </w:rPr>
              <w:t>2</w:t>
            </w:r>
            <w:r w:rsidRPr="00DF4FFA">
              <w:rPr>
                <w:rFonts w:eastAsia="Segoe UI" w:cstheme="minorHAnsi"/>
                <w:b/>
                <w:bCs/>
                <w:color w:val="323E4F" w:themeColor="text2" w:themeShade="BF"/>
                <w:sz w:val="24"/>
                <w:szCs w:val="24"/>
                <w:lang w:eastAsia="en-AU"/>
              </w:rPr>
              <w:t xml:space="preserve"> </w:t>
            </w:r>
            <w:r w:rsidR="00AD16F0" w:rsidRPr="00DF4FFA">
              <w:rPr>
                <w:rFonts w:eastAsia="Segoe UI" w:cstheme="minorHAnsi"/>
                <w:b/>
                <w:bCs/>
                <w:color w:val="323E4F" w:themeColor="text2" w:themeShade="BF"/>
                <w:sz w:val="24"/>
                <w:szCs w:val="24"/>
                <w:lang w:eastAsia="en-AU"/>
              </w:rPr>
              <w:t>Actual</w:t>
            </w:r>
          </w:p>
        </w:tc>
        <w:tc>
          <w:tcPr>
            <w:tcW w:w="500" w:type="pct"/>
            <w:vAlign w:val="center"/>
            <w:hideMark/>
          </w:tcPr>
          <w:p w14:paraId="04980951" w14:textId="7A7B0BD0" w:rsidR="00AD16F0" w:rsidRPr="00DF4FFA" w:rsidRDefault="00E1381B"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202</w:t>
            </w:r>
            <w:r w:rsidR="00516800">
              <w:rPr>
                <w:rFonts w:eastAsia="Segoe UI" w:cstheme="minorHAnsi"/>
                <w:b/>
                <w:bCs/>
                <w:color w:val="323E4F" w:themeColor="text2" w:themeShade="BF"/>
                <w:sz w:val="24"/>
                <w:szCs w:val="24"/>
                <w:lang w:eastAsia="en-AU"/>
              </w:rPr>
              <w:t>4</w:t>
            </w:r>
            <w:r w:rsidRPr="00DF4FFA">
              <w:rPr>
                <w:rFonts w:eastAsia="Segoe UI" w:cstheme="minorHAnsi"/>
                <w:b/>
                <w:bCs/>
                <w:color w:val="323E4F" w:themeColor="text2" w:themeShade="BF"/>
                <w:sz w:val="24"/>
                <w:szCs w:val="24"/>
                <w:lang w:eastAsia="en-AU"/>
              </w:rPr>
              <w:t xml:space="preserve"> </w:t>
            </w:r>
            <w:r w:rsidR="00AD16F0" w:rsidRPr="00DF4FFA">
              <w:rPr>
                <w:rFonts w:eastAsia="Segoe UI" w:cstheme="minorHAnsi"/>
                <w:b/>
                <w:bCs/>
                <w:color w:val="323E4F" w:themeColor="text2" w:themeShade="BF"/>
                <w:sz w:val="24"/>
                <w:szCs w:val="24"/>
                <w:lang w:eastAsia="en-AU"/>
              </w:rPr>
              <w:t>Weighted (70%)</w:t>
            </w:r>
          </w:p>
        </w:tc>
        <w:tc>
          <w:tcPr>
            <w:tcW w:w="500" w:type="pct"/>
            <w:vAlign w:val="center"/>
            <w:hideMark/>
          </w:tcPr>
          <w:p w14:paraId="57AA1203" w14:textId="5D8126DE" w:rsidR="00AD16F0" w:rsidRPr="00DF4FFA" w:rsidRDefault="00E1381B"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202</w:t>
            </w:r>
            <w:r w:rsidR="00516800">
              <w:rPr>
                <w:rFonts w:eastAsia="Segoe UI" w:cstheme="minorHAnsi"/>
                <w:b/>
                <w:bCs/>
                <w:color w:val="323E4F" w:themeColor="text2" w:themeShade="BF"/>
                <w:sz w:val="24"/>
                <w:szCs w:val="24"/>
                <w:lang w:eastAsia="en-AU"/>
              </w:rPr>
              <w:t>3</w:t>
            </w:r>
            <w:r w:rsidRPr="00DF4FFA">
              <w:rPr>
                <w:rFonts w:eastAsia="Segoe UI" w:cstheme="minorHAnsi"/>
                <w:b/>
                <w:bCs/>
                <w:color w:val="323E4F" w:themeColor="text2" w:themeShade="BF"/>
                <w:sz w:val="24"/>
                <w:szCs w:val="24"/>
                <w:lang w:eastAsia="en-AU"/>
              </w:rPr>
              <w:t xml:space="preserve"> </w:t>
            </w:r>
            <w:r w:rsidR="00AD16F0" w:rsidRPr="00DF4FFA">
              <w:rPr>
                <w:rFonts w:eastAsia="Segoe UI" w:cstheme="minorHAnsi"/>
                <w:b/>
                <w:bCs/>
                <w:color w:val="323E4F" w:themeColor="text2" w:themeShade="BF"/>
                <w:sz w:val="24"/>
                <w:szCs w:val="24"/>
                <w:lang w:eastAsia="en-AU"/>
              </w:rPr>
              <w:t>Weighted (20%)</w:t>
            </w:r>
          </w:p>
        </w:tc>
        <w:tc>
          <w:tcPr>
            <w:tcW w:w="500" w:type="pct"/>
            <w:vAlign w:val="center"/>
            <w:hideMark/>
          </w:tcPr>
          <w:p w14:paraId="3281CFA9" w14:textId="3EBCF9AD" w:rsidR="00AD16F0" w:rsidRPr="00DF4FFA" w:rsidRDefault="00E1381B"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202</w:t>
            </w:r>
            <w:r w:rsidR="00516800">
              <w:rPr>
                <w:rFonts w:eastAsia="Segoe UI" w:cstheme="minorHAnsi"/>
                <w:b/>
                <w:bCs/>
                <w:color w:val="323E4F" w:themeColor="text2" w:themeShade="BF"/>
                <w:sz w:val="24"/>
                <w:szCs w:val="24"/>
                <w:lang w:eastAsia="en-AU"/>
              </w:rPr>
              <w:t>2</w:t>
            </w:r>
            <w:r w:rsidRPr="00DF4FFA">
              <w:rPr>
                <w:rFonts w:eastAsia="Segoe UI" w:cstheme="minorHAnsi"/>
                <w:b/>
                <w:bCs/>
                <w:color w:val="323E4F" w:themeColor="text2" w:themeShade="BF"/>
                <w:sz w:val="24"/>
                <w:szCs w:val="24"/>
                <w:lang w:eastAsia="en-AU"/>
              </w:rPr>
              <w:t xml:space="preserve"> </w:t>
            </w:r>
            <w:r w:rsidR="00AD16F0" w:rsidRPr="00DF4FFA">
              <w:rPr>
                <w:rFonts w:eastAsia="Segoe UI" w:cstheme="minorHAnsi"/>
                <w:b/>
                <w:bCs/>
                <w:color w:val="323E4F" w:themeColor="text2" w:themeShade="BF"/>
                <w:sz w:val="24"/>
                <w:szCs w:val="24"/>
                <w:lang w:eastAsia="en-AU"/>
              </w:rPr>
              <w:t>Weighted (10%)</w:t>
            </w:r>
          </w:p>
        </w:tc>
        <w:tc>
          <w:tcPr>
            <w:tcW w:w="500" w:type="pct"/>
            <w:vAlign w:val="center"/>
            <w:hideMark/>
          </w:tcPr>
          <w:p w14:paraId="390866AE" w14:textId="77777777" w:rsidR="00AD16F0" w:rsidRPr="00DF4FFA" w:rsidRDefault="00AD16F0"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Weighted Average</w:t>
            </w:r>
          </w:p>
        </w:tc>
      </w:tr>
      <w:tr w:rsidR="00124D27" w:rsidRPr="00260C1D" w14:paraId="674B9DF9" w14:textId="77777777" w:rsidTr="00113120">
        <w:tc>
          <w:tcPr>
            <w:tcW w:w="705" w:type="pct"/>
            <w:hideMark/>
          </w:tcPr>
          <w:p w14:paraId="50DFFA94" w14:textId="77777777" w:rsidR="00AD16F0" w:rsidRPr="00260C1D" w:rsidRDefault="00AD16F0" w:rsidP="004D307F">
            <w:pPr>
              <w:spacing w:after="0" w:line="24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SFOE</w:t>
            </w:r>
          </w:p>
        </w:tc>
        <w:tc>
          <w:tcPr>
            <w:tcW w:w="500" w:type="pct"/>
            <w:vAlign w:val="center"/>
            <w:hideMark/>
          </w:tcPr>
          <w:p w14:paraId="3B9CEE36"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0.6021</w:t>
            </w:r>
          </w:p>
        </w:tc>
        <w:tc>
          <w:tcPr>
            <w:tcW w:w="500" w:type="pct"/>
            <w:vAlign w:val="center"/>
            <w:hideMark/>
          </w:tcPr>
          <w:p w14:paraId="0E6B5D6B"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0.5313</w:t>
            </w:r>
          </w:p>
        </w:tc>
        <w:tc>
          <w:tcPr>
            <w:tcW w:w="500" w:type="pct"/>
            <w:vAlign w:val="center"/>
            <w:hideMark/>
          </w:tcPr>
          <w:p w14:paraId="47EB9681"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0.5189</w:t>
            </w:r>
          </w:p>
        </w:tc>
        <w:tc>
          <w:tcPr>
            <w:tcW w:w="500" w:type="pct"/>
            <w:vAlign w:val="center"/>
            <w:hideMark/>
          </w:tcPr>
          <w:p w14:paraId="33F9BB64"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0.4215</w:t>
            </w:r>
          </w:p>
        </w:tc>
        <w:tc>
          <w:tcPr>
            <w:tcW w:w="500" w:type="pct"/>
            <w:vAlign w:val="center"/>
            <w:hideMark/>
          </w:tcPr>
          <w:p w14:paraId="0E96ADB8"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0.1063</w:t>
            </w:r>
          </w:p>
        </w:tc>
        <w:tc>
          <w:tcPr>
            <w:tcW w:w="500" w:type="pct"/>
            <w:vAlign w:val="center"/>
            <w:hideMark/>
          </w:tcPr>
          <w:p w14:paraId="45931CC6"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0.0519</w:t>
            </w:r>
          </w:p>
        </w:tc>
        <w:tc>
          <w:tcPr>
            <w:tcW w:w="500" w:type="pct"/>
            <w:vAlign w:val="center"/>
            <w:hideMark/>
          </w:tcPr>
          <w:p w14:paraId="37C3A2DC"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0.5797</w:t>
            </w:r>
          </w:p>
        </w:tc>
      </w:tr>
      <w:tr w:rsidR="00124D27" w:rsidRPr="00260C1D" w14:paraId="5AD3BADF" w14:textId="77777777" w:rsidTr="00113120">
        <w:tc>
          <w:tcPr>
            <w:tcW w:w="705" w:type="pct"/>
            <w:hideMark/>
          </w:tcPr>
          <w:p w14:paraId="5AF8414E" w14:textId="77777777" w:rsidR="00AD16F0" w:rsidRPr="00260C1D" w:rsidRDefault="00AD16F0" w:rsidP="004D307F">
            <w:pPr>
              <w:spacing w:after="0" w:line="24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Level 1</w:t>
            </w:r>
          </w:p>
        </w:tc>
        <w:tc>
          <w:tcPr>
            <w:tcW w:w="500" w:type="pct"/>
            <w:vAlign w:val="center"/>
            <w:hideMark/>
          </w:tcPr>
          <w:p w14:paraId="00EE441A"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166</w:t>
            </w:r>
          </w:p>
        </w:tc>
        <w:tc>
          <w:tcPr>
            <w:tcW w:w="500" w:type="pct"/>
            <w:vAlign w:val="center"/>
            <w:hideMark/>
          </w:tcPr>
          <w:p w14:paraId="4FB74919"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174</w:t>
            </w:r>
          </w:p>
        </w:tc>
        <w:tc>
          <w:tcPr>
            <w:tcW w:w="500" w:type="pct"/>
            <w:vAlign w:val="center"/>
            <w:hideMark/>
          </w:tcPr>
          <w:p w14:paraId="457C3201"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160</w:t>
            </w:r>
          </w:p>
        </w:tc>
        <w:tc>
          <w:tcPr>
            <w:tcW w:w="500" w:type="pct"/>
            <w:vAlign w:val="center"/>
            <w:hideMark/>
          </w:tcPr>
          <w:p w14:paraId="48972136"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116.2</w:t>
            </w:r>
          </w:p>
        </w:tc>
        <w:tc>
          <w:tcPr>
            <w:tcW w:w="500" w:type="pct"/>
            <w:vAlign w:val="center"/>
            <w:hideMark/>
          </w:tcPr>
          <w:p w14:paraId="68E1EE14"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34.8</w:t>
            </w:r>
          </w:p>
        </w:tc>
        <w:tc>
          <w:tcPr>
            <w:tcW w:w="500" w:type="pct"/>
            <w:vAlign w:val="center"/>
            <w:hideMark/>
          </w:tcPr>
          <w:p w14:paraId="3E7770D3"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16</w:t>
            </w:r>
          </w:p>
        </w:tc>
        <w:tc>
          <w:tcPr>
            <w:tcW w:w="500" w:type="pct"/>
            <w:vAlign w:val="center"/>
            <w:hideMark/>
          </w:tcPr>
          <w:p w14:paraId="0730164A"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167</w:t>
            </w:r>
          </w:p>
        </w:tc>
      </w:tr>
      <w:tr w:rsidR="00124D27" w:rsidRPr="00260C1D" w14:paraId="6CE60405" w14:textId="77777777" w:rsidTr="00113120">
        <w:tc>
          <w:tcPr>
            <w:tcW w:w="705" w:type="pct"/>
            <w:hideMark/>
          </w:tcPr>
          <w:p w14:paraId="07B4DA60" w14:textId="77777777" w:rsidR="00AD16F0" w:rsidRPr="00260C1D" w:rsidRDefault="00AD16F0" w:rsidP="004D307F">
            <w:pPr>
              <w:spacing w:after="0" w:line="24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Level 2</w:t>
            </w:r>
          </w:p>
        </w:tc>
        <w:tc>
          <w:tcPr>
            <w:tcW w:w="500" w:type="pct"/>
            <w:vAlign w:val="center"/>
            <w:hideMark/>
          </w:tcPr>
          <w:p w14:paraId="402A54CA"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118</w:t>
            </w:r>
          </w:p>
        </w:tc>
        <w:tc>
          <w:tcPr>
            <w:tcW w:w="500" w:type="pct"/>
            <w:vAlign w:val="center"/>
            <w:hideMark/>
          </w:tcPr>
          <w:p w14:paraId="3303A0E6"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140</w:t>
            </w:r>
          </w:p>
        </w:tc>
        <w:tc>
          <w:tcPr>
            <w:tcW w:w="500" w:type="pct"/>
            <w:vAlign w:val="center"/>
            <w:hideMark/>
          </w:tcPr>
          <w:p w14:paraId="2D407764"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144</w:t>
            </w:r>
          </w:p>
        </w:tc>
        <w:tc>
          <w:tcPr>
            <w:tcW w:w="500" w:type="pct"/>
            <w:vAlign w:val="center"/>
            <w:hideMark/>
          </w:tcPr>
          <w:p w14:paraId="1D30F705"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82.6</w:t>
            </w:r>
          </w:p>
        </w:tc>
        <w:tc>
          <w:tcPr>
            <w:tcW w:w="500" w:type="pct"/>
            <w:vAlign w:val="center"/>
            <w:hideMark/>
          </w:tcPr>
          <w:p w14:paraId="7A813D6D"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28</w:t>
            </w:r>
          </w:p>
        </w:tc>
        <w:tc>
          <w:tcPr>
            <w:tcW w:w="500" w:type="pct"/>
            <w:vAlign w:val="center"/>
            <w:hideMark/>
          </w:tcPr>
          <w:p w14:paraId="4B1E6ACB"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14.4</w:t>
            </w:r>
          </w:p>
        </w:tc>
        <w:tc>
          <w:tcPr>
            <w:tcW w:w="500" w:type="pct"/>
            <w:vAlign w:val="center"/>
            <w:hideMark/>
          </w:tcPr>
          <w:p w14:paraId="68F3D2AC"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125</w:t>
            </w:r>
          </w:p>
        </w:tc>
      </w:tr>
    </w:tbl>
    <w:p w14:paraId="4F353777" w14:textId="1DC08067" w:rsidR="00AD16F0" w:rsidRPr="00260C1D" w:rsidRDefault="00AD16F0" w:rsidP="00AD16F0">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 xml:space="preserve">Example of Loading </w:t>
      </w:r>
      <w:r w:rsidR="00C53D2A" w:rsidRPr="00260C1D">
        <w:rPr>
          <w:rFonts w:eastAsia="Segoe UI" w:cstheme="minorHAnsi"/>
          <w:b/>
          <w:color w:val="011A3C"/>
          <w:sz w:val="24"/>
          <w:szCs w:val="24"/>
          <w:lang w:val="en" w:eastAsia="en-AU"/>
        </w:rPr>
        <w:t>calculations for</w:t>
      </w:r>
      <w:r w:rsidR="00E70DB3" w:rsidRPr="00260C1D">
        <w:rPr>
          <w:rFonts w:eastAsia="Segoe UI" w:cstheme="minorHAnsi"/>
          <w:b/>
          <w:color w:val="011A3C"/>
          <w:sz w:val="24"/>
          <w:szCs w:val="24"/>
          <w:lang w:val="en" w:eastAsia="en-AU"/>
        </w:rPr>
        <w:t xml:space="preserve"> a primary school </w:t>
      </w:r>
      <w:r w:rsidRPr="00260C1D">
        <w:rPr>
          <w:rFonts w:eastAsia="Segoe UI" w:cstheme="minorHAnsi"/>
          <w:b/>
          <w:color w:val="011A3C"/>
          <w:sz w:val="24"/>
          <w:szCs w:val="24"/>
          <w:lang w:val="en" w:eastAsia="en-AU"/>
        </w:rPr>
        <w:t>(excluding the floor):</w:t>
      </w:r>
    </w:p>
    <w:p w14:paraId="479DAF9D" w14:textId="66ED1BEA"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w:t>
      </w:r>
      <w:bookmarkStart w:id="52" w:name="_Hlk50714244"/>
      <w:bookmarkStart w:id="53" w:name="_Hlk50720787"/>
      <w:r w:rsidRPr="00260C1D">
        <w:rPr>
          <w:rFonts w:eastAsia="Segoe UI" w:cstheme="minorHAnsi"/>
          <w:color w:val="011A3C"/>
          <w:sz w:val="24"/>
          <w:szCs w:val="24"/>
          <w:lang w:val="en" w:eastAsia="en-AU"/>
        </w:rPr>
        <w:t>Level 1 student: ($</w:t>
      </w:r>
      <w:r w:rsidR="00BF6238" w:rsidRPr="00BF6238">
        <w:rPr>
          <w:rFonts w:eastAsia="Segoe UI" w:cstheme="minorHAnsi"/>
          <w:color w:val="011A3C"/>
          <w:sz w:val="24"/>
          <w:szCs w:val="24"/>
          <w:lang w:val="en" w:eastAsia="en-AU"/>
        </w:rPr>
        <w:t>1,289</w:t>
      </w:r>
      <w:r w:rsidR="00BF6238">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 ((0.5797 – </w:t>
      </w:r>
      <w:r w:rsidR="00440C1F">
        <w:rPr>
          <w:rFonts w:eastAsia="Segoe UI" w:cstheme="minorHAnsi"/>
          <w:color w:val="011A3C"/>
          <w:sz w:val="24"/>
          <w:szCs w:val="24"/>
          <w:lang w:val="en" w:eastAsia="en-AU"/>
        </w:rPr>
        <w:t>0.3469</w:t>
      </w:r>
      <w:r w:rsidRPr="00260C1D">
        <w:rPr>
          <w:rFonts w:eastAsia="Segoe UI" w:cstheme="minorHAnsi"/>
          <w:color w:val="011A3C"/>
          <w:sz w:val="24"/>
          <w:szCs w:val="24"/>
          <w:lang w:val="en" w:eastAsia="en-AU"/>
        </w:rPr>
        <w:t xml:space="preserve">) / (0.6192 – </w:t>
      </w:r>
      <w:r w:rsidR="00440C1F">
        <w:rPr>
          <w:rFonts w:eastAsia="Segoe UI" w:cstheme="minorHAnsi"/>
          <w:color w:val="011A3C"/>
          <w:sz w:val="24"/>
          <w:szCs w:val="24"/>
          <w:lang w:val="en" w:eastAsia="en-AU"/>
        </w:rPr>
        <w:t>0.3469</w:t>
      </w:r>
      <w:r w:rsidRPr="00260C1D">
        <w:rPr>
          <w:rFonts w:eastAsia="Segoe UI" w:cstheme="minorHAnsi"/>
          <w:color w:val="011A3C"/>
          <w:sz w:val="24"/>
          <w:szCs w:val="24"/>
          <w:lang w:val="en" w:eastAsia="en-AU"/>
        </w:rPr>
        <w:t xml:space="preserve">)) </w:t>
      </w:r>
      <w:r w:rsidR="00AE1EC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1E1A97" w:rsidRPr="001E1A97">
        <w:rPr>
          <w:rFonts w:eastAsia="Segoe UI" w:cstheme="minorHAnsi"/>
          <w:color w:val="011A3C"/>
          <w:sz w:val="24"/>
          <w:szCs w:val="24"/>
          <w:lang w:val="en" w:eastAsia="en-AU"/>
        </w:rPr>
        <w:t>5,662</w:t>
      </w:r>
      <w:r w:rsidRPr="00260C1D">
        <w:rPr>
          <w:rFonts w:eastAsia="Segoe UI" w:cstheme="minorHAnsi"/>
          <w:color w:val="011A3C"/>
          <w:sz w:val="24"/>
          <w:szCs w:val="24"/>
          <w:lang w:val="en" w:eastAsia="en-AU"/>
        </w:rPr>
        <w:t xml:space="preserve"> – </w:t>
      </w:r>
      <w:r w:rsidR="00B74CEB">
        <w:rPr>
          <w:rFonts w:eastAsia="Segoe UI" w:cstheme="minorHAnsi"/>
          <w:color w:val="011A3C"/>
          <w:sz w:val="24"/>
          <w:szCs w:val="24"/>
          <w:lang w:val="en" w:eastAsia="en-AU"/>
        </w:rPr>
        <w:t>$</w:t>
      </w:r>
      <w:r w:rsidR="00B74CEB" w:rsidRPr="00B74CEB">
        <w:rPr>
          <w:rFonts w:eastAsia="Segoe UI" w:cstheme="minorHAnsi"/>
          <w:color w:val="011A3C"/>
          <w:sz w:val="24"/>
          <w:szCs w:val="24"/>
          <w:lang w:val="en" w:eastAsia="en-AU"/>
        </w:rPr>
        <w:t>1,289</w:t>
      </w:r>
      <w:r w:rsidRPr="00260C1D">
        <w:rPr>
          <w:rFonts w:eastAsia="Segoe UI" w:cstheme="minorHAnsi"/>
          <w:color w:val="011A3C"/>
          <w:sz w:val="24"/>
          <w:szCs w:val="24"/>
          <w:lang w:val="en" w:eastAsia="en-AU"/>
        </w:rPr>
        <w:t xml:space="preserve">)) </w:t>
      </w:r>
      <w:r w:rsidR="00AE1EC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167 enrolment</w:t>
      </w:r>
      <w:r w:rsidR="00770357" w:rsidRPr="00260C1D">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 </w:t>
      </w:r>
      <w:r w:rsidR="00C53D2A" w:rsidRPr="007971D5">
        <w:rPr>
          <w:rFonts w:eastAsia="Segoe UI" w:cstheme="minorHAnsi"/>
          <w:color w:val="011A3C"/>
          <w:sz w:val="24"/>
          <w:szCs w:val="24"/>
          <w:lang w:val="en" w:eastAsia="en-AU"/>
        </w:rPr>
        <w:t xml:space="preserve">= </w:t>
      </w:r>
      <w:r w:rsidR="00AD4015">
        <w:rPr>
          <w:rFonts w:eastAsia="Segoe UI" w:cstheme="minorHAnsi"/>
          <w:color w:val="011A3C"/>
          <w:sz w:val="24"/>
          <w:szCs w:val="24"/>
          <w:lang w:val="en" w:eastAsia="en-AU"/>
        </w:rPr>
        <w:t>$839</w:t>
      </w:r>
      <w:r w:rsidR="00E73191">
        <w:rPr>
          <w:rFonts w:eastAsia="Segoe UI" w:cstheme="minorHAnsi"/>
          <w:color w:val="011A3C"/>
          <w:sz w:val="24"/>
          <w:szCs w:val="24"/>
          <w:lang w:val="en" w:eastAsia="en-AU"/>
        </w:rPr>
        <w:t>,</w:t>
      </w:r>
      <w:r w:rsidR="00AD4015">
        <w:rPr>
          <w:rFonts w:eastAsia="Segoe UI" w:cstheme="minorHAnsi"/>
          <w:color w:val="011A3C"/>
          <w:sz w:val="24"/>
          <w:szCs w:val="24"/>
          <w:lang w:val="en" w:eastAsia="en-AU"/>
        </w:rPr>
        <w:t>618</w:t>
      </w:r>
    </w:p>
    <w:p w14:paraId="18CE1507" w14:textId="41A28345" w:rsidR="00160275" w:rsidRPr="00260C1D" w:rsidRDefault="00AD16F0" w:rsidP="00AD16F0">
      <w:pPr>
        <w:spacing w:before="100" w:beforeAutospacing="1" w:after="100" w:afterAutospacing="1" w:line="288" w:lineRule="atLeast"/>
        <w:outlineLvl w:val="3"/>
        <w:rPr>
          <w:rFonts w:eastAsia="Segoe UI" w:cstheme="minorHAnsi"/>
          <w:color w:val="011A3C"/>
          <w:sz w:val="24"/>
          <w:szCs w:val="24"/>
          <w:lang w:val="en" w:eastAsia="en-AU"/>
        </w:rPr>
      </w:pPr>
      <w:r w:rsidRPr="00260C1D">
        <w:rPr>
          <w:rFonts w:eastAsia="Segoe UI" w:cstheme="minorHAnsi"/>
          <w:color w:val="011A3C"/>
          <w:sz w:val="24"/>
          <w:szCs w:val="24"/>
          <w:lang w:val="en" w:eastAsia="en-AU"/>
        </w:rPr>
        <w:t>• Level 2 student: ($</w:t>
      </w:r>
      <w:r w:rsidR="003F4E29" w:rsidRPr="003F4E29">
        <w:rPr>
          <w:rFonts w:eastAsia="Segoe UI" w:cstheme="minorHAnsi"/>
          <w:color w:val="011A3C"/>
          <w:sz w:val="24"/>
          <w:szCs w:val="24"/>
          <w:lang w:val="en" w:eastAsia="en-AU"/>
        </w:rPr>
        <w:t>644</w:t>
      </w:r>
      <w:r w:rsidR="00136385"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 ((0.5797 – </w:t>
      </w:r>
      <w:r w:rsidR="007777BF">
        <w:rPr>
          <w:rFonts w:eastAsia="Segoe UI" w:cstheme="minorHAnsi"/>
          <w:color w:val="011A3C"/>
          <w:sz w:val="24"/>
          <w:szCs w:val="24"/>
          <w:lang w:val="en" w:eastAsia="en-AU"/>
        </w:rPr>
        <w:t>0.3469</w:t>
      </w:r>
      <w:r w:rsidRPr="00260C1D">
        <w:rPr>
          <w:rFonts w:eastAsia="Segoe UI" w:cstheme="minorHAnsi"/>
          <w:color w:val="011A3C"/>
          <w:sz w:val="24"/>
          <w:szCs w:val="24"/>
          <w:lang w:val="en" w:eastAsia="en-AU"/>
        </w:rPr>
        <w:t xml:space="preserve">) / (0.6192 – </w:t>
      </w:r>
      <w:r w:rsidR="00A8136D">
        <w:rPr>
          <w:rFonts w:eastAsia="Segoe UI" w:cstheme="minorHAnsi"/>
          <w:color w:val="011A3C"/>
          <w:sz w:val="24"/>
          <w:szCs w:val="24"/>
          <w:lang w:val="en" w:eastAsia="en-AU"/>
        </w:rPr>
        <w:t>0.3469</w:t>
      </w:r>
      <w:r w:rsidRPr="00260C1D">
        <w:rPr>
          <w:rFonts w:eastAsia="Segoe UI" w:cstheme="minorHAnsi"/>
          <w:color w:val="011A3C"/>
          <w:sz w:val="24"/>
          <w:szCs w:val="24"/>
          <w:lang w:val="en" w:eastAsia="en-AU"/>
        </w:rPr>
        <w:t xml:space="preserve">)) </w:t>
      </w:r>
      <w:r w:rsidR="00AE1EC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A254F3" w:rsidRPr="00A254F3">
        <w:rPr>
          <w:rFonts w:eastAsia="Segoe UI" w:cstheme="minorHAnsi"/>
          <w:color w:val="011A3C"/>
          <w:sz w:val="24"/>
          <w:szCs w:val="24"/>
          <w:lang w:val="en" w:eastAsia="en-AU"/>
        </w:rPr>
        <w:t>2,834</w:t>
      </w:r>
      <w:r w:rsidR="00C24EFB">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w:t>
      </w:r>
      <w:r w:rsidR="003F4E29" w:rsidRPr="003F4E29">
        <w:rPr>
          <w:rFonts w:eastAsia="Segoe UI" w:cstheme="minorHAnsi"/>
          <w:color w:val="011A3C"/>
          <w:sz w:val="24"/>
          <w:szCs w:val="24"/>
          <w:lang w:val="en" w:eastAsia="en-AU"/>
        </w:rPr>
        <w:t>644</w:t>
      </w:r>
      <w:r w:rsidRPr="00260C1D">
        <w:rPr>
          <w:rFonts w:eastAsia="Segoe UI" w:cstheme="minorHAnsi"/>
          <w:color w:val="011A3C"/>
          <w:sz w:val="24"/>
          <w:szCs w:val="24"/>
          <w:lang w:val="en" w:eastAsia="en-AU"/>
        </w:rPr>
        <w:t xml:space="preserve">)) </w:t>
      </w:r>
      <w:r w:rsidR="00AE1EC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125 enrolment</w:t>
      </w:r>
      <w:r w:rsidR="00770357" w:rsidRPr="00260C1D">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 </w:t>
      </w:r>
      <w:r w:rsidR="00C53D2A" w:rsidRPr="00260C1D">
        <w:rPr>
          <w:rFonts w:eastAsia="Segoe UI" w:cstheme="minorHAnsi"/>
          <w:color w:val="011A3C"/>
          <w:sz w:val="24"/>
          <w:szCs w:val="24"/>
          <w:lang w:val="en" w:eastAsia="en-AU"/>
        </w:rPr>
        <w:t>=</w:t>
      </w:r>
      <w:r w:rsidR="0051740D">
        <w:rPr>
          <w:rFonts w:eastAsia="Segoe UI" w:cstheme="minorHAnsi"/>
          <w:color w:val="011A3C"/>
          <w:sz w:val="24"/>
          <w:szCs w:val="24"/>
          <w:lang w:val="en" w:eastAsia="en-AU"/>
        </w:rPr>
        <w:t>$314540</w:t>
      </w:r>
      <w:r w:rsidR="00C53D2A" w:rsidRPr="00260C1D">
        <w:rPr>
          <w:rFonts w:eastAsia="Segoe UI" w:cstheme="minorHAnsi"/>
          <w:color w:val="011A3C"/>
          <w:sz w:val="24"/>
          <w:szCs w:val="24"/>
          <w:lang w:val="en" w:eastAsia="en-AU"/>
        </w:rPr>
        <w:t xml:space="preserve"> </w:t>
      </w:r>
      <w:bookmarkEnd w:id="52"/>
    </w:p>
    <w:p w14:paraId="1EFED2ED" w14:textId="2AB41F8C" w:rsidR="00A12061" w:rsidRPr="00260C1D" w:rsidRDefault="00AD16F0" w:rsidP="00AD16F0">
      <w:pPr>
        <w:spacing w:before="100" w:beforeAutospacing="1" w:after="100" w:afterAutospacing="1" w:line="288" w:lineRule="atLeast"/>
        <w:outlineLvl w:val="3"/>
        <w:rPr>
          <w:rFonts w:eastAsia="Segoe UI" w:cstheme="minorHAnsi"/>
          <w:color w:val="011A3C"/>
          <w:sz w:val="24"/>
          <w:szCs w:val="24"/>
          <w:lang w:val="en" w:eastAsia="en-AU"/>
        </w:rPr>
      </w:pPr>
      <w:r w:rsidRPr="00260C1D">
        <w:rPr>
          <w:rFonts w:eastAsia="Segoe UI" w:cstheme="minorHAnsi"/>
          <w:color w:val="011A3C"/>
          <w:sz w:val="24"/>
          <w:szCs w:val="24"/>
          <w:lang w:val="en" w:eastAsia="en-AU"/>
        </w:rPr>
        <w:t>• Total Social Disadvantage funding:</w:t>
      </w:r>
      <w:r w:rsidR="00CB2F50" w:rsidRPr="00260C1D">
        <w:rPr>
          <w:rFonts w:cstheme="minorHAnsi"/>
        </w:rPr>
        <w:t xml:space="preserve"> </w:t>
      </w:r>
      <w:r w:rsidR="00CB2F50" w:rsidRPr="00833928">
        <w:t>$</w:t>
      </w:r>
      <w:r w:rsidR="00F012B2">
        <w:rPr>
          <w:rFonts w:cstheme="minorHAnsi"/>
        </w:rPr>
        <w:t>839</w:t>
      </w:r>
      <w:r w:rsidR="006A1501">
        <w:rPr>
          <w:rFonts w:cstheme="minorHAnsi"/>
        </w:rPr>
        <w:t>,</w:t>
      </w:r>
      <w:r w:rsidR="00F012B2">
        <w:rPr>
          <w:rFonts w:cstheme="minorHAnsi"/>
        </w:rPr>
        <w:t>618 + $</w:t>
      </w:r>
      <w:r w:rsidR="006A1501">
        <w:rPr>
          <w:rFonts w:cstheme="minorHAnsi"/>
        </w:rPr>
        <w:t xml:space="preserve">314,540 = $ </w:t>
      </w:r>
      <w:r w:rsidR="00790D88" w:rsidRPr="00833928">
        <w:t>1,</w:t>
      </w:r>
      <w:r w:rsidR="00790D88">
        <w:rPr>
          <w:rFonts w:cstheme="minorHAnsi"/>
        </w:rPr>
        <w:t>154</w:t>
      </w:r>
      <w:r w:rsidR="00970567">
        <w:rPr>
          <w:rFonts w:cstheme="minorHAnsi"/>
        </w:rPr>
        <w:t>,</w:t>
      </w:r>
      <w:r w:rsidR="00790D88">
        <w:rPr>
          <w:rFonts w:cstheme="minorHAnsi"/>
        </w:rPr>
        <w:t xml:space="preserve">157 </w:t>
      </w:r>
      <w:bookmarkEnd w:id="53"/>
    </w:p>
    <w:p w14:paraId="6204CCF4" w14:textId="553CF7E4" w:rsidR="00AD16F0" w:rsidRPr="00260C1D" w:rsidRDefault="00AD16F0" w:rsidP="00AD16F0">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Table 4</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44"/>
        <w:gridCol w:w="1193"/>
        <w:gridCol w:w="1574"/>
        <w:gridCol w:w="1674"/>
        <w:gridCol w:w="1715"/>
        <w:gridCol w:w="1674"/>
        <w:gridCol w:w="1715"/>
      </w:tblGrid>
      <w:tr w:rsidR="00AD16F0" w:rsidRPr="00DF4FFA" w14:paraId="65190952" w14:textId="77777777" w:rsidTr="002558B6">
        <w:trPr>
          <w:trHeight w:val="1023"/>
          <w:tblHeader/>
        </w:trPr>
        <w:tc>
          <w:tcPr>
            <w:tcW w:w="577" w:type="pct"/>
            <w:hideMark/>
          </w:tcPr>
          <w:p w14:paraId="6D37A6B2" w14:textId="77777777" w:rsidR="00AD16F0" w:rsidRPr="00DF4FFA" w:rsidRDefault="00AD16F0" w:rsidP="00AD16F0">
            <w:pPr>
              <w:spacing w:after="0" w:line="240" w:lineRule="auto"/>
              <w:rPr>
                <w:rFonts w:eastAsia="Segoe UI" w:cstheme="minorHAnsi"/>
                <w:b/>
                <w:bCs/>
                <w:color w:val="323E4F" w:themeColor="text2" w:themeShade="BF"/>
                <w:sz w:val="24"/>
                <w:szCs w:val="24"/>
                <w:lang w:val="en" w:eastAsia="en-AU"/>
              </w:rPr>
            </w:pPr>
          </w:p>
        </w:tc>
        <w:tc>
          <w:tcPr>
            <w:tcW w:w="553" w:type="pct"/>
            <w:hideMark/>
          </w:tcPr>
          <w:p w14:paraId="0B02F6C0" w14:textId="57EEE2D8" w:rsidR="00AD16F0" w:rsidRPr="00DF4FFA" w:rsidRDefault="00AD16F0"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 xml:space="preserve">Minimum SFOE </w:t>
            </w:r>
            <w:r w:rsidR="00292520">
              <w:rPr>
                <w:rFonts w:eastAsia="Segoe UI" w:cstheme="minorHAnsi"/>
                <w:b/>
                <w:bCs/>
                <w:color w:val="323E4F" w:themeColor="text2" w:themeShade="BF"/>
                <w:sz w:val="24"/>
                <w:szCs w:val="24"/>
                <w:lang w:eastAsia="en-AU"/>
              </w:rPr>
              <w:t>t</w:t>
            </w:r>
            <w:r w:rsidRPr="00DF4FFA">
              <w:rPr>
                <w:rFonts w:eastAsia="Segoe UI" w:cstheme="minorHAnsi"/>
                <w:b/>
                <w:bCs/>
                <w:color w:val="323E4F" w:themeColor="text2" w:themeShade="BF"/>
                <w:sz w:val="24"/>
                <w:szCs w:val="24"/>
                <w:lang w:eastAsia="en-AU"/>
              </w:rPr>
              <w:t>hreshold</w:t>
            </w:r>
          </w:p>
        </w:tc>
        <w:tc>
          <w:tcPr>
            <w:tcW w:w="0" w:type="auto"/>
            <w:hideMark/>
          </w:tcPr>
          <w:p w14:paraId="0BC0CF70" w14:textId="02816305" w:rsidR="00AD16F0" w:rsidRPr="00DF4FFA" w:rsidRDefault="00AD16F0"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 xml:space="preserve">Maximum SFOE </w:t>
            </w:r>
            <w:r w:rsidR="00292520">
              <w:rPr>
                <w:rFonts w:eastAsia="Segoe UI" w:cstheme="minorHAnsi"/>
                <w:b/>
                <w:bCs/>
                <w:color w:val="323E4F" w:themeColor="text2" w:themeShade="BF"/>
                <w:sz w:val="24"/>
                <w:szCs w:val="24"/>
                <w:lang w:eastAsia="en-AU"/>
              </w:rPr>
              <w:t>t</w:t>
            </w:r>
            <w:r w:rsidRPr="00DF4FFA">
              <w:rPr>
                <w:rFonts w:eastAsia="Segoe UI" w:cstheme="minorHAnsi"/>
                <w:b/>
                <w:bCs/>
                <w:color w:val="323E4F" w:themeColor="text2" w:themeShade="BF"/>
                <w:sz w:val="24"/>
                <w:szCs w:val="24"/>
                <w:lang w:eastAsia="en-AU"/>
              </w:rPr>
              <w:t>hreshold</w:t>
            </w:r>
          </w:p>
        </w:tc>
        <w:tc>
          <w:tcPr>
            <w:tcW w:w="0" w:type="auto"/>
            <w:hideMark/>
          </w:tcPr>
          <w:p w14:paraId="7EE2AB30" w14:textId="5598835D" w:rsidR="00AD16F0" w:rsidRPr="00DF4FFA" w:rsidRDefault="00AD16F0"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 xml:space="preserve">Level 1 </w:t>
            </w:r>
            <w:r w:rsidR="00292520">
              <w:rPr>
                <w:rFonts w:eastAsia="Segoe UI" w:cstheme="minorHAnsi"/>
                <w:b/>
                <w:bCs/>
                <w:color w:val="323E4F" w:themeColor="text2" w:themeShade="BF"/>
                <w:sz w:val="24"/>
                <w:szCs w:val="24"/>
                <w:lang w:eastAsia="en-AU"/>
              </w:rPr>
              <w:t>s</w:t>
            </w:r>
            <w:r w:rsidRPr="00DF4FFA">
              <w:rPr>
                <w:rFonts w:eastAsia="Segoe UI" w:cstheme="minorHAnsi"/>
                <w:b/>
                <w:bCs/>
                <w:color w:val="323E4F" w:themeColor="text2" w:themeShade="BF"/>
                <w:sz w:val="24"/>
                <w:szCs w:val="24"/>
                <w:lang w:eastAsia="en-AU"/>
              </w:rPr>
              <w:t xml:space="preserve">tudent </w:t>
            </w:r>
            <w:r w:rsidR="00292520">
              <w:rPr>
                <w:rFonts w:eastAsia="Segoe UI" w:cstheme="minorHAnsi"/>
                <w:b/>
                <w:bCs/>
                <w:color w:val="323E4F" w:themeColor="text2" w:themeShade="BF"/>
                <w:sz w:val="24"/>
                <w:szCs w:val="24"/>
                <w:lang w:eastAsia="en-AU"/>
              </w:rPr>
              <w:t>m</w:t>
            </w:r>
            <w:r w:rsidRPr="00DF4FFA">
              <w:rPr>
                <w:rFonts w:eastAsia="Segoe UI" w:cstheme="minorHAnsi"/>
                <w:b/>
                <w:bCs/>
                <w:color w:val="323E4F" w:themeColor="text2" w:themeShade="BF"/>
                <w:sz w:val="24"/>
                <w:szCs w:val="24"/>
                <w:lang w:eastAsia="en-AU"/>
              </w:rPr>
              <w:t xml:space="preserve">inimum </w:t>
            </w:r>
            <w:r w:rsidR="00292520">
              <w:rPr>
                <w:rFonts w:eastAsia="Segoe UI" w:cstheme="minorHAnsi"/>
                <w:b/>
                <w:bCs/>
                <w:color w:val="323E4F" w:themeColor="text2" w:themeShade="BF"/>
                <w:sz w:val="24"/>
                <w:szCs w:val="24"/>
                <w:lang w:eastAsia="en-AU"/>
              </w:rPr>
              <w:t>r</w:t>
            </w:r>
            <w:r w:rsidRPr="00DF4FFA">
              <w:rPr>
                <w:rFonts w:eastAsia="Segoe UI" w:cstheme="minorHAnsi"/>
                <w:b/>
                <w:bCs/>
                <w:color w:val="323E4F" w:themeColor="text2" w:themeShade="BF"/>
                <w:sz w:val="24"/>
                <w:szCs w:val="24"/>
                <w:lang w:eastAsia="en-AU"/>
              </w:rPr>
              <w:t>ate</w:t>
            </w:r>
          </w:p>
        </w:tc>
        <w:tc>
          <w:tcPr>
            <w:tcW w:w="0" w:type="auto"/>
            <w:hideMark/>
          </w:tcPr>
          <w:p w14:paraId="58CE56C8" w14:textId="5FF6D2A7" w:rsidR="00AD16F0" w:rsidRPr="00DF4FFA" w:rsidRDefault="00AD16F0"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 xml:space="preserve">Level 1 </w:t>
            </w:r>
            <w:r w:rsidR="00292520">
              <w:rPr>
                <w:rFonts w:eastAsia="Segoe UI" w:cstheme="minorHAnsi"/>
                <w:b/>
                <w:bCs/>
                <w:color w:val="323E4F" w:themeColor="text2" w:themeShade="BF"/>
                <w:sz w:val="24"/>
                <w:szCs w:val="24"/>
                <w:lang w:eastAsia="en-AU"/>
              </w:rPr>
              <w:t>s</w:t>
            </w:r>
            <w:r w:rsidRPr="00DF4FFA">
              <w:rPr>
                <w:rFonts w:eastAsia="Segoe UI" w:cstheme="minorHAnsi"/>
                <w:b/>
                <w:bCs/>
                <w:color w:val="323E4F" w:themeColor="text2" w:themeShade="BF"/>
                <w:sz w:val="24"/>
                <w:szCs w:val="24"/>
                <w:lang w:eastAsia="en-AU"/>
              </w:rPr>
              <w:t xml:space="preserve">tudent </w:t>
            </w:r>
            <w:r w:rsidR="00292520">
              <w:rPr>
                <w:rFonts w:eastAsia="Segoe UI" w:cstheme="minorHAnsi"/>
                <w:b/>
                <w:bCs/>
                <w:color w:val="323E4F" w:themeColor="text2" w:themeShade="BF"/>
                <w:sz w:val="24"/>
                <w:szCs w:val="24"/>
                <w:lang w:eastAsia="en-AU"/>
              </w:rPr>
              <w:t>m</w:t>
            </w:r>
            <w:r w:rsidRPr="00DF4FFA">
              <w:rPr>
                <w:rFonts w:eastAsia="Segoe UI" w:cstheme="minorHAnsi"/>
                <w:b/>
                <w:bCs/>
                <w:color w:val="323E4F" w:themeColor="text2" w:themeShade="BF"/>
                <w:sz w:val="24"/>
                <w:szCs w:val="24"/>
                <w:lang w:eastAsia="en-AU"/>
              </w:rPr>
              <w:t xml:space="preserve">aximum </w:t>
            </w:r>
            <w:r w:rsidR="00292520">
              <w:rPr>
                <w:rFonts w:eastAsia="Segoe UI" w:cstheme="minorHAnsi"/>
                <w:b/>
                <w:bCs/>
                <w:color w:val="323E4F" w:themeColor="text2" w:themeShade="BF"/>
                <w:sz w:val="24"/>
                <w:szCs w:val="24"/>
                <w:lang w:eastAsia="en-AU"/>
              </w:rPr>
              <w:t>r</w:t>
            </w:r>
            <w:r w:rsidRPr="00DF4FFA">
              <w:rPr>
                <w:rFonts w:eastAsia="Segoe UI" w:cstheme="minorHAnsi"/>
                <w:b/>
                <w:bCs/>
                <w:color w:val="323E4F" w:themeColor="text2" w:themeShade="BF"/>
                <w:sz w:val="24"/>
                <w:szCs w:val="24"/>
                <w:lang w:eastAsia="en-AU"/>
              </w:rPr>
              <w:t>ate</w:t>
            </w:r>
          </w:p>
        </w:tc>
        <w:tc>
          <w:tcPr>
            <w:tcW w:w="0" w:type="auto"/>
            <w:hideMark/>
          </w:tcPr>
          <w:p w14:paraId="7EE42AB7" w14:textId="50676493" w:rsidR="00AD16F0" w:rsidRPr="00DF4FFA" w:rsidRDefault="00AD16F0"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 xml:space="preserve">Level 2 </w:t>
            </w:r>
            <w:r w:rsidR="00292520">
              <w:rPr>
                <w:rFonts w:eastAsia="Segoe UI" w:cstheme="minorHAnsi"/>
                <w:b/>
                <w:bCs/>
                <w:color w:val="323E4F" w:themeColor="text2" w:themeShade="BF"/>
                <w:sz w:val="24"/>
                <w:szCs w:val="24"/>
                <w:lang w:eastAsia="en-AU"/>
              </w:rPr>
              <w:t>s</w:t>
            </w:r>
            <w:r w:rsidRPr="00DF4FFA">
              <w:rPr>
                <w:rFonts w:eastAsia="Segoe UI" w:cstheme="minorHAnsi"/>
                <w:b/>
                <w:bCs/>
                <w:color w:val="323E4F" w:themeColor="text2" w:themeShade="BF"/>
                <w:sz w:val="24"/>
                <w:szCs w:val="24"/>
                <w:lang w:eastAsia="en-AU"/>
              </w:rPr>
              <w:t xml:space="preserve">tudent </w:t>
            </w:r>
            <w:r w:rsidR="00292520">
              <w:rPr>
                <w:rFonts w:eastAsia="Segoe UI" w:cstheme="minorHAnsi"/>
                <w:b/>
                <w:bCs/>
                <w:color w:val="323E4F" w:themeColor="text2" w:themeShade="BF"/>
                <w:sz w:val="24"/>
                <w:szCs w:val="24"/>
                <w:lang w:eastAsia="en-AU"/>
              </w:rPr>
              <w:t>m</w:t>
            </w:r>
            <w:r w:rsidRPr="00DF4FFA">
              <w:rPr>
                <w:rFonts w:eastAsia="Segoe UI" w:cstheme="minorHAnsi"/>
                <w:b/>
                <w:bCs/>
                <w:color w:val="323E4F" w:themeColor="text2" w:themeShade="BF"/>
                <w:sz w:val="24"/>
                <w:szCs w:val="24"/>
                <w:lang w:eastAsia="en-AU"/>
              </w:rPr>
              <w:t xml:space="preserve">inimum </w:t>
            </w:r>
            <w:r w:rsidR="00292520">
              <w:rPr>
                <w:rFonts w:eastAsia="Segoe UI" w:cstheme="minorHAnsi"/>
                <w:b/>
                <w:bCs/>
                <w:color w:val="323E4F" w:themeColor="text2" w:themeShade="BF"/>
                <w:sz w:val="24"/>
                <w:szCs w:val="24"/>
                <w:lang w:eastAsia="en-AU"/>
              </w:rPr>
              <w:t>r</w:t>
            </w:r>
            <w:r w:rsidRPr="00DF4FFA">
              <w:rPr>
                <w:rFonts w:eastAsia="Segoe UI" w:cstheme="minorHAnsi"/>
                <w:b/>
                <w:bCs/>
                <w:color w:val="323E4F" w:themeColor="text2" w:themeShade="BF"/>
                <w:sz w:val="24"/>
                <w:szCs w:val="24"/>
                <w:lang w:eastAsia="en-AU"/>
              </w:rPr>
              <w:t>ate</w:t>
            </w:r>
          </w:p>
        </w:tc>
        <w:tc>
          <w:tcPr>
            <w:tcW w:w="0" w:type="auto"/>
            <w:hideMark/>
          </w:tcPr>
          <w:p w14:paraId="1247BC8C" w14:textId="717EAFA3" w:rsidR="00AD16F0" w:rsidRPr="00DF4FFA" w:rsidRDefault="00AD16F0" w:rsidP="00614B09">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 xml:space="preserve">Level 2 </w:t>
            </w:r>
            <w:r w:rsidR="00292520">
              <w:rPr>
                <w:rFonts w:eastAsia="Segoe UI" w:cstheme="minorHAnsi"/>
                <w:b/>
                <w:bCs/>
                <w:color w:val="323E4F" w:themeColor="text2" w:themeShade="BF"/>
                <w:sz w:val="24"/>
                <w:szCs w:val="24"/>
                <w:lang w:eastAsia="en-AU"/>
              </w:rPr>
              <w:t>s</w:t>
            </w:r>
            <w:r w:rsidRPr="00DF4FFA">
              <w:rPr>
                <w:rFonts w:eastAsia="Segoe UI" w:cstheme="minorHAnsi"/>
                <w:b/>
                <w:bCs/>
                <w:color w:val="323E4F" w:themeColor="text2" w:themeShade="BF"/>
                <w:sz w:val="24"/>
                <w:szCs w:val="24"/>
                <w:lang w:eastAsia="en-AU"/>
              </w:rPr>
              <w:t xml:space="preserve">tudent </w:t>
            </w:r>
            <w:r w:rsidR="00292520">
              <w:rPr>
                <w:rFonts w:eastAsia="Segoe UI" w:cstheme="minorHAnsi"/>
                <w:b/>
                <w:bCs/>
                <w:color w:val="323E4F" w:themeColor="text2" w:themeShade="BF"/>
                <w:sz w:val="24"/>
                <w:szCs w:val="24"/>
                <w:lang w:eastAsia="en-AU"/>
              </w:rPr>
              <w:t>m</w:t>
            </w:r>
            <w:r w:rsidRPr="00DF4FFA">
              <w:rPr>
                <w:rFonts w:eastAsia="Segoe UI" w:cstheme="minorHAnsi"/>
                <w:b/>
                <w:bCs/>
                <w:color w:val="323E4F" w:themeColor="text2" w:themeShade="BF"/>
                <w:sz w:val="24"/>
                <w:szCs w:val="24"/>
                <w:lang w:eastAsia="en-AU"/>
              </w:rPr>
              <w:t xml:space="preserve">aximum </w:t>
            </w:r>
            <w:r w:rsidR="00292520">
              <w:rPr>
                <w:rFonts w:eastAsia="Segoe UI" w:cstheme="minorHAnsi"/>
                <w:b/>
                <w:bCs/>
                <w:color w:val="323E4F" w:themeColor="text2" w:themeShade="BF"/>
                <w:sz w:val="24"/>
                <w:szCs w:val="24"/>
                <w:lang w:eastAsia="en-AU"/>
              </w:rPr>
              <w:t>r</w:t>
            </w:r>
            <w:r w:rsidRPr="00DF4FFA">
              <w:rPr>
                <w:rFonts w:eastAsia="Segoe UI" w:cstheme="minorHAnsi"/>
                <w:b/>
                <w:bCs/>
                <w:color w:val="323E4F" w:themeColor="text2" w:themeShade="BF"/>
                <w:sz w:val="24"/>
                <w:szCs w:val="24"/>
                <w:lang w:eastAsia="en-AU"/>
              </w:rPr>
              <w:t>ate</w:t>
            </w:r>
          </w:p>
        </w:tc>
      </w:tr>
      <w:tr w:rsidR="00AD16F0" w:rsidRPr="00260C1D" w14:paraId="10724C14" w14:textId="77777777" w:rsidTr="002558B6">
        <w:trPr>
          <w:trHeight w:val="309"/>
        </w:trPr>
        <w:tc>
          <w:tcPr>
            <w:tcW w:w="577" w:type="pct"/>
            <w:hideMark/>
          </w:tcPr>
          <w:p w14:paraId="0C876D0D" w14:textId="77777777" w:rsidR="00AD16F0" w:rsidRPr="00260C1D" w:rsidRDefault="00AD16F0" w:rsidP="00AD16F0">
            <w:pPr>
              <w:spacing w:after="0" w:line="24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Primary</w:t>
            </w:r>
          </w:p>
        </w:tc>
        <w:tc>
          <w:tcPr>
            <w:tcW w:w="553" w:type="pct"/>
            <w:hideMark/>
          </w:tcPr>
          <w:p w14:paraId="426F5288" w14:textId="5B2AFFB8" w:rsidR="00AD16F0" w:rsidRPr="00260C1D" w:rsidRDefault="008B3267" w:rsidP="00614B09">
            <w:pPr>
              <w:spacing w:after="0" w:line="360" w:lineRule="atLeast"/>
              <w:jc w:val="right"/>
              <w:rPr>
                <w:rFonts w:eastAsia="Segoe UI" w:cstheme="minorHAnsi"/>
                <w:color w:val="323E4F" w:themeColor="text2" w:themeShade="BF"/>
                <w:sz w:val="24"/>
                <w:szCs w:val="24"/>
                <w:lang w:eastAsia="en-AU"/>
              </w:rPr>
            </w:pPr>
            <w:r>
              <w:rPr>
                <w:rFonts w:eastAsia="Segoe UI" w:cstheme="minorHAnsi"/>
                <w:color w:val="323E4F" w:themeColor="text2" w:themeShade="BF"/>
                <w:sz w:val="24"/>
                <w:szCs w:val="24"/>
                <w:lang w:eastAsia="en-AU"/>
              </w:rPr>
              <w:t>0.3469</w:t>
            </w:r>
          </w:p>
        </w:tc>
        <w:tc>
          <w:tcPr>
            <w:tcW w:w="0" w:type="auto"/>
            <w:hideMark/>
          </w:tcPr>
          <w:p w14:paraId="43BDF7D5"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0.6192</w:t>
            </w:r>
          </w:p>
        </w:tc>
        <w:tc>
          <w:tcPr>
            <w:tcW w:w="0" w:type="auto"/>
            <w:hideMark/>
          </w:tcPr>
          <w:p w14:paraId="69D98AB5" w14:textId="1BA12916" w:rsidR="00AD16F0" w:rsidRPr="00260C1D" w:rsidRDefault="00A82D75"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BF6238" w:rsidRPr="00BF6238">
              <w:rPr>
                <w:rFonts w:eastAsia="Segoe UI" w:cstheme="minorHAnsi"/>
                <w:color w:val="323E4F" w:themeColor="text2" w:themeShade="BF"/>
                <w:sz w:val="24"/>
                <w:szCs w:val="24"/>
                <w:lang w:eastAsia="en-AU"/>
              </w:rPr>
              <w:t>1,289</w:t>
            </w:r>
          </w:p>
        </w:tc>
        <w:tc>
          <w:tcPr>
            <w:tcW w:w="0" w:type="auto"/>
            <w:hideMark/>
          </w:tcPr>
          <w:p w14:paraId="59AB23E9" w14:textId="15AD4937" w:rsidR="00AD16F0" w:rsidRPr="00260C1D" w:rsidRDefault="00C43BE1"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1E1A97" w:rsidRPr="001E1A97">
              <w:rPr>
                <w:rFonts w:eastAsia="Segoe UI" w:cstheme="minorHAnsi"/>
                <w:color w:val="323E4F" w:themeColor="text2" w:themeShade="BF"/>
                <w:sz w:val="24"/>
                <w:szCs w:val="24"/>
                <w:lang w:eastAsia="en-AU"/>
              </w:rPr>
              <w:t>5,662</w:t>
            </w:r>
          </w:p>
        </w:tc>
        <w:tc>
          <w:tcPr>
            <w:tcW w:w="0" w:type="auto"/>
            <w:hideMark/>
          </w:tcPr>
          <w:p w14:paraId="158D798A" w14:textId="33DE76C2" w:rsidR="00AD16F0" w:rsidRPr="00260C1D" w:rsidRDefault="00A82D75"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5AFB" w:rsidRPr="00260C1D">
              <w:rPr>
                <w:rFonts w:cstheme="minorHAnsi"/>
              </w:rPr>
              <w:t xml:space="preserve"> </w:t>
            </w:r>
            <w:r w:rsidR="003F4E29" w:rsidRPr="003F4E29">
              <w:rPr>
                <w:rFonts w:eastAsia="Segoe UI" w:cstheme="minorHAnsi"/>
                <w:color w:val="323E4F" w:themeColor="text2" w:themeShade="BF"/>
                <w:sz w:val="24"/>
                <w:szCs w:val="24"/>
                <w:lang w:eastAsia="en-AU"/>
              </w:rPr>
              <w:t>644</w:t>
            </w:r>
          </w:p>
        </w:tc>
        <w:tc>
          <w:tcPr>
            <w:tcW w:w="0" w:type="auto"/>
            <w:hideMark/>
          </w:tcPr>
          <w:p w14:paraId="6F7C5914" w14:textId="3058974D" w:rsidR="00AD16F0" w:rsidRPr="00260C1D" w:rsidRDefault="00337C31"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A254F3" w:rsidRPr="00A254F3">
              <w:rPr>
                <w:rFonts w:eastAsia="Segoe UI" w:cstheme="minorHAnsi"/>
                <w:color w:val="323E4F" w:themeColor="text2" w:themeShade="BF"/>
                <w:sz w:val="24"/>
                <w:szCs w:val="24"/>
                <w:lang w:eastAsia="en-AU"/>
              </w:rPr>
              <w:t>2,834</w:t>
            </w:r>
          </w:p>
        </w:tc>
      </w:tr>
      <w:tr w:rsidR="00AD16F0" w:rsidRPr="00260C1D" w14:paraId="455A4776" w14:textId="77777777" w:rsidTr="002558B6">
        <w:trPr>
          <w:trHeight w:val="352"/>
        </w:trPr>
        <w:tc>
          <w:tcPr>
            <w:tcW w:w="577" w:type="pct"/>
            <w:hideMark/>
          </w:tcPr>
          <w:p w14:paraId="0BDD5FD4" w14:textId="77777777" w:rsidR="00AD16F0" w:rsidRPr="00260C1D" w:rsidRDefault="00AD16F0" w:rsidP="00AD16F0">
            <w:pPr>
              <w:spacing w:after="0" w:line="24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Secondary</w:t>
            </w:r>
          </w:p>
        </w:tc>
        <w:tc>
          <w:tcPr>
            <w:tcW w:w="553" w:type="pct"/>
            <w:hideMark/>
          </w:tcPr>
          <w:p w14:paraId="46B20335" w14:textId="51B134C5" w:rsidR="00AD16F0" w:rsidRPr="00260C1D" w:rsidRDefault="008B3267" w:rsidP="00614B09">
            <w:pPr>
              <w:spacing w:after="0" w:line="360" w:lineRule="atLeast"/>
              <w:jc w:val="right"/>
              <w:rPr>
                <w:rFonts w:eastAsia="Segoe UI" w:cstheme="minorHAnsi"/>
                <w:color w:val="323E4F" w:themeColor="text2" w:themeShade="BF"/>
                <w:sz w:val="24"/>
                <w:szCs w:val="24"/>
                <w:lang w:eastAsia="en-AU"/>
              </w:rPr>
            </w:pPr>
            <w:r>
              <w:rPr>
                <w:rFonts w:eastAsia="Segoe UI" w:cstheme="minorHAnsi"/>
                <w:color w:val="323E4F" w:themeColor="text2" w:themeShade="BF"/>
                <w:sz w:val="24"/>
                <w:szCs w:val="24"/>
                <w:lang w:eastAsia="en-AU"/>
              </w:rPr>
              <w:t>0.3469</w:t>
            </w:r>
          </w:p>
        </w:tc>
        <w:tc>
          <w:tcPr>
            <w:tcW w:w="0" w:type="auto"/>
            <w:hideMark/>
          </w:tcPr>
          <w:p w14:paraId="3631F520" w14:textId="77777777" w:rsidR="00AD16F0" w:rsidRPr="00260C1D" w:rsidRDefault="00AD16F0"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0.6192</w:t>
            </w:r>
          </w:p>
        </w:tc>
        <w:tc>
          <w:tcPr>
            <w:tcW w:w="0" w:type="auto"/>
            <w:hideMark/>
          </w:tcPr>
          <w:p w14:paraId="3595A38B" w14:textId="16425491" w:rsidR="00AD16F0" w:rsidRPr="00260C1D" w:rsidRDefault="00A82D75"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A95F90" w:rsidRPr="00260C1D">
              <w:rPr>
                <w:rFonts w:cstheme="minorHAnsi"/>
              </w:rPr>
              <w:t xml:space="preserve"> </w:t>
            </w:r>
            <w:r w:rsidR="00397CF1" w:rsidRPr="00397CF1">
              <w:rPr>
                <w:rFonts w:eastAsia="Segoe UI" w:cstheme="minorHAnsi"/>
                <w:color w:val="323E4F" w:themeColor="text2" w:themeShade="BF"/>
                <w:sz w:val="24"/>
                <w:szCs w:val="24"/>
                <w:lang w:eastAsia="en-AU"/>
              </w:rPr>
              <w:t>1,146</w:t>
            </w:r>
            <w:r w:rsidR="00A95F90" w:rsidRPr="00260C1D" w:rsidDel="00A95F90">
              <w:rPr>
                <w:rFonts w:eastAsia="Segoe UI" w:cstheme="minorHAnsi"/>
                <w:color w:val="323E4F" w:themeColor="text2" w:themeShade="BF"/>
                <w:sz w:val="24"/>
                <w:szCs w:val="24"/>
                <w:lang w:eastAsia="en-AU"/>
              </w:rPr>
              <w:t xml:space="preserve"> </w:t>
            </w:r>
          </w:p>
        </w:tc>
        <w:tc>
          <w:tcPr>
            <w:tcW w:w="0" w:type="auto"/>
            <w:hideMark/>
          </w:tcPr>
          <w:p w14:paraId="48AFD9F2" w14:textId="6C1D8B10" w:rsidR="00AD16F0" w:rsidRPr="00260C1D" w:rsidRDefault="00A82D75"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843A7D" w:rsidRPr="00843A7D">
              <w:rPr>
                <w:rFonts w:eastAsia="Segoe UI" w:cstheme="minorHAnsi"/>
                <w:color w:val="323E4F" w:themeColor="text2" w:themeShade="BF"/>
                <w:sz w:val="24"/>
                <w:szCs w:val="24"/>
                <w:lang w:eastAsia="en-AU"/>
              </w:rPr>
              <w:t>5,027</w:t>
            </w:r>
          </w:p>
        </w:tc>
        <w:tc>
          <w:tcPr>
            <w:tcW w:w="0" w:type="auto"/>
            <w:hideMark/>
          </w:tcPr>
          <w:p w14:paraId="1D48F993" w14:textId="1E5E95DD" w:rsidR="00AD16F0" w:rsidRPr="00260C1D" w:rsidRDefault="00A82D75"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B25AAF" w:rsidRPr="00260C1D">
              <w:rPr>
                <w:rFonts w:cstheme="minorHAnsi"/>
              </w:rPr>
              <w:t xml:space="preserve"> </w:t>
            </w:r>
            <w:r w:rsidR="00EC6617" w:rsidRPr="00EC6617">
              <w:rPr>
                <w:rFonts w:eastAsia="Segoe UI" w:cstheme="minorHAnsi"/>
                <w:color w:val="323E4F" w:themeColor="text2" w:themeShade="BF"/>
                <w:sz w:val="24"/>
                <w:szCs w:val="24"/>
                <w:lang w:eastAsia="en-AU"/>
              </w:rPr>
              <w:t>574</w:t>
            </w:r>
          </w:p>
        </w:tc>
        <w:tc>
          <w:tcPr>
            <w:tcW w:w="0" w:type="auto"/>
            <w:hideMark/>
          </w:tcPr>
          <w:p w14:paraId="139B3C05" w14:textId="21327C54" w:rsidR="00AD16F0" w:rsidRPr="00260C1D" w:rsidRDefault="00A82D75"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DD5330" w:rsidRPr="00DD5330">
              <w:rPr>
                <w:rFonts w:eastAsia="Segoe UI" w:cstheme="minorHAnsi"/>
                <w:color w:val="323E4F" w:themeColor="text2" w:themeShade="BF"/>
                <w:sz w:val="24"/>
                <w:szCs w:val="24"/>
                <w:lang w:eastAsia="en-AU"/>
              </w:rPr>
              <w:t>2,514</w:t>
            </w:r>
          </w:p>
        </w:tc>
      </w:tr>
      <w:tr w:rsidR="00B1065C" w:rsidRPr="00260C1D" w14:paraId="151B1C73" w14:textId="77777777" w:rsidTr="002558B6">
        <w:trPr>
          <w:trHeight w:val="309"/>
        </w:trPr>
        <w:tc>
          <w:tcPr>
            <w:tcW w:w="577" w:type="pct"/>
            <w:hideMark/>
          </w:tcPr>
          <w:p w14:paraId="337443D3" w14:textId="77777777" w:rsidR="00B1065C" w:rsidRPr="00260C1D" w:rsidRDefault="00B1065C" w:rsidP="00B1065C">
            <w:pPr>
              <w:spacing w:after="0" w:line="24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Special</w:t>
            </w:r>
          </w:p>
        </w:tc>
        <w:tc>
          <w:tcPr>
            <w:tcW w:w="553" w:type="pct"/>
            <w:hideMark/>
          </w:tcPr>
          <w:p w14:paraId="0E5AB3D9" w14:textId="28D87889" w:rsidR="00B1065C" w:rsidRPr="00260C1D" w:rsidRDefault="003D19A1" w:rsidP="00614B09">
            <w:pPr>
              <w:spacing w:after="0" w:line="360" w:lineRule="atLeast"/>
              <w:jc w:val="right"/>
              <w:rPr>
                <w:rFonts w:eastAsia="Segoe UI" w:cstheme="minorHAnsi"/>
                <w:color w:val="323E4F" w:themeColor="text2" w:themeShade="BF"/>
                <w:sz w:val="24"/>
                <w:szCs w:val="24"/>
                <w:lang w:eastAsia="en-AU"/>
              </w:rPr>
            </w:pPr>
            <w:r>
              <w:rPr>
                <w:rFonts w:eastAsia="Segoe UI" w:cstheme="minorHAnsi"/>
                <w:color w:val="323E4F" w:themeColor="text2" w:themeShade="BF"/>
                <w:sz w:val="24"/>
                <w:szCs w:val="24"/>
                <w:lang w:eastAsia="en-AU"/>
              </w:rPr>
              <w:t>0.4897</w:t>
            </w:r>
          </w:p>
        </w:tc>
        <w:tc>
          <w:tcPr>
            <w:tcW w:w="0" w:type="auto"/>
            <w:hideMark/>
          </w:tcPr>
          <w:p w14:paraId="48B2362B" w14:textId="77777777" w:rsidR="00B1065C" w:rsidRPr="00260C1D" w:rsidRDefault="00B1065C"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0.7336</w:t>
            </w:r>
          </w:p>
        </w:tc>
        <w:tc>
          <w:tcPr>
            <w:tcW w:w="0" w:type="auto"/>
            <w:hideMark/>
          </w:tcPr>
          <w:p w14:paraId="77D4DB25" w14:textId="1394E754" w:rsidR="00B1065C" w:rsidRPr="00260C1D" w:rsidRDefault="00B1065C"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Pr="00260C1D">
              <w:rPr>
                <w:rFonts w:cstheme="minorHAnsi"/>
              </w:rPr>
              <w:t xml:space="preserve"> </w:t>
            </w:r>
            <w:r w:rsidR="003435F0" w:rsidRPr="003435F0">
              <w:rPr>
                <w:rFonts w:eastAsia="Segoe UI" w:cstheme="minorHAnsi"/>
                <w:color w:val="323E4F" w:themeColor="text2" w:themeShade="BF"/>
                <w:sz w:val="24"/>
                <w:szCs w:val="24"/>
                <w:lang w:eastAsia="en-AU"/>
              </w:rPr>
              <w:t>1,289</w:t>
            </w:r>
          </w:p>
        </w:tc>
        <w:tc>
          <w:tcPr>
            <w:tcW w:w="0" w:type="auto"/>
            <w:hideMark/>
          </w:tcPr>
          <w:p w14:paraId="3BE81E3E" w14:textId="527B46E6" w:rsidR="00B1065C" w:rsidRPr="00260C1D" w:rsidRDefault="00B1065C"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8E1657" w:rsidRPr="008E1657">
              <w:rPr>
                <w:rFonts w:eastAsia="Segoe UI" w:cstheme="minorHAnsi"/>
                <w:color w:val="323E4F" w:themeColor="text2" w:themeShade="BF"/>
                <w:sz w:val="24"/>
                <w:szCs w:val="24"/>
                <w:lang w:eastAsia="en-AU"/>
              </w:rPr>
              <w:t>5,662</w:t>
            </w:r>
          </w:p>
        </w:tc>
        <w:tc>
          <w:tcPr>
            <w:tcW w:w="0" w:type="auto"/>
            <w:hideMark/>
          </w:tcPr>
          <w:p w14:paraId="52DCF77B" w14:textId="5E5BC709" w:rsidR="00B1065C" w:rsidRPr="00260C1D" w:rsidRDefault="00B1065C"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Pr="00260C1D">
              <w:rPr>
                <w:rFonts w:cstheme="minorHAnsi"/>
              </w:rPr>
              <w:t xml:space="preserve"> </w:t>
            </w:r>
            <w:r w:rsidR="00206C77" w:rsidRPr="00206C77">
              <w:rPr>
                <w:rFonts w:eastAsia="Segoe UI" w:cstheme="minorHAnsi"/>
                <w:color w:val="323E4F" w:themeColor="text2" w:themeShade="BF"/>
                <w:sz w:val="24"/>
                <w:szCs w:val="24"/>
                <w:lang w:eastAsia="en-AU"/>
              </w:rPr>
              <w:t>644</w:t>
            </w:r>
          </w:p>
        </w:tc>
        <w:tc>
          <w:tcPr>
            <w:tcW w:w="0" w:type="auto"/>
            <w:hideMark/>
          </w:tcPr>
          <w:p w14:paraId="020F040D" w14:textId="01EF8A2D" w:rsidR="00B1065C" w:rsidRPr="00260C1D" w:rsidRDefault="00B1065C"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742058" w:rsidRPr="00742058">
              <w:rPr>
                <w:rFonts w:eastAsia="Segoe UI" w:cstheme="minorHAnsi"/>
                <w:color w:val="323E4F" w:themeColor="text2" w:themeShade="BF"/>
                <w:sz w:val="24"/>
                <w:szCs w:val="24"/>
                <w:lang w:eastAsia="en-AU"/>
              </w:rPr>
              <w:t>2,834</w:t>
            </w:r>
          </w:p>
        </w:tc>
      </w:tr>
      <w:tr w:rsidR="00B1065C" w:rsidRPr="00260C1D" w14:paraId="3DF81935" w14:textId="77777777" w:rsidTr="002558B6">
        <w:trPr>
          <w:trHeight w:val="309"/>
        </w:trPr>
        <w:tc>
          <w:tcPr>
            <w:tcW w:w="577" w:type="pct"/>
            <w:hideMark/>
          </w:tcPr>
          <w:p w14:paraId="4C1F2452" w14:textId="77777777" w:rsidR="00B1065C" w:rsidRPr="00260C1D" w:rsidRDefault="00B1065C" w:rsidP="00B1065C">
            <w:pPr>
              <w:spacing w:after="0" w:line="24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Language</w:t>
            </w:r>
          </w:p>
        </w:tc>
        <w:tc>
          <w:tcPr>
            <w:tcW w:w="553" w:type="pct"/>
            <w:hideMark/>
          </w:tcPr>
          <w:p w14:paraId="61C145A3" w14:textId="5D949505" w:rsidR="00B1065C" w:rsidRPr="00260C1D" w:rsidRDefault="00CD17CD" w:rsidP="00614B09">
            <w:pPr>
              <w:spacing w:after="0" w:line="360" w:lineRule="atLeast"/>
              <w:jc w:val="right"/>
              <w:rPr>
                <w:rFonts w:eastAsia="Segoe UI" w:cstheme="minorHAnsi"/>
                <w:color w:val="323E4F" w:themeColor="text2" w:themeShade="BF"/>
                <w:sz w:val="24"/>
                <w:szCs w:val="24"/>
                <w:lang w:eastAsia="en-AU"/>
              </w:rPr>
            </w:pPr>
            <w:r>
              <w:rPr>
                <w:rFonts w:eastAsia="Segoe UI" w:cstheme="minorHAnsi"/>
                <w:color w:val="323E4F" w:themeColor="text2" w:themeShade="BF"/>
                <w:sz w:val="24"/>
                <w:szCs w:val="24"/>
                <w:lang w:eastAsia="en-AU"/>
              </w:rPr>
              <w:t>0.3469</w:t>
            </w:r>
          </w:p>
        </w:tc>
        <w:tc>
          <w:tcPr>
            <w:tcW w:w="0" w:type="auto"/>
            <w:hideMark/>
          </w:tcPr>
          <w:p w14:paraId="4E9974FA" w14:textId="77777777" w:rsidR="00B1065C" w:rsidRPr="00260C1D" w:rsidRDefault="00B1065C"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0.6192</w:t>
            </w:r>
          </w:p>
        </w:tc>
        <w:tc>
          <w:tcPr>
            <w:tcW w:w="0" w:type="auto"/>
            <w:hideMark/>
          </w:tcPr>
          <w:p w14:paraId="702970D6" w14:textId="2825D542" w:rsidR="00B1065C" w:rsidRPr="00260C1D" w:rsidRDefault="00B1065C"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Pr="00260C1D">
              <w:rPr>
                <w:rFonts w:cstheme="minorHAnsi"/>
              </w:rPr>
              <w:t xml:space="preserve"> </w:t>
            </w:r>
            <w:r w:rsidR="00AE39C1" w:rsidRPr="00AE39C1">
              <w:rPr>
                <w:rFonts w:eastAsia="Segoe UI" w:cstheme="minorHAnsi"/>
                <w:color w:val="323E4F" w:themeColor="text2" w:themeShade="BF"/>
                <w:sz w:val="24"/>
                <w:szCs w:val="24"/>
                <w:lang w:eastAsia="en-AU"/>
              </w:rPr>
              <w:t>1,289</w:t>
            </w:r>
          </w:p>
        </w:tc>
        <w:tc>
          <w:tcPr>
            <w:tcW w:w="0" w:type="auto"/>
            <w:hideMark/>
          </w:tcPr>
          <w:p w14:paraId="00DAAFAB" w14:textId="4E7319CB" w:rsidR="00B1065C" w:rsidRPr="00260C1D" w:rsidRDefault="00B1065C"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AE39C1" w:rsidRPr="00AE39C1">
              <w:rPr>
                <w:rFonts w:eastAsia="Segoe UI" w:cstheme="minorHAnsi"/>
                <w:color w:val="323E4F" w:themeColor="text2" w:themeShade="BF"/>
                <w:sz w:val="24"/>
                <w:szCs w:val="24"/>
                <w:lang w:eastAsia="en-AU"/>
              </w:rPr>
              <w:t>5,662</w:t>
            </w:r>
          </w:p>
        </w:tc>
        <w:tc>
          <w:tcPr>
            <w:tcW w:w="0" w:type="auto"/>
            <w:hideMark/>
          </w:tcPr>
          <w:p w14:paraId="6091D237" w14:textId="30B17244" w:rsidR="00B1065C" w:rsidRPr="00260C1D" w:rsidRDefault="00B1065C"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Pr="00260C1D">
              <w:rPr>
                <w:rFonts w:cstheme="minorHAnsi"/>
              </w:rPr>
              <w:t xml:space="preserve"> </w:t>
            </w:r>
            <w:r w:rsidR="00AE39C1" w:rsidRPr="00AE39C1">
              <w:rPr>
                <w:rFonts w:eastAsia="Segoe UI" w:cstheme="minorHAnsi"/>
                <w:color w:val="323E4F" w:themeColor="text2" w:themeShade="BF"/>
                <w:sz w:val="24"/>
                <w:szCs w:val="24"/>
                <w:lang w:eastAsia="en-AU"/>
              </w:rPr>
              <w:t>644</w:t>
            </w:r>
          </w:p>
        </w:tc>
        <w:tc>
          <w:tcPr>
            <w:tcW w:w="0" w:type="auto"/>
            <w:hideMark/>
          </w:tcPr>
          <w:p w14:paraId="553A706E" w14:textId="2279554D" w:rsidR="00B1065C" w:rsidRPr="00260C1D" w:rsidRDefault="00B1065C"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AE39C1" w:rsidRPr="00AE39C1">
              <w:rPr>
                <w:rFonts w:eastAsia="Segoe UI" w:cstheme="minorHAnsi"/>
                <w:color w:val="323E4F" w:themeColor="text2" w:themeShade="BF"/>
                <w:sz w:val="24"/>
                <w:szCs w:val="24"/>
                <w:lang w:eastAsia="en-AU"/>
              </w:rPr>
              <w:t>2,834</w:t>
            </w:r>
          </w:p>
        </w:tc>
      </w:tr>
    </w:tbl>
    <w:p w14:paraId="71EBD9A5" w14:textId="2424E8E4"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w:t>
      </w:r>
      <w:r w:rsidR="00292520">
        <w:rPr>
          <w:rFonts w:eastAsia="Segoe UI" w:cstheme="minorHAnsi"/>
          <w:color w:val="011A3C"/>
          <w:sz w:val="24"/>
          <w:szCs w:val="24"/>
          <w:lang w:val="en" w:eastAsia="en-AU"/>
        </w:rPr>
        <w:t>The</w:t>
      </w:r>
      <w:r w:rsidRPr="00260C1D">
        <w:rPr>
          <w:rFonts w:eastAsia="Segoe UI" w:cstheme="minorHAnsi"/>
          <w:color w:val="011A3C"/>
          <w:sz w:val="24"/>
          <w:szCs w:val="24"/>
          <w:lang w:val="en" w:eastAsia="en-AU"/>
        </w:rPr>
        <w:t xml:space="preserve"> minimum funding allocation = $5</w:t>
      </w:r>
      <w:r w:rsidR="00113120"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000</w:t>
      </w:r>
    </w:p>
    <w:p w14:paraId="00099584" w14:textId="14CFB274"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enrolment is based on the numbers of Level 1 and 2 students recorded in annually in the August census of the preceding year. </w:t>
      </w:r>
      <w:bookmarkStart w:id="54" w:name="_Hlk94698274"/>
      <w:r w:rsidRPr="00260C1D">
        <w:rPr>
          <w:rFonts w:eastAsia="Segoe UI" w:cstheme="minorHAnsi"/>
          <w:color w:val="011A3C"/>
          <w:sz w:val="24"/>
          <w:szCs w:val="24"/>
          <w:lang w:val="en" w:eastAsia="en-AU"/>
        </w:rPr>
        <w:t xml:space="preserve">Data for </w:t>
      </w:r>
      <w:r w:rsidR="00EC0EB3" w:rsidRPr="00260C1D">
        <w:rPr>
          <w:rFonts w:eastAsia="Segoe UI" w:cstheme="minorHAnsi"/>
          <w:color w:val="011A3C"/>
          <w:sz w:val="24"/>
          <w:szCs w:val="24"/>
          <w:lang w:val="en" w:eastAsia="en-AU"/>
        </w:rPr>
        <w:t>202</w:t>
      </w:r>
      <w:r w:rsidR="002C06ED">
        <w:rPr>
          <w:rFonts w:eastAsia="Segoe UI" w:cstheme="minorHAnsi"/>
          <w:color w:val="011A3C"/>
          <w:sz w:val="24"/>
          <w:szCs w:val="24"/>
          <w:lang w:val="en" w:eastAsia="en-AU"/>
        </w:rPr>
        <w:t>4</w:t>
      </w:r>
      <w:r w:rsidR="00EC0EB3"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is calculated using August </w:t>
      </w:r>
      <w:r w:rsidR="00EC0EB3" w:rsidRPr="00260C1D">
        <w:rPr>
          <w:rFonts w:eastAsia="Segoe UI" w:cstheme="minorHAnsi"/>
          <w:color w:val="011A3C"/>
          <w:sz w:val="24"/>
          <w:szCs w:val="24"/>
          <w:lang w:val="en" w:eastAsia="en-AU"/>
        </w:rPr>
        <w:t>202</w:t>
      </w:r>
      <w:r w:rsidR="002C06ED">
        <w:rPr>
          <w:rFonts w:eastAsia="Segoe UI" w:cstheme="minorHAnsi"/>
          <w:color w:val="011A3C"/>
          <w:sz w:val="24"/>
          <w:szCs w:val="24"/>
          <w:lang w:val="en" w:eastAsia="en-AU"/>
        </w:rPr>
        <w:t>3</w:t>
      </w:r>
      <w:r w:rsidR="00EC0EB3"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census data submitted by schools and is not adjusted for the </w:t>
      </w:r>
      <w:r w:rsidR="00EC0EB3" w:rsidRPr="00260C1D">
        <w:rPr>
          <w:rFonts w:eastAsia="Segoe UI" w:cstheme="minorHAnsi"/>
          <w:color w:val="011A3C"/>
          <w:sz w:val="24"/>
          <w:szCs w:val="24"/>
          <w:lang w:val="en" w:eastAsia="en-AU"/>
        </w:rPr>
        <w:t>202</w:t>
      </w:r>
      <w:r w:rsidR="002C06ED">
        <w:rPr>
          <w:rFonts w:eastAsia="Segoe UI" w:cstheme="minorHAnsi"/>
          <w:color w:val="011A3C"/>
          <w:sz w:val="24"/>
          <w:szCs w:val="24"/>
          <w:lang w:val="en" w:eastAsia="en-AU"/>
        </w:rPr>
        <w:t>4</w:t>
      </w:r>
      <w:r w:rsidR="00EC0EB3"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calendar year. The rolling weighted average also relies on August census data from the two periods prior (</w:t>
      </w:r>
      <w:r w:rsidR="00EC0EB3" w:rsidRPr="00260C1D">
        <w:rPr>
          <w:rFonts w:eastAsia="Segoe UI" w:cstheme="minorHAnsi"/>
          <w:color w:val="011A3C"/>
          <w:sz w:val="24"/>
          <w:szCs w:val="24"/>
          <w:lang w:val="en" w:eastAsia="en-AU"/>
        </w:rPr>
        <w:t>202</w:t>
      </w:r>
      <w:r w:rsidR="0041725A">
        <w:rPr>
          <w:rFonts w:eastAsia="Segoe UI" w:cstheme="minorHAnsi"/>
          <w:color w:val="011A3C"/>
          <w:sz w:val="24"/>
          <w:szCs w:val="24"/>
          <w:lang w:val="en" w:eastAsia="en-AU"/>
        </w:rPr>
        <w:t>2</w:t>
      </w:r>
      <w:r w:rsidR="00EC0EB3"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and </w:t>
      </w:r>
      <w:r w:rsidR="003709B1" w:rsidRPr="00260C1D">
        <w:rPr>
          <w:rFonts w:eastAsia="Segoe UI" w:cstheme="minorHAnsi"/>
          <w:color w:val="011A3C"/>
          <w:sz w:val="24"/>
          <w:szCs w:val="24"/>
          <w:lang w:val="en" w:eastAsia="en-AU"/>
        </w:rPr>
        <w:t>202</w:t>
      </w:r>
      <w:r w:rsidR="0041725A">
        <w:rPr>
          <w:rFonts w:eastAsia="Segoe UI" w:cstheme="minorHAnsi"/>
          <w:color w:val="011A3C"/>
          <w:sz w:val="24"/>
          <w:szCs w:val="24"/>
          <w:lang w:val="en" w:eastAsia="en-AU"/>
        </w:rPr>
        <w:t>1</w:t>
      </w:r>
      <w:r w:rsidRPr="00260C1D">
        <w:rPr>
          <w:rFonts w:eastAsia="Segoe UI" w:cstheme="minorHAnsi"/>
          <w:color w:val="011A3C"/>
          <w:sz w:val="24"/>
          <w:szCs w:val="24"/>
          <w:lang w:val="en" w:eastAsia="en-AU"/>
        </w:rPr>
        <w:t>).</w:t>
      </w:r>
    </w:p>
    <w:bookmarkEnd w:id="54"/>
    <w:p w14:paraId="0AB9A520" w14:textId="2CAADE17" w:rsidR="00AD16F0" w:rsidRPr="00260C1D" w:rsidRDefault="00AD16F0" w:rsidP="00AD16F0">
      <w:pPr>
        <w:spacing w:before="100" w:beforeAutospacing="1" w:after="100" w:afterAutospacing="1" w:line="288" w:lineRule="atLeast"/>
        <w:outlineLvl w:val="2"/>
        <w:rPr>
          <w:rFonts w:eastAsia="Segoe UI" w:cstheme="minorHAnsi"/>
          <w:color w:val="011A3C"/>
          <w:sz w:val="27"/>
          <w:szCs w:val="27"/>
          <w:lang w:val="en" w:eastAsia="en-AU"/>
        </w:rPr>
      </w:pPr>
      <w:r w:rsidRPr="00260C1D">
        <w:rPr>
          <w:rFonts w:eastAsia="Segoe UI" w:cstheme="minorHAnsi"/>
          <w:color w:val="011A3C"/>
          <w:sz w:val="27"/>
          <w:szCs w:val="27"/>
          <w:lang w:val="en" w:eastAsia="en-AU"/>
        </w:rPr>
        <w:t>Equity (</w:t>
      </w:r>
      <w:r w:rsidR="00562C4F">
        <w:rPr>
          <w:rFonts w:eastAsia="Segoe UI" w:cstheme="minorHAnsi"/>
          <w:color w:val="011A3C"/>
          <w:sz w:val="27"/>
          <w:szCs w:val="27"/>
          <w:lang w:val="en" w:eastAsia="en-AU"/>
        </w:rPr>
        <w:t>S</w:t>
      </w:r>
      <w:r w:rsidRPr="00260C1D">
        <w:rPr>
          <w:rFonts w:eastAsia="Segoe UI" w:cstheme="minorHAnsi"/>
          <w:color w:val="011A3C"/>
          <w:sz w:val="27"/>
          <w:szCs w:val="27"/>
          <w:lang w:val="en" w:eastAsia="en-AU"/>
        </w:rPr>
        <w:t xml:space="preserve">ocial </w:t>
      </w:r>
      <w:r w:rsidR="00562C4F">
        <w:rPr>
          <w:rFonts w:eastAsia="Segoe UI" w:cstheme="minorHAnsi"/>
          <w:color w:val="011A3C"/>
          <w:sz w:val="27"/>
          <w:szCs w:val="27"/>
          <w:lang w:val="en" w:eastAsia="en-AU"/>
        </w:rPr>
        <w:t>D</w:t>
      </w:r>
      <w:r w:rsidRPr="00260C1D">
        <w:rPr>
          <w:rFonts w:eastAsia="Segoe UI" w:cstheme="minorHAnsi"/>
          <w:color w:val="011A3C"/>
          <w:sz w:val="27"/>
          <w:szCs w:val="27"/>
          <w:lang w:val="en" w:eastAsia="en-AU"/>
        </w:rPr>
        <w:t xml:space="preserve">isadvantage) funding displayed in the </w:t>
      </w:r>
      <w:r w:rsidR="001039D9" w:rsidRPr="00260C1D">
        <w:rPr>
          <w:rFonts w:eastAsia="Segoe UI" w:cstheme="minorHAnsi"/>
          <w:color w:val="011A3C"/>
          <w:sz w:val="27"/>
          <w:szCs w:val="27"/>
          <w:lang w:val="en" w:eastAsia="en-AU"/>
        </w:rPr>
        <w:t>Student Resource Package (</w:t>
      </w:r>
      <w:r w:rsidRPr="00260C1D">
        <w:rPr>
          <w:rFonts w:eastAsia="Segoe UI" w:cstheme="minorHAnsi"/>
          <w:color w:val="011A3C"/>
          <w:sz w:val="27"/>
          <w:szCs w:val="27"/>
          <w:lang w:val="en" w:eastAsia="en-AU"/>
        </w:rPr>
        <w:t>SRP</w:t>
      </w:r>
      <w:r w:rsidR="001039D9" w:rsidRPr="00260C1D">
        <w:rPr>
          <w:rFonts w:eastAsia="Segoe UI" w:cstheme="minorHAnsi"/>
          <w:color w:val="011A3C"/>
          <w:sz w:val="27"/>
          <w:szCs w:val="27"/>
          <w:lang w:val="en" w:eastAsia="en-AU"/>
        </w:rPr>
        <w:t>)</w:t>
      </w:r>
      <w:r w:rsidRPr="00260C1D">
        <w:rPr>
          <w:rFonts w:eastAsia="Segoe UI" w:cstheme="minorHAnsi"/>
          <w:color w:val="011A3C"/>
          <w:sz w:val="27"/>
          <w:szCs w:val="27"/>
          <w:lang w:val="en" w:eastAsia="en-AU"/>
        </w:rPr>
        <w:t xml:space="preserve"> reports</w:t>
      </w:r>
    </w:p>
    <w:p w14:paraId="1E079E37" w14:textId="3216DFEA" w:rsidR="00AD16F0" w:rsidRPr="00260C1D" w:rsidRDefault="00AD16F0" w:rsidP="000D10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Funding calculated through the Equity (Social Disadvantage) formula is displayed in the SRP reports under the section titled </w:t>
      </w:r>
      <w:r w:rsidR="00DC09AE">
        <w:rPr>
          <w:rFonts w:eastAsia="Segoe UI" w:cstheme="minorHAnsi"/>
          <w:color w:val="011A3C"/>
          <w:sz w:val="24"/>
          <w:szCs w:val="24"/>
          <w:lang w:val="en" w:eastAsia="en-AU"/>
        </w:rPr>
        <w:t>‘</w:t>
      </w:r>
      <w:r w:rsidRPr="00260C1D">
        <w:rPr>
          <w:rFonts w:eastAsia="Segoe UI" w:cstheme="minorHAnsi"/>
          <w:color w:val="011A3C"/>
          <w:sz w:val="24"/>
          <w:szCs w:val="24"/>
          <w:lang w:val="en" w:eastAsia="en-AU"/>
        </w:rPr>
        <w:t>Education State (Including Additional Gonski)</w:t>
      </w:r>
      <w:r w:rsidR="00DC09AE">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p>
    <w:p w14:paraId="1DAB3711" w14:textId="77777777" w:rsidR="00C04642" w:rsidRDefault="00C05DD4" w:rsidP="00AD16F0">
      <w:pPr>
        <w:rPr>
          <w:rFonts w:cstheme="minorHAnsi"/>
          <w:sz w:val="20"/>
          <w:szCs w:val="20"/>
        </w:rPr>
      </w:pPr>
      <w:r w:rsidRPr="00260C1D">
        <w:rPr>
          <w:rFonts w:eastAsia="Segoe UI" w:cstheme="minorHAnsi"/>
          <w:color w:val="011A3C"/>
          <w:sz w:val="20"/>
          <w:szCs w:val="20"/>
          <w:lang w:val="en" w:eastAsia="en-AU"/>
        </w:rPr>
        <w:t>*The equity calculation for Parkville College is undertaken outside the standard formulation outlined in this section.</w:t>
      </w:r>
      <w:r w:rsidRPr="00260C1D">
        <w:rPr>
          <w:rFonts w:cstheme="minorHAnsi"/>
          <w:sz w:val="20"/>
          <w:szCs w:val="20"/>
        </w:rPr>
        <w:t xml:space="preserve"> </w:t>
      </w:r>
    </w:p>
    <w:p w14:paraId="20ED58FF" w14:textId="3DAE73BC" w:rsidR="00C04642" w:rsidRPr="00260C1D" w:rsidRDefault="00C04642" w:rsidP="00C04642">
      <w:pPr>
        <w:spacing w:before="100" w:beforeAutospacing="1" w:after="100" w:afterAutospacing="1" w:line="288" w:lineRule="atLeast"/>
        <w:outlineLvl w:val="2"/>
        <w:rPr>
          <w:rFonts w:eastAsia="Segoe UI" w:cstheme="minorHAnsi"/>
          <w:color w:val="011A3C"/>
          <w:sz w:val="27"/>
          <w:szCs w:val="27"/>
          <w:lang w:val="en" w:eastAsia="en-AU"/>
        </w:rPr>
      </w:pPr>
      <w:r w:rsidRPr="00260C1D">
        <w:rPr>
          <w:rFonts w:eastAsia="Segoe UI" w:cstheme="minorHAnsi"/>
          <w:color w:val="011A3C"/>
          <w:sz w:val="27"/>
          <w:szCs w:val="27"/>
          <w:lang w:val="en" w:eastAsia="en-AU"/>
        </w:rPr>
        <w:t>Equity (</w:t>
      </w:r>
      <w:r>
        <w:rPr>
          <w:rFonts w:eastAsia="Segoe UI" w:cstheme="minorHAnsi"/>
          <w:color w:val="011A3C"/>
          <w:sz w:val="27"/>
          <w:szCs w:val="27"/>
          <w:lang w:val="en" w:eastAsia="en-AU"/>
        </w:rPr>
        <w:t>S</w:t>
      </w:r>
      <w:r w:rsidRPr="00260C1D">
        <w:rPr>
          <w:rFonts w:eastAsia="Segoe UI" w:cstheme="minorHAnsi"/>
          <w:color w:val="011A3C"/>
          <w:sz w:val="27"/>
          <w:szCs w:val="27"/>
          <w:lang w:val="en" w:eastAsia="en-AU"/>
        </w:rPr>
        <w:t xml:space="preserve">ocial </w:t>
      </w:r>
      <w:r>
        <w:rPr>
          <w:rFonts w:eastAsia="Segoe UI" w:cstheme="minorHAnsi"/>
          <w:color w:val="011A3C"/>
          <w:sz w:val="27"/>
          <w:szCs w:val="27"/>
          <w:lang w:val="en" w:eastAsia="en-AU"/>
        </w:rPr>
        <w:t>D</w:t>
      </w:r>
      <w:r w:rsidRPr="00260C1D">
        <w:rPr>
          <w:rFonts w:eastAsia="Segoe UI" w:cstheme="minorHAnsi"/>
          <w:color w:val="011A3C"/>
          <w:sz w:val="27"/>
          <w:szCs w:val="27"/>
          <w:lang w:val="en" w:eastAsia="en-AU"/>
        </w:rPr>
        <w:t xml:space="preserve">isadvantage) </w:t>
      </w:r>
      <w:r>
        <w:rPr>
          <w:rFonts w:eastAsia="Segoe UI" w:cstheme="minorHAnsi"/>
          <w:color w:val="011A3C"/>
          <w:sz w:val="27"/>
          <w:szCs w:val="27"/>
          <w:lang w:val="en" w:eastAsia="en-AU"/>
        </w:rPr>
        <w:t>Extraordinary Growth</w:t>
      </w:r>
    </w:p>
    <w:p w14:paraId="5FDBF40D" w14:textId="2C4D8D4B" w:rsidR="00FA0AD8" w:rsidRPr="00B148A2" w:rsidRDefault="006A3EA4" w:rsidP="00B148A2">
      <w:pPr>
        <w:spacing w:before="100" w:beforeAutospacing="1" w:after="100" w:afterAutospacing="1" w:line="360" w:lineRule="atLeast"/>
        <w:rPr>
          <w:rFonts w:eastAsia="Segoe UI" w:cstheme="minorHAnsi"/>
          <w:color w:val="011A3C"/>
          <w:sz w:val="24"/>
          <w:szCs w:val="24"/>
          <w:lang w:val="en" w:eastAsia="en-AU"/>
        </w:rPr>
      </w:pPr>
      <w:r w:rsidRPr="00B148A2">
        <w:rPr>
          <w:rFonts w:eastAsia="Segoe UI" w:cstheme="minorHAnsi"/>
          <w:color w:val="011A3C"/>
          <w:sz w:val="24"/>
          <w:szCs w:val="24"/>
          <w:lang w:val="en" w:eastAsia="en-AU"/>
        </w:rPr>
        <w:lastRenderedPageBreak/>
        <w:t xml:space="preserve">For schools </w:t>
      </w:r>
      <w:r w:rsidR="00824382" w:rsidRPr="00B148A2">
        <w:rPr>
          <w:rFonts w:eastAsia="Segoe UI" w:cstheme="minorHAnsi"/>
          <w:color w:val="011A3C"/>
          <w:sz w:val="24"/>
          <w:szCs w:val="24"/>
          <w:lang w:val="en" w:eastAsia="en-AU"/>
        </w:rPr>
        <w:t>that</w:t>
      </w:r>
      <w:r w:rsidRPr="00B148A2">
        <w:rPr>
          <w:rFonts w:eastAsia="Segoe UI" w:cstheme="minorHAnsi"/>
          <w:color w:val="011A3C"/>
          <w:sz w:val="24"/>
          <w:szCs w:val="24"/>
          <w:lang w:val="en" w:eastAsia="en-AU"/>
        </w:rPr>
        <w:t xml:space="preserve"> experience a significant growth in </w:t>
      </w:r>
      <w:r w:rsidR="00C8700D" w:rsidRPr="00B148A2">
        <w:rPr>
          <w:rFonts w:eastAsia="Segoe UI" w:cstheme="minorHAnsi"/>
          <w:color w:val="011A3C"/>
          <w:sz w:val="24"/>
          <w:szCs w:val="24"/>
          <w:lang w:val="en" w:eastAsia="en-AU"/>
        </w:rPr>
        <w:t xml:space="preserve">enrolments in the February census compared to the SFOE census held in August of the preceding years, </w:t>
      </w:r>
      <w:r w:rsidR="00366E71" w:rsidRPr="00B148A2">
        <w:rPr>
          <w:rFonts w:eastAsia="Segoe UI" w:cstheme="minorHAnsi"/>
          <w:color w:val="011A3C"/>
          <w:sz w:val="24"/>
          <w:szCs w:val="24"/>
          <w:lang w:val="en" w:eastAsia="en-AU"/>
        </w:rPr>
        <w:t xml:space="preserve">Social Disadvantage Extraordinary Growth line funds </w:t>
      </w:r>
      <w:r w:rsidR="00701FFF" w:rsidRPr="00B148A2">
        <w:rPr>
          <w:rFonts w:eastAsia="Segoe UI" w:cstheme="minorHAnsi"/>
          <w:color w:val="011A3C"/>
          <w:sz w:val="24"/>
          <w:szCs w:val="24"/>
          <w:lang w:val="en" w:eastAsia="en-AU"/>
        </w:rPr>
        <w:t xml:space="preserve">the </w:t>
      </w:r>
      <w:r w:rsidR="00366E71" w:rsidRPr="00B148A2">
        <w:rPr>
          <w:rFonts w:eastAsia="Segoe UI" w:cstheme="minorHAnsi"/>
          <w:color w:val="011A3C"/>
          <w:sz w:val="24"/>
          <w:szCs w:val="24"/>
          <w:lang w:val="en" w:eastAsia="en-AU"/>
        </w:rPr>
        <w:t>% growth in excess of 50%</w:t>
      </w:r>
      <w:r w:rsidR="00701FFF" w:rsidRPr="00B148A2">
        <w:rPr>
          <w:rFonts w:eastAsia="Segoe UI" w:cstheme="minorHAnsi"/>
          <w:color w:val="011A3C"/>
          <w:sz w:val="24"/>
          <w:szCs w:val="24"/>
          <w:lang w:val="en" w:eastAsia="en-AU"/>
        </w:rPr>
        <w:t xml:space="preserve"> </w:t>
      </w:r>
      <w:r w:rsidR="000A390A" w:rsidRPr="00B148A2">
        <w:rPr>
          <w:rFonts w:eastAsia="Segoe UI" w:cstheme="minorHAnsi"/>
          <w:color w:val="011A3C"/>
          <w:sz w:val="24"/>
          <w:szCs w:val="24"/>
          <w:lang w:val="en" w:eastAsia="en-AU"/>
        </w:rPr>
        <w:t>if the enrolment growth is higher than a threshold (Threshold for secondary schools = 20 and for all other school types = 10)</w:t>
      </w:r>
      <w:r w:rsidR="00BF0ACD" w:rsidRPr="00B148A2">
        <w:rPr>
          <w:rFonts w:eastAsia="Segoe UI" w:cstheme="minorHAnsi"/>
          <w:color w:val="011A3C"/>
          <w:sz w:val="24"/>
          <w:szCs w:val="24"/>
          <w:lang w:val="en" w:eastAsia="en-AU"/>
        </w:rPr>
        <w:t xml:space="preserve">. Funding rates are the same as </w:t>
      </w:r>
      <w:r w:rsidR="00365661" w:rsidRPr="00B148A2">
        <w:rPr>
          <w:rFonts w:eastAsia="Segoe UI" w:cstheme="minorHAnsi"/>
          <w:color w:val="011A3C"/>
          <w:sz w:val="24"/>
          <w:szCs w:val="24"/>
          <w:lang w:val="en" w:eastAsia="en-AU"/>
        </w:rPr>
        <w:t>the rates</w:t>
      </w:r>
      <w:r w:rsidR="00FA0602" w:rsidRPr="00B148A2">
        <w:rPr>
          <w:rFonts w:eastAsia="Segoe UI" w:cstheme="minorHAnsi"/>
          <w:color w:val="011A3C"/>
          <w:sz w:val="24"/>
          <w:szCs w:val="24"/>
          <w:lang w:val="en" w:eastAsia="en-AU"/>
        </w:rPr>
        <w:t xml:space="preserve"> for Equity (Social Disadvantage).</w:t>
      </w:r>
    </w:p>
    <w:p w14:paraId="3C4C554A" w14:textId="2D99C7BB" w:rsidR="00DA344D" w:rsidRPr="00B148A2" w:rsidRDefault="000938DB" w:rsidP="00B148A2">
      <w:pPr>
        <w:spacing w:before="100" w:beforeAutospacing="1" w:after="100" w:afterAutospacing="1" w:line="360" w:lineRule="atLeast"/>
        <w:rPr>
          <w:rFonts w:eastAsia="Segoe UI" w:cstheme="minorHAnsi"/>
          <w:color w:val="011A3C"/>
          <w:sz w:val="24"/>
          <w:szCs w:val="24"/>
          <w:lang w:val="en" w:eastAsia="en-AU"/>
        </w:rPr>
      </w:pPr>
      <w:r w:rsidRPr="00B148A2">
        <w:rPr>
          <w:rFonts w:eastAsia="Segoe UI" w:cstheme="minorHAnsi"/>
          <w:color w:val="011A3C"/>
          <w:sz w:val="24"/>
          <w:szCs w:val="24"/>
          <w:lang w:val="en" w:eastAsia="en-AU"/>
        </w:rPr>
        <w:t xml:space="preserve">Additionally, SD funding Extraordinary Growth funding is provided to secondary </w:t>
      </w:r>
      <w:r w:rsidR="00C506B9" w:rsidRPr="00B148A2">
        <w:rPr>
          <w:rFonts w:eastAsia="Segoe UI" w:cstheme="minorHAnsi"/>
          <w:color w:val="011A3C"/>
          <w:sz w:val="24"/>
          <w:szCs w:val="24"/>
          <w:lang w:val="en" w:eastAsia="en-AU"/>
        </w:rPr>
        <w:t>campuses</w:t>
      </w:r>
      <w:r w:rsidRPr="00B148A2">
        <w:rPr>
          <w:rFonts w:eastAsia="Segoe UI" w:cstheme="minorHAnsi"/>
          <w:color w:val="011A3C"/>
          <w:sz w:val="24"/>
          <w:szCs w:val="24"/>
          <w:lang w:val="en" w:eastAsia="en-AU"/>
        </w:rPr>
        <w:t xml:space="preserve"> in their first 6 years of operation by reducing the enrolment growth threshold 50 per cent to 0 per cent for these settings only for a duration of their first six years.</w:t>
      </w:r>
      <w:r w:rsidR="00C20356" w:rsidRPr="00B148A2">
        <w:rPr>
          <w:rFonts w:eastAsia="Segoe UI" w:cstheme="minorHAnsi"/>
          <w:color w:val="011A3C"/>
          <w:sz w:val="24"/>
          <w:szCs w:val="24"/>
          <w:lang w:val="en" w:eastAsia="en-AU"/>
        </w:rPr>
        <w:t xml:space="preserve"> </w:t>
      </w:r>
    </w:p>
    <w:p w14:paraId="254D71B4" w14:textId="6C6FF231" w:rsidR="00AD16F0" w:rsidRPr="00260C1D" w:rsidRDefault="00AD16F0" w:rsidP="00AD16F0">
      <w:pPr>
        <w:rPr>
          <w:rFonts w:cstheme="minorHAnsi"/>
          <w:sz w:val="20"/>
          <w:szCs w:val="20"/>
        </w:rPr>
      </w:pPr>
      <w:r w:rsidRPr="00260C1D">
        <w:rPr>
          <w:rFonts w:cstheme="minorHAnsi"/>
          <w:sz w:val="20"/>
          <w:szCs w:val="20"/>
        </w:rPr>
        <w:br w:type="page"/>
      </w:r>
    </w:p>
    <w:p w14:paraId="4584DABA" w14:textId="77777777" w:rsidR="00AB0BD4" w:rsidRPr="00260C1D" w:rsidRDefault="00AB0BD4" w:rsidP="00532A33">
      <w:pPr>
        <w:pStyle w:val="Heading2"/>
      </w:pPr>
      <w:bookmarkStart w:id="55" w:name="_Toc141965240"/>
      <w:bookmarkStart w:id="56" w:name="_Toc145339570"/>
      <w:bookmarkStart w:id="57" w:name="_Toc153791893"/>
      <w:bookmarkStart w:id="58" w:name="_Hlk138773684"/>
      <w:r w:rsidRPr="00260C1D">
        <w:lastRenderedPageBreak/>
        <w:t>Equity (Catch Up) (Reference 12)</w:t>
      </w:r>
      <w:bookmarkEnd w:id="55"/>
      <w:bookmarkEnd w:id="56"/>
      <w:bookmarkEnd w:id="57"/>
    </w:p>
    <w:p w14:paraId="14C7F767" w14:textId="77777777" w:rsidR="00AB0BD4" w:rsidRPr="00260C1D" w:rsidRDefault="00AB0BD4" w:rsidP="00AB0BD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Equity (Catch Up) funding will target students who enter secondary schools and are at risk of educational failure. Secondary students who did not meet the national minimum standards in the National Assessment Program — Literacy and Numeracy (NAPLAN) in Year 5 (Reading) will each attract the </w:t>
      </w:r>
      <w:r>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atch</w:t>
      </w:r>
      <w:r>
        <w:rPr>
          <w:rFonts w:eastAsia="Segoe UI" w:cstheme="minorHAnsi"/>
          <w:color w:val="011A3C"/>
          <w:sz w:val="24"/>
          <w:szCs w:val="24"/>
          <w:lang w:val="en" w:eastAsia="en-AU"/>
        </w:rPr>
        <w:t xml:space="preserve"> U</w:t>
      </w:r>
      <w:r w:rsidRPr="00260C1D">
        <w:rPr>
          <w:rFonts w:eastAsia="Segoe UI" w:cstheme="minorHAnsi"/>
          <w:color w:val="011A3C"/>
          <w:sz w:val="24"/>
          <w:szCs w:val="24"/>
          <w:lang w:val="en" w:eastAsia="en-AU"/>
        </w:rPr>
        <w:t xml:space="preserve">p loading. This </w:t>
      </w:r>
      <w:r>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atch </w:t>
      </w:r>
      <w:r>
        <w:rPr>
          <w:rFonts w:eastAsia="Segoe UI" w:cstheme="minorHAnsi"/>
          <w:color w:val="011A3C"/>
          <w:sz w:val="24"/>
          <w:szCs w:val="24"/>
          <w:lang w:val="en" w:eastAsia="en-AU"/>
        </w:rPr>
        <w:t>U</w:t>
      </w:r>
      <w:r w:rsidRPr="00260C1D">
        <w:rPr>
          <w:rFonts w:eastAsia="Segoe UI" w:cstheme="minorHAnsi"/>
          <w:color w:val="011A3C"/>
          <w:sz w:val="24"/>
          <w:szCs w:val="24"/>
          <w:lang w:val="en" w:eastAsia="en-AU"/>
        </w:rPr>
        <w:t>p loading is not affected by the school’s or student’s level of disadvantage and is based only of the academic achievement of the student. </w:t>
      </w:r>
    </w:p>
    <w:p w14:paraId="566AD820" w14:textId="77777777" w:rsidR="00AB0BD4" w:rsidRPr="00260C1D" w:rsidRDefault="00AB0BD4" w:rsidP="00AB0BD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This </w:t>
      </w:r>
      <w:r>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atch </w:t>
      </w:r>
      <w:r>
        <w:rPr>
          <w:rFonts w:eastAsia="Segoe UI" w:cstheme="minorHAnsi"/>
          <w:color w:val="011A3C"/>
          <w:sz w:val="24"/>
          <w:szCs w:val="24"/>
          <w:lang w:val="en" w:eastAsia="en-AU"/>
        </w:rPr>
        <w:t>U</w:t>
      </w:r>
      <w:r w:rsidRPr="00260C1D">
        <w:rPr>
          <w:rFonts w:eastAsia="Segoe UI" w:cstheme="minorHAnsi"/>
          <w:color w:val="011A3C"/>
          <w:sz w:val="24"/>
          <w:szCs w:val="24"/>
          <w:lang w:val="en" w:eastAsia="en-AU"/>
        </w:rPr>
        <w:t>p loading will be allocated according to the number of enrolled students who have not met the agreed NAPLAN national minimum standard in Year 5. The annual payment will continue for the student’s entire secondary school education. The funding will allow secondary schools to invest in proven interventions, such as one-on-one numeracy support or targeting teaching coaching to assist students to catch up academically. </w:t>
      </w:r>
    </w:p>
    <w:p w14:paraId="5BF215D2" w14:textId="77777777" w:rsidR="00AB0BD4" w:rsidRPr="00260C1D" w:rsidRDefault="00AB0BD4" w:rsidP="00AB0BD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Identifying eligible students</w:t>
      </w:r>
    </w:p>
    <w:p w14:paraId="713BFD17" w14:textId="77777777" w:rsidR="00AB0BD4" w:rsidRPr="00260C1D" w:rsidRDefault="00AB0BD4" w:rsidP="00AB0BD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Students enrolled in government secondary schools are identified via their NAPLAN results at Year 5 using their Victorian School Number (VSN). The number of students is aggregated at a school/campus level to provide a total number of students per school/campus.</w:t>
      </w:r>
    </w:p>
    <w:p w14:paraId="25695976" w14:textId="77777777" w:rsidR="00AB0BD4" w:rsidRPr="00260C1D" w:rsidRDefault="00AB0BD4" w:rsidP="00AB0BD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An update of student movements using updated NAPLAN data is applied annually during the Confirmed SRP release.</w:t>
      </w:r>
    </w:p>
    <w:p w14:paraId="5599D251" w14:textId="77777777" w:rsidR="00AB0BD4" w:rsidRPr="00260C1D" w:rsidRDefault="00AB0BD4" w:rsidP="00AB0BD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Year level match to NAPLAN results</w:t>
      </w:r>
    </w:p>
    <w:p w14:paraId="09264E16" w14:textId="7EFDCD06" w:rsidR="00AB0BD4" w:rsidRPr="00260C1D" w:rsidRDefault="00AB0BD4" w:rsidP="00AB0BD4">
      <w:pPr>
        <w:spacing w:after="100" w:afterAutospacing="1" w:line="360" w:lineRule="atLeast"/>
        <w:rPr>
          <w:rFonts w:cstheme="minorHAnsi"/>
          <w:color w:val="0070C0"/>
          <w:lang w:eastAsia="en-AU"/>
        </w:rPr>
      </w:pPr>
      <w:r w:rsidRPr="00260C1D">
        <w:rPr>
          <w:rFonts w:eastAsia="Segoe UI" w:cstheme="minorHAnsi"/>
          <w:color w:val="011A3C"/>
          <w:sz w:val="24"/>
          <w:szCs w:val="24"/>
          <w:lang w:val="en" w:eastAsia="en-AU"/>
        </w:rPr>
        <w:t xml:space="preserve">In most cases, a student’s Year 5 NAPLAN result will be used to determine their eligibility for Catch Up loading. The number of eligible FTE enrolments at each campus </w:t>
      </w:r>
      <w:r>
        <w:rPr>
          <w:rFonts w:eastAsia="Segoe UI" w:cstheme="minorHAnsi"/>
          <w:color w:val="011A3C"/>
          <w:sz w:val="24"/>
          <w:szCs w:val="24"/>
          <w:lang w:val="en" w:eastAsia="en-AU"/>
        </w:rPr>
        <w:t>is</w:t>
      </w:r>
      <w:r w:rsidRPr="00260C1D">
        <w:rPr>
          <w:rFonts w:eastAsia="Segoe UI" w:cstheme="minorHAnsi"/>
          <w:color w:val="011A3C"/>
          <w:sz w:val="24"/>
          <w:szCs w:val="24"/>
          <w:lang w:val="en" w:eastAsia="en-AU"/>
        </w:rPr>
        <w:t xml:space="preserve"> determined by matching the current year February census enrolment records to their corresponding NAPLAN Catch Up record (as per the table below for 202</w:t>
      </w:r>
      <w:r w:rsidR="00487652">
        <w:rPr>
          <w:rFonts w:eastAsia="Segoe UI" w:cstheme="minorHAnsi"/>
          <w:color w:val="011A3C"/>
          <w:sz w:val="24"/>
          <w:szCs w:val="24"/>
          <w:lang w:val="en" w:eastAsia="en-AU"/>
        </w:rPr>
        <w:t>4</w:t>
      </w:r>
      <w:r w:rsidRPr="00260C1D">
        <w:rPr>
          <w:rFonts w:eastAsia="Segoe UI" w:cstheme="minorHAnsi"/>
          <w:color w:val="011A3C"/>
          <w:sz w:val="24"/>
          <w:szCs w:val="24"/>
          <w:lang w:val="en" w:eastAsia="en-AU"/>
        </w:rPr>
        <w:t xml:space="preserve"> Catch Up). The </w:t>
      </w:r>
      <w:r>
        <w:rPr>
          <w:rFonts w:eastAsia="Segoe UI" w:cstheme="minorHAnsi"/>
          <w:color w:val="011A3C"/>
          <w:sz w:val="24"/>
          <w:szCs w:val="24"/>
          <w:lang w:val="en" w:eastAsia="en-AU"/>
        </w:rPr>
        <w:t>I</w:t>
      </w:r>
      <w:r w:rsidRPr="00260C1D">
        <w:rPr>
          <w:rFonts w:eastAsia="Segoe UI" w:cstheme="minorHAnsi"/>
          <w:color w:val="011A3C"/>
          <w:sz w:val="24"/>
          <w:szCs w:val="24"/>
          <w:lang w:val="en" w:eastAsia="en-AU"/>
        </w:rPr>
        <w:t>ndicative SRP uses previous year</w:t>
      </w:r>
      <w:r>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s </w:t>
      </w:r>
      <w:r>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atch</w:t>
      </w:r>
      <w:r>
        <w:rPr>
          <w:rFonts w:eastAsia="Segoe UI" w:cstheme="minorHAnsi"/>
          <w:color w:val="011A3C"/>
          <w:sz w:val="24"/>
          <w:szCs w:val="24"/>
          <w:lang w:val="en" w:eastAsia="en-AU"/>
        </w:rPr>
        <w:t xml:space="preserve"> U</w:t>
      </w:r>
      <w:r w:rsidRPr="00260C1D">
        <w:rPr>
          <w:rFonts w:eastAsia="Segoe UI" w:cstheme="minorHAnsi"/>
          <w:color w:val="011A3C"/>
          <w:sz w:val="24"/>
          <w:szCs w:val="24"/>
          <w:lang w:val="en" w:eastAsia="en-AU"/>
        </w:rPr>
        <w:t xml:space="preserve">p FTE. The FTE update for </w:t>
      </w:r>
      <w:r>
        <w:rPr>
          <w:rFonts w:eastAsia="Segoe UI" w:cstheme="minorHAnsi"/>
          <w:color w:val="011A3C"/>
          <w:sz w:val="24"/>
          <w:szCs w:val="24"/>
          <w:lang w:val="en" w:eastAsia="en-AU"/>
        </w:rPr>
        <w:t xml:space="preserve">current year occurs </w:t>
      </w:r>
      <w:r w:rsidRPr="00260C1D">
        <w:rPr>
          <w:rFonts w:eastAsia="Segoe UI" w:cstheme="minorHAnsi"/>
          <w:color w:val="011A3C"/>
          <w:sz w:val="24"/>
          <w:szCs w:val="24"/>
          <w:lang w:val="en" w:eastAsia="en-AU"/>
        </w:rPr>
        <w:t xml:space="preserve">at the </w:t>
      </w:r>
      <w:r>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onfirmed </w:t>
      </w:r>
      <w:r>
        <w:rPr>
          <w:rFonts w:eastAsia="Segoe UI" w:cstheme="minorHAnsi"/>
          <w:color w:val="011A3C"/>
          <w:sz w:val="24"/>
          <w:szCs w:val="24"/>
          <w:lang w:val="en" w:eastAsia="en-AU"/>
        </w:rPr>
        <w:t xml:space="preserve">SRP </w:t>
      </w:r>
      <w:r w:rsidRPr="00260C1D">
        <w:rPr>
          <w:rFonts w:eastAsia="Segoe UI" w:cstheme="minorHAnsi"/>
          <w:color w:val="011A3C"/>
          <w:sz w:val="24"/>
          <w:szCs w:val="24"/>
          <w:lang w:val="en" w:eastAsia="en-AU"/>
        </w:rPr>
        <w:t xml:space="preserve">budget release. </w:t>
      </w:r>
    </w:p>
    <w:p w14:paraId="1D8E619C" w14:textId="69AF6AEB" w:rsidR="00AB0BD4" w:rsidRPr="00260C1D" w:rsidRDefault="00AB0BD4" w:rsidP="00AB0BD4">
      <w:pPr>
        <w:spacing w:before="100" w:beforeAutospacing="1" w:after="100" w:afterAutospacing="1" w:line="288" w:lineRule="atLeast"/>
        <w:outlineLvl w:val="3"/>
        <w:rPr>
          <w:rFonts w:cstheme="minorHAnsi"/>
          <w:color w:val="0070C0"/>
          <w:lang w:eastAsia="en-AU"/>
        </w:rPr>
      </w:pPr>
      <w:r w:rsidRPr="00260C1D">
        <w:rPr>
          <w:rFonts w:eastAsia="Segoe UI" w:cstheme="minorHAnsi"/>
          <w:b/>
          <w:color w:val="011A3C"/>
          <w:sz w:val="24"/>
          <w:szCs w:val="24"/>
          <w:lang w:val="en" w:eastAsia="en-AU"/>
        </w:rPr>
        <w:t>202</w:t>
      </w:r>
      <w:r w:rsidR="00487652">
        <w:rPr>
          <w:rFonts w:eastAsia="Segoe UI" w:cstheme="minorHAnsi"/>
          <w:b/>
          <w:color w:val="011A3C"/>
          <w:sz w:val="24"/>
          <w:szCs w:val="24"/>
          <w:lang w:val="en" w:eastAsia="en-AU"/>
        </w:rPr>
        <w:t>4</w:t>
      </w:r>
      <w:r w:rsidRPr="00260C1D">
        <w:rPr>
          <w:rFonts w:eastAsia="Segoe UI" w:cstheme="minorHAnsi"/>
          <w:b/>
          <w:color w:val="011A3C"/>
          <w:sz w:val="24"/>
          <w:szCs w:val="24"/>
          <w:lang w:val="en" w:eastAsia="en-AU"/>
        </w:rPr>
        <w:t xml:space="preserve"> funded year</w:t>
      </w:r>
    </w:p>
    <w:tbl>
      <w:tblPr>
        <w:tblW w:w="0" w:type="auto"/>
        <w:tblInd w:w="-118" w:type="dxa"/>
        <w:tblLayout w:type="fixed"/>
        <w:tblCellMar>
          <w:left w:w="0" w:type="dxa"/>
          <w:right w:w="0" w:type="dxa"/>
        </w:tblCellMar>
        <w:tblLook w:val="04A0" w:firstRow="1" w:lastRow="0" w:firstColumn="1" w:lastColumn="0" w:noHBand="0" w:noVBand="1"/>
      </w:tblPr>
      <w:tblGrid>
        <w:gridCol w:w="1101"/>
        <w:gridCol w:w="1505"/>
        <w:gridCol w:w="1304"/>
        <w:gridCol w:w="1303"/>
        <w:gridCol w:w="1304"/>
        <w:gridCol w:w="1303"/>
        <w:gridCol w:w="1304"/>
      </w:tblGrid>
      <w:tr w:rsidR="00AB0BD4" w:rsidRPr="00DF4FFA" w14:paraId="0E93730D" w14:textId="77777777">
        <w:trPr>
          <w:trHeight w:val="397"/>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35950" w14:textId="77777777" w:rsidR="00AB0BD4" w:rsidRPr="00DF4FFA" w:rsidRDefault="00AB0BD4">
            <w:pPr>
              <w:spacing w:after="0" w:line="240" w:lineRule="atLeast"/>
              <w:jc w:val="center"/>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Year 7</w:t>
            </w:r>
          </w:p>
        </w:tc>
        <w:tc>
          <w:tcPr>
            <w:tcW w:w="15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C64262" w14:textId="77777777" w:rsidR="00AB0BD4" w:rsidRPr="00DF4FFA" w:rsidRDefault="00AB0BD4">
            <w:pPr>
              <w:spacing w:after="0" w:line="240" w:lineRule="atLeast"/>
              <w:jc w:val="center"/>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Year 8</w:t>
            </w:r>
          </w:p>
        </w:tc>
        <w:tc>
          <w:tcPr>
            <w:tcW w:w="13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ED67DE" w14:textId="77777777" w:rsidR="00AB0BD4" w:rsidRPr="00DF4FFA" w:rsidRDefault="00AB0BD4">
            <w:pPr>
              <w:spacing w:after="0" w:line="240" w:lineRule="atLeast"/>
              <w:jc w:val="center"/>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Year 9</w:t>
            </w:r>
          </w:p>
        </w:tc>
        <w:tc>
          <w:tcPr>
            <w:tcW w:w="13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B68750" w14:textId="77777777" w:rsidR="00AB0BD4" w:rsidRPr="00DF4FFA" w:rsidRDefault="00AB0BD4">
            <w:pPr>
              <w:spacing w:after="0" w:line="240" w:lineRule="atLeast"/>
              <w:jc w:val="center"/>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Year 10</w:t>
            </w:r>
          </w:p>
        </w:tc>
        <w:tc>
          <w:tcPr>
            <w:tcW w:w="13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71F5D6" w14:textId="77777777" w:rsidR="00AB0BD4" w:rsidRPr="00DF4FFA" w:rsidRDefault="00AB0BD4">
            <w:pPr>
              <w:spacing w:after="0" w:line="240" w:lineRule="atLeast"/>
              <w:jc w:val="center"/>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Year 11</w:t>
            </w:r>
          </w:p>
        </w:tc>
        <w:tc>
          <w:tcPr>
            <w:tcW w:w="13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F0CA31" w14:textId="77777777" w:rsidR="00AB0BD4" w:rsidRPr="00DF4FFA" w:rsidRDefault="00AB0BD4">
            <w:pPr>
              <w:spacing w:after="0" w:line="240" w:lineRule="atLeast"/>
              <w:jc w:val="center"/>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Year 12</w:t>
            </w:r>
          </w:p>
        </w:tc>
        <w:tc>
          <w:tcPr>
            <w:tcW w:w="13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897D2A" w14:textId="77777777" w:rsidR="00AB0BD4" w:rsidRPr="00DF4FFA" w:rsidRDefault="00AB0BD4">
            <w:pPr>
              <w:spacing w:after="0" w:line="240" w:lineRule="atLeast"/>
              <w:jc w:val="center"/>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Un</w:t>
            </w:r>
            <w:r>
              <w:rPr>
                <w:rFonts w:eastAsia="Segoe UI" w:cstheme="minorHAnsi"/>
                <w:b/>
                <w:bCs/>
                <w:color w:val="323E4F" w:themeColor="text2" w:themeShade="BF"/>
                <w:sz w:val="24"/>
                <w:szCs w:val="24"/>
                <w:lang w:eastAsia="en-AU"/>
              </w:rPr>
              <w:t>g</w:t>
            </w:r>
            <w:r w:rsidRPr="00DF4FFA">
              <w:rPr>
                <w:rFonts w:eastAsia="Segoe UI" w:cstheme="minorHAnsi"/>
                <w:b/>
                <w:bCs/>
                <w:color w:val="323E4F" w:themeColor="text2" w:themeShade="BF"/>
                <w:sz w:val="24"/>
                <w:szCs w:val="24"/>
                <w:lang w:eastAsia="en-AU"/>
              </w:rPr>
              <w:t>raded</w:t>
            </w:r>
          </w:p>
        </w:tc>
      </w:tr>
      <w:tr w:rsidR="00AB0BD4" w:rsidRPr="00260C1D" w14:paraId="16693743" w14:textId="77777777">
        <w:trPr>
          <w:trHeight w:val="397"/>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B17571" w14:textId="25FFE1CA" w:rsidR="00AB0BD4" w:rsidRPr="00260C1D" w:rsidRDefault="00AB0BD4">
            <w:pPr>
              <w:spacing w:after="0" w:line="24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202</w:t>
            </w:r>
            <w:r w:rsidR="00B62FC1">
              <w:rPr>
                <w:rFonts w:eastAsia="Segoe UI" w:cstheme="minorHAnsi"/>
                <w:color w:val="323E4F" w:themeColor="text2" w:themeShade="BF"/>
                <w:sz w:val="24"/>
                <w:szCs w:val="24"/>
                <w:lang w:eastAsia="en-AU"/>
              </w:rPr>
              <w:t>2</w:t>
            </w:r>
          </w:p>
          <w:p w14:paraId="37F340F9" w14:textId="77777777" w:rsidR="00AB0BD4" w:rsidRPr="00260C1D" w:rsidRDefault="00AB0BD4">
            <w:pPr>
              <w:spacing w:after="0" w:line="24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 xml:space="preserve">Year 5 </w:t>
            </w: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070E5" w14:textId="091351A2" w:rsidR="00AB0BD4" w:rsidRPr="00260C1D" w:rsidRDefault="00F96730">
            <w:pPr>
              <w:spacing w:after="0" w:line="360" w:lineRule="atLeast"/>
              <w:jc w:val="center"/>
              <w:rPr>
                <w:rFonts w:eastAsia="Segoe UI" w:cstheme="minorHAnsi"/>
                <w:color w:val="323E4F" w:themeColor="text2" w:themeShade="BF"/>
                <w:sz w:val="24"/>
                <w:szCs w:val="24"/>
                <w:lang w:eastAsia="en-AU"/>
              </w:rPr>
            </w:pPr>
            <w:r>
              <w:rPr>
                <w:rFonts w:eastAsia="Segoe UI" w:cstheme="minorHAnsi"/>
                <w:color w:val="323E4F" w:themeColor="text2" w:themeShade="BF"/>
                <w:sz w:val="24"/>
                <w:szCs w:val="24"/>
                <w:lang w:eastAsia="en-AU"/>
              </w:rPr>
              <w:t>2021 Year 5</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7ABE7" w14:textId="498451B1" w:rsidR="00AB0BD4" w:rsidRPr="00260C1D" w:rsidRDefault="00F96730">
            <w:pPr>
              <w:spacing w:after="0" w:line="360" w:lineRule="atLeast"/>
              <w:jc w:val="center"/>
              <w:rPr>
                <w:rFonts w:eastAsia="Segoe UI" w:cstheme="minorHAnsi"/>
                <w:color w:val="323E4F" w:themeColor="text2" w:themeShade="BF"/>
                <w:sz w:val="24"/>
                <w:szCs w:val="24"/>
                <w:lang w:eastAsia="en-AU"/>
              </w:rPr>
            </w:pPr>
            <w:r>
              <w:rPr>
                <w:rFonts w:eastAsia="Segoe UI" w:cstheme="minorHAnsi"/>
                <w:color w:val="323E4F" w:themeColor="text2" w:themeShade="BF"/>
                <w:sz w:val="24"/>
                <w:szCs w:val="24"/>
                <w:lang w:eastAsia="en-AU"/>
              </w:rPr>
              <w:t>2022 Year 7*</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A84ED" w14:textId="743ED381" w:rsidR="00AB0BD4" w:rsidRPr="00260C1D" w:rsidRDefault="00AB0BD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201</w:t>
            </w:r>
            <w:r w:rsidR="00F96730">
              <w:rPr>
                <w:rFonts w:eastAsia="Segoe UI" w:cstheme="minorHAnsi"/>
                <w:color w:val="323E4F" w:themeColor="text2" w:themeShade="BF"/>
                <w:sz w:val="24"/>
                <w:szCs w:val="24"/>
                <w:lang w:eastAsia="en-AU"/>
              </w:rPr>
              <w:t>9</w:t>
            </w:r>
            <w:r w:rsidRPr="00260C1D">
              <w:rPr>
                <w:rFonts w:eastAsia="Segoe UI" w:cstheme="minorHAnsi"/>
                <w:color w:val="323E4F" w:themeColor="text2" w:themeShade="BF"/>
                <w:sz w:val="24"/>
                <w:szCs w:val="24"/>
                <w:lang w:eastAsia="en-AU"/>
              </w:rPr>
              <w:t xml:space="preserve"> Year 5</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A40EE" w14:textId="294504C2" w:rsidR="00AB0BD4" w:rsidRPr="00260C1D" w:rsidRDefault="00AB0BD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201</w:t>
            </w:r>
            <w:r w:rsidR="00F96730">
              <w:rPr>
                <w:rFonts w:eastAsia="Segoe UI" w:cstheme="minorHAnsi"/>
                <w:color w:val="323E4F" w:themeColor="text2" w:themeShade="BF"/>
                <w:sz w:val="24"/>
                <w:szCs w:val="24"/>
                <w:lang w:eastAsia="en-AU"/>
              </w:rPr>
              <w:t>8</w:t>
            </w:r>
            <w:r w:rsidRPr="00260C1D">
              <w:rPr>
                <w:rFonts w:eastAsia="Segoe UI" w:cstheme="minorHAnsi"/>
                <w:color w:val="323E4F" w:themeColor="text2" w:themeShade="BF"/>
                <w:sz w:val="24"/>
                <w:szCs w:val="24"/>
                <w:lang w:eastAsia="en-AU"/>
              </w:rPr>
              <w:t xml:space="preserve"> Year 5</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9B337" w14:textId="57D45AEB" w:rsidR="00AB0BD4" w:rsidRPr="00260C1D" w:rsidRDefault="00AB0BD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201</w:t>
            </w:r>
            <w:r w:rsidR="00F96730">
              <w:rPr>
                <w:rFonts w:eastAsia="Segoe UI" w:cstheme="minorHAnsi"/>
                <w:color w:val="323E4F" w:themeColor="text2" w:themeShade="BF"/>
                <w:sz w:val="24"/>
                <w:szCs w:val="24"/>
                <w:lang w:eastAsia="en-AU"/>
              </w:rPr>
              <w:t>7</w:t>
            </w:r>
            <w:r w:rsidRPr="00260C1D">
              <w:rPr>
                <w:rFonts w:eastAsia="Segoe UI" w:cstheme="minorHAnsi"/>
                <w:color w:val="323E4F" w:themeColor="text2" w:themeShade="BF"/>
                <w:sz w:val="24"/>
                <w:szCs w:val="24"/>
                <w:lang w:eastAsia="en-AU"/>
              </w:rPr>
              <w:t xml:space="preserve"> Year 5</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D2D22" w14:textId="77777777" w:rsidR="00AB0BD4" w:rsidRPr="00260C1D" w:rsidRDefault="00AB0BD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Year 5</w:t>
            </w:r>
          </w:p>
        </w:tc>
      </w:tr>
    </w:tbl>
    <w:p w14:paraId="5D79CADF" w14:textId="77777777" w:rsidR="00AB0BD4" w:rsidRPr="00260C1D" w:rsidRDefault="00AB0BD4" w:rsidP="00AB0BD4">
      <w:pPr>
        <w:rPr>
          <w:rFonts w:cstheme="minorHAnsi"/>
          <w:color w:val="0070C0"/>
          <w:lang w:eastAsia="en-AU"/>
        </w:rPr>
      </w:pPr>
    </w:p>
    <w:p w14:paraId="2468BC6F" w14:textId="04513159" w:rsidR="00AB0BD4" w:rsidRPr="00260C1D" w:rsidRDefault="00AB0BD4" w:rsidP="00AB0BD4">
      <w:pPr>
        <w:rPr>
          <w:rFonts w:eastAsia="Segoe UI" w:cstheme="minorHAnsi"/>
          <w:color w:val="011A3C"/>
          <w:sz w:val="20"/>
          <w:szCs w:val="20"/>
          <w:lang w:val="en" w:eastAsia="en-AU"/>
        </w:rPr>
      </w:pPr>
      <w:r w:rsidRPr="00260C1D">
        <w:rPr>
          <w:rFonts w:eastAsia="Segoe UI" w:cstheme="minorHAnsi"/>
          <w:color w:val="011A3C"/>
          <w:sz w:val="20"/>
          <w:szCs w:val="20"/>
          <w:lang w:val="en" w:eastAsia="en-AU"/>
        </w:rPr>
        <w:t xml:space="preserve">* As there were no NAPLAN assessments during 2020. In the absence of 2020 NAPLAN data, the number of eligible year </w:t>
      </w:r>
      <w:r w:rsidR="00D53D2A">
        <w:rPr>
          <w:rFonts w:eastAsia="Segoe UI" w:cstheme="minorHAnsi"/>
          <w:color w:val="011A3C"/>
          <w:sz w:val="20"/>
          <w:szCs w:val="20"/>
          <w:lang w:val="en" w:eastAsia="en-AU"/>
        </w:rPr>
        <w:t>9</w:t>
      </w:r>
      <w:r w:rsidRPr="00260C1D">
        <w:rPr>
          <w:rFonts w:eastAsia="Segoe UI" w:cstheme="minorHAnsi"/>
          <w:color w:val="011A3C"/>
          <w:sz w:val="20"/>
          <w:szCs w:val="20"/>
          <w:lang w:val="en" w:eastAsia="en-AU"/>
        </w:rPr>
        <w:t xml:space="preserve"> catch up students </w:t>
      </w:r>
      <w:r>
        <w:rPr>
          <w:rFonts w:eastAsia="Segoe UI" w:cstheme="minorHAnsi"/>
          <w:color w:val="011A3C"/>
          <w:sz w:val="20"/>
          <w:szCs w:val="20"/>
          <w:lang w:val="en" w:eastAsia="en-AU"/>
        </w:rPr>
        <w:t>in 202</w:t>
      </w:r>
      <w:r w:rsidR="00D53D2A">
        <w:rPr>
          <w:rFonts w:eastAsia="Segoe UI" w:cstheme="minorHAnsi"/>
          <w:color w:val="011A3C"/>
          <w:sz w:val="20"/>
          <w:szCs w:val="20"/>
          <w:lang w:val="en" w:eastAsia="en-AU"/>
        </w:rPr>
        <w:t>4</w:t>
      </w:r>
      <w:r>
        <w:rPr>
          <w:rFonts w:eastAsia="Segoe UI" w:cstheme="minorHAnsi"/>
          <w:color w:val="011A3C"/>
          <w:sz w:val="20"/>
          <w:szCs w:val="20"/>
          <w:lang w:val="en" w:eastAsia="en-AU"/>
        </w:rPr>
        <w:t xml:space="preserve"> </w:t>
      </w:r>
      <w:r w:rsidRPr="00260C1D">
        <w:rPr>
          <w:rFonts w:eastAsia="Segoe UI" w:cstheme="minorHAnsi"/>
          <w:color w:val="011A3C"/>
          <w:sz w:val="20"/>
          <w:szCs w:val="20"/>
          <w:lang w:val="en" w:eastAsia="en-AU"/>
        </w:rPr>
        <w:t>for each campus will be</w:t>
      </w:r>
      <w:r>
        <w:rPr>
          <w:rFonts w:eastAsia="Segoe UI" w:cstheme="minorHAnsi"/>
          <w:color w:val="011A3C"/>
          <w:sz w:val="20"/>
          <w:szCs w:val="20"/>
          <w:lang w:val="en" w:eastAsia="en-AU"/>
        </w:rPr>
        <w:t xml:space="preserve"> determined using 2022 Year 7 NAPLAN</w:t>
      </w:r>
      <w:r w:rsidRPr="00260C1D">
        <w:rPr>
          <w:rFonts w:eastAsia="Segoe UI" w:cstheme="minorHAnsi"/>
          <w:color w:val="011A3C"/>
          <w:sz w:val="20"/>
          <w:szCs w:val="20"/>
          <w:lang w:val="en" w:eastAsia="en-AU"/>
        </w:rPr>
        <w:t>.</w:t>
      </w:r>
    </w:p>
    <w:p w14:paraId="6111A59F" w14:textId="77777777" w:rsidR="00AB0BD4" w:rsidRPr="00260C1D" w:rsidRDefault="00AB0BD4" w:rsidP="00AB0BD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 xml:space="preserve">Catch </w:t>
      </w:r>
      <w:r>
        <w:rPr>
          <w:rFonts w:eastAsia="Segoe UI" w:cstheme="minorHAnsi"/>
          <w:b/>
          <w:color w:val="011A3C"/>
          <w:sz w:val="27"/>
          <w:szCs w:val="27"/>
          <w:lang w:val="en" w:eastAsia="en-AU"/>
        </w:rPr>
        <w:t>U</w:t>
      </w:r>
      <w:r w:rsidRPr="00260C1D">
        <w:rPr>
          <w:rFonts w:eastAsia="Segoe UI" w:cstheme="minorHAnsi"/>
          <w:b/>
          <w:color w:val="011A3C"/>
          <w:sz w:val="27"/>
          <w:szCs w:val="27"/>
          <w:lang w:val="en" w:eastAsia="en-AU"/>
        </w:rPr>
        <w:t>p loading and students funded under the Program for Students with Disability (PSD)</w:t>
      </w:r>
    </w:p>
    <w:p w14:paraId="7D0BA08C" w14:textId="34DAF543" w:rsidR="00AB0BD4" w:rsidRPr="00260C1D" w:rsidRDefault="00AB0BD4" w:rsidP="00AB0BD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 xml:space="preserve">The Program for Students with Disabilities (PSD) is a targeted supplementary funding program for Victorian government schools. It provides resources to schools for a defined population of students with disabilities, with moderate to severe needs. In recognition of the financial support these students receive, eligible PSD funded students attending mainstream schools will be eligible for a reduced </w:t>
      </w:r>
      <w:r>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atch </w:t>
      </w:r>
      <w:r>
        <w:rPr>
          <w:rFonts w:eastAsia="Segoe UI" w:cstheme="minorHAnsi"/>
          <w:color w:val="011A3C"/>
          <w:sz w:val="24"/>
          <w:szCs w:val="24"/>
          <w:lang w:val="en" w:eastAsia="en-AU"/>
        </w:rPr>
        <w:t>U</w:t>
      </w:r>
      <w:r w:rsidRPr="00260C1D">
        <w:rPr>
          <w:rFonts w:eastAsia="Segoe UI" w:cstheme="minorHAnsi"/>
          <w:color w:val="011A3C"/>
          <w:sz w:val="24"/>
          <w:szCs w:val="24"/>
          <w:lang w:val="en" w:eastAsia="en-AU"/>
        </w:rPr>
        <w:t xml:space="preserve">p loading </w:t>
      </w:r>
      <w:r>
        <w:rPr>
          <w:rFonts w:eastAsia="Segoe UI" w:cstheme="minorHAnsi"/>
          <w:color w:val="011A3C"/>
          <w:sz w:val="24"/>
          <w:szCs w:val="24"/>
          <w:lang w:val="en" w:eastAsia="en-AU"/>
        </w:rPr>
        <w:t xml:space="preserve">of </w:t>
      </w:r>
      <w:r w:rsidRPr="00260C1D">
        <w:rPr>
          <w:rFonts w:cstheme="minorHAnsi"/>
        </w:rPr>
        <w:t>$</w:t>
      </w:r>
      <w:r w:rsidRPr="00260C1D">
        <w:rPr>
          <w:rFonts w:eastAsia="Segoe UI" w:cstheme="minorHAnsi"/>
          <w:color w:val="011A3C"/>
          <w:sz w:val="24"/>
          <w:szCs w:val="24"/>
          <w:lang w:val="en" w:eastAsia="en-AU"/>
        </w:rPr>
        <w:t>1,2</w:t>
      </w:r>
      <w:r w:rsidR="00D06E4E">
        <w:rPr>
          <w:rFonts w:eastAsia="Segoe UI" w:cstheme="minorHAnsi"/>
          <w:color w:val="011A3C"/>
          <w:sz w:val="24"/>
          <w:szCs w:val="24"/>
          <w:lang w:val="en" w:eastAsia="en-AU"/>
        </w:rPr>
        <w:t>23</w:t>
      </w:r>
      <w:r w:rsidRPr="00260C1D">
        <w:rPr>
          <w:rFonts w:eastAsia="Segoe UI" w:cstheme="minorHAnsi"/>
          <w:color w:val="011A3C"/>
          <w:sz w:val="24"/>
          <w:szCs w:val="24"/>
          <w:lang w:val="en" w:eastAsia="en-AU"/>
        </w:rPr>
        <w:t xml:space="preserve"> in 202</w:t>
      </w:r>
      <w:r w:rsidR="0006343D">
        <w:rPr>
          <w:rFonts w:eastAsia="Segoe UI" w:cstheme="minorHAnsi"/>
          <w:color w:val="011A3C"/>
          <w:sz w:val="24"/>
          <w:szCs w:val="24"/>
          <w:lang w:val="en" w:eastAsia="en-AU"/>
        </w:rPr>
        <w:t>4</w:t>
      </w:r>
      <w:r w:rsidRPr="00260C1D">
        <w:rPr>
          <w:rFonts w:eastAsia="Segoe UI" w:cstheme="minorHAnsi"/>
          <w:color w:val="011A3C"/>
          <w:sz w:val="24"/>
          <w:szCs w:val="24"/>
          <w:lang w:val="en" w:eastAsia="en-AU"/>
        </w:rPr>
        <w:t xml:space="preserve">). Students from specialist schools will not receive </w:t>
      </w:r>
      <w:r>
        <w:rPr>
          <w:rFonts w:eastAsia="Segoe UI" w:cstheme="minorHAnsi"/>
          <w:color w:val="011A3C"/>
          <w:sz w:val="24"/>
          <w:szCs w:val="24"/>
          <w:lang w:val="en" w:eastAsia="en-AU"/>
        </w:rPr>
        <w:t>the C</w:t>
      </w:r>
      <w:r w:rsidRPr="00260C1D">
        <w:rPr>
          <w:rFonts w:eastAsia="Segoe UI" w:cstheme="minorHAnsi"/>
          <w:color w:val="011A3C"/>
          <w:sz w:val="24"/>
          <w:szCs w:val="24"/>
          <w:lang w:val="en" w:eastAsia="en-AU"/>
        </w:rPr>
        <w:t xml:space="preserve">atch </w:t>
      </w:r>
      <w:r>
        <w:rPr>
          <w:rFonts w:eastAsia="Segoe UI" w:cstheme="minorHAnsi"/>
          <w:color w:val="011A3C"/>
          <w:sz w:val="24"/>
          <w:szCs w:val="24"/>
          <w:lang w:val="en" w:eastAsia="en-AU"/>
        </w:rPr>
        <w:t>U</w:t>
      </w:r>
      <w:r w:rsidRPr="00260C1D">
        <w:rPr>
          <w:rFonts w:eastAsia="Segoe UI" w:cstheme="minorHAnsi"/>
          <w:color w:val="011A3C"/>
          <w:sz w:val="24"/>
          <w:szCs w:val="24"/>
          <w:lang w:val="en" w:eastAsia="en-AU"/>
        </w:rPr>
        <w:t>p loading.</w:t>
      </w:r>
    </w:p>
    <w:p w14:paraId="421B0841" w14:textId="77777777" w:rsidR="00AB0BD4" w:rsidRPr="00260C1D" w:rsidRDefault="00AB0BD4" w:rsidP="00AB0BD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There is comprehensive review of the PSD underway to investigate how to improve the way the PSD supports students with disabilities. Following the conclusion of the PSD review, the </w:t>
      </w:r>
      <w:r>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atch</w:t>
      </w:r>
      <w:r>
        <w:rPr>
          <w:rFonts w:eastAsia="Segoe UI" w:cstheme="minorHAnsi"/>
          <w:color w:val="011A3C"/>
          <w:sz w:val="24"/>
          <w:szCs w:val="24"/>
          <w:lang w:val="en" w:eastAsia="en-AU"/>
        </w:rPr>
        <w:t xml:space="preserve"> U</w:t>
      </w:r>
      <w:r w:rsidRPr="00260C1D">
        <w:rPr>
          <w:rFonts w:eastAsia="Segoe UI" w:cstheme="minorHAnsi"/>
          <w:color w:val="011A3C"/>
          <w:sz w:val="24"/>
          <w:szCs w:val="24"/>
          <w:lang w:val="en" w:eastAsia="en-AU"/>
        </w:rPr>
        <w:t>p loading approach for PSD students will be reassessed. </w:t>
      </w:r>
    </w:p>
    <w:p w14:paraId="221886F3" w14:textId="77777777" w:rsidR="00AB0BD4" w:rsidRPr="00260C1D" w:rsidRDefault="00AB0BD4" w:rsidP="00AB0BD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Withdrawn/absent students</w:t>
      </w:r>
    </w:p>
    <w:p w14:paraId="21FDC9E2" w14:textId="77777777" w:rsidR="00AB0BD4" w:rsidRPr="00260C1D" w:rsidRDefault="00AB0BD4" w:rsidP="00AB0BD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Students who were absent from NAPLAN are given a rating on the likelihood they achieved below the national minimum standard in NAPLAN Reading. These values are provided by the Victorian Curriculum Assessment Authority and are based on a methodology used by the Australian Curriculum, Assessment and Reporting Authority to impute NAPLAN values for absent students. This does not include exempt PSD and EAL students. </w:t>
      </w:r>
    </w:p>
    <w:p w14:paraId="2036A005" w14:textId="77777777" w:rsidR="00AB0BD4" w:rsidRPr="00260C1D" w:rsidRDefault="00AB0BD4" w:rsidP="00AB0BD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Where a student is absent, they will be eligible for a portion of the </w:t>
      </w:r>
      <w:r>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atch</w:t>
      </w:r>
      <w:r>
        <w:rPr>
          <w:rFonts w:eastAsia="Segoe UI" w:cstheme="minorHAnsi"/>
          <w:color w:val="011A3C"/>
          <w:sz w:val="24"/>
          <w:szCs w:val="24"/>
          <w:lang w:val="en" w:eastAsia="en-AU"/>
        </w:rPr>
        <w:t xml:space="preserve"> U</w:t>
      </w:r>
      <w:r w:rsidRPr="00260C1D">
        <w:rPr>
          <w:rFonts w:eastAsia="Segoe UI" w:cstheme="minorHAnsi"/>
          <w:color w:val="011A3C"/>
          <w:sz w:val="24"/>
          <w:szCs w:val="24"/>
          <w:lang w:val="en" w:eastAsia="en-AU"/>
        </w:rPr>
        <w:t>p loading based on the rating they receive in relation to their likelihood of being below the national minimum standard at Year 5. </w:t>
      </w:r>
    </w:p>
    <w:p w14:paraId="6AA5AD24" w14:textId="77777777" w:rsidR="00AB0BD4" w:rsidRPr="00260C1D" w:rsidRDefault="00AB0BD4" w:rsidP="00AB0BD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Students who are recorded as withdrawn because their parents</w:t>
      </w:r>
      <w:r>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have</w:t>
      </w:r>
      <w:r>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made</w:t>
      </w:r>
      <w:r>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a</w:t>
      </w:r>
      <w:r>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decision</w:t>
      </w:r>
      <w:r>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for</w:t>
      </w:r>
      <w:r>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their</w:t>
      </w:r>
      <w:r>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child</w:t>
      </w:r>
      <w:r>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not</w:t>
      </w:r>
      <w:r>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to</w:t>
      </w:r>
      <w:r>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sit</w:t>
      </w:r>
      <w:r>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Year 5 NAPLAN will not be eligible for the </w:t>
      </w:r>
      <w:r>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atch</w:t>
      </w:r>
      <w:r>
        <w:rPr>
          <w:rFonts w:eastAsia="Segoe UI" w:cstheme="minorHAnsi"/>
          <w:color w:val="011A3C"/>
          <w:sz w:val="24"/>
          <w:szCs w:val="24"/>
          <w:lang w:val="en" w:eastAsia="en-AU"/>
        </w:rPr>
        <w:t xml:space="preserve"> U</w:t>
      </w:r>
      <w:r w:rsidRPr="00260C1D">
        <w:rPr>
          <w:rFonts w:eastAsia="Segoe UI" w:cstheme="minorHAnsi"/>
          <w:color w:val="011A3C"/>
          <w:sz w:val="24"/>
          <w:szCs w:val="24"/>
          <w:lang w:val="en" w:eastAsia="en-AU"/>
        </w:rPr>
        <w:t>p loading.</w:t>
      </w:r>
    </w:p>
    <w:p w14:paraId="70F0294C" w14:textId="77777777" w:rsidR="00AB0BD4" w:rsidRPr="00260C1D" w:rsidRDefault="00AB0BD4" w:rsidP="00AB0BD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Eligibility</w:t>
      </w:r>
    </w:p>
    <w:p w14:paraId="486D460A" w14:textId="77777777" w:rsidR="00AB0BD4" w:rsidRPr="00260C1D" w:rsidRDefault="00AB0BD4" w:rsidP="00AB0BD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Mainstream </w:t>
      </w:r>
      <w:r>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chools with the following campus types are eligible for Equity (Catch Up) funding at </w:t>
      </w:r>
      <w:r>
        <w:rPr>
          <w:rFonts w:eastAsia="Segoe UI" w:cstheme="minorHAnsi"/>
          <w:color w:val="011A3C"/>
          <w:sz w:val="24"/>
          <w:szCs w:val="24"/>
          <w:lang w:val="en" w:eastAsia="en-AU"/>
        </w:rPr>
        <w:t xml:space="preserve">a </w:t>
      </w:r>
      <w:r w:rsidRPr="00260C1D">
        <w:rPr>
          <w:rFonts w:eastAsia="Segoe UI" w:cstheme="minorHAnsi"/>
          <w:color w:val="011A3C"/>
          <w:sz w:val="24"/>
          <w:szCs w:val="24"/>
          <w:lang w:val="en" w:eastAsia="en-AU"/>
        </w:rPr>
        <w:t>campus level</w:t>
      </w:r>
      <w:r>
        <w:rPr>
          <w:rFonts w:eastAsia="Segoe UI" w:cstheme="minorHAnsi"/>
          <w:color w:val="011A3C"/>
          <w:sz w:val="24"/>
          <w:szCs w:val="24"/>
          <w:lang w:val="en" w:eastAsia="en-AU"/>
        </w:rPr>
        <w:t>:</w:t>
      </w:r>
    </w:p>
    <w:p w14:paraId="2324CA2C" w14:textId="77777777" w:rsidR="00AB0BD4" w:rsidRPr="00614B09" w:rsidRDefault="00AB0BD4" w:rsidP="00AB0BD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614B09">
        <w:rPr>
          <w:rFonts w:eastAsia="Segoe UI" w:cstheme="minorHAnsi"/>
          <w:color w:val="011A3C"/>
          <w:sz w:val="24"/>
          <w:szCs w:val="24"/>
          <w:lang w:val="en" w:eastAsia="en-AU"/>
        </w:rPr>
        <w:t>Secondary</w:t>
      </w:r>
    </w:p>
    <w:p w14:paraId="556CB9F9" w14:textId="77777777" w:rsidR="00AB0BD4" w:rsidRPr="00614B09" w:rsidRDefault="00AB0BD4" w:rsidP="00AB0BD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614B09">
        <w:rPr>
          <w:rFonts w:eastAsia="Segoe UI" w:cstheme="minorHAnsi"/>
          <w:color w:val="011A3C"/>
          <w:sz w:val="24"/>
          <w:szCs w:val="24"/>
          <w:lang w:val="en" w:eastAsia="en-AU"/>
        </w:rPr>
        <w:t xml:space="preserve">Primary/Secondary Combined </w:t>
      </w:r>
    </w:p>
    <w:p w14:paraId="472763F1" w14:textId="77777777" w:rsidR="00AB0BD4" w:rsidRPr="00614B09" w:rsidRDefault="00AB0BD4" w:rsidP="00AB0BD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614B09">
        <w:rPr>
          <w:rFonts w:eastAsia="Segoe UI" w:cstheme="minorHAnsi"/>
          <w:color w:val="011A3C"/>
          <w:sz w:val="24"/>
          <w:szCs w:val="24"/>
          <w:lang w:val="en" w:eastAsia="en-AU"/>
        </w:rPr>
        <w:t>Community</w:t>
      </w:r>
    </w:p>
    <w:p w14:paraId="4D31F043" w14:textId="77777777" w:rsidR="00AB0BD4" w:rsidRPr="00614B09" w:rsidRDefault="00AB0BD4" w:rsidP="00AB0BD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614B09">
        <w:rPr>
          <w:rFonts w:eastAsia="Segoe UI" w:cstheme="minorHAnsi"/>
          <w:color w:val="011A3C"/>
          <w:sz w:val="24"/>
          <w:szCs w:val="24"/>
          <w:lang w:val="en" w:eastAsia="en-AU"/>
        </w:rPr>
        <w:t>Spec Dev</w:t>
      </w:r>
    </w:p>
    <w:p w14:paraId="0FDB20C5" w14:textId="77777777" w:rsidR="00AB0BD4" w:rsidRPr="00614B09" w:rsidRDefault="00AB0BD4" w:rsidP="00AB0BD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614B09">
        <w:rPr>
          <w:rFonts w:eastAsia="Segoe UI" w:cstheme="minorHAnsi"/>
          <w:color w:val="011A3C"/>
          <w:sz w:val="24"/>
          <w:szCs w:val="24"/>
          <w:lang w:val="en" w:eastAsia="en-AU"/>
        </w:rPr>
        <w:t>Language</w:t>
      </w:r>
    </w:p>
    <w:p w14:paraId="6484E4A7" w14:textId="77777777" w:rsidR="00AB0BD4" w:rsidRPr="00833928" w:rsidRDefault="00AB0BD4" w:rsidP="00833928">
      <w:pPr>
        <w:spacing w:before="100" w:beforeAutospacing="1" w:after="100" w:afterAutospacing="1" w:line="360" w:lineRule="atLeast"/>
        <w:rPr>
          <w:color w:val="011A3C"/>
          <w:sz w:val="24"/>
          <w:lang w:val="en"/>
        </w:rPr>
      </w:pPr>
      <w:r w:rsidRPr="009B4DE1">
        <w:rPr>
          <w:rFonts w:eastAsia="Segoe UI" w:cstheme="minorHAnsi"/>
          <w:color w:val="011A3C"/>
          <w:sz w:val="24"/>
          <w:szCs w:val="24"/>
          <w:lang w:val="en" w:eastAsia="en-AU"/>
        </w:rPr>
        <w:t>Funding is calculated at the Confirmed budget cycle. Funding is allocated as cash and credit funding. Allocations provided in the Indicative budget cycle reflect previous year’s Catch Up FTE</w:t>
      </w:r>
      <w:r w:rsidRPr="009B4DE1" w:rsidDel="003264A2">
        <w:rPr>
          <w:rFonts w:eastAsia="Segoe UI" w:cstheme="minorHAnsi"/>
          <w:color w:val="011A3C"/>
          <w:sz w:val="24"/>
          <w:szCs w:val="24"/>
          <w:lang w:val="en" w:eastAsia="en-AU"/>
        </w:rPr>
        <w:t xml:space="preserve"> </w:t>
      </w:r>
      <w:r w:rsidRPr="009B4DE1">
        <w:rPr>
          <w:rFonts w:eastAsia="Segoe UI" w:cstheme="minorHAnsi"/>
          <w:color w:val="011A3C"/>
          <w:sz w:val="24"/>
          <w:szCs w:val="24"/>
          <w:lang w:val="en" w:eastAsia="en-AU"/>
        </w:rPr>
        <w:t>.</w:t>
      </w:r>
    </w:p>
    <w:p w14:paraId="5944D89F" w14:textId="77777777" w:rsidR="00AB0BD4" w:rsidRPr="00260C1D" w:rsidRDefault="00AB0BD4" w:rsidP="00AB0BD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41373290" w14:textId="77777777" w:rsidR="00AB0BD4" w:rsidRPr="00260C1D" w:rsidRDefault="00AB0BD4" w:rsidP="00AB0BD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 school’s overall </w:t>
      </w:r>
      <w:r>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atch </w:t>
      </w:r>
      <w:r>
        <w:rPr>
          <w:rFonts w:eastAsia="Segoe UI" w:cstheme="minorHAnsi"/>
          <w:color w:val="011A3C"/>
          <w:sz w:val="24"/>
          <w:szCs w:val="24"/>
          <w:lang w:val="en" w:eastAsia="en-AU"/>
        </w:rPr>
        <w:t>U</w:t>
      </w:r>
      <w:r w:rsidRPr="00260C1D">
        <w:rPr>
          <w:rFonts w:eastAsia="Segoe UI" w:cstheme="minorHAnsi"/>
          <w:color w:val="011A3C"/>
          <w:sz w:val="24"/>
          <w:szCs w:val="24"/>
          <w:lang w:val="en" w:eastAsia="en-AU"/>
        </w:rPr>
        <w:t>p funding allocation is determined by combining the amounts from the following calculations: </w:t>
      </w:r>
    </w:p>
    <w:p w14:paraId="7D9BA03E" w14:textId="77777777" w:rsidR="00AB0BD4" w:rsidRPr="00260C1D" w:rsidRDefault="00AB0BD4" w:rsidP="00AB0BD4">
      <w:pPr>
        <w:pStyle w:val="ListParagraph"/>
        <w:numPr>
          <w:ilvl w:val="0"/>
          <w:numId w:val="65"/>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lastRenderedPageBreak/>
        <w:t>Number of secondary graded students below Year 5 national minimum standard × Level 1 per capita rate (non-PSD funded)</w:t>
      </w:r>
    </w:p>
    <w:p w14:paraId="565F53DF" w14:textId="77777777" w:rsidR="00AB0BD4" w:rsidRPr="00260C1D" w:rsidRDefault="00AB0BD4" w:rsidP="00AB0BD4">
      <w:pPr>
        <w:pStyle w:val="ListParagraph"/>
        <w:numPr>
          <w:ilvl w:val="0"/>
          <w:numId w:val="65"/>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Number of Secondary graded students below Year 5 national minimum standard × Level 2 per capita rate (PSD funded)</w:t>
      </w:r>
    </w:p>
    <w:p w14:paraId="22217AD7" w14:textId="4EFFCABB" w:rsidR="00AB0BD4" w:rsidRPr="00260C1D" w:rsidRDefault="00AB0BD4" w:rsidP="00AB0BD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 202</w:t>
      </w:r>
      <w:r w:rsidR="0073141F">
        <w:rPr>
          <w:rFonts w:eastAsia="Segoe UI" w:cstheme="minorHAnsi"/>
          <w:b/>
          <w:color w:val="011A3C"/>
          <w:sz w:val="27"/>
          <w:szCs w:val="27"/>
          <w:lang w:val="en" w:eastAsia="en-A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79"/>
        <w:gridCol w:w="1646"/>
        <w:gridCol w:w="1417"/>
        <w:gridCol w:w="3114"/>
      </w:tblGrid>
      <w:tr w:rsidR="00AB0BD4" w:rsidRPr="00260C1D" w14:paraId="2F5AE72C" w14:textId="77777777">
        <w:trPr>
          <w:tblHeader/>
        </w:trPr>
        <w:tc>
          <w:tcPr>
            <w:tcW w:w="0" w:type="auto"/>
            <w:gridSpan w:val="4"/>
            <w:vAlign w:val="center"/>
            <w:hideMark/>
          </w:tcPr>
          <w:p w14:paraId="79724200" w14:textId="77777777" w:rsidR="00AB0BD4" w:rsidRPr="00260C1D" w:rsidRDefault="00AB0BD4">
            <w:pPr>
              <w:spacing w:before="100" w:beforeAutospacing="1" w:after="100" w:afterAutospacing="1" w:line="288" w:lineRule="atLeast"/>
              <w:textAlignment w:val="top"/>
              <w:outlineLvl w:val="3"/>
              <w:rPr>
                <w:rFonts w:eastAsia="Segoe UI" w:cstheme="minorHAnsi"/>
                <w:b/>
                <w:color w:val="323E4F" w:themeColor="text2" w:themeShade="BF"/>
                <w:sz w:val="24"/>
                <w:szCs w:val="24"/>
                <w:lang w:eastAsia="en-AU"/>
              </w:rPr>
            </w:pPr>
            <w:r w:rsidRPr="00260C1D">
              <w:rPr>
                <w:rFonts w:eastAsia="Segoe UI" w:cstheme="minorHAnsi"/>
                <w:b/>
                <w:color w:val="323E4F" w:themeColor="text2" w:themeShade="BF"/>
                <w:sz w:val="24"/>
                <w:szCs w:val="24"/>
                <w:lang w:eastAsia="en-AU"/>
              </w:rPr>
              <w:t>Catch up loading</w:t>
            </w:r>
          </w:p>
        </w:tc>
      </w:tr>
      <w:tr w:rsidR="00AB0BD4" w:rsidRPr="00DF4FFA" w14:paraId="78D91C25" w14:textId="77777777">
        <w:trPr>
          <w:tblHeader/>
        </w:trPr>
        <w:tc>
          <w:tcPr>
            <w:tcW w:w="0" w:type="auto"/>
            <w:hideMark/>
          </w:tcPr>
          <w:p w14:paraId="4D634F7C" w14:textId="77777777" w:rsidR="00AB0BD4" w:rsidRPr="00DF4FFA" w:rsidRDefault="00AB0BD4">
            <w:pPr>
              <w:spacing w:after="0" w:line="240" w:lineRule="atLeas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Catch Up</w:t>
            </w:r>
          </w:p>
        </w:tc>
        <w:tc>
          <w:tcPr>
            <w:tcW w:w="0" w:type="auto"/>
            <w:hideMark/>
          </w:tcPr>
          <w:p w14:paraId="75ED3357" w14:textId="77777777" w:rsidR="00AB0BD4" w:rsidRPr="00DF4FFA" w:rsidRDefault="00AB0BD4">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Credit ($)</w:t>
            </w:r>
          </w:p>
        </w:tc>
        <w:tc>
          <w:tcPr>
            <w:tcW w:w="0" w:type="auto"/>
            <w:hideMark/>
          </w:tcPr>
          <w:p w14:paraId="27D79501" w14:textId="77777777" w:rsidR="00AB0BD4" w:rsidRPr="00DF4FFA" w:rsidRDefault="00AB0BD4">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Cash ($)</w:t>
            </w:r>
          </w:p>
        </w:tc>
        <w:tc>
          <w:tcPr>
            <w:tcW w:w="0" w:type="auto"/>
            <w:hideMark/>
          </w:tcPr>
          <w:p w14:paraId="147C1FB5" w14:textId="77777777" w:rsidR="00AB0BD4" w:rsidRPr="00DF4FFA" w:rsidRDefault="00AB0BD4">
            <w:pPr>
              <w:spacing w:after="0" w:line="240" w:lineRule="atLeast"/>
              <w:jc w:val="righ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Total Catch Up ($)</w:t>
            </w:r>
          </w:p>
        </w:tc>
      </w:tr>
      <w:tr w:rsidR="00AB0BD4" w:rsidRPr="00260C1D" w14:paraId="1C9DD371" w14:textId="77777777">
        <w:tc>
          <w:tcPr>
            <w:tcW w:w="0" w:type="auto"/>
            <w:hideMark/>
          </w:tcPr>
          <w:p w14:paraId="3C19BCE4" w14:textId="77777777" w:rsidR="00AB0BD4" w:rsidRPr="00260C1D" w:rsidRDefault="00AB0BD4">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Level 1 (non-PSD funded)</w:t>
            </w:r>
          </w:p>
        </w:tc>
        <w:tc>
          <w:tcPr>
            <w:tcW w:w="0" w:type="auto"/>
            <w:hideMark/>
          </w:tcPr>
          <w:p w14:paraId="42703DA3" w14:textId="46113509" w:rsidR="00AB0BD4" w:rsidRPr="00260C1D" w:rsidRDefault="001C55F7">
            <w:pPr>
              <w:spacing w:after="0" w:line="360" w:lineRule="atLeast"/>
              <w:jc w:val="right"/>
              <w:rPr>
                <w:rFonts w:eastAsia="Segoe UI" w:cstheme="minorHAnsi"/>
                <w:color w:val="323E4F" w:themeColor="text2" w:themeShade="BF"/>
                <w:sz w:val="24"/>
                <w:szCs w:val="24"/>
                <w:lang w:eastAsia="en-AU"/>
              </w:rPr>
            </w:pPr>
            <w:r w:rsidRPr="001C55F7">
              <w:rPr>
                <w:rFonts w:eastAsia="Segoe UI" w:cstheme="minorHAnsi"/>
                <w:color w:val="323E4F" w:themeColor="text2" w:themeShade="BF"/>
                <w:sz w:val="24"/>
                <w:szCs w:val="24"/>
                <w:lang w:eastAsia="en-AU"/>
              </w:rPr>
              <w:t>1,240</w:t>
            </w:r>
          </w:p>
        </w:tc>
        <w:tc>
          <w:tcPr>
            <w:tcW w:w="0" w:type="auto"/>
            <w:hideMark/>
          </w:tcPr>
          <w:p w14:paraId="66F962A4" w14:textId="1D2C7097" w:rsidR="00AB0BD4" w:rsidRPr="00260C1D" w:rsidRDefault="001C55F7">
            <w:pPr>
              <w:spacing w:after="0" w:line="360" w:lineRule="atLeast"/>
              <w:jc w:val="right"/>
              <w:rPr>
                <w:rFonts w:eastAsia="Segoe UI" w:cstheme="minorHAnsi"/>
                <w:color w:val="323E4F" w:themeColor="text2" w:themeShade="BF"/>
                <w:sz w:val="24"/>
                <w:szCs w:val="24"/>
                <w:lang w:eastAsia="en-AU"/>
              </w:rPr>
            </w:pPr>
            <w:r w:rsidRPr="001C55F7">
              <w:rPr>
                <w:rFonts w:eastAsia="Segoe UI" w:cstheme="minorHAnsi"/>
                <w:color w:val="323E4F" w:themeColor="text2" w:themeShade="BF"/>
                <w:sz w:val="24"/>
                <w:szCs w:val="24"/>
                <w:lang w:eastAsia="en-AU"/>
              </w:rPr>
              <w:t>1,207</w:t>
            </w:r>
          </w:p>
        </w:tc>
        <w:tc>
          <w:tcPr>
            <w:tcW w:w="0" w:type="auto"/>
            <w:hideMark/>
          </w:tcPr>
          <w:p w14:paraId="084A11E9" w14:textId="4CE80DEC" w:rsidR="00AB0BD4" w:rsidRPr="00260C1D" w:rsidRDefault="001C55F7">
            <w:pPr>
              <w:spacing w:after="0" w:line="360" w:lineRule="atLeast"/>
              <w:jc w:val="right"/>
              <w:rPr>
                <w:rFonts w:eastAsia="Segoe UI" w:cstheme="minorHAnsi"/>
                <w:color w:val="323E4F" w:themeColor="text2" w:themeShade="BF"/>
                <w:sz w:val="24"/>
                <w:szCs w:val="24"/>
                <w:lang w:eastAsia="en-AU"/>
              </w:rPr>
            </w:pPr>
            <w:r w:rsidRPr="001C55F7">
              <w:rPr>
                <w:rFonts w:eastAsia="Segoe UI" w:cstheme="minorHAnsi"/>
                <w:color w:val="323E4F" w:themeColor="text2" w:themeShade="BF"/>
                <w:sz w:val="24"/>
                <w:szCs w:val="24"/>
                <w:lang w:eastAsia="en-AU"/>
              </w:rPr>
              <w:t>2,447</w:t>
            </w:r>
          </w:p>
        </w:tc>
      </w:tr>
      <w:tr w:rsidR="00AB0BD4" w:rsidRPr="00260C1D" w14:paraId="0F04C779" w14:textId="77777777">
        <w:tc>
          <w:tcPr>
            <w:tcW w:w="0" w:type="auto"/>
            <w:hideMark/>
          </w:tcPr>
          <w:p w14:paraId="6DC54793" w14:textId="77777777" w:rsidR="00AB0BD4" w:rsidRPr="00260C1D" w:rsidRDefault="00AB0BD4">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Level 2 (PSD funded)</w:t>
            </w:r>
          </w:p>
        </w:tc>
        <w:tc>
          <w:tcPr>
            <w:tcW w:w="0" w:type="auto"/>
            <w:hideMark/>
          </w:tcPr>
          <w:p w14:paraId="4457D514" w14:textId="7D6AF1FE" w:rsidR="00AB0BD4" w:rsidRPr="00260C1D" w:rsidRDefault="00C34CF2">
            <w:pPr>
              <w:spacing w:after="0" w:line="360" w:lineRule="atLeast"/>
              <w:jc w:val="right"/>
              <w:rPr>
                <w:rFonts w:eastAsia="Segoe UI" w:cstheme="minorHAnsi"/>
                <w:color w:val="323E4F" w:themeColor="text2" w:themeShade="BF"/>
                <w:sz w:val="24"/>
                <w:szCs w:val="24"/>
                <w:lang w:eastAsia="en-AU"/>
              </w:rPr>
            </w:pPr>
            <w:r w:rsidRPr="00C34CF2">
              <w:rPr>
                <w:rFonts w:eastAsia="Segoe UI" w:cstheme="minorHAnsi"/>
                <w:color w:val="323E4F" w:themeColor="text2" w:themeShade="BF"/>
                <w:sz w:val="24"/>
                <w:szCs w:val="24"/>
                <w:lang w:eastAsia="en-AU"/>
              </w:rPr>
              <w:t>620</w:t>
            </w:r>
          </w:p>
        </w:tc>
        <w:tc>
          <w:tcPr>
            <w:tcW w:w="0" w:type="auto"/>
            <w:hideMark/>
          </w:tcPr>
          <w:p w14:paraId="789631B6" w14:textId="0AD2A69F" w:rsidR="00AB0BD4" w:rsidRPr="00260C1D" w:rsidRDefault="00C34CF2">
            <w:pPr>
              <w:spacing w:after="0" w:line="360" w:lineRule="atLeast"/>
              <w:jc w:val="right"/>
              <w:rPr>
                <w:rFonts w:eastAsia="Segoe UI" w:cstheme="minorHAnsi"/>
                <w:color w:val="323E4F" w:themeColor="text2" w:themeShade="BF"/>
                <w:sz w:val="24"/>
                <w:szCs w:val="24"/>
                <w:lang w:eastAsia="en-AU"/>
              </w:rPr>
            </w:pPr>
            <w:r w:rsidRPr="00C34CF2">
              <w:rPr>
                <w:rFonts w:eastAsia="Segoe UI" w:cstheme="minorHAnsi"/>
                <w:color w:val="323E4F" w:themeColor="text2" w:themeShade="BF"/>
                <w:sz w:val="24"/>
                <w:szCs w:val="24"/>
                <w:lang w:eastAsia="en-AU"/>
              </w:rPr>
              <w:t>603</w:t>
            </w:r>
          </w:p>
        </w:tc>
        <w:tc>
          <w:tcPr>
            <w:tcW w:w="0" w:type="auto"/>
            <w:hideMark/>
          </w:tcPr>
          <w:p w14:paraId="34FDFDF7" w14:textId="4E4ED34A" w:rsidR="00AB0BD4" w:rsidRPr="00260C1D" w:rsidRDefault="00C34CF2">
            <w:pPr>
              <w:spacing w:after="0" w:line="360" w:lineRule="atLeast"/>
              <w:jc w:val="right"/>
              <w:rPr>
                <w:rFonts w:eastAsia="Segoe UI" w:cstheme="minorHAnsi"/>
                <w:color w:val="323E4F" w:themeColor="text2" w:themeShade="BF"/>
                <w:sz w:val="24"/>
                <w:szCs w:val="24"/>
                <w:lang w:eastAsia="en-AU"/>
              </w:rPr>
            </w:pPr>
            <w:r w:rsidRPr="00C34CF2">
              <w:rPr>
                <w:rFonts w:eastAsia="Segoe UI" w:cstheme="minorHAnsi"/>
                <w:color w:val="323E4F" w:themeColor="text2" w:themeShade="BF"/>
                <w:sz w:val="24"/>
                <w:szCs w:val="24"/>
                <w:lang w:eastAsia="en-AU"/>
              </w:rPr>
              <w:t>1,223</w:t>
            </w:r>
          </w:p>
        </w:tc>
      </w:tr>
    </w:tbl>
    <w:p w14:paraId="45651F29" w14:textId="77777777" w:rsidR="00AB0BD4" w:rsidRPr="00260C1D" w:rsidRDefault="00AB0BD4" w:rsidP="00AB0BD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Important to note:</w:t>
      </w:r>
    </w:p>
    <w:p w14:paraId="53693632" w14:textId="77777777" w:rsidR="00AB0BD4" w:rsidRPr="00260C1D" w:rsidRDefault="00AB0BD4" w:rsidP="00AB0BD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names </w:t>
      </w:r>
      <w:r>
        <w:rPr>
          <w:rFonts w:eastAsia="Segoe UI" w:cstheme="minorHAnsi"/>
          <w:color w:val="011A3C"/>
          <w:sz w:val="24"/>
          <w:szCs w:val="24"/>
          <w:lang w:val="en" w:eastAsia="en-AU"/>
        </w:rPr>
        <w:t>and</w:t>
      </w:r>
      <w:r w:rsidRPr="00260C1D">
        <w:rPr>
          <w:rFonts w:eastAsia="Segoe UI" w:cstheme="minorHAnsi"/>
          <w:color w:val="011A3C"/>
          <w:sz w:val="24"/>
          <w:szCs w:val="24"/>
          <w:lang w:val="en" w:eastAsia="en-AU"/>
        </w:rPr>
        <w:t xml:space="preserve"> VSNs </w:t>
      </w:r>
      <w:r>
        <w:rPr>
          <w:rFonts w:eastAsia="Segoe UI" w:cstheme="minorHAnsi"/>
          <w:color w:val="011A3C"/>
          <w:sz w:val="24"/>
          <w:szCs w:val="24"/>
          <w:lang w:val="en" w:eastAsia="en-AU"/>
        </w:rPr>
        <w:t xml:space="preserve">of eligible students </w:t>
      </w:r>
      <w:r w:rsidRPr="00260C1D">
        <w:rPr>
          <w:rFonts w:eastAsia="Segoe UI" w:cstheme="minorHAnsi"/>
          <w:color w:val="011A3C"/>
          <w:sz w:val="24"/>
          <w:szCs w:val="24"/>
          <w:lang w:val="en" w:eastAsia="en-AU"/>
        </w:rPr>
        <w:t>are not available to schools.</w:t>
      </w:r>
    </w:p>
    <w:p w14:paraId="0650EEE4" w14:textId="77777777" w:rsidR="00AB0BD4" w:rsidRPr="00260C1D" w:rsidRDefault="00AB0BD4" w:rsidP="00AB0BD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Catch Up (Special Circumstances)</w:t>
      </w:r>
    </w:p>
    <w:p w14:paraId="69E94252" w14:textId="77777777" w:rsidR="00AB0BD4" w:rsidRPr="00260C1D" w:rsidRDefault="00AB0BD4" w:rsidP="00AB0BD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Catch Up (Special Circumstances) funding applies to students who are exempt from sitting NAPLAN and students who cannot be matched with their NAPLAN data (for example, students who sat their test interstate).</w:t>
      </w:r>
    </w:p>
    <w:p w14:paraId="34A2250C" w14:textId="77777777" w:rsidR="00AB0BD4" w:rsidRPr="00260C1D" w:rsidRDefault="00AB0BD4" w:rsidP="00AB0BD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 campus will be eligible for Catch Up (Special Circumstances) funding where it has at least 10 Special Circumstances students, and these students make up at least 10% of the secondary cohort.</w:t>
      </w:r>
    </w:p>
    <w:p w14:paraId="4B740E5B" w14:textId="188AE5D9" w:rsidR="00AB0BD4" w:rsidRPr="00260C1D" w:rsidRDefault="00AB0BD4" w:rsidP="00AB0BD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All exempt students at eligible campuses will receive </w:t>
      </w:r>
      <w:r>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pecial </w:t>
      </w:r>
      <w:r>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ircumstance funding.</w:t>
      </w:r>
      <w:r w:rsidR="000551AA">
        <w:rPr>
          <w:rFonts w:eastAsia="Segoe UI" w:cstheme="minorHAnsi"/>
          <w:color w:val="011A3C"/>
          <w:sz w:val="24"/>
          <w:szCs w:val="24"/>
          <w:lang w:val="en" w:eastAsia="en-AU"/>
        </w:rPr>
        <w:t xml:space="preserve"> </w:t>
      </w:r>
    </w:p>
    <w:p w14:paraId="0B07F815" w14:textId="151CCA88" w:rsidR="00592D76" w:rsidRPr="00260C1D" w:rsidRDefault="00592D76" w:rsidP="00AB0BD4">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The prior year’s allocations are rolled over at Indicative SRP release and the funding line is updated when Catch Up enrolments are available at the release of Confirmed SRP.</w:t>
      </w:r>
    </w:p>
    <w:p w14:paraId="3E57A076" w14:textId="77777777" w:rsidR="00AB0BD4" w:rsidRPr="00260C1D" w:rsidRDefault="00AB0BD4" w:rsidP="00AB0BD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Students without a NAPLAN score at eligible campuses are funded at a proportional FTE based on the campus they are attending.</w:t>
      </w:r>
    </w:p>
    <w:p w14:paraId="42B39BD2" w14:textId="77777777" w:rsidR="00AB0BD4" w:rsidRPr="00260C1D" w:rsidRDefault="00AB0BD4" w:rsidP="00AB0BD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following is an example of the eligibility and calculation:</w:t>
      </w:r>
    </w:p>
    <w:p w14:paraId="7F6D8FAB" w14:textId="77777777" w:rsidR="00AB0BD4" w:rsidRPr="00260C1D" w:rsidRDefault="00AB0BD4" w:rsidP="00AB0BD4">
      <w:pPr>
        <w:pStyle w:val="ListParagraph"/>
        <w:numPr>
          <w:ilvl w:val="0"/>
          <w:numId w:val="65"/>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A campus has 100 secondary students, 20 of these students are currently funded for Equity (Catch Up) (= 20%).</w:t>
      </w:r>
    </w:p>
    <w:p w14:paraId="292D7ECB" w14:textId="77777777" w:rsidR="00AB0BD4" w:rsidRPr="00260C1D" w:rsidRDefault="00AB0BD4" w:rsidP="00AB0BD4">
      <w:pPr>
        <w:pStyle w:val="ListParagraph"/>
        <w:numPr>
          <w:ilvl w:val="0"/>
          <w:numId w:val="65"/>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The campus has 5 exempt students and 5 students who cannot be matched with NAPLAN data. The campus has 10 Special Circumstances students in total and these students represent 10% of the secondary cohort, meaning the campus satisfies the eligibility criteria.</w:t>
      </w:r>
    </w:p>
    <w:p w14:paraId="51660C55" w14:textId="77777777" w:rsidR="00AB0BD4" w:rsidRPr="00260C1D" w:rsidRDefault="00AB0BD4" w:rsidP="00AB0BD4">
      <w:pPr>
        <w:pStyle w:val="ListParagraph"/>
        <w:numPr>
          <w:ilvl w:val="0"/>
          <w:numId w:val="65"/>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The 5 exempt students will receive Catch Up (Special Circumstances) loading.</w:t>
      </w:r>
    </w:p>
    <w:p w14:paraId="52F409DF" w14:textId="77777777" w:rsidR="00AB0BD4" w:rsidRPr="00260C1D" w:rsidRDefault="00AB0BD4" w:rsidP="00AB0BD4">
      <w:pPr>
        <w:pStyle w:val="ListParagraph"/>
        <w:numPr>
          <w:ilvl w:val="0"/>
          <w:numId w:val="65"/>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The campus will also receive Catch Up (Special Circumstances) loading for 1 FTE based on the 5 students who cannot be matched with NAPLAN data (20% × 5 = 1 funded FTE).</w:t>
      </w:r>
    </w:p>
    <w:p w14:paraId="772B868D" w14:textId="77777777" w:rsidR="00AB0BD4" w:rsidRPr="00260C1D" w:rsidRDefault="00AB0BD4" w:rsidP="00AB0BD4">
      <w:pPr>
        <w:pStyle w:val="ListParagraph"/>
        <w:numPr>
          <w:ilvl w:val="0"/>
          <w:numId w:val="65"/>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lastRenderedPageBreak/>
        <w:t>6 students will be funded at half the Catch Up rate as outlined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19"/>
        <w:gridCol w:w="1449"/>
        <w:gridCol w:w="1247"/>
        <w:gridCol w:w="2741"/>
      </w:tblGrid>
      <w:tr w:rsidR="00AB0BD4" w:rsidRPr="00260C1D" w14:paraId="33558800" w14:textId="77777777">
        <w:trPr>
          <w:tblHeader/>
        </w:trPr>
        <w:tc>
          <w:tcPr>
            <w:tcW w:w="0" w:type="auto"/>
            <w:gridSpan w:val="4"/>
            <w:vAlign w:val="center"/>
            <w:hideMark/>
          </w:tcPr>
          <w:p w14:paraId="5BD5C78E" w14:textId="1DCA9C42" w:rsidR="00AB0BD4" w:rsidRPr="00260C1D" w:rsidRDefault="00755AF6">
            <w:pPr>
              <w:spacing w:before="100" w:beforeAutospacing="1" w:after="100" w:afterAutospacing="1" w:line="288" w:lineRule="atLeast"/>
              <w:textAlignment w:val="top"/>
              <w:outlineLvl w:val="3"/>
              <w:rPr>
                <w:rFonts w:eastAsia="Segoe UI" w:cstheme="minorHAnsi"/>
                <w:b/>
                <w:color w:val="323E4F" w:themeColor="text2" w:themeShade="BF"/>
                <w:sz w:val="24"/>
                <w:szCs w:val="24"/>
                <w:lang w:eastAsia="en-AU"/>
              </w:rPr>
            </w:pPr>
            <w:r>
              <w:rPr>
                <w:rFonts w:eastAsia="Segoe UI" w:cstheme="minorHAnsi"/>
                <w:b/>
                <w:color w:val="323E4F" w:themeColor="text2" w:themeShade="BF"/>
                <w:sz w:val="24"/>
                <w:szCs w:val="24"/>
                <w:lang w:eastAsia="en-AU"/>
              </w:rPr>
              <w:t xml:space="preserve">2024 </w:t>
            </w:r>
            <w:r w:rsidR="00AB0BD4" w:rsidRPr="00260C1D">
              <w:rPr>
                <w:rFonts w:eastAsia="Segoe UI" w:cstheme="minorHAnsi"/>
                <w:b/>
                <w:color w:val="323E4F" w:themeColor="text2" w:themeShade="BF"/>
                <w:sz w:val="24"/>
                <w:szCs w:val="24"/>
                <w:lang w:eastAsia="en-AU"/>
              </w:rPr>
              <w:t>Catch Up (Special Circumstances) Loading</w:t>
            </w:r>
          </w:p>
        </w:tc>
      </w:tr>
      <w:tr w:rsidR="00AB0BD4" w:rsidRPr="00DF4FFA" w14:paraId="7F6DF95F" w14:textId="77777777">
        <w:trPr>
          <w:tblHeader/>
        </w:trPr>
        <w:tc>
          <w:tcPr>
            <w:tcW w:w="0" w:type="auto"/>
            <w:hideMark/>
          </w:tcPr>
          <w:p w14:paraId="734F33AD" w14:textId="77777777" w:rsidR="00AB0BD4" w:rsidRPr="00DF4FFA" w:rsidRDefault="00AB0BD4">
            <w:pPr>
              <w:spacing w:after="0" w:line="240" w:lineRule="atLeast"/>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Catch Up (Special Circumstances)</w:t>
            </w:r>
          </w:p>
        </w:tc>
        <w:tc>
          <w:tcPr>
            <w:tcW w:w="0" w:type="auto"/>
            <w:hideMark/>
          </w:tcPr>
          <w:p w14:paraId="407E5F38" w14:textId="77777777" w:rsidR="00AB0BD4" w:rsidRPr="00DF4FFA" w:rsidRDefault="00AB0BD4">
            <w:pPr>
              <w:spacing w:after="0" w:line="240" w:lineRule="atLeast"/>
              <w:jc w:val="center"/>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Credit ($)</w:t>
            </w:r>
          </w:p>
        </w:tc>
        <w:tc>
          <w:tcPr>
            <w:tcW w:w="0" w:type="auto"/>
            <w:hideMark/>
          </w:tcPr>
          <w:p w14:paraId="4B17CC6C" w14:textId="77777777" w:rsidR="00AB0BD4" w:rsidRPr="00DF4FFA" w:rsidRDefault="00AB0BD4">
            <w:pPr>
              <w:spacing w:after="0" w:line="240" w:lineRule="atLeast"/>
              <w:jc w:val="center"/>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Cash ($)</w:t>
            </w:r>
          </w:p>
        </w:tc>
        <w:tc>
          <w:tcPr>
            <w:tcW w:w="0" w:type="auto"/>
            <w:hideMark/>
          </w:tcPr>
          <w:p w14:paraId="6B0A2658" w14:textId="77777777" w:rsidR="00AB0BD4" w:rsidRPr="00DF4FFA" w:rsidRDefault="00AB0BD4">
            <w:pPr>
              <w:spacing w:after="0" w:line="240" w:lineRule="atLeast"/>
              <w:jc w:val="center"/>
              <w:rPr>
                <w:rFonts w:eastAsia="Segoe UI" w:cstheme="minorHAnsi"/>
                <w:b/>
                <w:bCs/>
                <w:color w:val="323E4F" w:themeColor="text2" w:themeShade="BF"/>
                <w:sz w:val="24"/>
                <w:szCs w:val="24"/>
                <w:lang w:eastAsia="en-AU"/>
              </w:rPr>
            </w:pPr>
            <w:r w:rsidRPr="00DF4FFA">
              <w:rPr>
                <w:rFonts w:eastAsia="Segoe UI" w:cstheme="minorHAnsi"/>
                <w:b/>
                <w:bCs/>
                <w:color w:val="323E4F" w:themeColor="text2" w:themeShade="BF"/>
                <w:sz w:val="24"/>
                <w:szCs w:val="24"/>
                <w:lang w:eastAsia="en-AU"/>
              </w:rPr>
              <w:t>Total Catch Up ($)</w:t>
            </w:r>
          </w:p>
        </w:tc>
      </w:tr>
      <w:tr w:rsidR="00AB0BD4" w:rsidRPr="00260C1D" w14:paraId="7B1D015F" w14:textId="77777777">
        <w:tc>
          <w:tcPr>
            <w:tcW w:w="0" w:type="auto"/>
            <w:hideMark/>
          </w:tcPr>
          <w:p w14:paraId="3904B802" w14:textId="77777777" w:rsidR="00AB0BD4" w:rsidRPr="00260C1D" w:rsidRDefault="00AB0BD4">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Level 1 (non-PSD funded)</w:t>
            </w:r>
          </w:p>
        </w:tc>
        <w:tc>
          <w:tcPr>
            <w:tcW w:w="0" w:type="auto"/>
            <w:hideMark/>
          </w:tcPr>
          <w:p w14:paraId="0514005E" w14:textId="410C9A32" w:rsidR="00AB0BD4" w:rsidRPr="00260C1D" w:rsidRDefault="00A465FE">
            <w:pPr>
              <w:spacing w:after="0" w:line="360" w:lineRule="atLeast"/>
              <w:jc w:val="center"/>
              <w:rPr>
                <w:rFonts w:eastAsia="Segoe UI" w:cstheme="minorHAnsi"/>
                <w:color w:val="323E4F" w:themeColor="text2" w:themeShade="BF"/>
                <w:sz w:val="24"/>
                <w:szCs w:val="24"/>
                <w:lang w:eastAsia="en-AU"/>
              </w:rPr>
            </w:pPr>
            <w:r>
              <w:rPr>
                <w:rFonts w:eastAsia="Segoe UI" w:cstheme="minorHAnsi"/>
                <w:color w:val="323E4F" w:themeColor="text2" w:themeShade="BF"/>
                <w:sz w:val="24"/>
                <w:szCs w:val="24"/>
                <w:lang w:eastAsia="en-AU"/>
              </w:rPr>
              <w:t>620</w:t>
            </w:r>
            <w:r w:rsidR="00AB0BD4" w:rsidRPr="00260C1D">
              <w:rPr>
                <w:rFonts w:eastAsia="Segoe UI" w:cstheme="minorHAnsi"/>
                <w:color w:val="323E4F" w:themeColor="text2" w:themeShade="BF"/>
                <w:sz w:val="24"/>
                <w:szCs w:val="24"/>
                <w:lang w:eastAsia="en-AU"/>
              </w:rPr>
              <w:t>.00</w:t>
            </w:r>
          </w:p>
        </w:tc>
        <w:tc>
          <w:tcPr>
            <w:tcW w:w="0" w:type="auto"/>
            <w:hideMark/>
          </w:tcPr>
          <w:p w14:paraId="6B5ECF3E" w14:textId="1B84419D" w:rsidR="00AB0BD4" w:rsidRPr="00260C1D" w:rsidRDefault="007F04EA">
            <w:pPr>
              <w:spacing w:after="0" w:line="360" w:lineRule="atLeast"/>
              <w:jc w:val="center"/>
              <w:rPr>
                <w:rFonts w:eastAsia="Segoe UI" w:cstheme="minorHAnsi"/>
                <w:color w:val="323E4F" w:themeColor="text2" w:themeShade="BF"/>
                <w:sz w:val="24"/>
                <w:szCs w:val="24"/>
                <w:lang w:eastAsia="en-AU"/>
              </w:rPr>
            </w:pPr>
            <w:r>
              <w:rPr>
                <w:rFonts w:eastAsia="Segoe UI" w:cstheme="minorHAnsi"/>
                <w:color w:val="323E4F" w:themeColor="text2" w:themeShade="BF"/>
                <w:sz w:val="24"/>
                <w:szCs w:val="24"/>
                <w:lang w:eastAsia="en-AU"/>
              </w:rPr>
              <w:t>60</w:t>
            </w:r>
            <w:r w:rsidR="00D06E4E">
              <w:rPr>
                <w:rFonts w:eastAsia="Segoe UI" w:cstheme="minorHAnsi"/>
                <w:color w:val="323E4F" w:themeColor="text2" w:themeShade="BF"/>
                <w:sz w:val="24"/>
                <w:szCs w:val="24"/>
                <w:lang w:eastAsia="en-AU"/>
              </w:rPr>
              <w:t>3</w:t>
            </w:r>
            <w:r w:rsidR="00AB0BD4" w:rsidRPr="00260C1D">
              <w:rPr>
                <w:rFonts w:eastAsia="Segoe UI" w:cstheme="minorHAnsi"/>
                <w:color w:val="323E4F" w:themeColor="text2" w:themeShade="BF"/>
                <w:sz w:val="24"/>
                <w:szCs w:val="24"/>
                <w:lang w:eastAsia="en-AU"/>
              </w:rPr>
              <w:t>.00</w:t>
            </w:r>
          </w:p>
        </w:tc>
        <w:tc>
          <w:tcPr>
            <w:tcW w:w="0" w:type="auto"/>
            <w:hideMark/>
          </w:tcPr>
          <w:p w14:paraId="2F416719" w14:textId="3BD5E885" w:rsidR="00AB0BD4" w:rsidRPr="00260C1D" w:rsidRDefault="001A7577">
            <w:pPr>
              <w:spacing w:after="0" w:line="360" w:lineRule="atLeast"/>
              <w:jc w:val="center"/>
              <w:rPr>
                <w:rFonts w:eastAsia="Segoe UI" w:cstheme="minorHAnsi"/>
                <w:color w:val="323E4F" w:themeColor="text2" w:themeShade="BF"/>
                <w:sz w:val="24"/>
                <w:szCs w:val="24"/>
                <w:lang w:eastAsia="en-AU"/>
              </w:rPr>
            </w:pPr>
            <w:r>
              <w:rPr>
                <w:rFonts w:eastAsia="Segoe UI" w:cstheme="minorHAnsi"/>
                <w:color w:val="323E4F" w:themeColor="text2" w:themeShade="BF"/>
                <w:sz w:val="24"/>
                <w:szCs w:val="24"/>
                <w:lang w:eastAsia="en-AU"/>
              </w:rPr>
              <w:t>122</w:t>
            </w:r>
            <w:r w:rsidR="00D06E4E">
              <w:rPr>
                <w:rFonts w:eastAsia="Segoe UI" w:cstheme="minorHAnsi"/>
                <w:color w:val="323E4F" w:themeColor="text2" w:themeShade="BF"/>
                <w:sz w:val="24"/>
                <w:szCs w:val="24"/>
                <w:lang w:eastAsia="en-AU"/>
              </w:rPr>
              <w:t>3</w:t>
            </w:r>
            <w:r w:rsidR="00AB0BD4" w:rsidRPr="00260C1D">
              <w:rPr>
                <w:rFonts w:eastAsia="Segoe UI" w:cstheme="minorHAnsi"/>
                <w:color w:val="323E4F" w:themeColor="text2" w:themeShade="BF"/>
                <w:sz w:val="24"/>
                <w:szCs w:val="24"/>
                <w:lang w:eastAsia="en-AU"/>
              </w:rPr>
              <w:t>.00</w:t>
            </w:r>
          </w:p>
        </w:tc>
      </w:tr>
      <w:tr w:rsidR="00AB0BD4" w:rsidRPr="00260C1D" w14:paraId="1EED03AC" w14:textId="77777777">
        <w:tc>
          <w:tcPr>
            <w:tcW w:w="0" w:type="auto"/>
            <w:hideMark/>
          </w:tcPr>
          <w:p w14:paraId="22CA8ACE" w14:textId="77777777" w:rsidR="00AB0BD4" w:rsidRPr="00260C1D" w:rsidRDefault="00AB0BD4">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Level 2 (PSD funded)</w:t>
            </w:r>
          </w:p>
        </w:tc>
        <w:tc>
          <w:tcPr>
            <w:tcW w:w="0" w:type="auto"/>
            <w:hideMark/>
          </w:tcPr>
          <w:p w14:paraId="4F3BCCE3" w14:textId="184610E8" w:rsidR="00AB0BD4" w:rsidRPr="00260C1D" w:rsidRDefault="00302E3E">
            <w:pPr>
              <w:spacing w:after="0" w:line="360" w:lineRule="atLeast"/>
              <w:jc w:val="center"/>
              <w:rPr>
                <w:rFonts w:eastAsia="Segoe UI" w:cstheme="minorHAnsi"/>
                <w:color w:val="323E4F" w:themeColor="text2" w:themeShade="BF"/>
                <w:sz w:val="24"/>
                <w:szCs w:val="24"/>
                <w:lang w:eastAsia="en-AU"/>
              </w:rPr>
            </w:pPr>
            <w:r>
              <w:rPr>
                <w:rFonts w:eastAsia="Segoe UI" w:cstheme="minorHAnsi"/>
                <w:color w:val="323E4F" w:themeColor="text2" w:themeShade="BF"/>
                <w:sz w:val="24"/>
                <w:szCs w:val="24"/>
                <w:lang w:eastAsia="en-AU"/>
              </w:rPr>
              <w:t>310</w:t>
            </w:r>
            <w:r w:rsidR="00AB0BD4" w:rsidRPr="00260C1D">
              <w:rPr>
                <w:rFonts w:eastAsia="Segoe UI" w:cstheme="minorHAnsi"/>
                <w:color w:val="323E4F" w:themeColor="text2" w:themeShade="BF"/>
                <w:sz w:val="24"/>
                <w:szCs w:val="24"/>
                <w:lang w:eastAsia="en-AU"/>
              </w:rPr>
              <w:t>.00</w:t>
            </w:r>
          </w:p>
        </w:tc>
        <w:tc>
          <w:tcPr>
            <w:tcW w:w="0" w:type="auto"/>
            <w:hideMark/>
          </w:tcPr>
          <w:p w14:paraId="44300851" w14:textId="53035EE9" w:rsidR="00AB0BD4" w:rsidRPr="00260C1D" w:rsidRDefault="00302E3E">
            <w:pPr>
              <w:spacing w:after="0" w:line="360" w:lineRule="atLeast"/>
              <w:jc w:val="center"/>
              <w:rPr>
                <w:rFonts w:eastAsia="Segoe UI" w:cstheme="minorHAnsi"/>
                <w:color w:val="323E4F" w:themeColor="text2" w:themeShade="BF"/>
                <w:sz w:val="24"/>
                <w:szCs w:val="24"/>
                <w:lang w:eastAsia="en-AU"/>
              </w:rPr>
            </w:pPr>
            <w:r>
              <w:rPr>
                <w:rFonts w:eastAsia="Segoe UI" w:cstheme="minorHAnsi"/>
                <w:color w:val="323E4F" w:themeColor="text2" w:themeShade="BF"/>
                <w:sz w:val="24"/>
                <w:szCs w:val="24"/>
                <w:lang w:eastAsia="en-AU"/>
              </w:rPr>
              <w:t>302</w:t>
            </w:r>
            <w:r w:rsidR="00AB0BD4" w:rsidRPr="00260C1D">
              <w:rPr>
                <w:rFonts w:eastAsia="Segoe UI" w:cstheme="minorHAnsi"/>
                <w:color w:val="323E4F" w:themeColor="text2" w:themeShade="BF"/>
                <w:sz w:val="24"/>
                <w:szCs w:val="24"/>
                <w:lang w:eastAsia="en-AU"/>
              </w:rPr>
              <w:t>.00</w:t>
            </w:r>
          </w:p>
        </w:tc>
        <w:tc>
          <w:tcPr>
            <w:tcW w:w="0" w:type="auto"/>
            <w:hideMark/>
          </w:tcPr>
          <w:p w14:paraId="01BBDBD4" w14:textId="435CE730" w:rsidR="00AB0BD4" w:rsidRPr="00260C1D" w:rsidRDefault="00302E3E">
            <w:pPr>
              <w:spacing w:after="0" w:line="360" w:lineRule="atLeast"/>
              <w:jc w:val="center"/>
              <w:rPr>
                <w:rFonts w:eastAsia="Segoe UI" w:cstheme="minorHAnsi"/>
                <w:color w:val="323E4F" w:themeColor="text2" w:themeShade="BF"/>
                <w:sz w:val="24"/>
                <w:szCs w:val="24"/>
                <w:lang w:eastAsia="en-AU"/>
              </w:rPr>
            </w:pPr>
            <w:r>
              <w:rPr>
                <w:rFonts w:eastAsia="Segoe UI" w:cstheme="minorHAnsi"/>
                <w:color w:val="323E4F" w:themeColor="text2" w:themeShade="BF"/>
                <w:sz w:val="24"/>
                <w:szCs w:val="24"/>
                <w:lang w:eastAsia="en-AU"/>
              </w:rPr>
              <w:t>612</w:t>
            </w:r>
            <w:r w:rsidR="00AB0BD4" w:rsidRPr="00260C1D">
              <w:rPr>
                <w:rFonts w:eastAsia="Segoe UI" w:cstheme="minorHAnsi"/>
                <w:color w:val="323E4F" w:themeColor="text2" w:themeShade="BF"/>
                <w:sz w:val="24"/>
                <w:szCs w:val="24"/>
                <w:lang w:eastAsia="en-AU"/>
              </w:rPr>
              <w:t>.00</w:t>
            </w:r>
          </w:p>
        </w:tc>
      </w:tr>
      <w:bookmarkEnd w:id="58"/>
    </w:tbl>
    <w:p w14:paraId="0537C98C" w14:textId="77777777" w:rsidR="00AD16F0" w:rsidRPr="00260C1D" w:rsidRDefault="00AD16F0" w:rsidP="00AD16F0">
      <w:pPr>
        <w:rPr>
          <w:rFonts w:cstheme="minorHAnsi"/>
        </w:rPr>
      </w:pPr>
      <w:r w:rsidRPr="00260C1D">
        <w:rPr>
          <w:rFonts w:cstheme="minorHAnsi"/>
        </w:rPr>
        <w:br w:type="page"/>
      </w:r>
    </w:p>
    <w:p w14:paraId="483BACE4" w14:textId="540AB3E4" w:rsidR="00AD16F0" w:rsidRPr="00260C1D" w:rsidRDefault="00AD16F0" w:rsidP="00532A33">
      <w:pPr>
        <w:pStyle w:val="Heading2"/>
      </w:pPr>
      <w:bookmarkStart w:id="59" w:name="_Toc141965241"/>
      <w:bookmarkStart w:id="60" w:name="_Toc145339571"/>
      <w:bookmarkStart w:id="61" w:name="_Toc153791894"/>
      <w:r w:rsidRPr="00260C1D">
        <w:lastRenderedPageBreak/>
        <w:t>Mobility (Reference 14)</w:t>
      </w:r>
      <w:bookmarkEnd w:id="59"/>
      <w:bookmarkEnd w:id="60"/>
      <w:bookmarkEnd w:id="61"/>
    </w:p>
    <w:p w14:paraId="34648709"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with high levels of student mobility over a sustained period of time receive mobility funding. This funding should be used by schools to design and provide programs that are specific to the needs of mobile students.</w:t>
      </w:r>
    </w:p>
    <w:p w14:paraId="0F9D46CE" w14:textId="64DD80D5"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eligible for mobility funding are those with a transient enrolment density equal to or greater than 10 per cent when averaged over three years</w:t>
      </w:r>
      <w:r w:rsidR="004B3B0C" w:rsidRPr="00260C1D">
        <w:rPr>
          <w:rFonts w:eastAsia="Segoe UI" w:cstheme="minorHAnsi"/>
          <w:color w:val="011A3C"/>
          <w:sz w:val="24"/>
          <w:szCs w:val="24"/>
          <w:lang w:val="en" w:eastAsia="en-AU"/>
        </w:rPr>
        <w:t xml:space="preserve"> and must have mobility enrolments in all three years. </w:t>
      </w:r>
      <w:r w:rsidRPr="00260C1D">
        <w:rPr>
          <w:rFonts w:eastAsia="Segoe UI" w:cstheme="minorHAnsi"/>
          <w:color w:val="011A3C"/>
          <w:sz w:val="24"/>
          <w:szCs w:val="24"/>
          <w:lang w:val="en" w:eastAsia="en-AU"/>
        </w:rPr>
        <w:t xml:space="preserve"> The transient enrolment density for each school is a measure of the number of students who enrolled at the school during abnormal times as defined by the following criteria:</w:t>
      </w:r>
    </w:p>
    <w:p w14:paraId="1FB1FAD8" w14:textId="77777777" w:rsidR="00AD16F0" w:rsidRPr="00260C1D" w:rsidRDefault="00AD16F0" w:rsidP="00F56244">
      <w:pPr>
        <w:pStyle w:val="ListParagraph"/>
        <w:numPr>
          <w:ilvl w:val="0"/>
          <w:numId w:val="65"/>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Students who enrolled at the school in the previous year after the mid-year census and up to 30 November OR who enrolled in the current year between 1 March and the current mid-year census are counted as transient enrolments.</w:t>
      </w:r>
    </w:p>
    <w:p w14:paraId="09F0F82E"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Transient enrolment density is calculated as the school’s transient enrolment divided by the total school enrolments provided in the August census of the previous year.</w:t>
      </w:r>
    </w:p>
    <w:p w14:paraId="7C6DA9AA" w14:textId="77777777" w:rsidR="00AD16F0" w:rsidRPr="00260C1D" w:rsidRDefault="00AD16F0" w:rsidP="00AD16F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6CE95625" w14:textId="150FC951" w:rsidR="00AD16F0" w:rsidRPr="00260C1D" w:rsidRDefault="00AD16F0" w:rsidP="0087250D">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with the following campus types are eligible for mobility funding at campus level </w:t>
      </w:r>
      <w:r w:rsidR="0087250D" w:rsidRPr="00260C1D">
        <w:rPr>
          <w:rFonts w:eastAsia="Segoe UI" w:cstheme="minorHAnsi"/>
          <w:color w:val="011A3C"/>
          <w:sz w:val="24"/>
          <w:szCs w:val="24"/>
          <w:lang w:val="en" w:eastAsia="en-AU"/>
        </w:rPr>
        <w:t>if they meet the transient criteria above.</w:t>
      </w:r>
    </w:p>
    <w:p w14:paraId="0076D5B0" w14:textId="466B6219" w:rsidR="0087250D" w:rsidRPr="00260C1D" w:rsidRDefault="0087250D" w:rsidP="00F56244">
      <w:pPr>
        <w:pStyle w:val="ListParagraph"/>
        <w:numPr>
          <w:ilvl w:val="0"/>
          <w:numId w:val="65"/>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Primary</w:t>
      </w:r>
    </w:p>
    <w:p w14:paraId="760AC74B" w14:textId="77777777" w:rsidR="0073434C" w:rsidRPr="00260C1D" w:rsidRDefault="00AD16F0" w:rsidP="00F56244">
      <w:pPr>
        <w:pStyle w:val="ListParagraph"/>
        <w:numPr>
          <w:ilvl w:val="0"/>
          <w:numId w:val="65"/>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Secondary</w:t>
      </w:r>
    </w:p>
    <w:p w14:paraId="2361AED3" w14:textId="1A9B5E49" w:rsidR="00AD16F0" w:rsidRPr="00260C1D" w:rsidRDefault="00AD16F0" w:rsidP="00F56244">
      <w:pPr>
        <w:pStyle w:val="ListParagraph"/>
        <w:numPr>
          <w:ilvl w:val="0"/>
          <w:numId w:val="65"/>
        </w:numPr>
        <w:spacing w:before="100" w:beforeAutospacing="1" w:after="100" w:afterAutospacing="1" w:line="360" w:lineRule="atLeast"/>
        <w:rPr>
          <w:rFonts w:eastAsia="Segoe UI" w:cstheme="minorHAnsi"/>
          <w:color w:val="011A3C"/>
          <w:sz w:val="24"/>
          <w:szCs w:val="24"/>
          <w:lang w:val="en" w:eastAsia="en-AU"/>
        </w:rPr>
      </w:pPr>
      <w:bookmarkStart w:id="62" w:name="_Hlk50129305"/>
      <w:r w:rsidRPr="738305D2">
        <w:rPr>
          <w:rFonts w:eastAsia="Segoe UI"/>
          <w:color w:val="011A3C"/>
          <w:sz w:val="24"/>
          <w:szCs w:val="24"/>
          <w:lang w:val="en" w:eastAsia="en-AU"/>
        </w:rPr>
        <w:t>Primary/Secondary Combined</w:t>
      </w:r>
    </w:p>
    <w:p w14:paraId="557CDE26" w14:textId="23786489" w:rsidR="00837558" w:rsidRPr="00260C1D" w:rsidRDefault="00837558" w:rsidP="00F56244">
      <w:pPr>
        <w:pStyle w:val="ListParagraph"/>
        <w:numPr>
          <w:ilvl w:val="0"/>
          <w:numId w:val="65"/>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Community</w:t>
      </w:r>
    </w:p>
    <w:bookmarkEnd w:id="62"/>
    <w:p w14:paraId="03C74AB7" w14:textId="64442569" w:rsidR="0087250D" w:rsidRPr="00260C1D" w:rsidRDefault="0087250D" w:rsidP="004D307F">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Funding is calculated at the Indicative budget </w:t>
      </w:r>
      <w:r w:rsidR="00AF025A" w:rsidRPr="00260C1D">
        <w:rPr>
          <w:rFonts w:eastAsia="Segoe UI" w:cstheme="minorHAnsi"/>
          <w:color w:val="011A3C"/>
          <w:sz w:val="24"/>
          <w:szCs w:val="24"/>
          <w:lang w:val="en" w:eastAsia="en-AU"/>
        </w:rPr>
        <w:t>cycle</w:t>
      </w:r>
      <w:r w:rsidR="00CA56B0">
        <w:rPr>
          <w:rFonts w:eastAsia="Segoe UI" w:cstheme="minorHAnsi"/>
          <w:color w:val="011A3C"/>
          <w:sz w:val="24"/>
          <w:szCs w:val="24"/>
          <w:lang w:val="en" w:eastAsia="en-AU"/>
        </w:rPr>
        <w:t>. Funding is allocated as</w:t>
      </w:r>
      <w:r w:rsidRPr="00260C1D">
        <w:rPr>
          <w:rFonts w:eastAsia="Segoe UI" w:cstheme="minorHAnsi"/>
          <w:color w:val="011A3C"/>
          <w:sz w:val="24"/>
          <w:szCs w:val="24"/>
          <w:lang w:val="en" w:eastAsia="en-AU"/>
        </w:rPr>
        <w:t xml:space="preserve"> cash and credit funding.</w:t>
      </w:r>
    </w:p>
    <w:p w14:paraId="49C09AA5" w14:textId="77777777" w:rsidR="00AD16F0" w:rsidRPr="00260C1D" w:rsidRDefault="00AD16F0" w:rsidP="00AD16F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7CF9906B" w14:textId="5A7E5570"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 xml:space="preserve">Mobility </w:t>
      </w:r>
      <w:r w:rsidR="000A1973">
        <w:rPr>
          <w:rFonts w:eastAsia="Segoe UI" w:cstheme="minorHAnsi"/>
          <w:b/>
          <w:color w:val="011A3C"/>
          <w:sz w:val="24"/>
          <w:szCs w:val="24"/>
          <w:lang w:val="en" w:eastAsia="en-AU"/>
        </w:rPr>
        <w:t>f</w:t>
      </w:r>
      <w:r w:rsidRPr="00260C1D">
        <w:rPr>
          <w:rFonts w:eastAsia="Segoe UI" w:cstheme="minorHAnsi"/>
          <w:b/>
          <w:color w:val="011A3C"/>
          <w:sz w:val="24"/>
          <w:szCs w:val="24"/>
          <w:lang w:val="en" w:eastAsia="en-AU"/>
        </w:rPr>
        <w:t>unding</w:t>
      </w:r>
      <w:r w:rsidRPr="00260C1D">
        <w:rPr>
          <w:rFonts w:eastAsia="Segoe UI" w:cstheme="minorHAnsi"/>
          <w:color w:val="011A3C"/>
          <w:sz w:val="24"/>
          <w:szCs w:val="24"/>
          <w:lang w:val="en" w:eastAsia="en-AU"/>
        </w:rPr>
        <w:t xml:space="preserve"> = Base + (Total transient enrolments</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Student per capita rate)</w:t>
      </w:r>
    </w:p>
    <w:p w14:paraId="16EAE438" w14:textId="77777777" w:rsidR="0087250D" w:rsidRPr="00260C1D" w:rsidRDefault="0087250D" w:rsidP="0087250D">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Example a school with 25 transient enrolments would calculate their funding as:</w:t>
      </w:r>
    </w:p>
    <w:p w14:paraId="4D4142DE" w14:textId="3BA08207" w:rsidR="00985091" w:rsidRPr="00260C1D" w:rsidRDefault="0087250D" w:rsidP="0087250D">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Base + (Total transient enrolments (25)</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Student per capita rate)</w:t>
      </w:r>
    </w:p>
    <w:p w14:paraId="2FBD954D" w14:textId="3D50010B" w:rsidR="00AD16F0" w:rsidRPr="00260C1D" w:rsidRDefault="00AD16F0" w:rsidP="00AD16F0">
      <w:pPr>
        <w:spacing w:before="100" w:beforeAutospacing="1" w:after="100" w:afterAutospacing="1" w:line="288" w:lineRule="atLeast"/>
        <w:outlineLvl w:val="3"/>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 202</w:t>
      </w:r>
      <w:r w:rsidR="007D2F88">
        <w:rPr>
          <w:rFonts w:eastAsia="Segoe UI" w:cstheme="minorHAnsi"/>
          <w:b/>
          <w:color w:val="011A3C"/>
          <w:sz w:val="27"/>
          <w:szCs w:val="27"/>
          <w:lang w:val="en" w:eastAsia="en-AU"/>
        </w:rPr>
        <w:t>4</w:t>
      </w:r>
    </w:p>
    <w:p w14:paraId="17157561" w14:textId="0B629DB3" w:rsidR="00AD16F0" w:rsidRPr="00260C1D" w:rsidRDefault="00AD16F0" w:rsidP="00F56244">
      <w:pPr>
        <w:pStyle w:val="ListParagraph"/>
        <w:numPr>
          <w:ilvl w:val="0"/>
          <w:numId w:val="65"/>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Base rate</w:t>
      </w:r>
      <w:r w:rsidR="000A1973" w:rsidRPr="738305D2">
        <w:rPr>
          <w:rFonts w:eastAsia="Segoe UI"/>
          <w:color w:val="011A3C"/>
          <w:sz w:val="24"/>
          <w:szCs w:val="24"/>
          <w:lang w:val="en" w:eastAsia="en-AU"/>
        </w:rPr>
        <w:t>:</w:t>
      </w:r>
      <w:r w:rsidRPr="738305D2">
        <w:rPr>
          <w:rFonts w:eastAsia="Segoe UI"/>
          <w:color w:val="011A3C"/>
          <w:sz w:val="24"/>
          <w:szCs w:val="24"/>
          <w:lang w:val="en" w:eastAsia="en-AU"/>
        </w:rPr>
        <w:t xml:space="preserve"> $</w:t>
      </w:r>
      <w:r w:rsidR="007D2F88" w:rsidRPr="007D2F88">
        <w:rPr>
          <w:rFonts w:eastAsia="Segoe UI"/>
          <w:color w:val="011A3C"/>
          <w:sz w:val="24"/>
          <w:szCs w:val="24"/>
          <w:lang w:val="en" w:eastAsia="en-AU"/>
        </w:rPr>
        <w:t>2,786</w:t>
      </w:r>
    </w:p>
    <w:p w14:paraId="2D44CBE0" w14:textId="614899EB" w:rsidR="00AD16F0" w:rsidRPr="00260C1D" w:rsidRDefault="00AD16F0" w:rsidP="00F56244">
      <w:pPr>
        <w:pStyle w:val="ListParagraph"/>
        <w:numPr>
          <w:ilvl w:val="0"/>
          <w:numId w:val="65"/>
        </w:numPr>
        <w:spacing w:before="100" w:beforeAutospacing="1" w:after="100" w:afterAutospacing="1" w:line="360" w:lineRule="atLeast"/>
        <w:rPr>
          <w:rFonts w:cstheme="minorHAnsi"/>
        </w:rPr>
      </w:pPr>
      <w:r w:rsidRPr="738305D2">
        <w:rPr>
          <w:rFonts w:eastAsia="Segoe UI"/>
          <w:color w:val="011A3C"/>
          <w:sz w:val="24"/>
          <w:szCs w:val="24"/>
          <w:lang w:val="en" w:eastAsia="en-AU"/>
        </w:rPr>
        <w:t>Per capita</w:t>
      </w:r>
      <w:r w:rsidR="000A1973" w:rsidRPr="738305D2">
        <w:rPr>
          <w:rFonts w:eastAsia="Segoe UI"/>
          <w:color w:val="011A3C"/>
          <w:sz w:val="24"/>
          <w:szCs w:val="24"/>
          <w:lang w:val="en" w:eastAsia="en-AU"/>
        </w:rPr>
        <w:t>:</w:t>
      </w:r>
      <w:r w:rsidRPr="738305D2">
        <w:rPr>
          <w:rFonts w:eastAsia="Segoe UI"/>
          <w:color w:val="011A3C"/>
          <w:sz w:val="24"/>
          <w:szCs w:val="24"/>
          <w:lang w:val="en" w:eastAsia="en-AU"/>
        </w:rPr>
        <w:t xml:space="preserve"> $</w:t>
      </w:r>
      <w:r w:rsidR="007D2F88" w:rsidRPr="007D2F88">
        <w:rPr>
          <w:rFonts w:eastAsia="Segoe UI"/>
          <w:color w:val="011A3C"/>
          <w:sz w:val="24"/>
          <w:szCs w:val="24"/>
          <w:lang w:val="en" w:eastAsia="en-AU"/>
        </w:rPr>
        <w:t>387</w:t>
      </w:r>
      <w:r w:rsidRPr="738305D2">
        <w:br w:type="page"/>
      </w:r>
    </w:p>
    <w:p w14:paraId="434E2EB6" w14:textId="27814E83" w:rsidR="00AD16F0" w:rsidRPr="00260C1D" w:rsidRDefault="00AD16F0" w:rsidP="00532A33">
      <w:pPr>
        <w:pStyle w:val="Heading2"/>
      </w:pPr>
      <w:bookmarkStart w:id="63" w:name="_Toc141965242"/>
      <w:bookmarkStart w:id="64" w:name="_Toc145339572"/>
      <w:bookmarkStart w:id="65" w:name="_Toc153791895"/>
      <w:r w:rsidRPr="00260C1D">
        <w:lastRenderedPageBreak/>
        <w:t>Program for Students with Disabilities Levels 1-6 (Reference 15)</w:t>
      </w:r>
      <w:bookmarkEnd w:id="63"/>
      <w:bookmarkEnd w:id="64"/>
      <w:bookmarkEnd w:id="65"/>
    </w:p>
    <w:p w14:paraId="2962C9E5"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Program for Students with Disabilities (PSD) is a targeted supplementary funding program for Victorian government schools. It provides resources to schools for a defined population of students with disabilities, with high needs, to support the provision of school-based educational programs.</w:t>
      </w:r>
    </w:p>
    <w:p w14:paraId="4DE81E7F"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receive funding for students with current eligibility at one of six levels, informed by the responses provided to the Educational Needs Questionnaire.</w:t>
      </w:r>
    </w:p>
    <w:p w14:paraId="5CE6D2D7" w14:textId="77777777" w:rsidR="00AD16F0" w:rsidRPr="00260C1D" w:rsidRDefault="00AD16F0" w:rsidP="00AD16F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Use of funding</w:t>
      </w:r>
    </w:p>
    <w:p w14:paraId="1E3360BE"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Resources provided to the school can be used in a number of ways to support students, including:</w:t>
      </w:r>
    </w:p>
    <w:p w14:paraId="34131C4F" w14:textId="77777777" w:rsidR="00AD16F0" w:rsidRPr="009E56BE" w:rsidRDefault="00AD16F0" w:rsidP="00F56244">
      <w:pPr>
        <w:pStyle w:val="ListParagraph"/>
        <w:numPr>
          <w:ilvl w:val="0"/>
          <w:numId w:val="69"/>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Teaching staff</w:t>
      </w:r>
    </w:p>
    <w:p w14:paraId="5C31E0E2" w14:textId="77777777" w:rsidR="00AD16F0" w:rsidRPr="009E56BE" w:rsidRDefault="00AD16F0" w:rsidP="00F56244">
      <w:pPr>
        <w:pStyle w:val="ListParagraph"/>
        <w:numPr>
          <w:ilvl w:val="0"/>
          <w:numId w:val="69"/>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Specialist staff (e.g. Special Needs Coordinator, occupational therapist, speech pathologists)</w:t>
      </w:r>
    </w:p>
    <w:p w14:paraId="008D244F" w14:textId="77777777" w:rsidR="00AD16F0" w:rsidRPr="009E56BE" w:rsidRDefault="00AD16F0" w:rsidP="00F56244">
      <w:pPr>
        <w:pStyle w:val="ListParagraph"/>
        <w:numPr>
          <w:ilvl w:val="0"/>
          <w:numId w:val="69"/>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Consultancy or professional development</w:t>
      </w:r>
    </w:p>
    <w:p w14:paraId="41B694E2" w14:textId="77777777" w:rsidR="00AD16F0" w:rsidRPr="009E56BE" w:rsidRDefault="00AD16F0" w:rsidP="00F56244">
      <w:pPr>
        <w:pStyle w:val="ListParagraph"/>
        <w:numPr>
          <w:ilvl w:val="0"/>
          <w:numId w:val="69"/>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Specialist equipment or materials</w:t>
      </w:r>
    </w:p>
    <w:p w14:paraId="147A860F" w14:textId="77777777" w:rsidR="00AD16F0" w:rsidRPr="009E56BE" w:rsidRDefault="00AD16F0" w:rsidP="00F56244">
      <w:pPr>
        <w:pStyle w:val="ListParagraph"/>
        <w:numPr>
          <w:ilvl w:val="0"/>
          <w:numId w:val="69"/>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Education support staff</w:t>
      </w:r>
    </w:p>
    <w:p w14:paraId="3B75B83A" w14:textId="77777777" w:rsidR="00AD16F0" w:rsidRPr="009E56BE" w:rsidRDefault="00AD16F0" w:rsidP="00F56244">
      <w:pPr>
        <w:pStyle w:val="ListParagraph"/>
        <w:numPr>
          <w:ilvl w:val="0"/>
          <w:numId w:val="69"/>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Associated payroll tax</w:t>
      </w:r>
    </w:p>
    <w:p w14:paraId="2E296D8D" w14:textId="77777777" w:rsidR="00AD16F0" w:rsidRPr="009E56BE" w:rsidRDefault="00AD16F0" w:rsidP="00F56244">
      <w:pPr>
        <w:pStyle w:val="ListParagraph"/>
        <w:numPr>
          <w:ilvl w:val="0"/>
          <w:numId w:val="69"/>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Superannuation</w:t>
      </w:r>
    </w:p>
    <w:p w14:paraId="065C83F5" w14:textId="41AD677F"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PSD resources assist schools to meet their obligations under the </w:t>
      </w:r>
      <w:hyperlink r:id="rId50" w:history="1">
        <w:r w:rsidRPr="00112A1D">
          <w:rPr>
            <w:rStyle w:val="Hyperlink"/>
            <w:rFonts w:eastAsia="Segoe UI" w:cstheme="minorHAnsi"/>
            <w:sz w:val="24"/>
            <w:szCs w:val="24"/>
            <w:lang w:val="en" w:eastAsia="en-AU"/>
          </w:rPr>
          <w:t>Disability Discrimination Act</w:t>
        </w:r>
        <w:r w:rsidR="00AB7BB2" w:rsidRPr="00112A1D">
          <w:rPr>
            <w:rStyle w:val="Hyperlink"/>
            <w:rFonts w:eastAsia="Segoe UI" w:cstheme="minorHAnsi"/>
            <w:sz w:val="24"/>
            <w:szCs w:val="24"/>
            <w:lang w:val="en" w:eastAsia="en-AU"/>
          </w:rPr>
          <w:t xml:space="preserve"> 1992 (</w:t>
        </w:r>
        <w:proofErr w:type="spellStart"/>
        <w:r w:rsidR="00AB7BB2" w:rsidRPr="00112A1D">
          <w:rPr>
            <w:rStyle w:val="Hyperlink"/>
            <w:rFonts w:eastAsia="Segoe UI" w:cstheme="minorHAnsi"/>
            <w:sz w:val="24"/>
            <w:szCs w:val="24"/>
            <w:lang w:val="en" w:eastAsia="en-AU"/>
          </w:rPr>
          <w:t>Cth</w:t>
        </w:r>
        <w:proofErr w:type="spellEnd"/>
        <w:r w:rsidR="00AB7BB2" w:rsidRPr="00112A1D">
          <w:rPr>
            <w:rStyle w:val="Hyperlink"/>
            <w:rFonts w:eastAsia="Segoe UI" w:cstheme="minorHAnsi"/>
            <w:sz w:val="24"/>
            <w:szCs w:val="24"/>
            <w:lang w:val="en" w:eastAsia="en-AU"/>
          </w:rPr>
          <w:t>)</w:t>
        </w:r>
      </w:hyperlink>
      <w:r w:rsidRPr="00260C1D">
        <w:rPr>
          <w:rFonts w:eastAsia="Segoe UI" w:cstheme="minorHAnsi"/>
          <w:color w:val="011A3C"/>
          <w:sz w:val="24"/>
          <w:szCs w:val="24"/>
          <w:lang w:val="en" w:eastAsia="en-AU"/>
        </w:rPr>
        <w:t>; they do not define or limit the support provided by a school for a student with a disability. </w:t>
      </w:r>
    </w:p>
    <w:p w14:paraId="263EF74B" w14:textId="60D468ED"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Student Support Group is the primary source of advice to the principal on the </w:t>
      </w:r>
      <w:proofErr w:type="spellStart"/>
      <w:r w:rsidRPr="00260C1D">
        <w:rPr>
          <w:rFonts w:eastAsia="Segoe UI" w:cstheme="minorHAnsi"/>
          <w:color w:val="011A3C"/>
          <w:sz w:val="24"/>
          <w:szCs w:val="24"/>
          <w:lang w:val="en" w:eastAsia="en-AU"/>
        </w:rPr>
        <w:t>personalised</w:t>
      </w:r>
      <w:proofErr w:type="spellEnd"/>
      <w:r w:rsidRPr="00260C1D">
        <w:rPr>
          <w:rFonts w:eastAsia="Segoe UI" w:cstheme="minorHAnsi"/>
          <w:color w:val="011A3C"/>
          <w:sz w:val="24"/>
          <w:szCs w:val="24"/>
          <w:lang w:val="en" w:eastAsia="en-AU"/>
        </w:rPr>
        <w:t xml:space="preserve"> learning and support required. Schools are required to establish Student Support Groups for all students supported under the PSD, </w:t>
      </w:r>
      <w:r w:rsidR="00AB7BB2" w:rsidRPr="00260C1D">
        <w:rPr>
          <w:rFonts w:eastAsia="Segoe UI" w:cstheme="minorHAnsi"/>
          <w:color w:val="011A3C"/>
          <w:sz w:val="24"/>
          <w:szCs w:val="24"/>
          <w:lang w:val="en" w:eastAsia="en-AU"/>
        </w:rPr>
        <w:t>refer to</w:t>
      </w:r>
      <w:r w:rsidRPr="00260C1D">
        <w:rPr>
          <w:rFonts w:eastAsia="Segoe UI" w:cstheme="minorHAnsi"/>
          <w:color w:val="011A3C"/>
          <w:sz w:val="24"/>
          <w:szCs w:val="24"/>
          <w:lang w:val="en" w:eastAsia="en-AU"/>
        </w:rPr>
        <w:t xml:space="preserve"> </w:t>
      </w:r>
      <w:hyperlink r:id="rId51" w:history="1">
        <w:r w:rsidRPr="008614E4">
          <w:rPr>
            <w:rStyle w:val="Hyperlink"/>
            <w:sz w:val="24"/>
            <w:szCs w:val="24"/>
          </w:rPr>
          <w:t>Student Support Groups</w:t>
        </w:r>
      </w:hyperlink>
      <w:r w:rsidRPr="005811A8">
        <w:rPr>
          <w:rFonts w:eastAsia="Segoe UI" w:cstheme="minorHAnsi"/>
          <w:color w:val="011A3C"/>
          <w:sz w:val="24"/>
          <w:szCs w:val="24"/>
          <w:lang w:val="en" w:eastAsia="en-AU"/>
        </w:rPr>
        <w:t>.</w:t>
      </w:r>
    </w:p>
    <w:p w14:paraId="3D08EC5E" w14:textId="7321B4FD" w:rsidR="00B846F8" w:rsidRPr="00260C1D" w:rsidRDefault="00AD16F0" w:rsidP="0087250D">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It is the responsibility of the school, in consultation with parents/carers in the Student Support Group, to determine the specific nature of the support required, and schools are required to consider their total budget in supporting a student with a disability.</w:t>
      </w:r>
    </w:p>
    <w:p w14:paraId="78976592" w14:textId="1CDC7C31" w:rsidR="00C34127" w:rsidRPr="00260C1D" w:rsidRDefault="004D6760" w:rsidP="0087250D">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Program for Students with Disabilities funding allocations will be progressively replaced by Disability Inclusion funding as it is introduced during the staged 5-year roll-out schedule between 2021 to 2025.</w:t>
      </w:r>
    </w:p>
    <w:p w14:paraId="3302DBCB" w14:textId="632085E0" w:rsidR="0087250D" w:rsidRPr="00260C1D" w:rsidRDefault="0087250D" w:rsidP="0087250D">
      <w:pPr>
        <w:spacing w:before="100" w:beforeAutospacing="1" w:after="100" w:afterAutospacing="1" w:line="360" w:lineRule="atLeast"/>
        <w:rPr>
          <w:rFonts w:eastAsia="Segoe UI" w:cstheme="minorHAnsi"/>
          <w:b/>
          <w:color w:val="011A3C"/>
          <w:sz w:val="26"/>
          <w:szCs w:val="28"/>
          <w:lang w:val="en" w:eastAsia="en-AU"/>
        </w:rPr>
      </w:pPr>
      <w:r w:rsidRPr="00260C1D">
        <w:rPr>
          <w:rFonts w:eastAsia="Segoe UI" w:cstheme="minorHAnsi"/>
          <w:b/>
          <w:color w:val="011A3C"/>
          <w:sz w:val="26"/>
          <w:szCs w:val="28"/>
          <w:lang w:val="en" w:eastAsia="en-AU"/>
        </w:rPr>
        <w:t>Eligibility</w:t>
      </w:r>
    </w:p>
    <w:p w14:paraId="0FB6CF7E" w14:textId="5A736EC3" w:rsidR="0087250D" w:rsidRPr="00260C1D" w:rsidRDefault="0087250D" w:rsidP="0087250D">
      <w:pPr>
        <w:spacing w:before="100" w:beforeAutospacing="1" w:after="100" w:afterAutospacing="1" w:line="360" w:lineRule="atLeast"/>
        <w:rPr>
          <w:rFonts w:eastAsia="Segoe UI" w:cstheme="minorHAnsi"/>
          <w:color w:val="011A3C"/>
          <w:lang w:val="en" w:eastAsia="en-AU"/>
        </w:rPr>
      </w:pPr>
      <w:r w:rsidRPr="00260C1D">
        <w:rPr>
          <w:rFonts w:eastAsia="Segoe UI" w:cstheme="minorHAnsi"/>
          <w:color w:val="011A3C"/>
          <w:sz w:val="24"/>
          <w:szCs w:val="24"/>
          <w:lang w:val="en" w:eastAsia="en-AU"/>
        </w:rPr>
        <w:t xml:space="preserve">Schools with the following campus types </w:t>
      </w:r>
      <w:r w:rsidR="004D6760" w:rsidRPr="00260C1D">
        <w:rPr>
          <w:rFonts w:eastAsia="Segoe UI" w:cstheme="minorHAnsi"/>
          <w:color w:val="011A3C"/>
          <w:sz w:val="24"/>
          <w:szCs w:val="24"/>
          <w:lang w:val="en" w:eastAsia="en-AU"/>
        </w:rPr>
        <w:t xml:space="preserve">will receive </w:t>
      </w:r>
      <w:r w:rsidRPr="00260C1D">
        <w:rPr>
          <w:rFonts w:eastAsia="Segoe UI" w:cstheme="minorHAnsi"/>
          <w:color w:val="011A3C"/>
          <w:sz w:val="24"/>
          <w:szCs w:val="24"/>
          <w:lang w:val="en" w:eastAsia="en-AU"/>
        </w:rPr>
        <w:t>Programs for Students with Disabilities funding at school level</w:t>
      </w:r>
      <w:r w:rsidR="004D6760" w:rsidRPr="00260C1D">
        <w:rPr>
          <w:rFonts w:eastAsia="Segoe UI" w:cstheme="minorHAnsi"/>
          <w:color w:val="011A3C"/>
          <w:sz w:val="24"/>
          <w:szCs w:val="24"/>
          <w:lang w:val="en" w:eastAsia="en-AU"/>
        </w:rPr>
        <w:t xml:space="preserve"> for eligible students</w:t>
      </w:r>
      <w:r w:rsidRPr="00260C1D">
        <w:rPr>
          <w:rFonts w:eastAsia="Segoe UI" w:cstheme="minorHAnsi"/>
          <w:color w:val="011A3C"/>
          <w:sz w:val="24"/>
          <w:szCs w:val="24"/>
          <w:lang w:val="en" w:eastAsia="en-AU"/>
        </w:rPr>
        <w:t>.</w:t>
      </w:r>
    </w:p>
    <w:p w14:paraId="7342D8F5" w14:textId="77777777" w:rsidR="0087250D" w:rsidRPr="00260C1D" w:rsidRDefault="0087250D" w:rsidP="00F56244">
      <w:pPr>
        <w:pStyle w:val="ListParagraph"/>
        <w:numPr>
          <w:ilvl w:val="0"/>
          <w:numId w:val="69"/>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Primary</w:t>
      </w:r>
    </w:p>
    <w:p w14:paraId="668A1415" w14:textId="77777777" w:rsidR="0087250D" w:rsidRPr="00260C1D" w:rsidRDefault="0087250D" w:rsidP="00F56244">
      <w:pPr>
        <w:pStyle w:val="ListParagraph"/>
        <w:numPr>
          <w:ilvl w:val="0"/>
          <w:numId w:val="69"/>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Secondary</w:t>
      </w:r>
    </w:p>
    <w:p w14:paraId="21DFDFDF" w14:textId="77777777" w:rsidR="0073434C" w:rsidRPr="00260C1D" w:rsidRDefault="0073434C" w:rsidP="00F56244">
      <w:pPr>
        <w:pStyle w:val="ListParagraph"/>
        <w:numPr>
          <w:ilvl w:val="0"/>
          <w:numId w:val="69"/>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Primary/Secondary Combined</w:t>
      </w:r>
    </w:p>
    <w:p w14:paraId="2F29E1F0" w14:textId="77777777" w:rsidR="0087250D" w:rsidRDefault="0087250D" w:rsidP="00F56244">
      <w:pPr>
        <w:pStyle w:val="ListParagraph"/>
        <w:numPr>
          <w:ilvl w:val="0"/>
          <w:numId w:val="69"/>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Special</w:t>
      </w:r>
    </w:p>
    <w:p w14:paraId="7FE35831" w14:textId="1D2F0899" w:rsidR="00F615A4" w:rsidRDefault="00F615A4" w:rsidP="00F56244">
      <w:pPr>
        <w:pStyle w:val="ListParagraph"/>
        <w:numPr>
          <w:ilvl w:val="0"/>
          <w:numId w:val="69"/>
        </w:numPr>
        <w:spacing w:before="100" w:beforeAutospacing="1" w:after="100" w:afterAutospacing="1" w:line="360" w:lineRule="atLeast"/>
        <w:rPr>
          <w:rFonts w:eastAsia="Segoe UI"/>
          <w:color w:val="011A3C"/>
          <w:sz w:val="24"/>
          <w:szCs w:val="24"/>
          <w:lang w:val="en" w:eastAsia="en-AU"/>
        </w:rPr>
      </w:pPr>
      <w:r w:rsidRPr="54961C12">
        <w:rPr>
          <w:rFonts w:eastAsia="Segoe UI"/>
          <w:color w:val="011A3C"/>
          <w:sz w:val="24"/>
          <w:szCs w:val="24"/>
          <w:lang w:val="en" w:eastAsia="en-AU"/>
        </w:rPr>
        <w:t>Language</w:t>
      </w:r>
    </w:p>
    <w:p w14:paraId="719D9F9C" w14:textId="1D2F0899" w:rsidR="00ED6AF7" w:rsidRPr="00AB7A20" w:rsidRDefault="00F615A4" w:rsidP="00ED6AF7">
      <w:pPr>
        <w:pStyle w:val="ListParagraph"/>
        <w:numPr>
          <w:ilvl w:val="0"/>
          <w:numId w:val="69"/>
        </w:numPr>
        <w:spacing w:before="100" w:beforeAutospacing="1" w:after="100" w:afterAutospacing="1" w:line="360" w:lineRule="atLeast"/>
        <w:rPr>
          <w:rFonts w:eastAsia="Segoe UI"/>
          <w:color w:val="011A3C"/>
          <w:sz w:val="24"/>
          <w:szCs w:val="24"/>
          <w:lang w:val="en" w:eastAsia="en-AU"/>
        </w:rPr>
      </w:pPr>
      <w:r w:rsidRPr="738305D2">
        <w:rPr>
          <w:rFonts w:eastAsia="Segoe UI"/>
          <w:color w:val="011A3C"/>
          <w:sz w:val="24"/>
          <w:szCs w:val="24"/>
          <w:lang w:val="en" w:eastAsia="en-AU"/>
        </w:rPr>
        <w:t>Community</w:t>
      </w:r>
    </w:p>
    <w:p w14:paraId="5176C46F" w14:textId="68CC6FB7" w:rsidR="00AF6EE5" w:rsidRPr="009B4DE1" w:rsidRDefault="00AF6EE5" w:rsidP="00833928">
      <w:pPr>
        <w:rPr>
          <w:rFonts w:eastAsia="Segoe UI" w:cstheme="minorHAnsi"/>
          <w:color w:val="011A3C"/>
          <w:sz w:val="24"/>
          <w:szCs w:val="24"/>
          <w:lang w:val="en" w:eastAsia="en-AU"/>
        </w:rPr>
      </w:pPr>
      <w:r w:rsidRPr="009B4DE1">
        <w:rPr>
          <w:rFonts w:eastAsia="Segoe UI" w:cstheme="minorHAnsi"/>
          <w:color w:val="011A3C"/>
          <w:sz w:val="24"/>
          <w:szCs w:val="24"/>
          <w:lang w:val="en" w:eastAsia="en-AU"/>
        </w:rPr>
        <w:t>All campus types belonging to Special school</w:t>
      </w:r>
      <w:r w:rsidR="00DC2F95" w:rsidRPr="009B4DE1">
        <w:rPr>
          <w:rFonts w:eastAsia="Segoe UI" w:cstheme="minorHAnsi"/>
          <w:color w:val="011A3C"/>
          <w:sz w:val="24"/>
          <w:szCs w:val="24"/>
          <w:lang w:val="en" w:eastAsia="en-AU"/>
        </w:rPr>
        <w:t>s</w:t>
      </w:r>
      <w:r w:rsidRPr="009B4DE1">
        <w:rPr>
          <w:rFonts w:eastAsia="Segoe UI" w:cstheme="minorHAnsi"/>
          <w:color w:val="011A3C"/>
          <w:sz w:val="24"/>
          <w:szCs w:val="24"/>
          <w:lang w:val="en" w:eastAsia="en-AU"/>
        </w:rPr>
        <w:t xml:space="preserve"> type are eligible. Spec</w:t>
      </w:r>
      <w:r w:rsidR="001800F3" w:rsidRPr="009B4DE1">
        <w:rPr>
          <w:rFonts w:eastAsia="Segoe UI" w:cstheme="minorHAnsi"/>
          <w:color w:val="011A3C"/>
          <w:sz w:val="24"/>
          <w:szCs w:val="24"/>
          <w:lang w:val="en" w:eastAsia="en-AU"/>
        </w:rPr>
        <w:t>ial</w:t>
      </w:r>
      <w:r w:rsidRPr="009B4DE1">
        <w:rPr>
          <w:rFonts w:eastAsia="Segoe UI" w:cstheme="minorHAnsi"/>
          <w:color w:val="011A3C"/>
          <w:sz w:val="24"/>
          <w:szCs w:val="24"/>
          <w:lang w:val="en" w:eastAsia="en-AU"/>
        </w:rPr>
        <w:t xml:space="preserve"> dev</w:t>
      </w:r>
      <w:r w:rsidR="001800F3" w:rsidRPr="009B4DE1">
        <w:rPr>
          <w:rFonts w:eastAsia="Segoe UI" w:cstheme="minorHAnsi"/>
          <w:color w:val="011A3C"/>
          <w:sz w:val="24"/>
          <w:szCs w:val="24"/>
          <w:lang w:val="en" w:eastAsia="en-AU"/>
        </w:rPr>
        <w:t>elopment</w:t>
      </w:r>
      <w:r w:rsidRPr="009B4DE1">
        <w:rPr>
          <w:rFonts w:eastAsia="Segoe UI" w:cstheme="minorHAnsi"/>
          <w:color w:val="011A3C"/>
          <w:sz w:val="24"/>
          <w:szCs w:val="24"/>
          <w:lang w:val="en" w:eastAsia="en-AU"/>
        </w:rPr>
        <w:t xml:space="preserve"> campus</w:t>
      </w:r>
      <w:r w:rsidR="00407BF0" w:rsidRPr="009B4DE1">
        <w:rPr>
          <w:rFonts w:eastAsia="Segoe UI" w:cstheme="minorHAnsi"/>
          <w:color w:val="011A3C"/>
          <w:sz w:val="24"/>
          <w:szCs w:val="24"/>
          <w:lang w:val="en" w:eastAsia="en-AU"/>
        </w:rPr>
        <w:t>es</w:t>
      </w:r>
      <w:r w:rsidRPr="009B4DE1">
        <w:rPr>
          <w:rFonts w:eastAsia="Segoe UI" w:cstheme="minorHAnsi"/>
          <w:color w:val="011A3C"/>
          <w:sz w:val="24"/>
          <w:szCs w:val="24"/>
          <w:lang w:val="en" w:eastAsia="en-AU"/>
        </w:rPr>
        <w:t xml:space="preserve"> of mainstream schools are also eligible.</w:t>
      </w:r>
    </w:p>
    <w:p w14:paraId="74CD901F" w14:textId="28B66DF7" w:rsidR="0087250D" w:rsidRPr="009B4DE1" w:rsidRDefault="0087250D" w:rsidP="00833928">
      <w:pPr>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Funding is calculated for each of the </w:t>
      </w:r>
      <w:r w:rsidR="00407BF0" w:rsidRPr="009B4DE1">
        <w:rPr>
          <w:rFonts w:eastAsia="Segoe UI" w:cstheme="minorHAnsi"/>
          <w:color w:val="011A3C"/>
          <w:sz w:val="24"/>
          <w:szCs w:val="24"/>
          <w:lang w:val="en" w:eastAsia="en-AU"/>
        </w:rPr>
        <w:t>4</w:t>
      </w:r>
      <w:r w:rsidRPr="009B4DE1">
        <w:rPr>
          <w:rFonts w:eastAsia="Segoe UI" w:cstheme="minorHAnsi"/>
          <w:color w:val="011A3C"/>
          <w:sz w:val="24"/>
          <w:szCs w:val="24"/>
          <w:lang w:val="en" w:eastAsia="en-AU"/>
        </w:rPr>
        <w:t xml:space="preserve"> school terms and allocated through credit funding.</w:t>
      </w:r>
    </w:p>
    <w:p w14:paraId="46877527" w14:textId="0F79B242" w:rsidR="00AD16F0" w:rsidRPr="00260C1D" w:rsidRDefault="00AD16F0" w:rsidP="00AD16F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 details</w:t>
      </w:r>
    </w:p>
    <w:p w14:paraId="55A63E52" w14:textId="5250364D"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PSD resources are allocated according to enrolment information provided by schools via the </w:t>
      </w:r>
      <w:hyperlink r:id="rId52" w:history="1">
        <w:r w:rsidR="004D6760" w:rsidRPr="008614E4">
          <w:rPr>
            <w:rStyle w:val="Hyperlink"/>
            <w:sz w:val="24"/>
            <w:szCs w:val="24"/>
          </w:rPr>
          <w:t>Program for Students with Disabilities Management System (PSDMS)</w:t>
        </w:r>
      </w:hyperlink>
      <w:r w:rsidR="004D6760" w:rsidRPr="00260C1D" w:rsidDel="004D6760">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prior to budget-critical dates early each term.</w:t>
      </w:r>
    </w:p>
    <w:p w14:paraId="3B2D0B04" w14:textId="77777777" w:rsidR="004D6760" w:rsidRPr="00260C1D" w:rsidRDefault="004D6760" w:rsidP="004D676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For students in specialist schools, enrolment eligibility and regional approval needs to be established. </w:t>
      </w:r>
    </w:p>
    <w:p w14:paraId="65B1B1DE" w14:textId="37C2B582"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Where </w:t>
      </w:r>
      <w:r w:rsidR="004D6760" w:rsidRPr="00260C1D">
        <w:rPr>
          <w:rFonts w:eastAsia="Segoe UI" w:cstheme="minorHAnsi"/>
          <w:color w:val="011A3C"/>
          <w:sz w:val="24"/>
          <w:szCs w:val="24"/>
          <w:lang w:val="en" w:eastAsia="en-AU"/>
        </w:rPr>
        <w:t xml:space="preserve">enrolment </w:t>
      </w:r>
      <w:r w:rsidRPr="00260C1D">
        <w:rPr>
          <w:rFonts w:eastAsia="Segoe UI" w:cstheme="minorHAnsi"/>
          <w:color w:val="011A3C"/>
          <w:sz w:val="24"/>
          <w:szCs w:val="24"/>
          <w:lang w:val="en" w:eastAsia="en-AU"/>
        </w:rPr>
        <w:t xml:space="preserve">details are </w:t>
      </w:r>
      <w:r w:rsidR="004D6760" w:rsidRPr="00260C1D">
        <w:rPr>
          <w:rFonts w:eastAsia="Segoe UI" w:cstheme="minorHAnsi"/>
          <w:color w:val="011A3C"/>
          <w:sz w:val="24"/>
          <w:szCs w:val="24"/>
          <w:lang w:val="en" w:eastAsia="en-AU"/>
        </w:rPr>
        <w:t>not correct</w:t>
      </w:r>
      <w:r w:rsidRPr="00260C1D">
        <w:rPr>
          <w:rFonts w:eastAsia="Segoe UI" w:cstheme="minorHAnsi"/>
          <w:color w:val="011A3C"/>
          <w:sz w:val="24"/>
          <w:szCs w:val="24"/>
          <w:lang w:val="en" w:eastAsia="en-AU"/>
        </w:rPr>
        <w:t xml:space="preserve"> in CASES21, or enrolments are not registered in PSDMS prior to budget critical dates each term,</w:t>
      </w:r>
      <w:r w:rsidR="004D6760" w:rsidRPr="00260C1D">
        <w:rPr>
          <w:rFonts w:eastAsia="Segoe UI" w:cstheme="minorHAnsi"/>
          <w:color w:val="011A3C"/>
          <w:sz w:val="24"/>
          <w:szCs w:val="24"/>
          <w:lang w:val="en" w:eastAsia="en-AU"/>
        </w:rPr>
        <w:t xml:space="preserve"> or (for specialist schools) regionally approved,</w:t>
      </w:r>
      <w:r w:rsidRPr="00260C1D">
        <w:rPr>
          <w:rFonts w:eastAsia="Segoe UI" w:cstheme="minorHAnsi"/>
          <w:color w:val="011A3C"/>
          <w:sz w:val="24"/>
          <w:szCs w:val="24"/>
          <w:lang w:val="en" w:eastAsia="en-AU"/>
        </w:rPr>
        <w:t xml:space="preserve"> Program for Students with Disabilities funding cannot be guaranteed.</w:t>
      </w:r>
    </w:p>
    <w:p w14:paraId="6D0188EF"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Principals must ensure all students eligible for the PSD are listed on PSDMS prior to these critical dates. Enrolment details for new students, or current students not listed on PSDMS, must be promptly uploaded from CASES21 and registered in PSDMS, see </w:t>
      </w:r>
      <w:hyperlink r:id="rId53" w:history="1">
        <w:r w:rsidRPr="008614E4">
          <w:rPr>
            <w:rStyle w:val="Hyperlink"/>
            <w:sz w:val="24"/>
            <w:szCs w:val="24"/>
          </w:rPr>
          <w:t>PSDMS</w:t>
        </w:r>
      </w:hyperlink>
      <w:r w:rsidRPr="00260C1D">
        <w:rPr>
          <w:rFonts w:eastAsia="Segoe UI" w:cstheme="minorHAnsi"/>
          <w:color w:val="011A3C"/>
          <w:sz w:val="24"/>
          <w:szCs w:val="24"/>
          <w:lang w:val="en" w:eastAsia="en-AU"/>
        </w:rPr>
        <w:t>.</w:t>
      </w:r>
    </w:p>
    <w:p w14:paraId="6EEF1941" w14:textId="43BA0222"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Where a student transfers during the school year, resources remaining for the year will be adjusted and made available to the new school from the commencement of the next school term (pending enrolment registration on PSDMS). The </w:t>
      </w:r>
      <w:r w:rsidR="001B66F8" w:rsidRPr="00260C1D">
        <w:rPr>
          <w:rFonts w:eastAsia="Segoe UI" w:cstheme="minorHAnsi"/>
          <w:color w:val="011A3C"/>
          <w:sz w:val="24"/>
          <w:szCs w:val="24"/>
          <w:lang w:val="en" w:eastAsia="en-AU"/>
        </w:rPr>
        <w:t xml:space="preserve">Student Resource </w:t>
      </w:r>
      <w:r w:rsidR="001039D9" w:rsidRPr="00260C1D">
        <w:rPr>
          <w:rFonts w:eastAsia="Segoe UI" w:cstheme="minorHAnsi"/>
          <w:color w:val="011A3C"/>
          <w:sz w:val="24"/>
          <w:szCs w:val="24"/>
          <w:lang w:val="en" w:eastAsia="en-AU"/>
        </w:rPr>
        <w:t>Package (</w:t>
      </w:r>
      <w:r w:rsidR="001B66F8" w:rsidRPr="00260C1D">
        <w:rPr>
          <w:rFonts w:eastAsia="Segoe UI" w:cstheme="minorHAnsi"/>
          <w:color w:val="011A3C"/>
          <w:sz w:val="24"/>
          <w:szCs w:val="24"/>
          <w:lang w:val="en" w:eastAsia="en-AU"/>
        </w:rPr>
        <w:t xml:space="preserve">SRP) </w:t>
      </w:r>
      <w:r w:rsidRPr="00260C1D">
        <w:rPr>
          <w:rFonts w:eastAsia="Segoe UI" w:cstheme="minorHAnsi"/>
          <w:color w:val="011A3C"/>
          <w:sz w:val="24"/>
          <w:szCs w:val="24"/>
          <w:lang w:val="en" w:eastAsia="en-AU"/>
        </w:rPr>
        <w:t>is revised at the end of each term to capture these changes. </w:t>
      </w:r>
    </w:p>
    <w:p w14:paraId="65A8CA1F"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should make local arrangements to transfer resources for enrolment changes occurring during term.</w:t>
      </w:r>
    </w:p>
    <w:p w14:paraId="4D96BA77" w14:textId="1BBF664F" w:rsidR="00985091" w:rsidRPr="00260C1D" w:rsidRDefault="00AD16F0" w:rsidP="000D10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Where agreement has been reached that a student is enrolled and attends two schools, the allocation will be provided on a pro-rata basis consistent with the enrolment details contained in CASES21 and registered on PSDMS.</w:t>
      </w:r>
    </w:p>
    <w:p w14:paraId="32104487" w14:textId="4039F4F6" w:rsidR="00AD16F0" w:rsidRPr="00260C1D" w:rsidRDefault="00AD16F0" w:rsidP="00AD16F0">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Rates — 202</w:t>
      </w:r>
      <w:r w:rsidR="006B34D5">
        <w:rPr>
          <w:rFonts w:eastAsia="Segoe UI" w:cstheme="minorHAnsi"/>
          <w:b/>
          <w:color w:val="011A3C"/>
          <w:sz w:val="24"/>
          <w:szCs w:val="24"/>
          <w:lang w:val="en" w:eastAsia="en-AU"/>
        </w:rPr>
        <w:t>4</w:t>
      </w:r>
    </w:p>
    <w:p w14:paraId="3B0E3E15" w14:textId="0A775D4F" w:rsidR="007F0F4A" w:rsidRPr="009E56BE" w:rsidRDefault="00AD16F0" w:rsidP="00F56244">
      <w:pPr>
        <w:pStyle w:val="ListParagraph"/>
        <w:numPr>
          <w:ilvl w:val="0"/>
          <w:numId w:val="71"/>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Level 1</w:t>
      </w:r>
      <w:r w:rsidR="0069349C">
        <w:rPr>
          <w:rFonts w:eastAsia="Segoe UI" w:cstheme="minorHAnsi"/>
          <w:color w:val="011A3C"/>
          <w:sz w:val="24"/>
          <w:szCs w:val="24"/>
          <w:lang w:val="en" w:eastAsia="en-AU"/>
        </w:rPr>
        <w:t>:</w:t>
      </w:r>
      <w:r w:rsidRPr="009E56BE">
        <w:rPr>
          <w:rFonts w:eastAsia="Segoe UI" w:cstheme="minorHAnsi"/>
          <w:color w:val="011A3C"/>
          <w:sz w:val="24"/>
          <w:szCs w:val="24"/>
          <w:lang w:val="en" w:eastAsia="en-AU"/>
        </w:rPr>
        <w:t xml:space="preserve"> $</w:t>
      </w:r>
      <w:r w:rsidR="006B34D5" w:rsidRPr="006B34D5">
        <w:rPr>
          <w:rFonts w:eastAsia="Segoe UI" w:cstheme="minorHAnsi"/>
          <w:color w:val="011A3C"/>
          <w:sz w:val="24"/>
          <w:szCs w:val="24"/>
          <w:lang w:val="en" w:eastAsia="en-AU"/>
        </w:rPr>
        <w:t>8,589</w:t>
      </w:r>
    </w:p>
    <w:p w14:paraId="71EB7337" w14:textId="20434E4F" w:rsidR="007F0F4A" w:rsidRPr="009E56BE" w:rsidRDefault="00AD16F0" w:rsidP="00F56244">
      <w:pPr>
        <w:pStyle w:val="ListParagraph"/>
        <w:numPr>
          <w:ilvl w:val="0"/>
          <w:numId w:val="71"/>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Level 2</w:t>
      </w:r>
      <w:r w:rsidR="0069349C">
        <w:rPr>
          <w:rFonts w:eastAsia="Segoe UI" w:cstheme="minorHAnsi"/>
          <w:color w:val="011A3C"/>
          <w:sz w:val="24"/>
          <w:szCs w:val="24"/>
          <w:lang w:val="en" w:eastAsia="en-AU"/>
        </w:rPr>
        <w:t>:</w:t>
      </w:r>
      <w:r w:rsidRPr="009E56BE">
        <w:rPr>
          <w:rFonts w:eastAsia="Segoe UI" w:cstheme="minorHAnsi"/>
          <w:color w:val="011A3C"/>
          <w:sz w:val="24"/>
          <w:szCs w:val="24"/>
          <w:lang w:val="en" w:eastAsia="en-AU"/>
        </w:rPr>
        <w:t xml:space="preserve"> $</w:t>
      </w:r>
      <w:r w:rsidR="00E73623" w:rsidRPr="00E73623">
        <w:rPr>
          <w:rFonts w:eastAsia="Segoe UI" w:cstheme="minorHAnsi"/>
          <w:color w:val="011A3C"/>
          <w:sz w:val="24"/>
          <w:szCs w:val="24"/>
          <w:lang w:val="en" w:eastAsia="en-AU"/>
        </w:rPr>
        <w:t>19,863</w:t>
      </w:r>
    </w:p>
    <w:p w14:paraId="08D122B8" w14:textId="511FDF6D" w:rsidR="00AD16F0" w:rsidRPr="009E56BE" w:rsidRDefault="00AD16F0" w:rsidP="00F56244">
      <w:pPr>
        <w:pStyle w:val="ListParagraph"/>
        <w:numPr>
          <w:ilvl w:val="0"/>
          <w:numId w:val="71"/>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Level 3</w:t>
      </w:r>
      <w:r w:rsidR="0069349C">
        <w:rPr>
          <w:rFonts w:eastAsia="Segoe UI" w:cstheme="minorHAnsi"/>
          <w:color w:val="011A3C"/>
          <w:sz w:val="24"/>
          <w:szCs w:val="24"/>
          <w:lang w:val="en" w:eastAsia="en-AU"/>
        </w:rPr>
        <w:t>:</w:t>
      </w:r>
      <w:r w:rsidRPr="009E56BE">
        <w:rPr>
          <w:rFonts w:eastAsia="Segoe UI" w:cstheme="minorHAnsi"/>
          <w:color w:val="011A3C"/>
          <w:sz w:val="24"/>
          <w:szCs w:val="24"/>
          <w:lang w:val="en" w:eastAsia="en-AU"/>
        </w:rPr>
        <w:t xml:space="preserve"> $</w:t>
      </w:r>
      <w:r w:rsidR="00E73623" w:rsidRPr="00E73623">
        <w:rPr>
          <w:rFonts w:eastAsia="Segoe UI" w:cstheme="minorHAnsi"/>
          <w:color w:val="011A3C"/>
          <w:sz w:val="24"/>
          <w:szCs w:val="24"/>
          <w:lang w:val="en" w:eastAsia="en-AU"/>
        </w:rPr>
        <w:t>31,355</w:t>
      </w:r>
    </w:p>
    <w:p w14:paraId="5A2D9FA5" w14:textId="4ECB3150" w:rsidR="00AD16F0" w:rsidRPr="009E56BE" w:rsidRDefault="00AD16F0" w:rsidP="00F56244">
      <w:pPr>
        <w:pStyle w:val="ListParagraph"/>
        <w:numPr>
          <w:ilvl w:val="0"/>
          <w:numId w:val="71"/>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Level 4</w:t>
      </w:r>
      <w:r w:rsidR="0069349C">
        <w:rPr>
          <w:rFonts w:eastAsia="Segoe UI" w:cstheme="minorHAnsi"/>
          <w:color w:val="011A3C"/>
          <w:sz w:val="24"/>
          <w:szCs w:val="24"/>
          <w:lang w:val="en" w:eastAsia="en-AU"/>
        </w:rPr>
        <w:t>:</w:t>
      </w:r>
      <w:r w:rsidRPr="009E56BE">
        <w:rPr>
          <w:rFonts w:eastAsia="Segoe UI" w:cstheme="minorHAnsi"/>
          <w:color w:val="011A3C"/>
          <w:sz w:val="24"/>
          <w:szCs w:val="24"/>
          <w:lang w:val="en" w:eastAsia="en-AU"/>
        </w:rPr>
        <w:t xml:space="preserve"> $</w:t>
      </w:r>
      <w:r w:rsidR="00E73623" w:rsidRPr="00E73623">
        <w:rPr>
          <w:rFonts w:eastAsia="Segoe UI" w:cstheme="minorHAnsi"/>
          <w:color w:val="011A3C"/>
          <w:sz w:val="24"/>
          <w:szCs w:val="24"/>
          <w:lang w:val="en" w:eastAsia="en-AU"/>
        </w:rPr>
        <w:t>42,793</w:t>
      </w:r>
    </w:p>
    <w:p w14:paraId="2842D62C" w14:textId="642FA64C" w:rsidR="007F0F4A" w:rsidRPr="009E56BE" w:rsidRDefault="00AD16F0" w:rsidP="00F56244">
      <w:pPr>
        <w:pStyle w:val="ListParagraph"/>
        <w:numPr>
          <w:ilvl w:val="0"/>
          <w:numId w:val="71"/>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Level 5</w:t>
      </w:r>
      <w:r w:rsidR="0069349C">
        <w:rPr>
          <w:rFonts w:eastAsia="Segoe UI" w:cstheme="minorHAnsi"/>
          <w:color w:val="011A3C"/>
          <w:sz w:val="24"/>
          <w:szCs w:val="24"/>
          <w:lang w:val="en" w:eastAsia="en-AU"/>
        </w:rPr>
        <w:t>:</w:t>
      </w:r>
      <w:r w:rsidRPr="009E56BE">
        <w:rPr>
          <w:rFonts w:eastAsia="Segoe UI" w:cstheme="minorHAnsi"/>
          <w:color w:val="011A3C"/>
          <w:sz w:val="24"/>
          <w:szCs w:val="24"/>
          <w:lang w:val="en" w:eastAsia="en-AU"/>
        </w:rPr>
        <w:t xml:space="preserve"> $</w:t>
      </w:r>
      <w:r w:rsidR="00E73623" w:rsidRPr="00E73623">
        <w:rPr>
          <w:rFonts w:eastAsia="Segoe UI" w:cstheme="minorHAnsi"/>
          <w:color w:val="011A3C"/>
          <w:sz w:val="24"/>
          <w:szCs w:val="24"/>
          <w:lang w:val="en" w:eastAsia="en-AU"/>
        </w:rPr>
        <w:t>54,144</w:t>
      </w:r>
    </w:p>
    <w:p w14:paraId="74989440" w14:textId="130BA274" w:rsidR="0087250D" w:rsidRPr="009E56BE" w:rsidRDefault="00AD16F0" w:rsidP="00F56244">
      <w:pPr>
        <w:pStyle w:val="ListParagraph"/>
        <w:numPr>
          <w:ilvl w:val="0"/>
          <w:numId w:val="71"/>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Level 6</w:t>
      </w:r>
      <w:r w:rsidR="0069349C">
        <w:rPr>
          <w:rFonts w:eastAsia="Segoe UI" w:cstheme="minorHAnsi"/>
          <w:color w:val="011A3C"/>
          <w:sz w:val="24"/>
          <w:szCs w:val="24"/>
          <w:lang w:val="en" w:eastAsia="en-AU"/>
        </w:rPr>
        <w:t>:</w:t>
      </w:r>
      <w:r w:rsidRPr="009E56BE">
        <w:rPr>
          <w:rFonts w:eastAsia="Segoe UI" w:cstheme="minorHAnsi"/>
          <w:color w:val="011A3C"/>
          <w:sz w:val="24"/>
          <w:szCs w:val="24"/>
          <w:lang w:val="en" w:eastAsia="en-AU"/>
        </w:rPr>
        <w:t xml:space="preserve"> $</w:t>
      </w:r>
      <w:r w:rsidR="00B23F03" w:rsidRPr="00B23F03">
        <w:rPr>
          <w:rFonts w:eastAsia="Segoe UI" w:cstheme="minorHAnsi"/>
          <w:color w:val="011A3C"/>
          <w:sz w:val="24"/>
          <w:szCs w:val="24"/>
          <w:lang w:val="en" w:eastAsia="en-AU"/>
        </w:rPr>
        <w:t>65,557</w:t>
      </w:r>
    </w:p>
    <w:p w14:paraId="18337D72" w14:textId="77777777" w:rsidR="004B67E8" w:rsidRPr="00260C1D" w:rsidRDefault="0087250D" w:rsidP="004B67E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 xml:space="preserve">Example </w:t>
      </w:r>
    </w:p>
    <w:p w14:paraId="3C65C6A6" w14:textId="2D4CB336" w:rsidR="0087250D" w:rsidRPr="00260C1D" w:rsidRDefault="004B67E8" w:rsidP="004D307F">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 </w:t>
      </w:r>
      <w:r w:rsidR="0087250D" w:rsidRPr="00260C1D">
        <w:rPr>
          <w:rFonts w:eastAsia="Segoe UI" w:cstheme="minorHAnsi"/>
          <w:color w:val="011A3C"/>
          <w:sz w:val="24"/>
          <w:szCs w:val="24"/>
          <w:lang w:val="en" w:eastAsia="en-AU"/>
        </w:rPr>
        <w:t xml:space="preserve">school with 5 Level 3 </w:t>
      </w:r>
      <w:r w:rsidR="00684A76">
        <w:rPr>
          <w:rFonts w:eastAsia="Segoe UI" w:cstheme="minorHAnsi"/>
          <w:color w:val="011A3C"/>
          <w:sz w:val="24"/>
          <w:szCs w:val="24"/>
          <w:lang w:val="en" w:eastAsia="en-AU"/>
        </w:rPr>
        <w:t>E</w:t>
      </w:r>
      <w:r w:rsidR="007A588C">
        <w:rPr>
          <w:rFonts w:eastAsia="Segoe UI" w:cstheme="minorHAnsi"/>
          <w:color w:val="011A3C"/>
          <w:sz w:val="24"/>
          <w:szCs w:val="24"/>
          <w:lang w:val="en" w:eastAsia="en-AU"/>
        </w:rPr>
        <w:t>quivalent</w:t>
      </w:r>
      <w:r w:rsidR="00684A76">
        <w:rPr>
          <w:rFonts w:eastAsia="Segoe UI" w:cstheme="minorHAnsi"/>
          <w:color w:val="011A3C"/>
          <w:sz w:val="24"/>
          <w:szCs w:val="24"/>
          <w:lang w:val="en" w:eastAsia="en-AU"/>
        </w:rPr>
        <w:t xml:space="preserve"> Full Time (</w:t>
      </w:r>
      <w:r w:rsidR="00554FCA">
        <w:rPr>
          <w:rFonts w:eastAsia="Segoe UI" w:cstheme="minorHAnsi"/>
          <w:color w:val="011A3C"/>
          <w:sz w:val="24"/>
          <w:szCs w:val="24"/>
          <w:lang w:val="en" w:eastAsia="en-AU"/>
        </w:rPr>
        <w:t>EFT</w:t>
      </w:r>
      <w:r w:rsidR="00684A76">
        <w:rPr>
          <w:rFonts w:eastAsia="Segoe UI" w:cstheme="minorHAnsi"/>
          <w:color w:val="011A3C"/>
          <w:sz w:val="24"/>
          <w:szCs w:val="24"/>
          <w:lang w:val="en" w:eastAsia="en-AU"/>
        </w:rPr>
        <w:t>)</w:t>
      </w:r>
      <w:r w:rsidR="0087250D" w:rsidRPr="00260C1D">
        <w:rPr>
          <w:rFonts w:eastAsia="Segoe UI" w:cstheme="minorHAnsi"/>
          <w:color w:val="011A3C"/>
          <w:sz w:val="24"/>
          <w:szCs w:val="24"/>
          <w:lang w:val="en" w:eastAsia="en-AU"/>
        </w:rPr>
        <w:t xml:space="preserve"> would calculate their funding as:</w:t>
      </w:r>
    </w:p>
    <w:p w14:paraId="278295DD" w14:textId="7283DFBA" w:rsidR="0087250D" w:rsidRPr="00260C1D" w:rsidRDefault="0087250D" w:rsidP="004D307F">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Level 3 </w:t>
      </w:r>
      <w:r w:rsidR="00554FCA">
        <w:rPr>
          <w:rFonts w:eastAsia="Segoe UI" w:cstheme="minorHAnsi"/>
          <w:color w:val="011A3C"/>
          <w:sz w:val="24"/>
          <w:szCs w:val="24"/>
          <w:lang w:val="en" w:eastAsia="en-AU"/>
        </w:rPr>
        <w:t>EFT</w:t>
      </w:r>
      <w:r w:rsidRPr="00260C1D">
        <w:rPr>
          <w:rFonts w:eastAsia="Segoe UI" w:cstheme="minorHAnsi"/>
          <w:color w:val="011A3C"/>
          <w:sz w:val="24"/>
          <w:szCs w:val="24"/>
          <w:lang w:val="en" w:eastAsia="en-AU"/>
        </w:rPr>
        <w:t xml:space="preserve"> (5)</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 xml:space="preserve">Level 3 </w:t>
      </w:r>
      <w:r w:rsidR="0069349C">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p>
    <w:p w14:paraId="46978D89" w14:textId="482ADCDA" w:rsidR="0087250D" w:rsidRPr="00260C1D" w:rsidRDefault="0087250D" w:rsidP="004D307F">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This calculation </w:t>
      </w:r>
      <w:r w:rsidR="0069349C">
        <w:rPr>
          <w:rFonts w:eastAsia="Segoe UI" w:cstheme="minorHAnsi"/>
          <w:color w:val="011A3C"/>
          <w:sz w:val="24"/>
          <w:szCs w:val="24"/>
          <w:lang w:val="en" w:eastAsia="en-AU"/>
        </w:rPr>
        <w:t>is</w:t>
      </w:r>
      <w:r w:rsidRPr="00260C1D">
        <w:rPr>
          <w:rFonts w:eastAsia="Segoe UI" w:cstheme="minorHAnsi"/>
          <w:color w:val="011A3C"/>
          <w:sz w:val="24"/>
          <w:szCs w:val="24"/>
          <w:lang w:val="en" w:eastAsia="en-AU"/>
        </w:rPr>
        <w:t xml:space="preserve"> repeated for all </w:t>
      </w:r>
      <w:r w:rsidR="00554FCA">
        <w:rPr>
          <w:rFonts w:eastAsia="Segoe UI" w:cstheme="minorHAnsi"/>
          <w:color w:val="011A3C"/>
          <w:sz w:val="24"/>
          <w:szCs w:val="24"/>
          <w:lang w:val="en" w:eastAsia="en-AU"/>
        </w:rPr>
        <w:t>EFT</w:t>
      </w:r>
      <w:r w:rsidR="00554FCA"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levels at the school.</w:t>
      </w:r>
    </w:p>
    <w:p w14:paraId="5B698EDD" w14:textId="77777777" w:rsidR="00AD16F0" w:rsidRPr="00260C1D" w:rsidRDefault="00AD16F0" w:rsidP="00AD16F0">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Important items to note:</w:t>
      </w:r>
    </w:p>
    <w:p w14:paraId="7B9A8DD2" w14:textId="77777777" w:rsidR="00AD16F0" w:rsidRPr="009E56BE" w:rsidRDefault="00AD16F0" w:rsidP="00F56244">
      <w:pPr>
        <w:pStyle w:val="ListParagraph"/>
        <w:numPr>
          <w:ilvl w:val="0"/>
          <w:numId w:val="70"/>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The Indicative SRP is based on PSD application and enrolment information as at Term 3 the year prior. Allocations are updated in the Confirmed SRP, capturing enrolment and application changes that occur between Term 3 and Term 1.</w:t>
      </w:r>
    </w:p>
    <w:p w14:paraId="733FB3D0" w14:textId="77777777" w:rsidR="00AD16F0" w:rsidRPr="009E56BE" w:rsidRDefault="00AD16F0" w:rsidP="00F56244">
      <w:pPr>
        <w:pStyle w:val="ListParagraph"/>
        <w:numPr>
          <w:ilvl w:val="0"/>
          <w:numId w:val="70"/>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PSD allocations should be reviewed termly in PSDMS (Resource Allocation Listing) and the SRP (Budget Details report), and any questions can be logged via the DET Service Gateway. Reconciliation requests can only be considered on a one-term basis. Requests for budget adjustments cannot be considered beyond the previous term.</w:t>
      </w:r>
    </w:p>
    <w:p w14:paraId="6DE21C95" w14:textId="77777777" w:rsidR="00AD16F0" w:rsidRPr="00260C1D" w:rsidRDefault="00AD16F0" w:rsidP="00AD16F0">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Further information</w:t>
      </w:r>
    </w:p>
    <w:p w14:paraId="166F813C" w14:textId="1B54B13F" w:rsidR="00AD16F0" w:rsidRPr="009E56BE" w:rsidRDefault="00000000" w:rsidP="00F56244">
      <w:pPr>
        <w:pStyle w:val="ListParagraph"/>
        <w:numPr>
          <w:ilvl w:val="0"/>
          <w:numId w:val="72"/>
        </w:numPr>
        <w:spacing w:before="100" w:beforeAutospacing="1" w:after="100" w:afterAutospacing="1" w:line="360" w:lineRule="atLeast"/>
        <w:rPr>
          <w:rStyle w:val="Hyperlink"/>
          <w:rFonts w:cstheme="minorHAnsi"/>
          <w:sz w:val="24"/>
          <w:szCs w:val="24"/>
        </w:rPr>
      </w:pPr>
      <w:hyperlink r:id="rId54" w:history="1">
        <w:r w:rsidR="00AD16F0" w:rsidRPr="009E56BE">
          <w:rPr>
            <w:rStyle w:val="Hyperlink"/>
            <w:rFonts w:cstheme="minorHAnsi"/>
            <w:sz w:val="24"/>
            <w:szCs w:val="24"/>
          </w:rPr>
          <w:t>Program for Students with Disabilities — guidelines for schools</w:t>
        </w:r>
      </w:hyperlink>
    </w:p>
    <w:p w14:paraId="4EBD8D13" w14:textId="4FCA31C6" w:rsidR="00AD16F0" w:rsidRPr="009E56BE" w:rsidRDefault="00000000" w:rsidP="00F56244">
      <w:pPr>
        <w:pStyle w:val="ListParagraph"/>
        <w:numPr>
          <w:ilvl w:val="0"/>
          <w:numId w:val="72"/>
        </w:numPr>
        <w:spacing w:before="100" w:beforeAutospacing="1" w:after="100" w:afterAutospacing="1" w:line="360" w:lineRule="atLeast"/>
        <w:rPr>
          <w:rStyle w:val="Hyperlink"/>
          <w:rFonts w:cstheme="minorHAnsi"/>
          <w:sz w:val="24"/>
          <w:szCs w:val="24"/>
        </w:rPr>
      </w:pPr>
      <w:hyperlink r:id="rId55" w:history="1">
        <w:r w:rsidR="00AD16F0" w:rsidRPr="009E56BE">
          <w:rPr>
            <w:rStyle w:val="Hyperlink"/>
            <w:rFonts w:cstheme="minorHAnsi"/>
            <w:sz w:val="24"/>
            <w:szCs w:val="24"/>
          </w:rPr>
          <w:t>Student Support Groups</w:t>
        </w:r>
      </w:hyperlink>
    </w:p>
    <w:p w14:paraId="58D9E72B" w14:textId="77777777" w:rsidR="00AD16F0" w:rsidRPr="009E56BE" w:rsidRDefault="00000000" w:rsidP="00F56244">
      <w:pPr>
        <w:pStyle w:val="ListParagraph"/>
        <w:numPr>
          <w:ilvl w:val="0"/>
          <w:numId w:val="72"/>
        </w:numPr>
        <w:spacing w:before="100" w:beforeAutospacing="1" w:after="100" w:afterAutospacing="1" w:line="360" w:lineRule="atLeast"/>
        <w:rPr>
          <w:rStyle w:val="Hyperlink"/>
          <w:rFonts w:cstheme="minorHAnsi"/>
          <w:sz w:val="24"/>
          <w:szCs w:val="24"/>
        </w:rPr>
      </w:pPr>
      <w:hyperlink r:id="rId56" w:history="1">
        <w:r w:rsidR="00AD16F0" w:rsidRPr="009E56BE">
          <w:rPr>
            <w:rStyle w:val="Hyperlink"/>
            <w:rFonts w:cstheme="minorHAnsi"/>
            <w:sz w:val="24"/>
            <w:szCs w:val="24"/>
          </w:rPr>
          <w:t>Program for Students with Disabilities Management System (PSDMS) — information and user guides</w:t>
        </w:r>
      </w:hyperlink>
      <w:r w:rsidR="00AD16F0" w:rsidRPr="009E56BE">
        <w:rPr>
          <w:rStyle w:val="Hyperlink"/>
          <w:rFonts w:cstheme="minorHAnsi"/>
          <w:sz w:val="24"/>
          <w:szCs w:val="24"/>
        </w:rPr>
        <w:t xml:space="preserve"> </w:t>
      </w:r>
    </w:p>
    <w:p w14:paraId="3A865196" w14:textId="77777777" w:rsidR="00AD16F0" w:rsidRPr="009E56BE" w:rsidRDefault="00000000" w:rsidP="00F56244">
      <w:pPr>
        <w:pStyle w:val="ListParagraph"/>
        <w:numPr>
          <w:ilvl w:val="1"/>
          <w:numId w:val="72"/>
        </w:numPr>
        <w:spacing w:before="100" w:beforeAutospacing="1" w:after="100" w:afterAutospacing="1" w:line="360" w:lineRule="atLeast"/>
        <w:rPr>
          <w:rStyle w:val="Hyperlink"/>
          <w:rFonts w:cstheme="minorHAnsi"/>
          <w:sz w:val="24"/>
          <w:szCs w:val="24"/>
        </w:rPr>
      </w:pPr>
      <w:hyperlink r:id="rId57" w:history="1">
        <w:r w:rsidR="00AD16F0" w:rsidRPr="009E56BE">
          <w:rPr>
            <w:rStyle w:val="Hyperlink"/>
            <w:rFonts w:cstheme="minorHAnsi"/>
            <w:sz w:val="24"/>
            <w:szCs w:val="24"/>
          </w:rPr>
          <w:t>PSDMS log in (for registered users)</w:t>
        </w:r>
      </w:hyperlink>
    </w:p>
    <w:p w14:paraId="3C167809" w14:textId="77777777" w:rsidR="004D6760" w:rsidRPr="009E56BE" w:rsidRDefault="00000000" w:rsidP="00F56244">
      <w:pPr>
        <w:pStyle w:val="ListParagraph"/>
        <w:numPr>
          <w:ilvl w:val="0"/>
          <w:numId w:val="72"/>
        </w:numPr>
        <w:spacing w:before="100" w:beforeAutospacing="1" w:after="100" w:afterAutospacing="1" w:line="360" w:lineRule="atLeast"/>
        <w:rPr>
          <w:rStyle w:val="Hyperlink"/>
          <w:rFonts w:cstheme="minorHAnsi"/>
          <w:sz w:val="24"/>
          <w:szCs w:val="24"/>
        </w:rPr>
      </w:pPr>
      <w:hyperlink r:id="rId58" w:history="1">
        <w:r w:rsidR="004D6760" w:rsidRPr="009E56BE">
          <w:rPr>
            <w:rStyle w:val="Hyperlink"/>
            <w:rFonts w:cstheme="minorHAnsi"/>
            <w:sz w:val="24"/>
            <w:szCs w:val="24"/>
          </w:rPr>
          <w:t>DET Services Portal</w:t>
        </w:r>
      </w:hyperlink>
    </w:p>
    <w:p w14:paraId="10111DAB" w14:textId="121FA041" w:rsidR="00A12061" w:rsidRPr="009E56BE" w:rsidRDefault="00000000" w:rsidP="00F56244">
      <w:pPr>
        <w:pStyle w:val="ListParagraph"/>
        <w:numPr>
          <w:ilvl w:val="0"/>
          <w:numId w:val="72"/>
        </w:numPr>
        <w:spacing w:before="100" w:beforeAutospacing="1" w:after="100" w:afterAutospacing="1" w:line="360" w:lineRule="atLeast"/>
        <w:rPr>
          <w:rFonts w:eastAsia="Segoe UI" w:cstheme="minorHAnsi"/>
          <w:color w:val="011A3C"/>
          <w:sz w:val="24"/>
          <w:szCs w:val="24"/>
          <w:lang w:val="en" w:eastAsia="en-AU"/>
        </w:rPr>
      </w:pPr>
      <w:hyperlink r:id="rId59" w:history="1">
        <w:r w:rsidR="004D6760" w:rsidRPr="009E56BE">
          <w:rPr>
            <w:rStyle w:val="Hyperlink"/>
            <w:rFonts w:eastAsia="Segoe UI" w:cstheme="minorHAnsi"/>
            <w:sz w:val="24"/>
            <w:szCs w:val="24"/>
            <w:lang w:val="en" w:eastAsia="en-AU"/>
          </w:rPr>
          <w:t>Disability Inclusion funding and support</w:t>
        </w:r>
      </w:hyperlink>
      <w:r w:rsidR="00A12061" w:rsidRPr="009E56BE">
        <w:rPr>
          <w:rFonts w:cstheme="minorHAnsi"/>
          <w:sz w:val="24"/>
          <w:szCs w:val="24"/>
        </w:rPr>
        <w:br w:type="page"/>
      </w:r>
    </w:p>
    <w:p w14:paraId="4DC5249A" w14:textId="22254EC1" w:rsidR="00A266A0" w:rsidRPr="00260C1D" w:rsidRDefault="00A266A0" w:rsidP="00532A33">
      <w:pPr>
        <w:pStyle w:val="Heading2"/>
      </w:pPr>
      <w:bookmarkStart w:id="66" w:name="_Toc141965243"/>
      <w:bookmarkStart w:id="67" w:name="_Toc145339573"/>
      <w:bookmarkStart w:id="68" w:name="_Toc153791896"/>
      <w:r w:rsidRPr="00260C1D">
        <w:lastRenderedPageBreak/>
        <w:t>Program for Students with Disabilities — Transition Support Funding (Reference 66)</w:t>
      </w:r>
      <w:bookmarkEnd w:id="66"/>
      <w:bookmarkEnd w:id="67"/>
      <w:bookmarkEnd w:id="68"/>
    </w:p>
    <w:p w14:paraId="2B019A71" w14:textId="30EC1AF9" w:rsidR="00A266A0" w:rsidRPr="00260C1D" w:rsidRDefault="00A266A0" w:rsidP="00A266A0">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Transition Support Funding is available to government secondary schools to support students starting Year 7 in </w:t>
      </w:r>
      <w:r w:rsidR="00743EA3" w:rsidRPr="00260C1D">
        <w:rPr>
          <w:rFonts w:eastAsia="Segoe UI" w:cstheme="minorHAnsi"/>
          <w:color w:val="011A3C"/>
          <w:sz w:val="24"/>
          <w:szCs w:val="24"/>
          <w:lang w:val="en" w:eastAsia="en-AU"/>
        </w:rPr>
        <w:t>202</w:t>
      </w:r>
      <w:r w:rsidR="00743EA3">
        <w:rPr>
          <w:rFonts w:eastAsia="Segoe UI" w:cstheme="minorHAnsi"/>
          <w:color w:val="011A3C"/>
          <w:sz w:val="24"/>
          <w:szCs w:val="24"/>
          <w:lang w:val="en" w:eastAsia="en-AU"/>
        </w:rPr>
        <w:t>3</w:t>
      </w:r>
      <w:r w:rsidR="00743EA3"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who are no longer eligible for the Program for Students with Disabilities (PSD) after their Year 6-7 Review.</w:t>
      </w:r>
    </w:p>
    <w:p w14:paraId="778EBC9C" w14:textId="7D66876F" w:rsidR="00A266A0" w:rsidRPr="00260C1D" w:rsidRDefault="00A266A0" w:rsidP="00A266A0">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funding supports the delivery of </w:t>
      </w:r>
      <w:proofErr w:type="spellStart"/>
      <w:r w:rsidRPr="00260C1D">
        <w:rPr>
          <w:rFonts w:eastAsia="Segoe UI" w:cstheme="minorHAnsi"/>
          <w:color w:val="011A3C"/>
          <w:sz w:val="24"/>
          <w:szCs w:val="24"/>
          <w:lang w:val="en" w:eastAsia="en-AU"/>
        </w:rPr>
        <w:t>personalised</w:t>
      </w:r>
      <w:proofErr w:type="spellEnd"/>
      <w:r w:rsidRPr="00260C1D">
        <w:rPr>
          <w:rFonts w:eastAsia="Segoe UI" w:cstheme="minorHAnsi"/>
          <w:color w:val="011A3C"/>
          <w:sz w:val="24"/>
          <w:szCs w:val="24"/>
          <w:lang w:val="en" w:eastAsia="en-AU"/>
        </w:rPr>
        <w:t xml:space="preserve"> teaching and learning programs that respond to student'</w:t>
      </w:r>
      <w:r w:rsidR="00B36807">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 needs.</w:t>
      </w:r>
    </w:p>
    <w:p w14:paraId="39E6AB87" w14:textId="76AB279B" w:rsidR="00A266A0" w:rsidRPr="00260C1D" w:rsidRDefault="00A266A0" w:rsidP="00A266A0">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are encouraged to use the </w:t>
      </w:r>
      <w:hyperlink r:id="rId60" w:history="1">
        <w:r w:rsidR="00205123" w:rsidRPr="00260C1D">
          <w:rPr>
            <w:rStyle w:val="Hyperlink"/>
            <w:rFonts w:cstheme="minorHAnsi"/>
            <w:sz w:val="24"/>
            <w:szCs w:val="24"/>
          </w:rPr>
          <w:t>Student Support Group (SSG</w:t>
        </w:r>
        <w:r w:rsidR="00205123" w:rsidRPr="00260C1D">
          <w:rPr>
            <w:rStyle w:val="Hyperlink"/>
            <w:rFonts w:eastAsia="Segoe UI" w:cstheme="minorHAnsi"/>
            <w:sz w:val="24"/>
            <w:szCs w:val="24"/>
            <w:lang w:val="en" w:eastAsia="en-AU"/>
          </w:rPr>
          <w:t>)</w:t>
        </w:r>
      </w:hyperlink>
      <w:r w:rsidRPr="00260C1D">
        <w:rPr>
          <w:rFonts w:eastAsia="Segoe UI" w:cstheme="minorHAnsi"/>
          <w:color w:val="011A3C"/>
          <w:sz w:val="24"/>
          <w:szCs w:val="24"/>
          <w:lang w:val="en" w:eastAsia="en-AU"/>
        </w:rPr>
        <w:t xml:space="preserve"> process to draw on the expertise of the group to formulate and commit to specific strategies and implementation plans that will support the student's educational needs, inclusion and engagement. The progress of the agreed strategies should be regularly reviewed at SSG meetings each term. </w:t>
      </w:r>
    </w:p>
    <w:p w14:paraId="347C5301" w14:textId="2278596E" w:rsidR="00205123" w:rsidRPr="00260C1D" w:rsidRDefault="00205123" w:rsidP="00A266A0">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Transition Support Funding allocations will be progressively replaced by Disability Inclusion Tier 2 school-level funding </w:t>
      </w:r>
      <w:r w:rsidR="00CB0A87">
        <w:rPr>
          <w:rFonts w:eastAsia="Segoe UI" w:cstheme="minorHAnsi"/>
          <w:color w:val="011A3C"/>
          <w:sz w:val="24"/>
          <w:szCs w:val="24"/>
          <w:lang w:val="en" w:eastAsia="en-AU"/>
        </w:rPr>
        <w:t>a</w:t>
      </w:r>
      <w:r w:rsidR="00924659">
        <w:rPr>
          <w:rFonts w:eastAsia="Segoe UI" w:cstheme="minorHAnsi"/>
          <w:color w:val="011A3C"/>
          <w:sz w:val="24"/>
          <w:szCs w:val="24"/>
          <w:lang w:val="en" w:eastAsia="en-AU"/>
        </w:rPr>
        <w:t>nd Disability I</w:t>
      </w:r>
      <w:r w:rsidR="007763F8">
        <w:rPr>
          <w:rFonts w:eastAsia="Segoe UI" w:cstheme="minorHAnsi"/>
          <w:color w:val="011A3C"/>
          <w:sz w:val="24"/>
          <w:szCs w:val="24"/>
          <w:lang w:val="en" w:eastAsia="en-AU"/>
        </w:rPr>
        <w:t>nclusion Transition</w:t>
      </w:r>
      <w:r w:rsidR="00277891">
        <w:rPr>
          <w:rFonts w:eastAsia="Segoe UI" w:cstheme="minorHAnsi"/>
          <w:color w:val="011A3C"/>
          <w:sz w:val="24"/>
          <w:szCs w:val="24"/>
          <w:lang w:val="en" w:eastAsia="en-AU"/>
        </w:rPr>
        <w:t xml:space="preserve"> Funding</w:t>
      </w:r>
      <w:r w:rsidR="00351B81">
        <w:rPr>
          <w:rFonts w:eastAsia="Segoe UI" w:cstheme="minorHAnsi"/>
          <w:color w:val="011A3C"/>
          <w:sz w:val="24"/>
          <w:szCs w:val="24"/>
          <w:lang w:val="en" w:eastAsia="en-AU"/>
        </w:rPr>
        <w:t xml:space="preserve"> (reference 140) </w:t>
      </w:r>
      <w:r w:rsidRPr="00260C1D">
        <w:rPr>
          <w:rFonts w:eastAsia="Segoe UI" w:cstheme="minorHAnsi"/>
          <w:color w:val="011A3C"/>
          <w:sz w:val="24"/>
          <w:szCs w:val="24"/>
          <w:lang w:val="en" w:eastAsia="en-AU"/>
        </w:rPr>
        <w:t>as part of the implementation of</w:t>
      </w:r>
      <w:r w:rsidR="00B241D3" w:rsidRPr="00260C1D">
        <w:rPr>
          <w:rFonts w:eastAsia="Segoe UI" w:cstheme="minorHAnsi"/>
          <w:color w:val="011A3C"/>
          <w:sz w:val="24"/>
          <w:szCs w:val="24"/>
          <w:lang w:val="en" w:eastAsia="en-AU"/>
        </w:rPr>
        <w:t xml:space="preserve"> the </w:t>
      </w:r>
      <w:r w:rsidRPr="00260C1D">
        <w:rPr>
          <w:rFonts w:eastAsia="Segoe UI" w:cstheme="minorHAnsi"/>
          <w:color w:val="011A3C"/>
          <w:sz w:val="24"/>
          <w:szCs w:val="24"/>
          <w:lang w:val="en" w:eastAsia="en-AU"/>
        </w:rPr>
        <w:t>Disability Inclusion funding and suppor</w:t>
      </w:r>
      <w:r w:rsidR="00B241D3" w:rsidRPr="00260C1D">
        <w:rPr>
          <w:rFonts w:eastAsia="Segoe UI" w:cstheme="minorHAnsi"/>
          <w:color w:val="011A3C"/>
          <w:sz w:val="24"/>
          <w:szCs w:val="24"/>
          <w:lang w:val="en" w:eastAsia="en-AU"/>
        </w:rPr>
        <w:t>t model</w:t>
      </w:r>
      <w:r w:rsidRPr="00260C1D">
        <w:rPr>
          <w:rFonts w:eastAsia="Segoe UI" w:cstheme="minorHAnsi"/>
          <w:color w:val="011A3C"/>
          <w:sz w:val="24"/>
          <w:szCs w:val="24"/>
          <w:lang w:val="en" w:eastAsia="en-AU"/>
        </w:rPr>
        <w:t>.</w:t>
      </w:r>
    </w:p>
    <w:p w14:paraId="44309C3B" w14:textId="77777777" w:rsidR="001059CF" w:rsidRPr="00260C1D" w:rsidRDefault="001059CF" w:rsidP="001059CF">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25CF6F58" w14:textId="2DBAC161" w:rsidR="006F0AF7" w:rsidRPr="00A03458" w:rsidRDefault="00B66944" w:rsidP="001059CF">
      <w:pPr>
        <w:spacing w:before="100" w:beforeAutospacing="1" w:after="100" w:afterAutospacing="1" w:line="360" w:lineRule="atLeast"/>
        <w:rPr>
          <w:rFonts w:eastAsia="Segoe UI" w:cstheme="minorHAnsi"/>
          <w:color w:val="011A3C"/>
          <w:sz w:val="24"/>
          <w:szCs w:val="24"/>
          <w:lang w:val="en" w:eastAsia="en-AU"/>
        </w:rPr>
      </w:pPr>
      <w:r w:rsidRPr="00A03458">
        <w:rPr>
          <w:rFonts w:eastAsia="Segoe UI" w:cstheme="minorHAnsi"/>
          <w:color w:val="011A3C"/>
          <w:sz w:val="24"/>
          <w:szCs w:val="24"/>
          <w:lang w:val="en" w:eastAsia="en-AU"/>
        </w:rPr>
        <w:t xml:space="preserve">Transition support funding will continue to be available to schools until they transition to Disability Inclusion during the staged 5-year roll-out schedule between 2021 to 2025.  </w:t>
      </w:r>
      <w:r w:rsidR="002C06B3">
        <w:rPr>
          <w:rFonts w:eastAsia="Segoe UI" w:cstheme="minorHAnsi"/>
          <w:color w:val="011A3C"/>
          <w:sz w:val="24"/>
          <w:szCs w:val="24"/>
          <w:lang w:val="en" w:eastAsia="en-AU"/>
        </w:rPr>
        <w:t>To be eligible fo</w:t>
      </w:r>
      <w:r w:rsidR="00BD7865">
        <w:rPr>
          <w:rFonts w:eastAsia="Segoe UI" w:cstheme="minorHAnsi"/>
          <w:color w:val="011A3C"/>
          <w:sz w:val="24"/>
          <w:szCs w:val="24"/>
          <w:lang w:val="en" w:eastAsia="en-AU"/>
        </w:rPr>
        <w:t>r</w:t>
      </w:r>
      <w:r w:rsidR="00946410">
        <w:rPr>
          <w:rFonts w:eastAsia="Segoe UI" w:cstheme="minorHAnsi"/>
          <w:color w:val="011A3C"/>
          <w:sz w:val="24"/>
          <w:szCs w:val="24"/>
          <w:lang w:val="en" w:eastAsia="en-AU"/>
        </w:rPr>
        <w:t xml:space="preserve"> transition support funding, </w:t>
      </w:r>
      <w:r w:rsidR="00BD7865">
        <w:rPr>
          <w:rFonts w:eastAsia="Segoe UI" w:cstheme="minorHAnsi"/>
          <w:color w:val="011A3C"/>
          <w:sz w:val="24"/>
          <w:szCs w:val="24"/>
          <w:lang w:val="en" w:eastAsia="en-AU"/>
        </w:rPr>
        <w:t xml:space="preserve">students must: </w:t>
      </w:r>
    </w:p>
    <w:p w14:paraId="4B19EC6F" w14:textId="406404BF" w:rsidR="006F0AF7" w:rsidRPr="00A03458" w:rsidRDefault="00BD7865" w:rsidP="006F0AF7">
      <w:pPr>
        <w:pStyle w:val="ListParagraph"/>
        <w:numPr>
          <w:ilvl w:val="0"/>
          <w:numId w:val="129"/>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Be </w:t>
      </w:r>
      <w:r w:rsidR="006F0AF7" w:rsidRPr="00A03458">
        <w:rPr>
          <w:rFonts w:eastAsia="Segoe UI" w:cstheme="minorHAnsi"/>
          <w:color w:val="011A3C"/>
          <w:sz w:val="24"/>
          <w:szCs w:val="24"/>
          <w:lang w:val="en" w:eastAsia="en-AU"/>
        </w:rPr>
        <w:t xml:space="preserve">enrolled in a </w:t>
      </w:r>
      <w:r w:rsidR="0082569C" w:rsidRPr="00AB7A20">
        <w:rPr>
          <w:rFonts w:eastAsia="Segoe UI" w:cstheme="minorHAnsi"/>
          <w:color w:val="011A3C"/>
          <w:sz w:val="24"/>
          <w:szCs w:val="24"/>
          <w:lang w:val="en" w:eastAsia="en-AU"/>
        </w:rPr>
        <w:t xml:space="preserve">Program for Students with Disabilities (PSD) </w:t>
      </w:r>
      <w:r w:rsidR="006F0AF7" w:rsidRPr="00A03458">
        <w:rPr>
          <w:rFonts w:eastAsia="Segoe UI" w:cstheme="minorHAnsi"/>
          <w:color w:val="011A3C"/>
          <w:sz w:val="24"/>
          <w:szCs w:val="24"/>
          <w:lang w:val="en" w:eastAsia="en-AU"/>
        </w:rPr>
        <w:t>school in grade 6 or equivalent in 202</w:t>
      </w:r>
      <w:r w:rsidR="009F080C">
        <w:rPr>
          <w:rFonts w:eastAsia="Segoe UI" w:cstheme="minorHAnsi"/>
          <w:color w:val="011A3C"/>
          <w:sz w:val="24"/>
          <w:szCs w:val="24"/>
          <w:lang w:val="en" w:eastAsia="en-AU"/>
        </w:rPr>
        <w:t>3</w:t>
      </w:r>
    </w:p>
    <w:p w14:paraId="3344E0E0" w14:textId="709984B8" w:rsidR="006F0AF7" w:rsidRPr="00A03458" w:rsidRDefault="008A637A" w:rsidP="006F0AF7">
      <w:pPr>
        <w:pStyle w:val="ListParagraph"/>
        <w:numPr>
          <w:ilvl w:val="0"/>
          <w:numId w:val="129"/>
        </w:numPr>
        <w:spacing w:before="100" w:beforeAutospacing="1" w:after="100" w:afterAutospacing="1" w:line="360" w:lineRule="atLeast"/>
        <w:rPr>
          <w:rFonts w:eastAsia="Segoe UI" w:cstheme="minorHAnsi"/>
          <w:color w:val="011A3C"/>
          <w:sz w:val="24"/>
          <w:szCs w:val="24"/>
          <w:lang w:val="en" w:eastAsia="en-AU"/>
        </w:rPr>
      </w:pPr>
      <w:r w:rsidRPr="00A03458">
        <w:rPr>
          <w:rFonts w:eastAsia="Segoe UI" w:cstheme="minorHAnsi"/>
          <w:color w:val="011A3C"/>
          <w:sz w:val="24"/>
          <w:szCs w:val="24"/>
          <w:lang w:val="en" w:eastAsia="en-AU"/>
        </w:rPr>
        <w:t xml:space="preserve">no longer </w:t>
      </w:r>
      <w:r w:rsidR="00BD7865">
        <w:rPr>
          <w:rFonts w:eastAsia="Segoe UI" w:cstheme="minorHAnsi"/>
          <w:color w:val="011A3C"/>
          <w:sz w:val="24"/>
          <w:szCs w:val="24"/>
          <w:lang w:val="en" w:eastAsia="en-AU"/>
        </w:rPr>
        <w:t xml:space="preserve">be </w:t>
      </w:r>
      <w:r w:rsidRPr="00A03458">
        <w:rPr>
          <w:rFonts w:eastAsia="Segoe UI" w:cstheme="minorHAnsi"/>
          <w:color w:val="011A3C"/>
          <w:sz w:val="24"/>
          <w:szCs w:val="24"/>
          <w:lang w:val="en" w:eastAsia="en-AU"/>
        </w:rPr>
        <w:t>eligible for the Program for Students with Disabilities (PSD) after their Year 6-7 Review, and</w:t>
      </w:r>
    </w:p>
    <w:p w14:paraId="0A608F35" w14:textId="5816ED99" w:rsidR="008A637A" w:rsidRPr="00A03458" w:rsidRDefault="00C90E59" w:rsidP="006F0AF7">
      <w:pPr>
        <w:pStyle w:val="ListParagraph"/>
        <w:numPr>
          <w:ilvl w:val="0"/>
          <w:numId w:val="129"/>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be c</w:t>
      </w:r>
      <w:r w:rsidR="00C36E0B" w:rsidRPr="00A03458">
        <w:rPr>
          <w:rFonts w:eastAsia="Segoe UI" w:cstheme="minorHAnsi"/>
          <w:color w:val="011A3C"/>
          <w:sz w:val="24"/>
          <w:szCs w:val="24"/>
          <w:lang w:val="en" w:eastAsia="en-AU"/>
        </w:rPr>
        <w:t xml:space="preserve">ommencing </w:t>
      </w:r>
      <w:r w:rsidR="008A637A" w:rsidRPr="00A03458">
        <w:rPr>
          <w:rFonts w:eastAsia="Segoe UI" w:cstheme="minorHAnsi"/>
          <w:color w:val="011A3C"/>
          <w:sz w:val="24"/>
          <w:szCs w:val="24"/>
          <w:lang w:val="en" w:eastAsia="en-AU"/>
        </w:rPr>
        <w:t>year 7</w:t>
      </w:r>
      <w:r w:rsidR="003B2BEF" w:rsidRPr="00A03458">
        <w:rPr>
          <w:rFonts w:eastAsia="Segoe UI" w:cstheme="minorHAnsi"/>
          <w:color w:val="011A3C"/>
          <w:sz w:val="24"/>
          <w:szCs w:val="24"/>
          <w:lang w:val="en" w:eastAsia="en-AU"/>
        </w:rPr>
        <w:t xml:space="preserve"> in</w:t>
      </w:r>
      <w:r w:rsidR="00C36E0B" w:rsidRPr="00A03458">
        <w:rPr>
          <w:rFonts w:eastAsia="Segoe UI" w:cstheme="minorHAnsi"/>
          <w:color w:val="011A3C"/>
          <w:sz w:val="24"/>
          <w:szCs w:val="24"/>
          <w:lang w:val="en" w:eastAsia="en-AU"/>
        </w:rPr>
        <w:t xml:space="preserve"> a </w:t>
      </w:r>
      <w:r w:rsidR="007A0702" w:rsidRPr="00AB7A20">
        <w:rPr>
          <w:rFonts w:eastAsia="Segoe UI" w:cstheme="minorHAnsi"/>
          <w:color w:val="011A3C"/>
          <w:sz w:val="24"/>
          <w:szCs w:val="24"/>
          <w:lang w:val="en" w:eastAsia="en-AU"/>
        </w:rPr>
        <w:t xml:space="preserve">Program for Students with Disabilities (PSD) </w:t>
      </w:r>
      <w:r w:rsidR="007A0702" w:rsidRPr="00A03458">
        <w:rPr>
          <w:rFonts w:eastAsia="Segoe UI" w:cstheme="minorHAnsi"/>
          <w:color w:val="011A3C"/>
          <w:sz w:val="24"/>
          <w:szCs w:val="24"/>
          <w:lang w:val="en" w:eastAsia="en-AU"/>
        </w:rPr>
        <w:t xml:space="preserve">school </w:t>
      </w:r>
      <w:r w:rsidR="00C36E0B" w:rsidRPr="00A03458">
        <w:rPr>
          <w:rFonts w:eastAsia="Segoe UI" w:cstheme="minorHAnsi"/>
          <w:color w:val="011A3C"/>
          <w:sz w:val="24"/>
          <w:szCs w:val="24"/>
          <w:lang w:val="en" w:eastAsia="en-AU"/>
        </w:rPr>
        <w:t>government secondary school in 202</w:t>
      </w:r>
      <w:r w:rsidR="009F080C">
        <w:rPr>
          <w:rFonts w:eastAsia="Segoe UI" w:cstheme="minorHAnsi"/>
          <w:color w:val="011A3C"/>
          <w:sz w:val="24"/>
          <w:szCs w:val="24"/>
          <w:lang w:val="en" w:eastAsia="en-AU"/>
        </w:rPr>
        <w:t>4</w:t>
      </w:r>
      <w:r w:rsidR="009F25F8" w:rsidRPr="00AB7A20">
        <w:rPr>
          <w:rFonts w:eastAsia="Segoe UI" w:cstheme="minorHAnsi"/>
          <w:color w:val="011A3C"/>
          <w:sz w:val="24"/>
          <w:szCs w:val="24"/>
          <w:lang w:val="en" w:eastAsia="en-AU"/>
        </w:rPr>
        <w:t>.</w:t>
      </w:r>
    </w:p>
    <w:p w14:paraId="17E65F86" w14:textId="39E285CC" w:rsidR="001059CF" w:rsidRPr="00260C1D" w:rsidRDefault="00205123" w:rsidP="001059CF">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Remaining s</w:t>
      </w:r>
      <w:r w:rsidR="001059CF" w:rsidRPr="00260C1D">
        <w:rPr>
          <w:rFonts w:eastAsia="Segoe UI" w:cstheme="minorHAnsi"/>
          <w:color w:val="011A3C"/>
          <w:sz w:val="24"/>
          <w:szCs w:val="24"/>
          <w:lang w:val="en" w:eastAsia="en-AU"/>
        </w:rPr>
        <w:t xml:space="preserve">chools with the following campus types are eligible for Transition Support </w:t>
      </w:r>
      <w:r w:rsidR="002207BA">
        <w:rPr>
          <w:rFonts w:eastAsia="Segoe UI" w:cstheme="minorHAnsi"/>
          <w:color w:val="011A3C"/>
          <w:sz w:val="24"/>
          <w:szCs w:val="24"/>
          <w:lang w:val="en" w:eastAsia="en-AU"/>
        </w:rPr>
        <w:t>F</w:t>
      </w:r>
      <w:r w:rsidR="001059CF" w:rsidRPr="00260C1D">
        <w:rPr>
          <w:rFonts w:eastAsia="Segoe UI" w:cstheme="minorHAnsi"/>
          <w:color w:val="011A3C"/>
          <w:sz w:val="24"/>
          <w:szCs w:val="24"/>
          <w:lang w:val="en" w:eastAsia="en-AU"/>
        </w:rPr>
        <w:t>unding at school level.</w:t>
      </w:r>
    </w:p>
    <w:p w14:paraId="7BEB5438" w14:textId="77777777" w:rsidR="001059CF" w:rsidRPr="009E56BE" w:rsidRDefault="001059CF" w:rsidP="00F56244">
      <w:pPr>
        <w:pStyle w:val="ListParagraph"/>
        <w:numPr>
          <w:ilvl w:val="0"/>
          <w:numId w:val="73"/>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Secondary</w:t>
      </w:r>
    </w:p>
    <w:p w14:paraId="0E0ADF8F" w14:textId="6955809B" w:rsidR="001059CF" w:rsidRPr="009E56BE" w:rsidRDefault="001059CF" w:rsidP="00F56244">
      <w:pPr>
        <w:pStyle w:val="ListParagraph"/>
        <w:numPr>
          <w:ilvl w:val="0"/>
          <w:numId w:val="73"/>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Pri</w:t>
      </w:r>
      <w:r w:rsidR="00AB7BB2" w:rsidRPr="009E56BE">
        <w:rPr>
          <w:rFonts w:eastAsia="Segoe UI" w:cstheme="minorHAnsi"/>
          <w:color w:val="011A3C"/>
          <w:sz w:val="24"/>
          <w:szCs w:val="24"/>
          <w:lang w:val="en" w:eastAsia="en-AU"/>
        </w:rPr>
        <w:t>mary</w:t>
      </w:r>
      <w:r w:rsidRPr="009E56BE">
        <w:rPr>
          <w:rFonts w:eastAsia="Segoe UI" w:cstheme="minorHAnsi"/>
          <w:color w:val="011A3C"/>
          <w:sz w:val="24"/>
          <w:szCs w:val="24"/>
          <w:lang w:val="en" w:eastAsia="en-AU"/>
        </w:rPr>
        <w:t>/Sec</w:t>
      </w:r>
      <w:r w:rsidR="00AB7BB2" w:rsidRPr="009E56BE">
        <w:rPr>
          <w:rFonts w:eastAsia="Segoe UI" w:cstheme="minorHAnsi"/>
          <w:color w:val="011A3C"/>
          <w:sz w:val="24"/>
          <w:szCs w:val="24"/>
          <w:lang w:val="en" w:eastAsia="en-AU"/>
        </w:rPr>
        <w:t>ondary</w:t>
      </w:r>
      <w:r w:rsidR="005B40E3" w:rsidRPr="009E56BE">
        <w:rPr>
          <w:rFonts w:eastAsia="Segoe UI" w:cstheme="minorHAnsi"/>
          <w:color w:val="011A3C"/>
          <w:sz w:val="24"/>
          <w:szCs w:val="24"/>
          <w:lang w:val="en" w:eastAsia="en-AU"/>
        </w:rPr>
        <w:t xml:space="preserve"> Combined</w:t>
      </w:r>
    </w:p>
    <w:p w14:paraId="522F2420" w14:textId="77777777" w:rsidR="001059CF" w:rsidRPr="009E56BE" w:rsidRDefault="001059CF" w:rsidP="00F56244">
      <w:pPr>
        <w:pStyle w:val="ListParagraph"/>
        <w:numPr>
          <w:ilvl w:val="0"/>
          <w:numId w:val="73"/>
        </w:numPr>
        <w:spacing w:before="100" w:beforeAutospacing="1" w:after="100" w:afterAutospacing="1" w:line="360" w:lineRule="atLeast"/>
        <w:rPr>
          <w:rFonts w:eastAsia="Segoe UI" w:cstheme="minorHAnsi"/>
          <w:color w:val="011A3C"/>
          <w:sz w:val="24"/>
          <w:szCs w:val="24"/>
          <w:lang w:val="en" w:eastAsia="en-AU"/>
        </w:rPr>
      </w:pPr>
      <w:r w:rsidRPr="009E56BE">
        <w:rPr>
          <w:rFonts w:eastAsia="Segoe UI" w:cstheme="minorHAnsi"/>
          <w:color w:val="011A3C"/>
          <w:sz w:val="24"/>
          <w:szCs w:val="24"/>
          <w:lang w:val="en" w:eastAsia="en-AU"/>
        </w:rPr>
        <w:t>Special</w:t>
      </w:r>
    </w:p>
    <w:p w14:paraId="7589BBC9" w14:textId="098AEB2C" w:rsidR="001059CF" w:rsidRPr="00260C1D" w:rsidRDefault="001059CF" w:rsidP="001059CF">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calculated at the Confirmed and Revised budget cycles</w:t>
      </w:r>
      <w:r w:rsidR="0069349C">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AB7BB2" w:rsidRPr="00260C1D">
        <w:rPr>
          <w:rFonts w:eastAsia="Segoe UI" w:cstheme="minorHAnsi"/>
          <w:color w:val="011A3C"/>
          <w:sz w:val="24"/>
          <w:szCs w:val="24"/>
          <w:lang w:val="en" w:eastAsia="en-AU"/>
        </w:rPr>
        <w:t>F</w:t>
      </w:r>
      <w:r w:rsidRPr="00260C1D">
        <w:rPr>
          <w:rFonts w:eastAsia="Segoe UI" w:cstheme="minorHAnsi"/>
          <w:color w:val="011A3C"/>
          <w:sz w:val="24"/>
          <w:szCs w:val="24"/>
          <w:lang w:val="en" w:eastAsia="en-AU"/>
        </w:rPr>
        <w:t>unding is allocated through cash funding.</w:t>
      </w:r>
    </w:p>
    <w:p w14:paraId="614F2173" w14:textId="77777777" w:rsidR="00A266A0" w:rsidRPr="00260C1D" w:rsidRDefault="00A266A0" w:rsidP="00A266A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Use of funding</w:t>
      </w:r>
    </w:p>
    <w:p w14:paraId="33C31697" w14:textId="77777777" w:rsidR="00A266A0" w:rsidRPr="00260C1D" w:rsidRDefault="00A266A0" w:rsidP="00A266A0">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Transition Support Funding resources, in consultation with the Student Support Group, can be used to access:</w:t>
      </w:r>
    </w:p>
    <w:p w14:paraId="5E466237" w14:textId="316CA418" w:rsidR="00A266A0" w:rsidRPr="009E56BE" w:rsidRDefault="00793E91" w:rsidP="00F56244">
      <w:pPr>
        <w:pStyle w:val="ListParagraph"/>
        <w:numPr>
          <w:ilvl w:val="0"/>
          <w:numId w:val="74"/>
        </w:numPr>
        <w:rPr>
          <w:rFonts w:eastAsia="Segoe UI" w:cstheme="minorHAnsi"/>
          <w:color w:val="011A3C"/>
          <w:sz w:val="24"/>
          <w:szCs w:val="24"/>
          <w:lang w:val="en" w:eastAsia="en-AU"/>
        </w:rPr>
      </w:pPr>
      <w:r>
        <w:rPr>
          <w:rFonts w:eastAsia="Segoe UI" w:cstheme="minorHAnsi"/>
          <w:color w:val="011A3C"/>
          <w:sz w:val="24"/>
          <w:szCs w:val="24"/>
          <w:lang w:val="en" w:eastAsia="en-AU"/>
        </w:rPr>
        <w:lastRenderedPageBreak/>
        <w:t>C</w:t>
      </w:r>
      <w:r w:rsidR="00A266A0" w:rsidRPr="009E56BE">
        <w:rPr>
          <w:rFonts w:eastAsia="Segoe UI" w:cstheme="minorHAnsi"/>
          <w:color w:val="011A3C"/>
          <w:sz w:val="24"/>
          <w:szCs w:val="24"/>
          <w:lang w:val="en" w:eastAsia="en-AU"/>
        </w:rPr>
        <w:t>onsultation or support from specialist education or allied health staff</w:t>
      </w:r>
    </w:p>
    <w:p w14:paraId="4D32BD22" w14:textId="2FDFED88" w:rsidR="00A266A0" w:rsidRPr="009E56BE" w:rsidRDefault="00793E91" w:rsidP="00F56244">
      <w:pPr>
        <w:pStyle w:val="ListParagraph"/>
        <w:numPr>
          <w:ilvl w:val="0"/>
          <w:numId w:val="74"/>
        </w:numPr>
        <w:rPr>
          <w:rFonts w:eastAsia="Segoe UI" w:cstheme="minorHAnsi"/>
          <w:color w:val="011A3C"/>
          <w:sz w:val="24"/>
          <w:szCs w:val="24"/>
          <w:lang w:val="en" w:eastAsia="en-AU"/>
        </w:rPr>
      </w:pPr>
      <w:r>
        <w:rPr>
          <w:rFonts w:eastAsia="Segoe UI" w:cstheme="minorHAnsi"/>
          <w:color w:val="011A3C"/>
          <w:sz w:val="24"/>
          <w:szCs w:val="24"/>
          <w:lang w:val="en" w:eastAsia="en-AU"/>
        </w:rPr>
        <w:t>P</w:t>
      </w:r>
      <w:r w:rsidR="00A266A0" w:rsidRPr="009E56BE">
        <w:rPr>
          <w:rFonts w:eastAsia="Segoe UI" w:cstheme="minorHAnsi"/>
          <w:color w:val="011A3C"/>
          <w:sz w:val="24"/>
          <w:szCs w:val="24"/>
          <w:lang w:val="en" w:eastAsia="en-AU"/>
        </w:rPr>
        <w:t>rofessional development</w:t>
      </w:r>
    </w:p>
    <w:p w14:paraId="2E8EA36F" w14:textId="3CA858D1" w:rsidR="00A266A0" w:rsidRPr="009E56BE" w:rsidRDefault="00793E91" w:rsidP="00F56244">
      <w:pPr>
        <w:pStyle w:val="ListParagraph"/>
        <w:numPr>
          <w:ilvl w:val="0"/>
          <w:numId w:val="74"/>
        </w:numPr>
        <w:rPr>
          <w:rFonts w:eastAsia="Segoe UI" w:cstheme="minorHAnsi"/>
          <w:color w:val="011A3C"/>
          <w:sz w:val="24"/>
          <w:szCs w:val="24"/>
          <w:lang w:val="en" w:eastAsia="en-AU"/>
        </w:rPr>
      </w:pPr>
      <w:r>
        <w:rPr>
          <w:rFonts w:eastAsia="Segoe UI" w:cstheme="minorHAnsi"/>
          <w:color w:val="011A3C"/>
          <w:sz w:val="24"/>
          <w:szCs w:val="24"/>
          <w:lang w:val="en" w:eastAsia="en-AU"/>
        </w:rPr>
        <w:t>S</w:t>
      </w:r>
      <w:r w:rsidR="00A266A0" w:rsidRPr="009E56BE">
        <w:rPr>
          <w:rFonts w:eastAsia="Segoe UI" w:cstheme="minorHAnsi"/>
          <w:color w:val="011A3C"/>
          <w:sz w:val="24"/>
          <w:szCs w:val="24"/>
          <w:lang w:val="en" w:eastAsia="en-AU"/>
        </w:rPr>
        <w:t>pecialist equipment or materials.</w:t>
      </w:r>
    </w:p>
    <w:p w14:paraId="3120AA3F" w14:textId="69C11D18" w:rsidR="00A266A0" w:rsidRPr="00260C1D" w:rsidRDefault="00A266A0" w:rsidP="00A266A0">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Examples are provided </w:t>
      </w:r>
      <w:r w:rsidR="00793E91">
        <w:rPr>
          <w:rFonts w:eastAsia="Segoe UI" w:cstheme="minorHAnsi"/>
          <w:color w:val="011A3C"/>
          <w:sz w:val="24"/>
          <w:szCs w:val="24"/>
          <w:lang w:val="en" w:eastAsia="en-AU"/>
        </w:rPr>
        <w:t xml:space="preserve">further </w:t>
      </w:r>
      <w:r w:rsidRPr="00260C1D">
        <w:rPr>
          <w:rFonts w:eastAsia="Segoe UI" w:cstheme="minorHAnsi"/>
          <w:color w:val="011A3C"/>
          <w:sz w:val="24"/>
          <w:szCs w:val="24"/>
          <w:lang w:val="en" w:eastAsia="en-AU"/>
        </w:rPr>
        <w:t xml:space="preserve">below. </w:t>
      </w:r>
    </w:p>
    <w:p w14:paraId="4D301352" w14:textId="5AFCB741" w:rsidR="00A266A0" w:rsidRPr="00260C1D" w:rsidRDefault="00A266A0" w:rsidP="00A266A0">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Transition Support Funding resources do not define or limit the support provided by a school for a student. It is the responsibility of the school, in consultation with parents/carers in the Student Support Group, to determine the specific nature of the support required, and schools are required to consider their total budget in supporting students with disability and diverse learning needs.</w:t>
      </w:r>
    </w:p>
    <w:p w14:paraId="486201DC" w14:textId="77777777" w:rsidR="00A266A0" w:rsidRPr="00260C1D" w:rsidRDefault="00A266A0" w:rsidP="00A266A0">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Transition Support Funding resources should not be targeted to students in receipt of supplementary funding through the Program for Students with Disabilities.</w:t>
      </w:r>
    </w:p>
    <w:p w14:paraId="69FC007B" w14:textId="77777777" w:rsidR="00793E91" w:rsidRPr="00260C1D" w:rsidRDefault="00793E91" w:rsidP="00793E91">
      <w:pPr>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Examples for use of funding</w:t>
      </w:r>
    </w:p>
    <w:p w14:paraId="03AB4EBF" w14:textId="77777777" w:rsidR="00793E91" w:rsidRPr="00260C1D" w:rsidRDefault="00793E91" w:rsidP="00793E91">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In consultation with the Student Support Group, consideration can be given to providing more intense support at the beginning of the school year or identifying equipment and materials that will be used over a longer period of time. For example:</w:t>
      </w:r>
    </w:p>
    <w:p w14:paraId="5DF8AF14" w14:textId="77777777" w:rsidR="00793E91" w:rsidRPr="00260C1D" w:rsidRDefault="00793E91" w:rsidP="00793E91">
      <w:pPr>
        <w:rPr>
          <w:rFonts w:cstheme="minorHAnsi"/>
          <w:b/>
          <w:sz w:val="24"/>
          <w:szCs w:val="24"/>
          <w:lang w:val="en"/>
        </w:rPr>
      </w:pPr>
      <w:r w:rsidRPr="00260C1D">
        <w:rPr>
          <w:rFonts w:cstheme="minorHAnsi"/>
          <w:b/>
          <w:sz w:val="24"/>
          <w:szCs w:val="24"/>
          <w:lang w:val="en"/>
        </w:rPr>
        <w:t xml:space="preserve">For a student with </w:t>
      </w:r>
      <w:proofErr w:type="spellStart"/>
      <w:r w:rsidRPr="00260C1D">
        <w:rPr>
          <w:rFonts w:cstheme="minorHAnsi"/>
          <w:b/>
          <w:sz w:val="24"/>
          <w:szCs w:val="24"/>
          <w:lang w:val="en"/>
        </w:rPr>
        <w:t>behaviour</w:t>
      </w:r>
      <w:proofErr w:type="spellEnd"/>
      <w:r w:rsidRPr="00260C1D">
        <w:rPr>
          <w:rFonts w:cstheme="minorHAnsi"/>
          <w:b/>
          <w:sz w:val="24"/>
          <w:szCs w:val="24"/>
          <w:lang w:val="en"/>
        </w:rPr>
        <w:t xml:space="preserve"> support needs</w:t>
      </w:r>
    </w:p>
    <w:p w14:paraId="28618D3A" w14:textId="77777777" w:rsidR="00793E91" w:rsidRPr="00260C1D" w:rsidRDefault="00793E91" w:rsidP="00793E91">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Transition Support Funding may be used for professional development and consultation focused at the beginning of the school year. Transition Support Funding could be used to: </w:t>
      </w:r>
    </w:p>
    <w:p w14:paraId="4173A052" w14:textId="21641EAC" w:rsidR="00793E91" w:rsidRPr="009E56BE" w:rsidRDefault="00793E91" w:rsidP="00F56244">
      <w:pPr>
        <w:pStyle w:val="ListParagraph"/>
        <w:numPr>
          <w:ilvl w:val="0"/>
          <w:numId w:val="75"/>
        </w:numPr>
        <w:rPr>
          <w:rFonts w:eastAsia="Segoe UI" w:cstheme="minorHAnsi"/>
          <w:color w:val="011A3C"/>
          <w:sz w:val="24"/>
          <w:szCs w:val="24"/>
          <w:lang w:val="en" w:eastAsia="en-AU"/>
        </w:rPr>
      </w:pPr>
      <w:r>
        <w:rPr>
          <w:rFonts w:eastAsia="Segoe UI" w:cstheme="minorHAnsi"/>
          <w:color w:val="011A3C"/>
          <w:sz w:val="24"/>
          <w:szCs w:val="24"/>
          <w:lang w:val="en" w:eastAsia="en-AU"/>
        </w:rPr>
        <w:t>P</w:t>
      </w:r>
      <w:r w:rsidRPr="009E56BE">
        <w:rPr>
          <w:rFonts w:eastAsia="Segoe UI" w:cstheme="minorHAnsi"/>
          <w:color w:val="011A3C"/>
          <w:sz w:val="24"/>
          <w:szCs w:val="24"/>
          <w:lang w:val="en" w:eastAsia="en-AU"/>
        </w:rPr>
        <w:t>rovide school staff with the necessary knowledge and skills</w:t>
      </w:r>
    </w:p>
    <w:p w14:paraId="0BDA30C0" w14:textId="6AED78C6" w:rsidR="00793E91" w:rsidRPr="009E56BE" w:rsidRDefault="00793E91" w:rsidP="00F56244">
      <w:pPr>
        <w:pStyle w:val="ListParagraph"/>
        <w:numPr>
          <w:ilvl w:val="0"/>
          <w:numId w:val="75"/>
        </w:numPr>
        <w:rPr>
          <w:rFonts w:eastAsia="Segoe UI" w:cstheme="minorHAnsi"/>
          <w:color w:val="011A3C"/>
          <w:sz w:val="24"/>
          <w:szCs w:val="24"/>
          <w:lang w:val="en" w:eastAsia="en-AU"/>
        </w:rPr>
      </w:pPr>
      <w:r>
        <w:rPr>
          <w:rFonts w:eastAsia="Segoe UI" w:cstheme="minorHAnsi"/>
          <w:color w:val="011A3C"/>
          <w:sz w:val="24"/>
          <w:szCs w:val="24"/>
          <w:lang w:val="en" w:eastAsia="en-AU"/>
        </w:rPr>
        <w:t>D</w:t>
      </w:r>
      <w:r w:rsidRPr="009E56BE">
        <w:rPr>
          <w:rFonts w:eastAsia="Segoe UI" w:cstheme="minorHAnsi"/>
          <w:color w:val="011A3C"/>
          <w:sz w:val="24"/>
          <w:szCs w:val="24"/>
          <w:lang w:val="en" w:eastAsia="en-AU"/>
        </w:rPr>
        <w:t xml:space="preserve">evelop and implement </w:t>
      </w:r>
      <w:hyperlink r:id="rId61" w:history="1">
        <w:proofErr w:type="spellStart"/>
        <w:r w:rsidRPr="001343EC">
          <w:rPr>
            <w:rStyle w:val="Hyperlink"/>
            <w:rFonts w:eastAsia="Segoe UI" w:cstheme="minorHAnsi"/>
            <w:sz w:val="24"/>
            <w:szCs w:val="24"/>
            <w:lang w:val="en" w:eastAsia="en-AU"/>
          </w:rPr>
          <w:t>Behaviour</w:t>
        </w:r>
        <w:proofErr w:type="spellEnd"/>
        <w:r w:rsidRPr="001343EC">
          <w:rPr>
            <w:rStyle w:val="Hyperlink"/>
            <w:rFonts w:eastAsia="Segoe UI" w:cstheme="minorHAnsi"/>
            <w:sz w:val="24"/>
            <w:szCs w:val="24"/>
            <w:lang w:val="en" w:eastAsia="en-AU"/>
          </w:rPr>
          <w:t xml:space="preserve"> Support Plans</w:t>
        </w:r>
      </w:hyperlink>
      <w:r w:rsidRPr="009E56BE">
        <w:rPr>
          <w:rFonts w:eastAsia="Segoe UI" w:cstheme="minorHAnsi"/>
          <w:color w:val="011A3C"/>
          <w:sz w:val="24"/>
          <w:szCs w:val="24"/>
          <w:lang w:val="en" w:eastAsia="en-AU"/>
        </w:rPr>
        <w:t xml:space="preserve"> and resources across the school </w:t>
      </w:r>
    </w:p>
    <w:p w14:paraId="4C8CE9C0" w14:textId="34643533" w:rsidR="00793E91" w:rsidRPr="009E56BE" w:rsidRDefault="00793E91" w:rsidP="00F56244">
      <w:pPr>
        <w:pStyle w:val="ListParagraph"/>
        <w:numPr>
          <w:ilvl w:val="0"/>
          <w:numId w:val="75"/>
        </w:numPr>
        <w:rPr>
          <w:rFonts w:eastAsia="Segoe UI" w:cstheme="minorHAnsi"/>
          <w:color w:val="011A3C"/>
          <w:sz w:val="24"/>
          <w:szCs w:val="24"/>
          <w:lang w:val="en" w:eastAsia="en-AU"/>
        </w:rPr>
      </w:pPr>
      <w:r>
        <w:rPr>
          <w:rFonts w:eastAsia="Segoe UI" w:cstheme="minorHAnsi"/>
          <w:color w:val="011A3C"/>
          <w:sz w:val="24"/>
          <w:szCs w:val="24"/>
          <w:lang w:val="en" w:eastAsia="en-AU"/>
        </w:rPr>
        <w:t>S</w:t>
      </w:r>
      <w:r w:rsidRPr="009E56BE">
        <w:rPr>
          <w:rFonts w:eastAsia="Segoe UI" w:cstheme="minorHAnsi"/>
          <w:color w:val="011A3C"/>
          <w:sz w:val="24"/>
          <w:szCs w:val="24"/>
          <w:lang w:val="en" w:eastAsia="en-AU"/>
        </w:rPr>
        <w:t>upport other adjustments to the school environment as the student begins secondary school.</w:t>
      </w:r>
    </w:p>
    <w:p w14:paraId="54F046D6" w14:textId="77777777" w:rsidR="00793E91" w:rsidRPr="00260C1D" w:rsidRDefault="00793E91" w:rsidP="00793E91">
      <w:pPr>
        <w:rPr>
          <w:rFonts w:cstheme="minorHAnsi"/>
          <w:b/>
          <w:sz w:val="24"/>
          <w:szCs w:val="24"/>
          <w:lang w:val="en"/>
        </w:rPr>
      </w:pPr>
      <w:r w:rsidRPr="00260C1D">
        <w:rPr>
          <w:rFonts w:cstheme="minorHAnsi"/>
          <w:b/>
          <w:sz w:val="24"/>
          <w:szCs w:val="24"/>
          <w:lang w:val="en"/>
        </w:rPr>
        <w:t>For a student with learning support needs</w:t>
      </w:r>
    </w:p>
    <w:p w14:paraId="20DA62A6" w14:textId="77777777" w:rsidR="00793E91" w:rsidRPr="00260C1D" w:rsidRDefault="00793E91" w:rsidP="00793E91">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Transition Support Funding may be used to access specialist education or allied health support. This may identify specialist equipment and educational resources that the school can purchase for the student's </w:t>
      </w:r>
      <w:proofErr w:type="spellStart"/>
      <w:r w:rsidRPr="00260C1D">
        <w:rPr>
          <w:rFonts w:eastAsia="Segoe UI" w:cstheme="minorHAnsi"/>
          <w:color w:val="011A3C"/>
          <w:sz w:val="24"/>
          <w:szCs w:val="24"/>
          <w:lang w:val="en" w:eastAsia="en-AU"/>
        </w:rPr>
        <w:t>personalised</w:t>
      </w:r>
      <w:proofErr w:type="spellEnd"/>
      <w:r w:rsidRPr="00260C1D">
        <w:rPr>
          <w:rFonts w:eastAsia="Segoe UI" w:cstheme="minorHAnsi"/>
          <w:color w:val="011A3C"/>
          <w:sz w:val="24"/>
          <w:szCs w:val="24"/>
          <w:lang w:val="en" w:eastAsia="en-AU"/>
        </w:rPr>
        <w:t xml:space="preserve"> learning and support needs.</w:t>
      </w:r>
    </w:p>
    <w:p w14:paraId="75074B26" w14:textId="77777777" w:rsidR="00793E91" w:rsidRPr="00260C1D" w:rsidRDefault="00793E91" w:rsidP="00793E91">
      <w:pPr>
        <w:rPr>
          <w:rFonts w:cstheme="minorHAnsi"/>
          <w:b/>
          <w:sz w:val="24"/>
          <w:szCs w:val="24"/>
          <w:lang w:val="en"/>
        </w:rPr>
      </w:pPr>
      <w:r w:rsidRPr="00260C1D">
        <w:rPr>
          <w:rFonts w:cstheme="minorHAnsi"/>
          <w:b/>
          <w:sz w:val="24"/>
          <w:szCs w:val="24"/>
          <w:lang w:val="en"/>
        </w:rPr>
        <w:t>For a student with sensory or health support needs</w:t>
      </w:r>
    </w:p>
    <w:p w14:paraId="33DAF0A2" w14:textId="77777777" w:rsidR="00793E91" w:rsidRPr="00260C1D" w:rsidRDefault="00793E91" w:rsidP="00793E91">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Transition Support Funding may be used to purchase personal equipment or resources, specific to the student's needs that will enhance their access and participation in the school's educational programs.</w:t>
      </w:r>
    </w:p>
    <w:p w14:paraId="72EE434A" w14:textId="7AC58D99" w:rsidR="00A266A0" w:rsidRPr="00260C1D" w:rsidRDefault="00A266A0" w:rsidP="00A266A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 xml:space="preserve">Calculation </w:t>
      </w:r>
    </w:p>
    <w:p w14:paraId="39985D14" w14:textId="7F9023E0" w:rsidR="00A266A0" w:rsidRPr="00260C1D" w:rsidRDefault="00A266A0" w:rsidP="00A266A0">
      <w:pPr>
        <w:rPr>
          <w:rFonts w:cstheme="minorHAnsi"/>
          <w:sz w:val="24"/>
          <w:szCs w:val="24"/>
          <w:lang w:val="en"/>
        </w:rPr>
      </w:pPr>
      <w:r w:rsidRPr="00260C1D">
        <w:rPr>
          <w:rFonts w:eastAsia="Segoe UI" w:cstheme="minorHAnsi"/>
          <w:color w:val="011A3C"/>
          <w:sz w:val="24"/>
          <w:szCs w:val="24"/>
          <w:lang w:val="en" w:eastAsia="en-AU"/>
        </w:rPr>
        <w:t xml:space="preserve">Transition Support Funding is calculated on a pro-rata basis according to enrolment information </w:t>
      </w:r>
      <w:r w:rsidR="00D871CE">
        <w:rPr>
          <w:rFonts w:eastAsia="Segoe UI" w:cstheme="minorHAnsi"/>
          <w:color w:val="011A3C"/>
          <w:sz w:val="24"/>
          <w:szCs w:val="24"/>
          <w:lang w:val="en" w:eastAsia="en-AU"/>
        </w:rPr>
        <w:t>in</w:t>
      </w:r>
      <w:r w:rsidR="00561879">
        <w:rPr>
          <w:rFonts w:eastAsia="Segoe UI" w:cstheme="minorHAnsi"/>
          <w:color w:val="011A3C"/>
          <w:sz w:val="24"/>
          <w:szCs w:val="24"/>
          <w:lang w:val="en" w:eastAsia="en-AU"/>
        </w:rPr>
        <w:t xml:space="preserve"> C</w:t>
      </w:r>
      <w:r w:rsidR="00EF1BEE">
        <w:rPr>
          <w:rFonts w:eastAsia="Segoe UI" w:cstheme="minorHAnsi"/>
          <w:color w:val="011A3C"/>
          <w:sz w:val="24"/>
          <w:szCs w:val="24"/>
          <w:lang w:val="en" w:eastAsia="en-AU"/>
        </w:rPr>
        <w:t>ASES</w:t>
      </w:r>
      <w:r w:rsidR="00561879">
        <w:rPr>
          <w:rFonts w:eastAsia="Segoe UI" w:cstheme="minorHAnsi"/>
          <w:color w:val="011A3C"/>
          <w:sz w:val="24"/>
          <w:szCs w:val="24"/>
          <w:lang w:val="en" w:eastAsia="en-AU"/>
        </w:rPr>
        <w:t xml:space="preserve">21 census data. </w:t>
      </w:r>
    </w:p>
    <w:p w14:paraId="25379106" w14:textId="58268084" w:rsidR="00A266A0" w:rsidRPr="00260C1D" w:rsidRDefault="00A266A0" w:rsidP="00A266A0">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 principals will be emailed directly to detail Transition Support Funding allocations following the release of the Confirmed Student Resource Package</w:t>
      </w:r>
      <w:r w:rsidR="00793E91">
        <w:rPr>
          <w:rFonts w:eastAsia="Segoe UI" w:cstheme="minorHAnsi"/>
          <w:color w:val="011A3C"/>
          <w:sz w:val="24"/>
          <w:szCs w:val="24"/>
          <w:lang w:val="en" w:eastAsia="en-AU"/>
        </w:rPr>
        <w:t xml:space="preserve"> (SRP)</w:t>
      </w:r>
      <w:r w:rsidRPr="00260C1D">
        <w:rPr>
          <w:rFonts w:eastAsia="Segoe UI" w:cstheme="minorHAnsi"/>
          <w:color w:val="011A3C"/>
          <w:sz w:val="24"/>
          <w:szCs w:val="24"/>
          <w:lang w:val="en" w:eastAsia="en-AU"/>
        </w:rPr>
        <w:t>.</w:t>
      </w:r>
    </w:p>
    <w:p w14:paraId="5FC354F7" w14:textId="77777777" w:rsidR="00A266A0" w:rsidRPr="00260C1D" w:rsidRDefault="00A266A0" w:rsidP="00A266A0">
      <w:pPr>
        <w:rPr>
          <w:rFonts w:cstheme="minorHAnsi"/>
          <w:sz w:val="24"/>
          <w:szCs w:val="24"/>
        </w:rPr>
      </w:pPr>
      <w:r w:rsidRPr="00260C1D">
        <w:rPr>
          <w:rFonts w:eastAsia="Segoe UI" w:cstheme="minorHAnsi"/>
          <w:color w:val="011A3C"/>
          <w:sz w:val="24"/>
          <w:szCs w:val="24"/>
          <w:lang w:val="en" w:eastAsia="en-AU"/>
        </w:rPr>
        <w:t xml:space="preserve">If a school identifies a student for Transition Support Funding after Term 1, a pro-rata allocation will be considered. In these instances, schools are advised to log a request through the </w:t>
      </w:r>
      <w:hyperlink r:id="rId62" w:tgtFrame="_blank" w:history="1">
        <w:r w:rsidRPr="008614E4">
          <w:rPr>
            <w:rStyle w:val="Hyperlink"/>
            <w:sz w:val="24"/>
            <w:szCs w:val="24"/>
          </w:rPr>
          <w:t>DET Services Portal</w:t>
        </w:r>
      </w:hyperlink>
      <w:r w:rsidRPr="00260C1D">
        <w:rPr>
          <w:rFonts w:cstheme="minorHAnsi"/>
          <w:sz w:val="24"/>
          <w:szCs w:val="24"/>
          <w:lang w:val="en"/>
        </w:rPr>
        <w:t>.</w:t>
      </w:r>
    </w:p>
    <w:p w14:paraId="639F7400" w14:textId="77777777" w:rsidR="00A266A0" w:rsidRDefault="00A266A0" w:rsidP="00A266A0">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Where a student in receipt of Transition Support Funding changes government schools during the year, schools should make local arrangements to transfer resources (including specialist equipment or materials).</w:t>
      </w:r>
    </w:p>
    <w:p w14:paraId="35345BB0" w14:textId="349EB2DE" w:rsidR="00696CCD" w:rsidRPr="00260C1D" w:rsidRDefault="00021B3D" w:rsidP="00A266A0">
      <w:pPr>
        <w:rPr>
          <w:rFonts w:eastAsia="Segoe UI" w:cstheme="minorHAnsi"/>
          <w:color w:val="011A3C"/>
          <w:sz w:val="24"/>
          <w:szCs w:val="24"/>
          <w:lang w:val="en" w:eastAsia="en-AU"/>
        </w:rPr>
      </w:pPr>
      <w:r>
        <w:rPr>
          <w:rFonts w:eastAsia="Segoe UI" w:cstheme="minorHAnsi"/>
          <w:color w:val="011A3C"/>
          <w:sz w:val="24"/>
          <w:szCs w:val="24"/>
          <w:lang w:val="en" w:eastAsia="en-AU"/>
        </w:rPr>
        <w:t xml:space="preserve">This </w:t>
      </w:r>
      <w:r w:rsidR="00F83501">
        <w:rPr>
          <w:rFonts w:eastAsia="Segoe UI" w:cstheme="minorHAnsi"/>
          <w:color w:val="011A3C"/>
          <w:sz w:val="24"/>
          <w:szCs w:val="24"/>
          <w:lang w:val="en" w:eastAsia="en-AU"/>
        </w:rPr>
        <w:t>allocation</w:t>
      </w:r>
      <w:r>
        <w:rPr>
          <w:rFonts w:eastAsia="Segoe UI" w:cstheme="minorHAnsi"/>
          <w:color w:val="011A3C"/>
          <w:sz w:val="24"/>
          <w:szCs w:val="24"/>
          <w:lang w:val="en" w:eastAsia="en-AU"/>
        </w:rPr>
        <w:t xml:space="preserve"> is not included in the Indicative SRP release.</w:t>
      </w:r>
    </w:p>
    <w:p w14:paraId="77320FE5" w14:textId="19E29CE6" w:rsidR="00A266A0" w:rsidRPr="00260C1D" w:rsidRDefault="00A266A0" w:rsidP="00A266A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- 202</w:t>
      </w:r>
      <w:r w:rsidR="00A14FC8">
        <w:rPr>
          <w:rFonts w:eastAsia="Segoe UI" w:cstheme="minorHAnsi"/>
          <w:b/>
          <w:color w:val="011A3C"/>
          <w:sz w:val="27"/>
          <w:szCs w:val="27"/>
          <w:lang w:val="en" w:eastAsia="en-AU"/>
        </w:rPr>
        <w:t>4</w:t>
      </w:r>
    </w:p>
    <w:p w14:paraId="7026B490" w14:textId="254028A0" w:rsidR="001059CF" w:rsidRPr="00DF4FFA" w:rsidRDefault="00A266A0" w:rsidP="00F56244">
      <w:pPr>
        <w:pStyle w:val="ListParagraph"/>
        <w:numPr>
          <w:ilvl w:val="0"/>
          <w:numId w:val="75"/>
        </w:numPr>
        <w:rPr>
          <w:rFonts w:eastAsia="Segoe UI" w:cstheme="minorHAnsi"/>
          <w:color w:val="011A3C"/>
          <w:sz w:val="24"/>
          <w:szCs w:val="24"/>
          <w:lang w:val="en" w:eastAsia="en-AU"/>
        </w:rPr>
      </w:pPr>
      <w:r w:rsidRPr="009E56BE">
        <w:rPr>
          <w:rFonts w:eastAsia="Segoe UI" w:cstheme="minorHAnsi"/>
          <w:color w:val="011A3C"/>
          <w:sz w:val="24"/>
          <w:szCs w:val="24"/>
          <w:lang w:val="en" w:eastAsia="en-AU"/>
        </w:rPr>
        <w:t>Per eligible student (pro-rata)</w:t>
      </w:r>
      <w:r w:rsidR="00E73C8F">
        <w:rPr>
          <w:rFonts w:eastAsia="Segoe UI" w:cstheme="minorHAnsi"/>
          <w:color w:val="011A3C"/>
          <w:sz w:val="24"/>
          <w:szCs w:val="24"/>
          <w:lang w:val="en" w:eastAsia="en-AU"/>
        </w:rPr>
        <w:t>:</w:t>
      </w:r>
      <w:r w:rsidRPr="009E56BE">
        <w:rPr>
          <w:rFonts w:eastAsia="Segoe UI" w:cstheme="minorHAnsi"/>
          <w:color w:val="011A3C"/>
          <w:sz w:val="24"/>
          <w:szCs w:val="24"/>
          <w:lang w:val="en" w:eastAsia="en-AU"/>
        </w:rPr>
        <w:t xml:space="preserve"> Cash $3,000</w:t>
      </w:r>
    </w:p>
    <w:p w14:paraId="1C732D4D" w14:textId="77777777" w:rsidR="00A266A0" w:rsidRPr="00260C1D" w:rsidRDefault="00A266A0" w:rsidP="00A266A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Further information</w:t>
      </w:r>
    </w:p>
    <w:p w14:paraId="099DA25E" w14:textId="77777777" w:rsidR="00A266A0" w:rsidRPr="00260C1D" w:rsidRDefault="00000000" w:rsidP="00F56244">
      <w:pPr>
        <w:numPr>
          <w:ilvl w:val="0"/>
          <w:numId w:val="104"/>
        </w:numPr>
        <w:spacing w:after="0" w:line="240" w:lineRule="auto"/>
        <w:rPr>
          <w:rStyle w:val="Hyperlink"/>
          <w:rFonts w:eastAsia="Segoe UI" w:cstheme="minorHAnsi"/>
          <w:sz w:val="24"/>
          <w:szCs w:val="24"/>
          <w:lang w:eastAsia="en-AU"/>
        </w:rPr>
      </w:pPr>
      <w:hyperlink r:id="rId63" w:history="1">
        <w:r w:rsidR="00A266A0" w:rsidRPr="00260C1D">
          <w:rPr>
            <w:rStyle w:val="Hyperlink"/>
            <w:rFonts w:eastAsia="Segoe UI" w:cstheme="minorHAnsi"/>
            <w:sz w:val="24"/>
            <w:szCs w:val="24"/>
            <w:lang w:eastAsia="en-AU"/>
          </w:rPr>
          <w:t xml:space="preserve">Students with Disability </w:t>
        </w:r>
      </w:hyperlink>
    </w:p>
    <w:p w14:paraId="7F6A96E2" w14:textId="2AA21ED6" w:rsidR="00A266A0" w:rsidRPr="009E56BE" w:rsidRDefault="00AE3868" w:rsidP="00F56244">
      <w:pPr>
        <w:pStyle w:val="ListParagraph"/>
        <w:numPr>
          <w:ilvl w:val="0"/>
          <w:numId w:val="104"/>
        </w:numPr>
        <w:spacing w:after="0" w:line="240" w:lineRule="auto"/>
        <w:rPr>
          <w:rStyle w:val="Hyperlink"/>
          <w:rFonts w:eastAsia="Segoe UI" w:cstheme="minorHAnsi"/>
          <w:sz w:val="24"/>
          <w:szCs w:val="24"/>
          <w:lang w:eastAsia="en-AU"/>
        </w:rPr>
      </w:pPr>
      <w:r w:rsidRPr="00260C1D">
        <w:rPr>
          <w:rFonts w:eastAsia="Segoe UI" w:cstheme="minorHAnsi"/>
          <w:sz w:val="24"/>
          <w:szCs w:val="24"/>
          <w:lang w:eastAsia="en-AU"/>
        </w:rPr>
        <w:fldChar w:fldCharType="begin"/>
      </w:r>
      <w:r w:rsidRPr="009E56BE">
        <w:rPr>
          <w:rFonts w:eastAsia="Times New Roman" w:cstheme="minorHAnsi"/>
          <w:sz w:val="24"/>
          <w:szCs w:val="24"/>
          <w:lang w:eastAsia="en-AU"/>
        </w:rPr>
        <w:instrText xml:space="preserve"> HYPERLINK "https://www2.education.vic.gov.au/pal/student-support-groups/policy" </w:instrText>
      </w:r>
      <w:r w:rsidRPr="00260C1D">
        <w:rPr>
          <w:rFonts w:eastAsia="Segoe UI" w:cstheme="minorHAnsi"/>
          <w:sz w:val="24"/>
          <w:szCs w:val="24"/>
          <w:lang w:eastAsia="en-AU"/>
        </w:rPr>
      </w:r>
      <w:r w:rsidRPr="00260C1D">
        <w:rPr>
          <w:rFonts w:eastAsia="Segoe UI" w:cstheme="minorHAnsi"/>
          <w:sz w:val="24"/>
          <w:szCs w:val="24"/>
          <w:lang w:eastAsia="en-AU"/>
        </w:rPr>
        <w:fldChar w:fldCharType="separate"/>
      </w:r>
      <w:r w:rsidR="00A266A0" w:rsidRPr="009E56BE">
        <w:rPr>
          <w:rStyle w:val="Hyperlink"/>
          <w:rFonts w:eastAsia="Segoe UI" w:cstheme="minorHAnsi"/>
          <w:sz w:val="24"/>
          <w:szCs w:val="24"/>
          <w:lang w:eastAsia="en-AU"/>
        </w:rPr>
        <w:t>Student Support Groups</w:t>
      </w:r>
      <w:r w:rsidRPr="009E56BE">
        <w:rPr>
          <w:rStyle w:val="Hyperlink"/>
          <w:rFonts w:eastAsia="Segoe UI" w:cstheme="minorHAnsi"/>
          <w:sz w:val="24"/>
          <w:szCs w:val="24"/>
          <w:lang w:eastAsia="en-AU"/>
        </w:rPr>
        <w:t xml:space="preserve"> </w:t>
      </w:r>
    </w:p>
    <w:p w14:paraId="372B58C8" w14:textId="167CE72E" w:rsidR="00A266A0" w:rsidRPr="00260C1D" w:rsidRDefault="00AE3868" w:rsidP="00F56244">
      <w:pPr>
        <w:pStyle w:val="ListParagraph"/>
        <w:numPr>
          <w:ilvl w:val="0"/>
          <w:numId w:val="104"/>
        </w:numPr>
        <w:rPr>
          <w:rStyle w:val="Hyperlink"/>
          <w:rFonts w:eastAsia="Segoe UI" w:cstheme="minorHAnsi"/>
          <w:sz w:val="24"/>
          <w:szCs w:val="24"/>
          <w:lang w:eastAsia="en-AU"/>
        </w:rPr>
      </w:pPr>
      <w:r w:rsidRPr="00260C1D">
        <w:rPr>
          <w:rFonts w:eastAsia="Segoe UI"/>
          <w:sz w:val="24"/>
          <w:szCs w:val="24"/>
          <w:lang w:eastAsia="en-AU"/>
        </w:rPr>
        <w:fldChar w:fldCharType="end"/>
      </w:r>
      <w:hyperlink r:id="rId64" w:history="1">
        <w:r w:rsidR="00A266A0" w:rsidRPr="00260C1D">
          <w:rPr>
            <w:rStyle w:val="Hyperlink"/>
            <w:rFonts w:eastAsia="Segoe UI" w:cstheme="minorHAnsi"/>
            <w:sz w:val="24"/>
            <w:szCs w:val="24"/>
            <w:lang w:eastAsia="en-AU"/>
          </w:rPr>
          <w:t>Program for Students with Disabilities Management System (PSDMS) — information and user guides</w:t>
        </w:r>
      </w:hyperlink>
    </w:p>
    <w:p w14:paraId="14F9D417" w14:textId="77777777" w:rsidR="00A266A0" w:rsidRPr="009E56BE" w:rsidRDefault="00000000" w:rsidP="00F56244">
      <w:pPr>
        <w:pStyle w:val="ListParagraph"/>
        <w:numPr>
          <w:ilvl w:val="1"/>
          <w:numId w:val="104"/>
        </w:numPr>
        <w:spacing w:after="0" w:line="240" w:lineRule="auto"/>
        <w:rPr>
          <w:rStyle w:val="Hyperlink"/>
          <w:rFonts w:eastAsia="Segoe UI" w:cstheme="minorHAnsi"/>
          <w:sz w:val="24"/>
          <w:szCs w:val="24"/>
          <w:lang w:eastAsia="en-AU"/>
        </w:rPr>
      </w:pPr>
      <w:hyperlink r:id="rId65" w:history="1">
        <w:r w:rsidR="00A266A0" w:rsidRPr="009E56BE">
          <w:rPr>
            <w:rStyle w:val="Hyperlink"/>
            <w:rFonts w:eastAsia="Segoe UI" w:cstheme="minorHAnsi"/>
            <w:sz w:val="24"/>
            <w:szCs w:val="24"/>
            <w:lang w:eastAsia="en-AU"/>
          </w:rPr>
          <w:t>PSDMS log in (for registered users)</w:t>
        </w:r>
      </w:hyperlink>
    </w:p>
    <w:p w14:paraId="4F4A2B41" w14:textId="19497892" w:rsidR="00A266A0" w:rsidRPr="009E56BE" w:rsidRDefault="00000000" w:rsidP="00F56244">
      <w:pPr>
        <w:pStyle w:val="ListParagraph"/>
        <w:numPr>
          <w:ilvl w:val="0"/>
          <w:numId w:val="104"/>
        </w:numPr>
        <w:spacing w:after="0" w:line="240" w:lineRule="auto"/>
        <w:rPr>
          <w:rStyle w:val="Hyperlink"/>
          <w:rFonts w:eastAsia="Segoe UI" w:cstheme="minorHAnsi"/>
          <w:sz w:val="24"/>
          <w:szCs w:val="24"/>
          <w:lang w:eastAsia="en-AU"/>
        </w:rPr>
      </w:pPr>
      <w:hyperlink r:id="rId66" w:tgtFrame="_blank" w:history="1">
        <w:r w:rsidR="00A266A0" w:rsidRPr="009E56BE">
          <w:rPr>
            <w:rStyle w:val="Hyperlink"/>
            <w:rFonts w:eastAsia="Segoe UI" w:cstheme="minorHAnsi"/>
            <w:sz w:val="24"/>
            <w:szCs w:val="24"/>
            <w:lang w:eastAsia="en-AU"/>
          </w:rPr>
          <w:t>DET Services Portal</w:t>
        </w:r>
      </w:hyperlink>
    </w:p>
    <w:p w14:paraId="7A7D977A" w14:textId="77777777" w:rsidR="00BF1637" w:rsidRPr="009E56BE" w:rsidRDefault="00000000" w:rsidP="00F56244">
      <w:pPr>
        <w:pStyle w:val="ListParagraph"/>
        <w:numPr>
          <w:ilvl w:val="0"/>
          <w:numId w:val="104"/>
        </w:numPr>
        <w:spacing w:after="0" w:line="240" w:lineRule="auto"/>
        <w:rPr>
          <w:rStyle w:val="Hyperlink"/>
          <w:rFonts w:eastAsia="Segoe UI" w:cstheme="minorHAnsi"/>
          <w:sz w:val="24"/>
          <w:szCs w:val="24"/>
          <w:lang w:eastAsia="en-AU"/>
        </w:rPr>
      </w:pPr>
      <w:hyperlink r:id="rId67" w:history="1">
        <w:proofErr w:type="spellStart"/>
        <w:r w:rsidR="00BF1637" w:rsidRPr="009E56BE">
          <w:rPr>
            <w:rStyle w:val="Hyperlink"/>
            <w:rFonts w:eastAsia="Segoe UI" w:cstheme="minorHAnsi"/>
            <w:sz w:val="24"/>
            <w:szCs w:val="24"/>
            <w:lang w:val="en" w:eastAsia="en-AU"/>
          </w:rPr>
          <w:t>Behaviour</w:t>
        </w:r>
        <w:proofErr w:type="spellEnd"/>
        <w:r w:rsidR="00BF1637" w:rsidRPr="009E56BE">
          <w:rPr>
            <w:rStyle w:val="Hyperlink"/>
            <w:rFonts w:eastAsia="Segoe UI" w:cstheme="minorHAnsi"/>
            <w:sz w:val="24"/>
            <w:szCs w:val="24"/>
            <w:lang w:val="en" w:eastAsia="en-AU"/>
          </w:rPr>
          <w:t xml:space="preserve"> Support Plans</w:t>
        </w:r>
      </w:hyperlink>
    </w:p>
    <w:p w14:paraId="32A32C97" w14:textId="3A417F23" w:rsidR="00BF1637" w:rsidRPr="009E56BE" w:rsidRDefault="00000000" w:rsidP="00F56244">
      <w:pPr>
        <w:pStyle w:val="ListParagraph"/>
        <w:numPr>
          <w:ilvl w:val="0"/>
          <w:numId w:val="104"/>
        </w:numPr>
        <w:spacing w:after="0" w:line="240" w:lineRule="auto"/>
        <w:rPr>
          <w:rStyle w:val="Hyperlink"/>
          <w:rFonts w:eastAsia="Segoe UI" w:cstheme="minorHAnsi"/>
          <w:sz w:val="24"/>
          <w:szCs w:val="24"/>
          <w:lang w:eastAsia="en-AU"/>
        </w:rPr>
      </w:pPr>
      <w:hyperlink r:id="rId68" w:history="1">
        <w:r w:rsidR="00BF1637" w:rsidRPr="009E56BE">
          <w:rPr>
            <w:rStyle w:val="Hyperlink"/>
            <w:rFonts w:eastAsia="Segoe UI" w:cstheme="minorHAnsi"/>
            <w:sz w:val="24"/>
            <w:szCs w:val="24"/>
            <w:lang w:val="en" w:eastAsia="en-AU"/>
          </w:rPr>
          <w:t>Health Care Needs</w:t>
        </w:r>
      </w:hyperlink>
      <w:r w:rsidR="00BF1637" w:rsidRPr="009E56BE">
        <w:rPr>
          <w:rStyle w:val="Hyperlink"/>
          <w:rFonts w:eastAsia="Segoe UI" w:cstheme="minorHAnsi"/>
          <w:sz w:val="24"/>
          <w:szCs w:val="24"/>
          <w:lang w:eastAsia="en-AU"/>
        </w:rPr>
        <w:t xml:space="preserve"> </w:t>
      </w:r>
    </w:p>
    <w:p w14:paraId="667B809B" w14:textId="77777777" w:rsidR="00A266A0" w:rsidRPr="00614B09" w:rsidRDefault="00A266A0" w:rsidP="00F56244">
      <w:pPr>
        <w:pStyle w:val="ListParagraph"/>
        <w:numPr>
          <w:ilvl w:val="0"/>
          <w:numId w:val="104"/>
        </w:numPr>
        <w:rPr>
          <w:rFonts w:eastAsia="Segoe UI" w:cstheme="minorHAnsi"/>
          <w:b/>
          <w:color w:val="2F5496" w:themeColor="accent1" w:themeShade="BF"/>
          <w:sz w:val="36"/>
          <w:szCs w:val="26"/>
          <w:lang w:val="en" w:eastAsia="en-AU"/>
        </w:rPr>
      </w:pPr>
      <w:r w:rsidRPr="00511670">
        <w:rPr>
          <w:rFonts w:cstheme="minorHAnsi"/>
        </w:rPr>
        <w:br w:type="page"/>
      </w:r>
    </w:p>
    <w:p w14:paraId="314B5FAA" w14:textId="5CF892C9" w:rsidR="00AD16F0" w:rsidRPr="00260C1D" w:rsidRDefault="00AD16F0" w:rsidP="00532A33">
      <w:pPr>
        <w:pStyle w:val="Heading2"/>
      </w:pPr>
      <w:bookmarkStart w:id="69" w:name="_Toc141965244"/>
      <w:bookmarkStart w:id="70" w:name="_Toc145339574"/>
      <w:bookmarkStart w:id="71" w:name="_Toc153791897"/>
      <w:r w:rsidRPr="00260C1D">
        <w:lastRenderedPageBreak/>
        <w:t>Special School Complexity Allowance (Reference 18)</w:t>
      </w:r>
      <w:bookmarkEnd w:id="69"/>
      <w:bookmarkEnd w:id="70"/>
      <w:bookmarkEnd w:id="71"/>
    </w:p>
    <w:p w14:paraId="33A1CC2F" w14:textId="090D74D9"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Special </w:t>
      </w:r>
      <w:r w:rsidR="007800B8">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chool </w:t>
      </w:r>
      <w:r w:rsidR="007800B8">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omplexity </w:t>
      </w:r>
      <w:r w:rsidR="007800B8">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llowance will apply to specialist schools receiving per capita student</w:t>
      </w:r>
      <w:r w:rsidR="007800B8">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based </w:t>
      </w:r>
      <w:r w:rsidR="007800B8">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ore </w:t>
      </w:r>
      <w:r w:rsidR="007800B8">
        <w:rPr>
          <w:rFonts w:eastAsia="Segoe UI" w:cstheme="minorHAnsi"/>
          <w:color w:val="011A3C"/>
          <w:sz w:val="24"/>
          <w:szCs w:val="24"/>
          <w:lang w:val="en" w:eastAsia="en-AU"/>
        </w:rPr>
        <w:t>I</w:t>
      </w:r>
      <w:r w:rsidRPr="00260C1D">
        <w:rPr>
          <w:rFonts w:eastAsia="Segoe UI" w:cstheme="minorHAnsi"/>
          <w:color w:val="011A3C"/>
          <w:sz w:val="24"/>
          <w:szCs w:val="24"/>
          <w:lang w:val="en" w:eastAsia="en-AU"/>
        </w:rPr>
        <w:t xml:space="preserve">ndex and Program for Student with Disabilities </w:t>
      </w:r>
      <w:r w:rsidR="007800B8">
        <w:rPr>
          <w:rFonts w:eastAsia="Segoe UI" w:cstheme="minorHAnsi"/>
          <w:color w:val="011A3C"/>
          <w:sz w:val="24"/>
          <w:szCs w:val="24"/>
          <w:lang w:val="en" w:eastAsia="en-AU"/>
        </w:rPr>
        <w:t>L</w:t>
      </w:r>
      <w:r w:rsidRPr="00260C1D">
        <w:rPr>
          <w:rFonts w:eastAsia="Segoe UI" w:cstheme="minorHAnsi"/>
          <w:color w:val="011A3C"/>
          <w:sz w:val="24"/>
          <w:szCs w:val="24"/>
          <w:lang w:val="en" w:eastAsia="en-AU"/>
        </w:rPr>
        <w:t>evel 1-6 allocations.</w:t>
      </w:r>
    </w:p>
    <w:p w14:paraId="6122EF3A" w14:textId="68C367FA"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Special </w:t>
      </w:r>
      <w:r w:rsidR="007800B8">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chool </w:t>
      </w:r>
      <w:r w:rsidR="007800B8">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omplexity </w:t>
      </w:r>
      <w:r w:rsidR="007800B8">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llowance is calculated once a year (</w:t>
      </w:r>
      <w:r w:rsidR="007800B8">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onfirmed budget cycle) by multiplying the Core Index enrolment totals (Reference 5) by a school specific index point from the chart below. The index point is determined by calculating the weighted mean of the Students with Disabilities index </w:t>
      </w:r>
      <w:r w:rsidR="007800B8">
        <w:rPr>
          <w:rFonts w:eastAsia="Segoe UI" w:cstheme="minorHAnsi"/>
          <w:color w:val="011A3C"/>
          <w:sz w:val="24"/>
          <w:szCs w:val="24"/>
          <w:lang w:val="en" w:eastAsia="en-AU"/>
        </w:rPr>
        <w:t>L</w:t>
      </w:r>
      <w:r w:rsidRPr="00260C1D">
        <w:rPr>
          <w:rFonts w:eastAsia="Segoe UI" w:cstheme="minorHAnsi"/>
          <w:color w:val="011A3C"/>
          <w:sz w:val="24"/>
          <w:szCs w:val="24"/>
          <w:lang w:val="en" w:eastAsia="en-AU"/>
        </w:rPr>
        <w:t>evels 1-6 in the school</w:t>
      </w:r>
      <w:r w:rsidR="00443B74" w:rsidRPr="00260C1D">
        <w:rPr>
          <w:rFonts w:eastAsia="Segoe UI" w:cstheme="minorHAnsi"/>
          <w:color w:val="011A3C"/>
          <w:sz w:val="24"/>
          <w:szCs w:val="24"/>
          <w:lang w:val="en" w:eastAsia="en-AU"/>
        </w:rPr>
        <w:t xml:space="preserve"> as</w:t>
      </w:r>
      <w:r w:rsidRPr="00260C1D">
        <w:rPr>
          <w:rFonts w:eastAsia="Segoe UI" w:cstheme="minorHAnsi"/>
          <w:color w:val="011A3C"/>
          <w:sz w:val="24"/>
          <w:szCs w:val="24"/>
          <w:lang w:val="en" w:eastAsia="en-AU"/>
        </w:rPr>
        <w:t xml:space="preserve"> at</w:t>
      </w:r>
      <w:r w:rsidR="00443B74" w:rsidRPr="00260C1D">
        <w:rPr>
          <w:rFonts w:eastAsia="Segoe UI" w:cstheme="minorHAnsi"/>
          <w:color w:val="011A3C"/>
          <w:sz w:val="24"/>
          <w:szCs w:val="24"/>
          <w:lang w:val="en" w:eastAsia="en-AU"/>
        </w:rPr>
        <w:t xml:space="preserve"> </w:t>
      </w:r>
      <w:r w:rsidR="00F12663" w:rsidRPr="00260C1D">
        <w:rPr>
          <w:rFonts w:eastAsia="Segoe UI" w:cstheme="minorHAnsi"/>
          <w:color w:val="011A3C"/>
          <w:sz w:val="24"/>
          <w:szCs w:val="24"/>
          <w:lang w:val="en" w:eastAsia="en-AU"/>
        </w:rPr>
        <w:t>Term 1</w:t>
      </w:r>
      <w:r w:rsidRPr="00260C1D">
        <w:rPr>
          <w:rFonts w:eastAsia="Segoe UI" w:cstheme="minorHAnsi"/>
          <w:color w:val="011A3C"/>
          <w:sz w:val="24"/>
          <w:szCs w:val="24"/>
          <w:lang w:val="en" w:eastAsia="en-AU"/>
        </w:rPr>
        <w:t>.</w:t>
      </w:r>
    </w:p>
    <w:p w14:paraId="14408134"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An example of the Special School Complexity Allowance calculation can be seen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78"/>
        <w:gridCol w:w="2230"/>
        <w:gridCol w:w="5548"/>
      </w:tblGrid>
      <w:tr w:rsidR="00371B75" w:rsidRPr="00260C1D" w14:paraId="43172051" w14:textId="77777777" w:rsidTr="00080034">
        <w:tc>
          <w:tcPr>
            <w:tcW w:w="0" w:type="auto"/>
            <w:gridSpan w:val="3"/>
            <w:vAlign w:val="center"/>
            <w:hideMark/>
          </w:tcPr>
          <w:p w14:paraId="09A96868" w14:textId="7602B047" w:rsidR="00AD16F0" w:rsidRPr="00260C1D" w:rsidRDefault="00AD16F0" w:rsidP="00AD16F0">
            <w:pPr>
              <w:spacing w:before="100" w:beforeAutospacing="1" w:after="100" w:afterAutospacing="1" w:line="288" w:lineRule="atLeast"/>
              <w:textAlignment w:val="top"/>
              <w:outlineLvl w:val="3"/>
              <w:rPr>
                <w:rFonts w:eastAsia="Segoe UI" w:cstheme="minorHAnsi"/>
                <w:color w:val="323E4F" w:themeColor="text2" w:themeShade="BF"/>
                <w:sz w:val="24"/>
                <w:szCs w:val="24"/>
                <w:lang w:eastAsia="en-AU"/>
              </w:rPr>
            </w:pPr>
            <w:r w:rsidRPr="00260C1D">
              <w:rPr>
                <w:rFonts w:eastAsia="Segoe UI" w:cstheme="minorHAnsi"/>
                <w:b/>
                <w:color w:val="323E4F" w:themeColor="text2" w:themeShade="BF"/>
                <w:sz w:val="24"/>
                <w:szCs w:val="24"/>
                <w:lang w:eastAsia="en-AU"/>
              </w:rPr>
              <w:t>Exa</w:t>
            </w:r>
            <w:r w:rsidRPr="007800B8">
              <w:rPr>
                <w:rFonts w:eastAsia="Segoe UI" w:cstheme="minorHAnsi"/>
                <w:b/>
                <w:color w:val="323E4F" w:themeColor="text2" w:themeShade="BF"/>
                <w:sz w:val="24"/>
                <w:szCs w:val="24"/>
                <w:lang w:eastAsia="en-AU"/>
              </w:rPr>
              <w:t xml:space="preserve">mple </w:t>
            </w:r>
            <w:r w:rsidRPr="00614B09">
              <w:rPr>
                <w:rFonts w:eastAsia="Segoe UI" w:cstheme="minorHAnsi"/>
                <w:b/>
                <w:color w:val="323E4F" w:themeColor="text2" w:themeShade="BF"/>
                <w:sz w:val="24"/>
                <w:szCs w:val="24"/>
                <w:lang w:eastAsia="en-AU"/>
              </w:rPr>
              <w:t>— Special School Complexity Allowance calculation</w:t>
            </w:r>
            <w:r w:rsidR="007667A1" w:rsidRPr="00614B09">
              <w:rPr>
                <w:rFonts w:eastAsia="Segoe UI" w:cstheme="minorHAnsi"/>
                <w:b/>
                <w:color w:val="323E4F" w:themeColor="text2" w:themeShade="BF"/>
                <w:sz w:val="24"/>
                <w:szCs w:val="24"/>
                <w:lang w:eastAsia="en-AU"/>
              </w:rPr>
              <w:t xml:space="preserve"> to derive the index point</w:t>
            </w:r>
          </w:p>
        </w:tc>
      </w:tr>
      <w:tr w:rsidR="00371B75" w:rsidRPr="00260C1D" w14:paraId="5BA40CBF" w14:textId="77777777" w:rsidTr="00080034">
        <w:tc>
          <w:tcPr>
            <w:tcW w:w="0" w:type="auto"/>
            <w:hideMark/>
          </w:tcPr>
          <w:p w14:paraId="693FA8A7" w14:textId="77777777" w:rsidR="00AD16F0" w:rsidRPr="00614B09" w:rsidRDefault="00AD16F0" w:rsidP="00080034">
            <w:pPr>
              <w:spacing w:after="0" w:line="240" w:lineRule="atLeast"/>
              <w:jc w:val="center"/>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PSD Level</w:t>
            </w:r>
          </w:p>
        </w:tc>
        <w:tc>
          <w:tcPr>
            <w:tcW w:w="0" w:type="auto"/>
            <w:hideMark/>
          </w:tcPr>
          <w:p w14:paraId="4A35F7B8" w14:textId="1C1BB857" w:rsidR="00AD16F0" w:rsidRPr="00614B09" w:rsidRDefault="00AD16F0" w:rsidP="00080034">
            <w:pPr>
              <w:spacing w:after="0" w:line="240" w:lineRule="atLeast"/>
              <w:jc w:val="center"/>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Students</w:t>
            </w:r>
            <w:r w:rsidR="00F53380">
              <w:rPr>
                <w:rFonts w:eastAsia="Segoe UI" w:cstheme="minorHAnsi"/>
                <w:b/>
                <w:bCs/>
                <w:color w:val="323E4F" w:themeColor="text2" w:themeShade="BF"/>
                <w:sz w:val="24"/>
                <w:szCs w:val="24"/>
                <w:lang w:eastAsia="en-AU"/>
              </w:rPr>
              <w:t xml:space="preserve"> FTE</w:t>
            </w:r>
          </w:p>
        </w:tc>
        <w:tc>
          <w:tcPr>
            <w:tcW w:w="0" w:type="auto"/>
            <w:hideMark/>
          </w:tcPr>
          <w:p w14:paraId="136D1AA6" w14:textId="6E7BADCE" w:rsidR="00AD16F0" w:rsidRPr="00614B09" w:rsidRDefault="00AD16F0" w:rsidP="00080034">
            <w:pPr>
              <w:spacing w:after="0" w:line="240" w:lineRule="atLeast"/>
              <w:jc w:val="center"/>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 xml:space="preserve">Weighting Value </w:t>
            </w:r>
            <w:r w:rsidR="007667A1" w:rsidRPr="00614B09">
              <w:rPr>
                <w:rFonts w:eastAsia="Segoe UI" w:cstheme="minorHAnsi"/>
                <w:b/>
                <w:bCs/>
                <w:color w:val="323E4F" w:themeColor="text2" w:themeShade="BF"/>
                <w:sz w:val="24"/>
                <w:szCs w:val="24"/>
                <w:lang w:eastAsia="en-AU"/>
              </w:rPr>
              <w:t>PSD Level</w:t>
            </w:r>
            <w:r w:rsidR="00E655E4">
              <w:rPr>
                <w:rFonts w:eastAsia="Segoe UI" w:cstheme="minorHAnsi"/>
                <w:b/>
                <w:bCs/>
                <w:color w:val="323E4F" w:themeColor="text2" w:themeShade="BF"/>
                <w:sz w:val="24"/>
                <w:szCs w:val="24"/>
                <w:lang w:eastAsia="en-AU"/>
              </w:rPr>
              <w:t xml:space="preserve"> × </w:t>
            </w:r>
            <w:r w:rsidR="00801E6F">
              <w:rPr>
                <w:rFonts w:eastAsia="Segoe UI" w:cstheme="minorHAnsi"/>
                <w:b/>
                <w:bCs/>
                <w:color w:val="323E4F" w:themeColor="text2" w:themeShade="BF"/>
                <w:sz w:val="24"/>
                <w:szCs w:val="24"/>
                <w:lang w:eastAsia="en-AU"/>
              </w:rPr>
              <w:t>FTE</w:t>
            </w:r>
          </w:p>
        </w:tc>
      </w:tr>
      <w:tr w:rsidR="00371B75" w:rsidRPr="00260C1D" w14:paraId="34FEBC4C" w14:textId="77777777" w:rsidTr="00080034">
        <w:tc>
          <w:tcPr>
            <w:tcW w:w="0" w:type="auto"/>
            <w:hideMark/>
          </w:tcPr>
          <w:p w14:paraId="3F89EF4D" w14:textId="77777777" w:rsidR="00AD16F0" w:rsidRPr="00260C1D" w:rsidRDefault="00AD16F0" w:rsidP="000800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w:t>
            </w:r>
          </w:p>
        </w:tc>
        <w:tc>
          <w:tcPr>
            <w:tcW w:w="0" w:type="auto"/>
            <w:hideMark/>
          </w:tcPr>
          <w:p w14:paraId="29AE36BD" w14:textId="77777777" w:rsidR="00AD16F0" w:rsidRPr="00260C1D" w:rsidRDefault="00AD16F0" w:rsidP="000800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10</w:t>
            </w:r>
          </w:p>
        </w:tc>
        <w:tc>
          <w:tcPr>
            <w:tcW w:w="0" w:type="auto"/>
            <w:hideMark/>
          </w:tcPr>
          <w:p w14:paraId="1B76BB5E" w14:textId="77777777" w:rsidR="00AD16F0" w:rsidRPr="00260C1D" w:rsidRDefault="00AD16F0" w:rsidP="000800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10</w:t>
            </w:r>
          </w:p>
        </w:tc>
      </w:tr>
      <w:tr w:rsidR="00371B75" w:rsidRPr="00260C1D" w14:paraId="095AA27B" w14:textId="77777777" w:rsidTr="00080034">
        <w:tc>
          <w:tcPr>
            <w:tcW w:w="0" w:type="auto"/>
            <w:hideMark/>
          </w:tcPr>
          <w:p w14:paraId="2B8A7D76" w14:textId="77777777" w:rsidR="00AD16F0" w:rsidRPr="00260C1D" w:rsidRDefault="00AD16F0" w:rsidP="000800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w:t>
            </w:r>
          </w:p>
        </w:tc>
        <w:tc>
          <w:tcPr>
            <w:tcW w:w="0" w:type="auto"/>
            <w:hideMark/>
          </w:tcPr>
          <w:p w14:paraId="7AFBE723" w14:textId="77777777" w:rsidR="00AD16F0" w:rsidRPr="00260C1D" w:rsidRDefault="00AD16F0" w:rsidP="000800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15</w:t>
            </w:r>
          </w:p>
        </w:tc>
        <w:tc>
          <w:tcPr>
            <w:tcW w:w="0" w:type="auto"/>
            <w:hideMark/>
          </w:tcPr>
          <w:p w14:paraId="2CDF30AA" w14:textId="77777777" w:rsidR="00AD16F0" w:rsidRPr="00260C1D" w:rsidRDefault="00AD16F0" w:rsidP="000800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30</w:t>
            </w:r>
          </w:p>
        </w:tc>
      </w:tr>
      <w:tr w:rsidR="00371B75" w:rsidRPr="00260C1D" w14:paraId="6E0F9461" w14:textId="77777777" w:rsidTr="00080034">
        <w:tc>
          <w:tcPr>
            <w:tcW w:w="0" w:type="auto"/>
            <w:hideMark/>
          </w:tcPr>
          <w:p w14:paraId="75180F6A" w14:textId="77777777" w:rsidR="00AD16F0" w:rsidRPr="00260C1D" w:rsidRDefault="00AD16F0" w:rsidP="000800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3</w:t>
            </w:r>
          </w:p>
        </w:tc>
        <w:tc>
          <w:tcPr>
            <w:tcW w:w="0" w:type="auto"/>
            <w:hideMark/>
          </w:tcPr>
          <w:p w14:paraId="37144155" w14:textId="77777777" w:rsidR="00AD16F0" w:rsidRPr="00260C1D" w:rsidRDefault="00AD16F0" w:rsidP="000800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w:t>
            </w:r>
          </w:p>
        </w:tc>
        <w:tc>
          <w:tcPr>
            <w:tcW w:w="0" w:type="auto"/>
            <w:hideMark/>
          </w:tcPr>
          <w:p w14:paraId="1F1B1C0B" w14:textId="77777777" w:rsidR="00AD16F0" w:rsidRPr="00260C1D" w:rsidRDefault="00AD16F0" w:rsidP="000800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15</w:t>
            </w:r>
          </w:p>
        </w:tc>
      </w:tr>
      <w:tr w:rsidR="00371B75" w:rsidRPr="00260C1D" w14:paraId="12A1C9CF" w14:textId="77777777" w:rsidTr="00080034">
        <w:tc>
          <w:tcPr>
            <w:tcW w:w="0" w:type="auto"/>
            <w:hideMark/>
          </w:tcPr>
          <w:p w14:paraId="66BC4AE4" w14:textId="77777777" w:rsidR="00AD16F0" w:rsidRPr="00260C1D" w:rsidRDefault="00AD16F0" w:rsidP="000800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4</w:t>
            </w:r>
          </w:p>
        </w:tc>
        <w:tc>
          <w:tcPr>
            <w:tcW w:w="0" w:type="auto"/>
            <w:hideMark/>
          </w:tcPr>
          <w:p w14:paraId="6091FE31" w14:textId="77777777" w:rsidR="00AD16F0" w:rsidRPr="00260C1D" w:rsidRDefault="00AD16F0" w:rsidP="000800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w:t>
            </w:r>
          </w:p>
        </w:tc>
        <w:tc>
          <w:tcPr>
            <w:tcW w:w="0" w:type="auto"/>
            <w:hideMark/>
          </w:tcPr>
          <w:p w14:paraId="5BD1972F" w14:textId="77777777" w:rsidR="00AD16F0" w:rsidRPr="00260C1D" w:rsidRDefault="00AD16F0" w:rsidP="000800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20</w:t>
            </w:r>
          </w:p>
        </w:tc>
      </w:tr>
      <w:tr w:rsidR="00371B75" w:rsidRPr="00260C1D" w14:paraId="37C82F72" w14:textId="77777777" w:rsidTr="00080034">
        <w:tc>
          <w:tcPr>
            <w:tcW w:w="0" w:type="auto"/>
            <w:hideMark/>
          </w:tcPr>
          <w:p w14:paraId="63C7B49B" w14:textId="77777777" w:rsidR="00AD16F0" w:rsidRPr="00260C1D" w:rsidRDefault="00AD16F0" w:rsidP="000800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w:t>
            </w:r>
          </w:p>
        </w:tc>
        <w:tc>
          <w:tcPr>
            <w:tcW w:w="0" w:type="auto"/>
            <w:hideMark/>
          </w:tcPr>
          <w:p w14:paraId="7F68972A" w14:textId="77777777" w:rsidR="00AD16F0" w:rsidRPr="00260C1D" w:rsidRDefault="00AD16F0" w:rsidP="000800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w:t>
            </w:r>
          </w:p>
        </w:tc>
        <w:tc>
          <w:tcPr>
            <w:tcW w:w="0" w:type="auto"/>
            <w:hideMark/>
          </w:tcPr>
          <w:p w14:paraId="6A7C25EF" w14:textId="77777777" w:rsidR="00AD16F0" w:rsidRPr="00260C1D" w:rsidRDefault="00AD16F0" w:rsidP="000800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25</w:t>
            </w:r>
          </w:p>
        </w:tc>
      </w:tr>
      <w:tr w:rsidR="00371B75" w:rsidRPr="00260C1D" w14:paraId="3DF263E7" w14:textId="77777777" w:rsidTr="00080034">
        <w:tc>
          <w:tcPr>
            <w:tcW w:w="0" w:type="auto"/>
            <w:hideMark/>
          </w:tcPr>
          <w:p w14:paraId="15D0F84A" w14:textId="77777777" w:rsidR="00AD16F0" w:rsidRPr="00260C1D" w:rsidRDefault="00AD16F0" w:rsidP="000800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6</w:t>
            </w:r>
          </w:p>
        </w:tc>
        <w:tc>
          <w:tcPr>
            <w:tcW w:w="0" w:type="auto"/>
            <w:hideMark/>
          </w:tcPr>
          <w:p w14:paraId="0CD1FA7D" w14:textId="77777777" w:rsidR="00AD16F0" w:rsidRPr="00260C1D" w:rsidRDefault="00AD16F0" w:rsidP="000800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w:t>
            </w:r>
          </w:p>
        </w:tc>
        <w:tc>
          <w:tcPr>
            <w:tcW w:w="0" w:type="auto"/>
            <w:hideMark/>
          </w:tcPr>
          <w:p w14:paraId="6E834B73" w14:textId="0F74D2AF" w:rsidR="00AD16F0" w:rsidRPr="00260C1D" w:rsidRDefault="00AD16F0" w:rsidP="00080034">
            <w:pPr>
              <w:spacing w:after="0" w:line="360" w:lineRule="atLeast"/>
              <w:jc w:val="center"/>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30</w:t>
            </w:r>
          </w:p>
        </w:tc>
      </w:tr>
      <w:tr w:rsidR="00371B75" w:rsidRPr="00260C1D" w14:paraId="316EE53E" w14:textId="77777777" w:rsidTr="00080034">
        <w:tc>
          <w:tcPr>
            <w:tcW w:w="0" w:type="auto"/>
            <w:hideMark/>
          </w:tcPr>
          <w:p w14:paraId="16EF68C4" w14:textId="3F7595CC" w:rsidR="00AD16F0" w:rsidRPr="00614B09" w:rsidRDefault="007667A1" w:rsidP="00080034">
            <w:pPr>
              <w:spacing w:after="0" w:line="360" w:lineRule="atLeast"/>
              <w:jc w:val="center"/>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No. of Students</w:t>
            </w:r>
          </w:p>
        </w:tc>
        <w:tc>
          <w:tcPr>
            <w:tcW w:w="0" w:type="auto"/>
            <w:hideMark/>
          </w:tcPr>
          <w:p w14:paraId="7992E47E" w14:textId="77777777" w:rsidR="00AD16F0" w:rsidRPr="00614B09" w:rsidRDefault="00AD16F0" w:rsidP="00080034">
            <w:pPr>
              <w:spacing w:after="0" w:line="360" w:lineRule="atLeast"/>
              <w:jc w:val="center"/>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45</w:t>
            </w:r>
          </w:p>
        </w:tc>
        <w:tc>
          <w:tcPr>
            <w:tcW w:w="0" w:type="auto"/>
            <w:hideMark/>
          </w:tcPr>
          <w:p w14:paraId="1354A5F2" w14:textId="77777777" w:rsidR="00AD16F0" w:rsidRPr="00614B09" w:rsidRDefault="00AD16F0" w:rsidP="00080034">
            <w:pPr>
              <w:spacing w:after="0" w:line="360" w:lineRule="atLeast"/>
              <w:jc w:val="center"/>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130</w:t>
            </w:r>
          </w:p>
        </w:tc>
      </w:tr>
    </w:tbl>
    <w:p w14:paraId="468977FB" w14:textId="03CA101F" w:rsidR="00AD16F0" w:rsidRPr="00260C1D" w:rsidRDefault="007667A1"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323E4F" w:themeColor="text2" w:themeShade="BF"/>
          <w:sz w:val="24"/>
          <w:szCs w:val="24"/>
          <w:lang w:val="en" w:eastAsia="en-AU"/>
        </w:rPr>
        <w:t xml:space="preserve">Index </w:t>
      </w:r>
      <w:r w:rsidR="007800B8">
        <w:rPr>
          <w:rFonts w:eastAsia="Segoe UI" w:cstheme="minorHAnsi"/>
          <w:color w:val="323E4F" w:themeColor="text2" w:themeShade="BF"/>
          <w:sz w:val="24"/>
          <w:szCs w:val="24"/>
          <w:lang w:val="en" w:eastAsia="en-AU"/>
        </w:rPr>
        <w:t>p</w:t>
      </w:r>
      <w:r w:rsidRPr="00260C1D">
        <w:rPr>
          <w:rFonts w:eastAsia="Segoe UI" w:cstheme="minorHAnsi"/>
          <w:color w:val="323E4F" w:themeColor="text2" w:themeShade="BF"/>
          <w:sz w:val="24"/>
          <w:szCs w:val="24"/>
          <w:lang w:val="en" w:eastAsia="en-AU"/>
        </w:rPr>
        <w:t>oint = 130 (weighted value)/45 (students</w:t>
      </w:r>
      <w:r w:rsidR="00F53380">
        <w:rPr>
          <w:rFonts w:eastAsia="Segoe UI" w:cstheme="minorHAnsi"/>
          <w:color w:val="323E4F" w:themeColor="text2" w:themeShade="BF"/>
          <w:sz w:val="24"/>
          <w:szCs w:val="24"/>
          <w:lang w:val="en" w:eastAsia="en-AU"/>
        </w:rPr>
        <w:t xml:space="preserve"> FTE</w:t>
      </w:r>
      <w:r w:rsidRPr="00260C1D">
        <w:rPr>
          <w:rFonts w:eastAsia="Segoe UI" w:cstheme="minorHAnsi"/>
          <w:color w:val="323E4F" w:themeColor="text2" w:themeShade="BF"/>
          <w:sz w:val="24"/>
          <w:szCs w:val="24"/>
          <w:lang w:val="en" w:eastAsia="en-AU"/>
        </w:rPr>
        <w:t>) = 2.9</w:t>
      </w:r>
      <w:r w:rsidR="00711257" w:rsidRPr="00260C1D">
        <w:rPr>
          <w:rFonts w:eastAsia="Segoe UI" w:cstheme="minorHAnsi"/>
          <w:color w:val="323E4F" w:themeColor="text2" w:themeShade="BF"/>
          <w:sz w:val="24"/>
          <w:szCs w:val="24"/>
          <w:lang w:val="en" w:eastAsia="en-AU"/>
        </w:rPr>
        <w:t xml:space="preserve"> </w:t>
      </w:r>
      <w:r w:rsidR="00AD16F0" w:rsidRPr="00260C1D">
        <w:rPr>
          <w:rFonts w:eastAsia="Segoe UI" w:cstheme="minorHAnsi"/>
          <w:color w:val="323E4F" w:themeColor="text2" w:themeShade="BF"/>
          <w:sz w:val="24"/>
          <w:szCs w:val="24"/>
          <w:lang w:val="en" w:eastAsia="en-AU"/>
        </w:rPr>
        <w:t>Supplemen</w:t>
      </w:r>
      <w:r w:rsidR="00AD16F0" w:rsidRPr="00260C1D">
        <w:rPr>
          <w:rFonts w:eastAsia="Segoe UI" w:cstheme="minorHAnsi"/>
          <w:color w:val="011A3C"/>
          <w:sz w:val="24"/>
          <w:szCs w:val="24"/>
          <w:lang w:val="en" w:eastAsia="en-AU"/>
        </w:rPr>
        <w:t xml:space="preserve">tation per student = </w:t>
      </w:r>
      <w:r w:rsidR="00C9456F" w:rsidRPr="00260C1D">
        <w:rPr>
          <w:rFonts w:eastAsia="Segoe UI" w:cstheme="minorHAnsi"/>
          <w:color w:val="011A3C"/>
          <w:sz w:val="24"/>
          <w:szCs w:val="24"/>
          <w:lang w:val="en" w:eastAsia="en-AU"/>
        </w:rPr>
        <w:t>$</w:t>
      </w:r>
      <w:r w:rsidR="000D09FE" w:rsidRPr="000D09FE">
        <w:rPr>
          <w:rFonts w:eastAsia="Segoe UI" w:cstheme="minorHAnsi"/>
          <w:color w:val="011A3C"/>
          <w:sz w:val="24"/>
          <w:szCs w:val="24"/>
          <w:lang w:val="en" w:eastAsia="en-AU"/>
        </w:rPr>
        <w:t>1,048.10</w:t>
      </w:r>
      <w:r w:rsidR="000D09FE" w:rsidRPr="000D09FE" w:rsidDel="000D09FE">
        <w:rPr>
          <w:rFonts w:eastAsia="Segoe UI" w:cstheme="minorHAnsi"/>
          <w:color w:val="011A3C"/>
          <w:sz w:val="24"/>
          <w:szCs w:val="24"/>
          <w:lang w:val="en" w:eastAsia="en-AU"/>
        </w:rPr>
        <w:t xml:space="preserve"> </w:t>
      </w:r>
      <w:r w:rsidR="00AD16F0" w:rsidRPr="00260C1D">
        <w:rPr>
          <w:rFonts w:eastAsia="Segoe UI" w:cstheme="minorHAnsi"/>
          <w:color w:val="011A3C"/>
          <w:sz w:val="24"/>
          <w:szCs w:val="24"/>
          <w:lang w:val="en" w:eastAsia="en-AU"/>
        </w:rPr>
        <w:t>(from rates table</w:t>
      </w:r>
      <w:r w:rsidRPr="00260C1D">
        <w:rPr>
          <w:rFonts w:cstheme="minorHAnsi"/>
        </w:rPr>
        <w:t xml:space="preserve"> </w:t>
      </w:r>
      <w:r w:rsidRPr="00260C1D">
        <w:rPr>
          <w:rFonts w:eastAsia="Segoe UI" w:cstheme="minorHAnsi"/>
          <w:color w:val="011A3C"/>
          <w:sz w:val="24"/>
          <w:szCs w:val="24"/>
          <w:lang w:val="en" w:eastAsia="en-AU"/>
        </w:rPr>
        <w:t>for index point 2.9)</w:t>
      </w:r>
      <w:r w:rsidR="00AD16F0" w:rsidRPr="00260C1D">
        <w:rPr>
          <w:rFonts w:eastAsia="Segoe UI" w:cstheme="minorHAnsi"/>
          <w:color w:val="011A3C"/>
          <w:sz w:val="24"/>
          <w:szCs w:val="24"/>
          <w:lang w:val="en" w:eastAsia="en-AU"/>
        </w:rPr>
        <w:t>)</w:t>
      </w:r>
    </w:p>
    <w:p w14:paraId="22CCBD0A" w14:textId="504D6A9A"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Special School Complexity Allowance = </w:t>
      </w:r>
      <w:r w:rsidR="00C9456F" w:rsidRPr="00260C1D">
        <w:rPr>
          <w:rFonts w:eastAsia="Segoe UI" w:cstheme="minorHAnsi"/>
          <w:color w:val="011A3C"/>
          <w:sz w:val="24"/>
          <w:szCs w:val="24"/>
          <w:lang w:val="en" w:eastAsia="en-AU"/>
        </w:rPr>
        <w:t>$</w:t>
      </w:r>
      <w:r w:rsidR="000D09FE" w:rsidRPr="000D09FE">
        <w:rPr>
          <w:rFonts w:eastAsia="Segoe UI" w:cstheme="minorHAnsi"/>
          <w:color w:val="011A3C"/>
          <w:sz w:val="24"/>
          <w:szCs w:val="24"/>
          <w:lang w:val="en" w:eastAsia="en-AU"/>
        </w:rPr>
        <w:t>1,048.10</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 xml:space="preserve">45 = </w:t>
      </w:r>
      <w:r w:rsidR="00C9456F" w:rsidRPr="00260C1D">
        <w:rPr>
          <w:rFonts w:eastAsia="Segoe UI" w:cstheme="minorHAnsi"/>
          <w:color w:val="011A3C"/>
          <w:sz w:val="24"/>
          <w:szCs w:val="24"/>
          <w:lang w:val="en" w:eastAsia="en-AU"/>
        </w:rPr>
        <w:t>$</w:t>
      </w:r>
      <w:r w:rsidR="00AE146F" w:rsidRPr="00AE146F">
        <w:rPr>
          <w:rFonts w:eastAsia="Segoe UI" w:cstheme="minorHAnsi"/>
          <w:color w:val="011A3C"/>
          <w:sz w:val="24"/>
          <w:szCs w:val="24"/>
          <w:lang w:val="en" w:eastAsia="en-AU"/>
        </w:rPr>
        <w:t>47</w:t>
      </w:r>
      <w:r w:rsidR="00AE146F">
        <w:rPr>
          <w:rFonts w:eastAsia="Segoe UI" w:cstheme="minorHAnsi"/>
          <w:color w:val="011A3C"/>
          <w:sz w:val="24"/>
          <w:szCs w:val="24"/>
          <w:lang w:val="en" w:eastAsia="en-AU"/>
        </w:rPr>
        <w:t>,</w:t>
      </w:r>
      <w:r w:rsidR="00AE146F" w:rsidRPr="00AE146F">
        <w:rPr>
          <w:rFonts w:eastAsia="Segoe UI" w:cstheme="minorHAnsi"/>
          <w:color w:val="011A3C"/>
          <w:sz w:val="24"/>
          <w:szCs w:val="24"/>
          <w:lang w:val="en" w:eastAsia="en-AU"/>
        </w:rPr>
        <w:t>164.5</w:t>
      </w:r>
      <w:r w:rsidR="00AE146F">
        <w:rPr>
          <w:rFonts w:eastAsia="Segoe UI" w:cstheme="minorHAnsi"/>
          <w:color w:val="011A3C"/>
          <w:sz w:val="24"/>
          <w:szCs w:val="24"/>
          <w:lang w:val="en" w:eastAsia="en-AU"/>
        </w:rPr>
        <w:t>0</w:t>
      </w:r>
    </w:p>
    <w:p w14:paraId="237CEED8" w14:textId="77777777" w:rsidR="00AD16F0" w:rsidRPr="00260C1D" w:rsidRDefault="00AD16F0" w:rsidP="00AD16F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0AE38F84" w14:textId="73EFD5C2" w:rsidR="00AD16F0" w:rsidRDefault="00AD16F0" w:rsidP="00AD16F0">
      <w:pPr>
        <w:spacing w:before="100" w:beforeAutospacing="1" w:after="100" w:afterAutospacing="1" w:line="360" w:lineRule="atLeast"/>
        <w:rPr>
          <w:rFonts w:cstheme="minorHAnsi"/>
          <w:color w:val="011A3C"/>
          <w:lang w:val="en"/>
        </w:rPr>
      </w:pPr>
      <w:r w:rsidRPr="00260C1D">
        <w:rPr>
          <w:rFonts w:eastAsia="Segoe UI" w:cstheme="minorHAnsi"/>
          <w:color w:val="011A3C"/>
          <w:sz w:val="24"/>
          <w:szCs w:val="24"/>
          <w:lang w:val="en" w:eastAsia="en-AU"/>
        </w:rPr>
        <w:t>Schools with the following campus types are eligible for</w:t>
      </w:r>
      <w:r w:rsidR="009758B9" w:rsidRPr="00260C1D">
        <w:rPr>
          <w:rFonts w:cstheme="minorHAnsi"/>
          <w:color w:val="011A3C"/>
          <w:lang w:val="en"/>
        </w:rPr>
        <w:t xml:space="preserve"> the specialist school complexity allowance</w:t>
      </w:r>
      <w:r w:rsidR="007800B8">
        <w:rPr>
          <w:rFonts w:cstheme="minorHAnsi"/>
          <w:color w:val="011A3C"/>
          <w:lang w:val="en"/>
        </w:rPr>
        <w:t>:</w:t>
      </w:r>
    </w:p>
    <w:p w14:paraId="1165D94B" w14:textId="5CA1719E" w:rsidR="007D56C3" w:rsidRDefault="007800B8" w:rsidP="00F56244">
      <w:pPr>
        <w:pStyle w:val="ListParagraph"/>
        <w:numPr>
          <w:ilvl w:val="0"/>
          <w:numId w:val="75"/>
        </w:numPr>
        <w:rPr>
          <w:rFonts w:eastAsia="Segoe UI" w:cstheme="minorHAnsi"/>
          <w:color w:val="011A3C"/>
          <w:sz w:val="24"/>
          <w:szCs w:val="24"/>
          <w:lang w:val="en" w:eastAsia="en-AU"/>
        </w:rPr>
      </w:pPr>
      <w:r w:rsidRPr="00614B09">
        <w:rPr>
          <w:rFonts w:eastAsia="Segoe UI" w:cstheme="minorHAnsi"/>
          <w:color w:val="011A3C"/>
          <w:sz w:val="24"/>
          <w:szCs w:val="24"/>
          <w:lang w:val="en" w:eastAsia="en-AU"/>
        </w:rPr>
        <w:t>Day Special</w:t>
      </w:r>
    </w:p>
    <w:p w14:paraId="76E1D514" w14:textId="68A808C8" w:rsidR="007800B8" w:rsidRPr="00614B09" w:rsidRDefault="007800B8" w:rsidP="00F56244">
      <w:pPr>
        <w:pStyle w:val="ListParagraph"/>
        <w:numPr>
          <w:ilvl w:val="0"/>
          <w:numId w:val="75"/>
        </w:numPr>
        <w:rPr>
          <w:rFonts w:eastAsia="Segoe UI" w:cstheme="minorHAnsi"/>
          <w:color w:val="011A3C"/>
          <w:sz w:val="24"/>
          <w:szCs w:val="24"/>
          <w:lang w:val="en" w:eastAsia="en-AU"/>
        </w:rPr>
      </w:pPr>
      <w:r w:rsidRPr="00614B09">
        <w:rPr>
          <w:rFonts w:eastAsia="Segoe UI" w:cstheme="minorHAnsi"/>
          <w:color w:val="011A3C"/>
          <w:sz w:val="24"/>
          <w:szCs w:val="24"/>
          <w:lang w:val="en" w:eastAsia="en-AU"/>
        </w:rPr>
        <w:t>Special Development</w:t>
      </w:r>
    </w:p>
    <w:p w14:paraId="50B84B56" w14:textId="77777777" w:rsidR="007800B8" w:rsidRPr="00614B09" w:rsidRDefault="007800B8" w:rsidP="00F56244">
      <w:pPr>
        <w:pStyle w:val="ListParagraph"/>
        <w:numPr>
          <w:ilvl w:val="0"/>
          <w:numId w:val="75"/>
        </w:numPr>
        <w:rPr>
          <w:rFonts w:eastAsia="Segoe UI" w:cstheme="minorHAnsi"/>
          <w:color w:val="011A3C"/>
          <w:sz w:val="24"/>
          <w:szCs w:val="24"/>
          <w:lang w:val="en" w:eastAsia="en-AU"/>
        </w:rPr>
      </w:pPr>
      <w:r w:rsidRPr="00614B09">
        <w:rPr>
          <w:rFonts w:eastAsia="Segoe UI" w:cstheme="minorHAnsi"/>
          <w:color w:val="011A3C"/>
          <w:sz w:val="24"/>
          <w:szCs w:val="24"/>
          <w:lang w:val="en" w:eastAsia="en-AU"/>
        </w:rPr>
        <w:t>Disability</w:t>
      </w:r>
    </w:p>
    <w:p w14:paraId="492F11CF" w14:textId="77777777" w:rsidR="007800B8" w:rsidRPr="00614B09" w:rsidRDefault="007800B8" w:rsidP="00F56244">
      <w:pPr>
        <w:pStyle w:val="ListParagraph"/>
        <w:numPr>
          <w:ilvl w:val="0"/>
          <w:numId w:val="75"/>
        </w:numPr>
        <w:rPr>
          <w:rFonts w:eastAsia="Segoe UI" w:cstheme="minorHAnsi"/>
          <w:color w:val="011A3C"/>
          <w:sz w:val="24"/>
          <w:szCs w:val="24"/>
          <w:lang w:val="en" w:eastAsia="en-AU"/>
        </w:rPr>
      </w:pPr>
      <w:r w:rsidRPr="00614B09">
        <w:rPr>
          <w:rFonts w:eastAsia="Segoe UI" w:cstheme="minorHAnsi"/>
          <w:color w:val="011A3C"/>
          <w:sz w:val="24"/>
          <w:szCs w:val="24"/>
          <w:lang w:val="en" w:eastAsia="en-AU"/>
        </w:rPr>
        <w:t>Special</w:t>
      </w:r>
    </w:p>
    <w:p w14:paraId="2DCB1DCC" w14:textId="77777777" w:rsidR="007800B8" w:rsidRPr="00614B09" w:rsidRDefault="007800B8" w:rsidP="00F56244">
      <w:pPr>
        <w:pStyle w:val="ListParagraph"/>
        <w:numPr>
          <w:ilvl w:val="0"/>
          <w:numId w:val="75"/>
        </w:numPr>
        <w:rPr>
          <w:rFonts w:eastAsia="Segoe UI" w:cstheme="minorHAnsi"/>
          <w:color w:val="011A3C"/>
          <w:sz w:val="24"/>
          <w:szCs w:val="24"/>
          <w:lang w:val="en" w:eastAsia="en-AU"/>
        </w:rPr>
      </w:pPr>
      <w:r w:rsidRPr="00614B09">
        <w:rPr>
          <w:rFonts w:eastAsia="Segoe UI" w:cstheme="minorHAnsi"/>
          <w:color w:val="011A3C"/>
          <w:sz w:val="24"/>
          <w:szCs w:val="24"/>
          <w:lang w:val="en" w:eastAsia="en-AU"/>
        </w:rPr>
        <w:t>Furlong Park School for Deaf Children</w:t>
      </w:r>
    </w:p>
    <w:p w14:paraId="72AAED98" w14:textId="77777777" w:rsidR="00AD16F0" w:rsidRPr="00260C1D" w:rsidRDefault="00AD16F0" w:rsidP="00AD16F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2269CCDE" w14:textId="52E8745A"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Special School Complexity Allowance = Core Index enrolment × Supplementation per </w:t>
      </w:r>
      <w:r w:rsidR="007800B8">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tudent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6"/>
        <w:gridCol w:w="2590"/>
        <w:gridCol w:w="895"/>
        <w:gridCol w:w="2590"/>
        <w:gridCol w:w="895"/>
        <w:gridCol w:w="2590"/>
      </w:tblGrid>
      <w:tr w:rsidR="00371B75" w:rsidRPr="00260C1D" w14:paraId="247547F3" w14:textId="77777777" w:rsidTr="006C7CCA">
        <w:trPr>
          <w:tblHeader/>
          <w:jc w:val="center"/>
        </w:trPr>
        <w:tc>
          <w:tcPr>
            <w:tcW w:w="0" w:type="auto"/>
            <w:gridSpan w:val="6"/>
            <w:vAlign w:val="center"/>
            <w:hideMark/>
          </w:tcPr>
          <w:p w14:paraId="4FE522CF" w14:textId="18E2E780" w:rsidR="00AD16F0" w:rsidRPr="00260C1D" w:rsidRDefault="007667A1" w:rsidP="00AD16F0">
            <w:pPr>
              <w:spacing w:after="0" w:line="360" w:lineRule="atLeast"/>
              <w:textAlignment w:val="top"/>
              <w:rPr>
                <w:rFonts w:eastAsia="Segoe UI" w:cstheme="minorHAnsi"/>
                <w:b/>
                <w:color w:val="323E4F" w:themeColor="text2" w:themeShade="BF"/>
                <w:sz w:val="24"/>
                <w:szCs w:val="24"/>
                <w:lang w:eastAsia="en-AU"/>
              </w:rPr>
            </w:pPr>
            <w:r w:rsidRPr="00260C1D">
              <w:rPr>
                <w:rFonts w:eastAsia="Segoe UI" w:cstheme="minorHAnsi"/>
                <w:b/>
                <w:color w:val="323E4F" w:themeColor="text2" w:themeShade="BF"/>
                <w:sz w:val="24"/>
                <w:szCs w:val="24"/>
                <w:lang w:eastAsia="en-AU"/>
              </w:rPr>
              <w:lastRenderedPageBreak/>
              <w:t xml:space="preserve">Index </w:t>
            </w:r>
            <w:r w:rsidR="007800B8">
              <w:rPr>
                <w:rFonts w:eastAsia="Segoe UI" w:cstheme="minorHAnsi"/>
                <w:b/>
                <w:color w:val="323E4F" w:themeColor="text2" w:themeShade="BF"/>
                <w:sz w:val="24"/>
                <w:szCs w:val="24"/>
                <w:lang w:eastAsia="en-AU"/>
              </w:rPr>
              <w:t>p</w:t>
            </w:r>
            <w:r w:rsidRPr="00260C1D">
              <w:rPr>
                <w:rFonts w:eastAsia="Segoe UI" w:cstheme="minorHAnsi"/>
                <w:b/>
                <w:color w:val="323E4F" w:themeColor="text2" w:themeShade="BF"/>
                <w:sz w:val="24"/>
                <w:szCs w:val="24"/>
                <w:lang w:eastAsia="en-AU"/>
              </w:rPr>
              <w:t xml:space="preserve">oint </w:t>
            </w:r>
            <w:r w:rsidR="007800B8">
              <w:rPr>
                <w:rFonts w:eastAsia="Segoe UI" w:cstheme="minorHAnsi"/>
                <w:b/>
                <w:color w:val="323E4F" w:themeColor="text2" w:themeShade="BF"/>
                <w:sz w:val="24"/>
                <w:szCs w:val="24"/>
                <w:lang w:eastAsia="en-AU"/>
              </w:rPr>
              <w:t>r</w:t>
            </w:r>
            <w:r w:rsidR="00AD16F0" w:rsidRPr="00260C1D">
              <w:rPr>
                <w:rFonts w:eastAsia="Segoe UI" w:cstheme="minorHAnsi"/>
                <w:b/>
                <w:color w:val="323E4F" w:themeColor="text2" w:themeShade="BF"/>
                <w:sz w:val="24"/>
                <w:szCs w:val="24"/>
                <w:lang w:eastAsia="en-AU"/>
              </w:rPr>
              <w:t>ates — 202</w:t>
            </w:r>
            <w:r w:rsidR="004416E2">
              <w:rPr>
                <w:rFonts w:eastAsia="Segoe UI" w:cstheme="minorHAnsi"/>
                <w:b/>
                <w:color w:val="323E4F" w:themeColor="text2" w:themeShade="BF"/>
                <w:sz w:val="24"/>
                <w:szCs w:val="24"/>
                <w:lang w:eastAsia="en-AU"/>
              </w:rPr>
              <w:t>4</w:t>
            </w:r>
          </w:p>
        </w:tc>
      </w:tr>
      <w:tr w:rsidR="00371B75" w:rsidRPr="00502685" w14:paraId="7FA3AD1F" w14:textId="77777777" w:rsidTr="006C7CCA">
        <w:trPr>
          <w:tblHeader/>
          <w:jc w:val="center"/>
        </w:trPr>
        <w:tc>
          <w:tcPr>
            <w:tcW w:w="0" w:type="auto"/>
            <w:hideMark/>
          </w:tcPr>
          <w:p w14:paraId="42560C92" w14:textId="77777777" w:rsidR="00AD16F0" w:rsidRPr="00614B09" w:rsidRDefault="00AD16F0"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Index Point</w:t>
            </w:r>
          </w:p>
        </w:tc>
        <w:tc>
          <w:tcPr>
            <w:tcW w:w="0" w:type="auto"/>
            <w:hideMark/>
          </w:tcPr>
          <w:p w14:paraId="7A2D07F7" w14:textId="77777777" w:rsidR="00AD16F0" w:rsidRPr="00614B09" w:rsidRDefault="00AD16F0"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Supplementation per Student ($)</w:t>
            </w:r>
          </w:p>
        </w:tc>
        <w:tc>
          <w:tcPr>
            <w:tcW w:w="0" w:type="auto"/>
            <w:hideMark/>
          </w:tcPr>
          <w:p w14:paraId="2C978126" w14:textId="77777777" w:rsidR="00AD16F0" w:rsidRPr="00614B09" w:rsidRDefault="00AD16F0"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Index Point</w:t>
            </w:r>
          </w:p>
        </w:tc>
        <w:tc>
          <w:tcPr>
            <w:tcW w:w="0" w:type="auto"/>
            <w:hideMark/>
          </w:tcPr>
          <w:p w14:paraId="4B42505E" w14:textId="77777777" w:rsidR="00AD16F0" w:rsidRPr="00614B09" w:rsidRDefault="00AD16F0"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Supplementation per Student ($)</w:t>
            </w:r>
          </w:p>
        </w:tc>
        <w:tc>
          <w:tcPr>
            <w:tcW w:w="0" w:type="auto"/>
            <w:hideMark/>
          </w:tcPr>
          <w:p w14:paraId="4A11FD84" w14:textId="77777777" w:rsidR="00AD16F0" w:rsidRPr="00614B09" w:rsidRDefault="00AD16F0"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Index Point</w:t>
            </w:r>
          </w:p>
        </w:tc>
        <w:tc>
          <w:tcPr>
            <w:tcW w:w="0" w:type="auto"/>
            <w:hideMark/>
          </w:tcPr>
          <w:p w14:paraId="2F3782DA" w14:textId="77777777" w:rsidR="00AD16F0" w:rsidRPr="00502685" w:rsidRDefault="00AD16F0" w:rsidP="00614B09">
            <w:pPr>
              <w:spacing w:after="0" w:line="240" w:lineRule="atLeast"/>
              <w:jc w:val="right"/>
              <w:rPr>
                <w:rFonts w:eastAsia="Segoe UI" w:cstheme="minorHAnsi"/>
                <w:b/>
                <w:color w:val="323E4F" w:themeColor="text2" w:themeShade="BF"/>
                <w:sz w:val="24"/>
                <w:szCs w:val="24"/>
                <w:lang w:eastAsia="en-AU"/>
              </w:rPr>
            </w:pPr>
            <w:r w:rsidRPr="00502685">
              <w:rPr>
                <w:rFonts w:eastAsia="Segoe UI" w:cstheme="minorHAnsi"/>
                <w:b/>
                <w:color w:val="323E4F" w:themeColor="text2" w:themeShade="BF"/>
                <w:sz w:val="24"/>
                <w:szCs w:val="24"/>
                <w:lang w:eastAsia="en-AU"/>
              </w:rPr>
              <w:t>Supplementation per Student ($)</w:t>
            </w:r>
          </w:p>
        </w:tc>
      </w:tr>
      <w:tr w:rsidR="000D09FE" w:rsidRPr="00260C1D" w14:paraId="0496726F" w14:textId="77777777" w:rsidTr="006C7CCA">
        <w:trPr>
          <w:jc w:val="center"/>
        </w:trPr>
        <w:tc>
          <w:tcPr>
            <w:tcW w:w="0" w:type="auto"/>
            <w:hideMark/>
          </w:tcPr>
          <w:p w14:paraId="45358CDA"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1.0</w:t>
            </w:r>
          </w:p>
        </w:tc>
        <w:tc>
          <w:tcPr>
            <w:tcW w:w="0" w:type="auto"/>
            <w:hideMark/>
          </w:tcPr>
          <w:p w14:paraId="32695426" w14:textId="53D7E2DB"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125EED">
              <w:t>268.10</w:t>
            </w:r>
          </w:p>
        </w:tc>
        <w:tc>
          <w:tcPr>
            <w:tcW w:w="0" w:type="auto"/>
            <w:hideMark/>
          </w:tcPr>
          <w:p w14:paraId="0DCDFE30"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2.7</w:t>
            </w:r>
          </w:p>
        </w:tc>
        <w:tc>
          <w:tcPr>
            <w:tcW w:w="0" w:type="auto"/>
            <w:hideMark/>
          </w:tcPr>
          <w:p w14:paraId="329D3CBF" w14:textId="1C26BEBB"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737CCF">
              <w:t>966.00</w:t>
            </w:r>
          </w:p>
        </w:tc>
        <w:tc>
          <w:tcPr>
            <w:tcW w:w="0" w:type="auto"/>
            <w:hideMark/>
          </w:tcPr>
          <w:p w14:paraId="553045E6"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4.4</w:t>
            </w:r>
          </w:p>
        </w:tc>
        <w:tc>
          <w:tcPr>
            <w:tcW w:w="0" w:type="auto"/>
            <w:hideMark/>
          </w:tcPr>
          <w:p w14:paraId="37F67294" w14:textId="156FD73D"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4C7277">
              <w:t>1,663.80</w:t>
            </w:r>
          </w:p>
        </w:tc>
      </w:tr>
      <w:tr w:rsidR="000D09FE" w:rsidRPr="00260C1D" w14:paraId="033A8E7E" w14:textId="77777777" w:rsidTr="006C7CCA">
        <w:trPr>
          <w:jc w:val="center"/>
        </w:trPr>
        <w:tc>
          <w:tcPr>
            <w:tcW w:w="0" w:type="auto"/>
            <w:hideMark/>
          </w:tcPr>
          <w:p w14:paraId="1AB0B78F"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1.1</w:t>
            </w:r>
          </w:p>
        </w:tc>
        <w:tc>
          <w:tcPr>
            <w:tcW w:w="0" w:type="auto"/>
            <w:hideMark/>
          </w:tcPr>
          <w:p w14:paraId="087EBB60" w14:textId="7EA107B0"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125EED">
              <w:t>309.10</w:t>
            </w:r>
          </w:p>
        </w:tc>
        <w:tc>
          <w:tcPr>
            <w:tcW w:w="0" w:type="auto"/>
            <w:hideMark/>
          </w:tcPr>
          <w:p w14:paraId="00E6FDDD"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2.8</w:t>
            </w:r>
          </w:p>
        </w:tc>
        <w:tc>
          <w:tcPr>
            <w:tcW w:w="0" w:type="auto"/>
            <w:hideMark/>
          </w:tcPr>
          <w:p w14:paraId="38A5AC4D" w14:textId="02B0E48D"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737CCF">
              <w:t>1,007.00</w:t>
            </w:r>
          </w:p>
        </w:tc>
        <w:tc>
          <w:tcPr>
            <w:tcW w:w="0" w:type="auto"/>
            <w:hideMark/>
          </w:tcPr>
          <w:p w14:paraId="46CFD579"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4.5</w:t>
            </w:r>
          </w:p>
        </w:tc>
        <w:tc>
          <w:tcPr>
            <w:tcW w:w="0" w:type="auto"/>
            <w:hideMark/>
          </w:tcPr>
          <w:p w14:paraId="2E3D5D8C" w14:textId="573CA134"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4C7277">
              <w:t>1,704.90</w:t>
            </w:r>
          </w:p>
        </w:tc>
      </w:tr>
      <w:tr w:rsidR="000D09FE" w:rsidRPr="00260C1D" w14:paraId="2D013839" w14:textId="77777777" w:rsidTr="006C7CCA">
        <w:trPr>
          <w:jc w:val="center"/>
        </w:trPr>
        <w:tc>
          <w:tcPr>
            <w:tcW w:w="0" w:type="auto"/>
            <w:hideMark/>
          </w:tcPr>
          <w:p w14:paraId="787927F3"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1.2</w:t>
            </w:r>
          </w:p>
        </w:tc>
        <w:tc>
          <w:tcPr>
            <w:tcW w:w="0" w:type="auto"/>
            <w:hideMark/>
          </w:tcPr>
          <w:p w14:paraId="5AFE8D9D" w14:textId="4C0139A2"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125EED">
              <w:t>350.20</w:t>
            </w:r>
          </w:p>
        </w:tc>
        <w:tc>
          <w:tcPr>
            <w:tcW w:w="0" w:type="auto"/>
            <w:hideMark/>
          </w:tcPr>
          <w:p w14:paraId="728BA603"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2.9</w:t>
            </w:r>
          </w:p>
        </w:tc>
        <w:tc>
          <w:tcPr>
            <w:tcW w:w="0" w:type="auto"/>
            <w:hideMark/>
          </w:tcPr>
          <w:p w14:paraId="726CA318" w14:textId="660CE25A"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737CCF">
              <w:t>1,048.10</w:t>
            </w:r>
          </w:p>
        </w:tc>
        <w:tc>
          <w:tcPr>
            <w:tcW w:w="0" w:type="auto"/>
            <w:hideMark/>
          </w:tcPr>
          <w:p w14:paraId="4CB9C009"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4.6</w:t>
            </w:r>
          </w:p>
        </w:tc>
        <w:tc>
          <w:tcPr>
            <w:tcW w:w="0" w:type="auto"/>
            <w:hideMark/>
          </w:tcPr>
          <w:p w14:paraId="0D08FDE7" w14:textId="1754831F"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4C7277">
              <w:t>1,745.90</w:t>
            </w:r>
          </w:p>
        </w:tc>
      </w:tr>
      <w:tr w:rsidR="000D09FE" w:rsidRPr="00260C1D" w14:paraId="4AC88BEC" w14:textId="77777777" w:rsidTr="006C7CCA">
        <w:trPr>
          <w:jc w:val="center"/>
        </w:trPr>
        <w:tc>
          <w:tcPr>
            <w:tcW w:w="0" w:type="auto"/>
            <w:hideMark/>
          </w:tcPr>
          <w:p w14:paraId="22D6AA1E"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1.3</w:t>
            </w:r>
          </w:p>
        </w:tc>
        <w:tc>
          <w:tcPr>
            <w:tcW w:w="0" w:type="auto"/>
            <w:hideMark/>
          </w:tcPr>
          <w:p w14:paraId="2048F859" w14:textId="2036E95F"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125EED">
              <w:t>391.20</w:t>
            </w:r>
          </w:p>
        </w:tc>
        <w:tc>
          <w:tcPr>
            <w:tcW w:w="0" w:type="auto"/>
            <w:hideMark/>
          </w:tcPr>
          <w:p w14:paraId="2A6C31B2"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3.0</w:t>
            </w:r>
          </w:p>
        </w:tc>
        <w:tc>
          <w:tcPr>
            <w:tcW w:w="0" w:type="auto"/>
            <w:hideMark/>
          </w:tcPr>
          <w:p w14:paraId="13BB3875" w14:textId="75A3A252"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737CCF">
              <w:t>1,089.10</w:t>
            </w:r>
          </w:p>
        </w:tc>
        <w:tc>
          <w:tcPr>
            <w:tcW w:w="0" w:type="auto"/>
            <w:hideMark/>
          </w:tcPr>
          <w:p w14:paraId="10719C3A"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4.7</w:t>
            </w:r>
          </w:p>
        </w:tc>
        <w:tc>
          <w:tcPr>
            <w:tcW w:w="0" w:type="auto"/>
            <w:hideMark/>
          </w:tcPr>
          <w:p w14:paraId="718307A0" w14:textId="21972890"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4C7277">
              <w:t>1,787.00</w:t>
            </w:r>
          </w:p>
        </w:tc>
      </w:tr>
      <w:tr w:rsidR="000D09FE" w:rsidRPr="00260C1D" w14:paraId="44003AAF" w14:textId="77777777" w:rsidTr="006C7CCA">
        <w:trPr>
          <w:jc w:val="center"/>
        </w:trPr>
        <w:tc>
          <w:tcPr>
            <w:tcW w:w="0" w:type="auto"/>
            <w:hideMark/>
          </w:tcPr>
          <w:p w14:paraId="0AACADE3"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1.4</w:t>
            </w:r>
          </w:p>
        </w:tc>
        <w:tc>
          <w:tcPr>
            <w:tcW w:w="0" w:type="auto"/>
            <w:hideMark/>
          </w:tcPr>
          <w:p w14:paraId="1D978614" w14:textId="3EFBF10F"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125EED">
              <w:t>432.30</w:t>
            </w:r>
          </w:p>
        </w:tc>
        <w:tc>
          <w:tcPr>
            <w:tcW w:w="0" w:type="auto"/>
            <w:hideMark/>
          </w:tcPr>
          <w:p w14:paraId="58FF71F9"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3.1</w:t>
            </w:r>
          </w:p>
        </w:tc>
        <w:tc>
          <w:tcPr>
            <w:tcW w:w="0" w:type="auto"/>
            <w:hideMark/>
          </w:tcPr>
          <w:p w14:paraId="5AC44CF3" w14:textId="625B90A2"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737CCF">
              <w:t>1,130.10</w:t>
            </w:r>
          </w:p>
        </w:tc>
        <w:tc>
          <w:tcPr>
            <w:tcW w:w="0" w:type="auto"/>
            <w:hideMark/>
          </w:tcPr>
          <w:p w14:paraId="37C8EAE8"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4.8</w:t>
            </w:r>
          </w:p>
        </w:tc>
        <w:tc>
          <w:tcPr>
            <w:tcW w:w="0" w:type="auto"/>
            <w:hideMark/>
          </w:tcPr>
          <w:p w14:paraId="31E89DF3" w14:textId="6DC87BED"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4C7277">
              <w:t>1,828.00</w:t>
            </w:r>
          </w:p>
        </w:tc>
      </w:tr>
      <w:tr w:rsidR="000D09FE" w:rsidRPr="00260C1D" w14:paraId="41B297C9" w14:textId="77777777" w:rsidTr="006C7CCA">
        <w:trPr>
          <w:jc w:val="center"/>
        </w:trPr>
        <w:tc>
          <w:tcPr>
            <w:tcW w:w="0" w:type="auto"/>
            <w:hideMark/>
          </w:tcPr>
          <w:p w14:paraId="57D82962"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1.5</w:t>
            </w:r>
          </w:p>
        </w:tc>
        <w:tc>
          <w:tcPr>
            <w:tcW w:w="0" w:type="auto"/>
            <w:hideMark/>
          </w:tcPr>
          <w:p w14:paraId="1AB87E54" w14:textId="3F473493"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125EED">
              <w:t>473.30</w:t>
            </w:r>
          </w:p>
        </w:tc>
        <w:tc>
          <w:tcPr>
            <w:tcW w:w="0" w:type="auto"/>
            <w:hideMark/>
          </w:tcPr>
          <w:p w14:paraId="32D31B4F"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3.2</w:t>
            </w:r>
          </w:p>
        </w:tc>
        <w:tc>
          <w:tcPr>
            <w:tcW w:w="0" w:type="auto"/>
            <w:hideMark/>
          </w:tcPr>
          <w:p w14:paraId="67CB616A" w14:textId="29B8C073"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737CCF">
              <w:t>1,171.20</w:t>
            </w:r>
          </w:p>
        </w:tc>
        <w:tc>
          <w:tcPr>
            <w:tcW w:w="0" w:type="auto"/>
            <w:hideMark/>
          </w:tcPr>
          <w:p w14:paraId="006516CC"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4.9</w:t>
            </w:r>
          </w:p>
        </w:tc>
        <w:tc>
          <w:tcPr>
            <w:tcW w:w="0" w:type="auto"/>
            <w:hideMark/>
          </w:tcPr>
          <w:p w14:paraId="41284A2E" w14:textId="2FBBB579"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4C7277">
              <w:t>1,869.10</w:t>
            </w:r>
          </w:p>
        </w:tc>
      </w:tr>
      <w:tr w:rsidR="000D09FE" w:rsidRPr="00260C1D" w14:paraId="3D5541D4" w14:textId="77777777" w:rsidTr="006C7CCA">
        <w:trPr>
          <w:jc w:val="center"/>
        </w:trPr>
        <w:tc>
          <w:tcPr>
            <w:tcW w:w="0" w:type="auto"/>
            <w:hideMark/>
          </w:tcPr>
          <w:p w14:paraId="7B75D069"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1.6</w:t>
            </w:r>
          </w:p>
        </w:tc>
        <w:tc>
          <w:tcPr>
            <w:tcW w:w="0" w:type="auto"/>
            <w:hideMark/>
          </w:tcPr>
          <w:p w14:paraId="71C9368A" w14:textId="4F2DB78D"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125EED">
              <w:t>514.40</w:t>
            </w:r>
          </w:p>
        </w:tc>
        <w:tc>
          <w:tcPr>
            <w:tcW w:w="0" w:type="auto"/>
            <w:hideMark/>
          </w:tcPr>
          <w:p w14:paraId="4F3E49A3"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3.3</w:t>
            </w:r>
          </w:p>
        </w:tc>
        <w:tc>
          <w:tcPr>
            <w:tcW w:w="0" w:type="auto"/>
            <w:hideMark/>
          </w:tcPr>
          <w:p w14:paraId="239BD5A6" w14:textId="27E778D6"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737CCF">
              <w:t>1,212.30</w:t>
            </w:r>
          </w:p>
        </w:tc>
        <w:tc>
          <w:tcPr>
            <w:tcW w:w="0" w:type="auto"/>
            <w:hideMark/>
          </w:tcPr>
          <w:p w14:paraId="2C5FF635"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5.0</w:t>
            </w:r>
          </w:p>
        </w:tc>
        <w:tc>
          <w:tcPr>
            <w:tcW w:w="0" w:type="auto"/>
            <w:hideMark/>
          </w:tcPr>
          <w:p w14:paraId="78750BDE" w14:textId="761370B2"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4C7277">
              <w:t>1,910.10</w:t>
            </w:r>
          </w:p>
        </w:tc>
      </w:tr>
      <w:tr w:rsidR="000D09FE" w:rsidRPr="00260C1D" w14:paraId="1E37C75E" w14:textId="77777777" w:rsidTr="006C7CCA">
        <w:trPr>
          <w:jc w:val="center"/>
        </w:trPr>
        <w:tc>
          <w:tcPr>
            <w:tcW w:w="0" w:type="auto"/>
            <w:hideMark/>
          </w:tcPr>
          <w:p w14:paraId="0ACB375D"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1.7</w:t>
            </w:r>
          </w:p>
        </w:tc>
        <w:tc>
          <w:tcPr>
            <w:tcW w:w="0" w:type="auto"/>
            <w:hideMark/>
          </w:tcPr>
          <w:p w14:paraId="311799FE" w14:textId="62D75D64"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125EED">
              <w:t>555.40</w:t>
            </w:r>
          </w:p>
        </w:tc>
        <w:tc>
          <w:tcPr>
            <w:tcW w:w="0" w:type="auto"/>
            <w:hideMark/>
          </w:tcPr>
          <w:p w14:paraId="717B6961"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3.4</w:t>
            </w:r>
          </w:p>
        </w:tc>
        <w:tc>
          <w:tcPr>
            <w:tcW w:w="0" w:type="auto"/>
            <w:hideMark/>
          </w:tcPr>
          <w:p w14:paraId="2686B2B7" w14:textId="7B26A190"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737CCF">
              <w:t>1,253.30</w:t>
            </w:r>
          </w:p>
        </w:tc>
        <w:tc>
          <w:tcPr>
            <w:tcW w:w="0" w:type="auto"/>
            <w:hideMark/>
          </w:tcPr>
          <w:p w14:paraId="1882CF5B"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5.1</w:t>
            </w:r>
          </w:p>
        </w:tc>
        <w:tc>
          <w:tcPr>
            <w:tcW w:w="0" w:type="auto"/>
            <w:hideMark/>
          </w:tcPr>
          <w:p w14:paraId="6D59845D" w14:textId="14110228"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4C7277">
              <w:t>1,951.20</w:t>
            </w:r>
          </w:p>
        </w:tc>
      </w:tr>
      <w:tr w:rsidR="000D09FE" w:rsidRPr="00260C1D" w14:paraId="1111ABB1" w14:textId="77777777" w:rsidTr="006C7CCA">
        <w:trPr>
          <w:jc w:val="center"/>
        </w:trPr>
        <w:tc>
          <w:tcPr>
            <w:tcW w:w="0" w:type="auto"/>
            <w:hideMark/>
          </w:tcPr>
          <w:p w14:paraId="5CE8240F"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1.8</w:t>
            </w:r>
          </w:p>
        </w:tc>
        <w:tc>
          <w:tcPr>
            <w:tcW w:w="0" w:type="auto"/>
            <w:hideMark/>
          </w:tcPr>
          <w:p w14:paraId="50BC3528" w14:textId="6B8C8149"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125EED">
              <w:t>596.50</w:t>
            </w:r>
          </w:p>
        </w:tc>
        <w:tc>
          <w:tcPr>
            <w:tcW w:w="0" w:type="auto"/>
            <w:hideMark/>
          </w:tcPr>
          <w:p w14:paraId="5F5013F9"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3.5</w:t>
            </w:r>
          </w:p>
        </w:tc>
        <w:tc>
          <w:tcPr>
            <w:tcW w:w="0" w:type="auto"/>
            <w:hideMark/>
          </w:tcPr>
          <w:p w14:paraId="1E1B2C7F" w14:textId="0848B5AC"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737CCF">
              <w:t>1,294.40</w:t>
            </w:r>
          </w:p>
        </w:tc>
        <w:tc>
          <w:tcPr>
            <w:tcW w:w="0" w:type="auto"/>
            <w:hideMark/>
          </w:tcPr>
          <w:p w14:paraId="1386D357"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5.2</w:t>
            </w:r>
          </w:p>
        </w:tc>
        <w:tc>
          <w:tcPr>
            <w:tcW w:w="0" w:type="auto"/>
            <w:hideMark/>
          </w:tcPr>
          <w:p w14:paraId="366663DB" w14:textId="686E4D8A"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4C7277">
              <w:t>1,992.20</w:t>
            </w:r>
          </w:p>
        </w:tc>
      </w:tr>
      <w:tr w:rsidR="000D09FE" w:rsidRPr="00260C1D" w14:paraId="1CBB737B" w14:textId="77777777" w:rsidTr="006C7CCA">
        <w:trPr>
          <w:jc w:val="center"/>
        </w:trPr>
        <w:tc>
          <w:tcPr>
            <w:tcW w:w="0" w:type="auto"/>
            <w:hideMark/>
          </w:tcPr>
          <w:p w14:paraId="6DF464B0"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1.9</w:t>
            </w:r>
          </w:p>
        </w:tc>
        <w:tc>
          <w:tcPr>
            <w:tcW w:w="0" w:type="auto"/>
            <w:hideMark/>
          </w:tcPr>
          <w:p w14:paraId="53C7A767" w14:textId="6AA1A0F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125EED">
              <w:t>637.50</w:t>
            </w:r>
          </w:p>
        </w:tc>
        <w:tc>
          <w:tcPr>
            <w:tcW w:w="0" w:type="auto"/>
            <w:hideMark/>
          </w:tcPr>
          <w:p w14:paraId="2D6DF0D0"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3.6</w:t>
            </w:r>
          </w:p>
        </w:tc>
        <w:tc>
          <w:tcPr>
            <w:tcW w:w="0" w:type="auto"/>
            <w:hideMark/>
          </w:tcPr>
          <w:p w14:paraId="6DBC1F98" w14:textId="55A90AE8"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737CCF">
              <w:t>1,335.40</w:t>
            </w:r>
          </w:p>
        </w:tc>
        <w:tc>
          <w:tcPr>
            <w:tcW w:w="0" w:type="auto"/>
            <w:hideMark/>
          </w:tcPr>
          <w:p w14:paraId="651507B9"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5.3</w:t>
            </w:r>
          </w:p>
        </w:tc>
        <w:tc>
          <w:tcPr>
            <w:tcW w:w="0" w:type="auto"/>
            <w:hideMark/>
          </w:tcPr>
          <w:p w14:paraId="72D627A2" w14:textId="511444B1"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4C7277">
              <w:t>2,033.30</w:t>
            </w:r>
          </w:p>
        </w:tc>
      </w:tr>
      <w:tr w:rsidR="000D09FE" w:rsidRPr="00260C1D" w14:paraId="5AD63067" w14:textId="77777777" w:rsidTr="006C7CCA">
        <w:trPr>
          <w:jc w:val="center"/>
        </w:trPr>
        <w:tc>
          <w:tcPr>
            <w:tcW w:w="0" w:type="auto"/>
            <w:hideMark/>
          </w:tcPr>
          <w:p w14:paraId="5E49F273"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2.0</w:t>
            </w:r>
          </w:p>
        </w:tc>
        <w:tc>
          <w:tcPr>
            <w:tcW w:w="0" w:type="auto"/>
            <w:hideMark/>
          </w:tcPr>
          <w:p w14:paraId="55E70B87" w14:textId="119C0F0C"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125EED">
              <w:t>678.60</w:t>
            </w:r>
          </w:p>
        </w:tc>
        <w:tc>
          <w:tcPr>
            <w:tcW w:w="0" w:type="auto"/>
            <w:hideMark/>
          </w:tcPr>
          <w:p w14:paraId="1BB22D83"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3.7</w:t>
            </w:r>
          </w:p>
        </w:tc>
        <w:tc>
          <w:tcPr>
            <w:tcW w:w="0" w:type="auto"/>
            <w:hideMark/>
          </w:tcPr>
          <w:p w14:paraId="1D88AA8C" w14:textId="2AFA038C"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737CCF">
              <w:t>1,376.50</w:t>
            </w:r>
          </w:p>
        </w:tc>
        <w:tc>
          <w:tcPr>
            <w:tcW w:w="0" w:type="auto"/>
            <w:hideMark/>
          </w:tcPr>
          <w:p w14:paraId="1F0379EE"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5.4</w:t>
            </w:r>
          </w:p>
        </w:tc>
        <w:tc>
          <w:tcPr>
            <w:tcW w:w="0" w:type="auto"/>
            <w:hideMark/>
          </w:tcPr>
          <w:p w14:paraId="6369545C" w14:textId="5466D093"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4C7277">
              <w:t>2,074.30</w:t>
            </w:r>
          </w:p>
        </w:tc>
      </w:tr>
      <w:tr w:rsidR="000D09FE" w:rsidRPr="00260C1D" w14:paraId="73E0C55B" w14:textId="77777777" w:rsidTr="006C7CCA">
        <w:trPr>
          <w:jc w:val="center"/>
        </w:trPr>
        <w:tc>
          <w:tcPr>
            <w:tcW w:w="0" w:type="auto"/>
            <w:hideMark/>
          </w:tcPr>
          <w:p w14:paraId="660BB73B"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2.1</w:t>
            </w:r>
          </w:p>
        </w:tc>
        <w:tc>
          <w:tcPr>
            <w:tcW w:w="0" w:type="auto"/>
            <w:hideMark/>
          </w:tcPr>
          <w:p w14:paraId="6A814E23" w14:textId="075C7285"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125EED">
              <w:t>719.60</w:t>
            </w:r>
          </w:p>
        </w:tc>
        <w:tc>
          <w:tcPr>
            <w:tcW w:w="0" w:type="auto"/>
            <w:hideMark/>
          </w:tcPr>
          <w:p w14:paraId="7D9F90A5"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3.8</w:t>
            </w:r>
          </w:p>
        </w:tc>
        <w:tc>
          <w:tcPr>
            <w:tcW w:w="0" w:type="auto"/>
            <w:hideMark/>
          </w:tcPr>
          <w:p w14:paraId="6D7CF469" w14:textId="00A20700"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737CCF">
              <w:t>1,417.50</w:t>
            </w:r>
          </w:p>
        </w:tc>
        <w:tc>
          <w:tcPr>
            <w:tcW w:w="0" w:type="auto"/>
            <w:hideMark/>
          </w:tcPr>
          <w:p w14:paraId="6DB964B1"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5.5</w:t>
            </w:r>
          </w:p>
        </w:tc>
        <w:tc>
          <w:tcPr>
            <w:tcW w:w="0" w:type="auto"/>
            <w:hideMark/>
          </w:tcPr>
          <w:p w14:paraId="7C58C093" w14:textId="62F344B1"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4C7277">
              <w:t>2,115.40</w:t>
            </w:r>
          </w:p>
        </w:tc>
      </w:tr>
      <w:tr w:rsidR="000D09FE" w:rsidRPr="00260C1D" w14:paraId="511E217D" w14:textId="77777777" w:rsidTr="006C7CCA">
        <w:trPr>
          <w:jc w:val="center"/>
        </w:trPr>
        <w:tc>
          <w:tcPr>
            <w:tcW w:w="0" w:type="auto"/>
            <w:hideMark/>
          </w:tcPr>
          <w:p w14:paraId="11001AF0"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2.2</w:t>
            </w:r>
          </w:p>
        </w:tc>
        <w:tc>
          <w:tcPr>
            <w:tcW w:w="0" w:type="auto"/>
            <w:hideMark/>
          </w:tcPr>
          <w:p w14:paraId="4C162BCC" w14:textId="299F3543"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125EED">
              <w:t>760.70</w:t>
            </w:r>
          </w:p>
        </w:tc>
        <w:tc>
          <w:tcPr>
            <w:tcW w:w="0" w:type="auto"/>
            <w:hideMark/>
          </w:tcPr>
          <w:p w14:paraId="099B1D4F"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3.9</w:t>
            </w:r>
          </w:p>
        </w:tc>
        <w:tc>
          <w:tcPr>
            <w:tcW w:w="0" w:type="auto"/>
            <w:hideMark/>
          </w:tcPr>
          <w:p w14:paraId="1EC01E44" w14:textId="5BCB0D0D"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737CCF">
              <w:t>1,458.60</w:t>
            </w:r>
          </w:p>
        </w:tc>
        <w:tc>
          <w:tcPr>
            <w:tcW w:w="0" w:type="auto"/>
            <w:hideMark/>
          </w:tcPr>
          <w:p w14:paraId="4B55E3E1"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5.6</w:t>
            </w:r>
          </w:p>
        </w:tc>
        <w:tc>
          <w:tcPr>
            <w:tcW w:w="0" w:type="auto"/>
            <w:hideMark/>
          </w:tcPr>
          <w:p w14:paraId="39140C06" w14:textId="17C0910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4C7277">
              <w:t>2,156.50</w:t>
            </w:r>
          </w:p>
        </w:tc>
      </w:tr>
      <w:tr w:rsidR="000D09FE" w:rsidRPr="00260C1D" w14:paraId="03065435" w14:textId="77777777" w:rsidTr="006C7CCA">
        <w:trPr>
          <w:jc w:val="center"/>
        </w:trPr>
        <w:tc>
          <w:tcPr>
            <w:tcW w:w="0" w:type="auto"/>
            <w:hideMark/>
          </w:tcPr>
          <w:p w14:paraId="0BF7940D"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2.3</w:t>
            </w:r>
          </w:p>
        </w:tc>
        <w:tc>
          <w:tcPr>
            <w:tcW w:w="0" w:type="auto"/>
            <w:hideMark/>
          </w:tcPr>
          <w:p w14:paraId="33F76FD2" w14:textId="51888332"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125EED">
              <w:t>801.70</w:t>
            </w:r>
          </w:p>
        </w:tc>
        <w:tc>
          <w:tcPr>
            <w:tcW w:w="0" w:type="auto"/>
            <w:hideMark/>
          </w:tcPr>
          <w:p w14:paraId="36898E80"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4.0</w:t>
            </w:r>
          </w:p>
        </w:tc>
        <w:tc>
          <w:tcPr>
            <w:tcW w:w="0" w:type="auto"/>
            <w:hideMark/>
          </w:tcPr>
          <w:p w14:paraId="562C9BB7" w14:textId="7D1E0434"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737CCF">
              <w:t>1,499.60</w:t>
            </w:r>
          </w:p>
        </w:tc>
        <w:tc>
          <w:tcPr>
            <w:tcW w:w="0" w:type="auto"/>
            <w:hideMark/>
          </w:tcPr>
          <w:p w14:paraId="085EA5CF"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5.7</w:t>
            </w:r>
          </w:p>
        </w:tc>
        <w:tc>
          <w:tcPr>
            <w:tcW w:w="0" w:type="auto"/>
            <w:hideMark/>
          </w:tcPr>
          <w:p w14:paraId="320BA003" w14:textId="03944671"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4C7277">
              <w:t>2,197.50</w:t>
            </w:r>
          </w:p>
        </w:tc>
      </w:tr>
      <w:tr w:rsidR="000D09FE" w:rsidRPr="00260C1D" w14:paraId="5AC1EC96" w14:textId="77777777" w:rsidTr="006C7CCA">
        <w:trPr>
          <w:jc w:val="center"/>
        </w:trPr>
        <w:tc>
          <w:tcPr>
            <w:tcW w:w="0" w:type="auto"/>
            <w:hideMark/>
          </w:tcPr>
          <w:p w14:paraId="24D922D0"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2.4</w:t>
            </w:r>
          </w:p>
        </w:tc>
        <w:tc>
          <w:tcPr>
            <w:tcW w:w="0" w:type="auto"/>
            <w:hideMark/>
          </w:tcPr>
          <w:p w14:paraId="391949D3" w14:textId="6A5F00CA"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125EED">
              <w:t>842.80</w:t>
            </w:r>
          </w:p>
        </w:tc>
        <w:tc>
          <w:tcPr>
            <w:tcW w:w="0" w:type="auto"/>
            <w:hideMark/>
          </w:tcPr>
          <w:p w14:paraId="1A320057"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4.1</w:t>
            </w:r>
          </w:p>
        </w:tc>
        <w:tc>
          <w:tcPr>
            <w:tcW w:w="0" w:type="auto"/>
            <w:hideMark/>
          </w:tcPr>
          <w:p w14:paraId="0B43D789" w14:textId="59AE37DF"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737CCF">
              <w:t>1,540.70</w:t>
            </w:r>
          </w:p>
        </w:tc>
        <w:tc>
          <w:tcPr>
            <w:tcW w:w="0" w:type="auto"/>
            <w:hideMark/>
          </w:tcPr>
          <w:p w14:paraId="44B052A6"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5.8</w:t>
            </w:r>
          </w:p>
        </w:tc>
        <w:tc>
          <w:tcPr>
            <w:tcW w:w="0" w:type="auto"/>
            <w:hideMark/>
          </w:tcPr>
          <w:p w14:paraId="3B5F86C4" w14:textId="0BA254D6"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4C7277">
              <w:t>2,238.50</w:t>
            </w:r>
          </w:p>
        </w:tc>
      </w:tr>
      <w:tr w:rsidR="000D09FE" w:rsidRPr="00260C1D" w14:paraId="0B72EC83" w14:textId="77777777" w:rsidTr="006C7CCA">
        <w:trPr>
          <w:jc w:val="center"/>
        </w:trPr>
        <w:tc>
          <w:tcPr>
            <w:tcW w:w="0" w:type="auto"/>
            <w:hideMark/>
          </w:tcPr>
          <w:p w14:paraId="5C9E1919"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2.5</w:t>
            </w:r>
          </w:p>
        </w:tc>
        <w:tc>
          <w:tcPr>
            <w:tcW w:w="0" w:type="auto"/>
            <w:hideMark/>
          </w:tcPr>
          <w:p w14:paraId="3835AF6C" w14:textId="6D9D3BA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125EED">
              <w:t>883.80</w:t>
            </w:r>
          </w:p>
        </w:tc>
        <w:tc>
          <w:tcPr>
            <w:tcW w:w="0" w:type="auto"/>
            <w:hideMark/>
          </w:tcPr>
          <w:p w14:paraId="7E9785D1"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4.2</w:t>
            </w:r>
          </w:p>
        </w:tc>
        <w:tc>
          <w:tcPr>
            <w:tcW w:w="0" w:type="auto"/>
            <w:hideMark/>
          </w:tcPr>
          <w:p w14:paraId="15F59CFD" w14:textId="4406726C"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737CCF">
              <w:t>1,581.70</w:t>
            </w:r>
          </w:p>
        </w:tc>
        <w:tc>
          <w:tcPr>
            <w:tcW w:w="0" w:type="auto"/>
            <w:hideMark/>
          </w:tcPr>
          <w:p w14:paraId="0A944558"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5.9</w:t>
            </w:r>
          </w:p>
        </w:tc>
        <w:tc>
          <w:tcPr>
            <w:tcW w:w="0" w:type="auto"/>
            <w:hideMark/>
          </w:tcPr>
          <w:p w14:paraId="7534F39E" w14:textId="466083B5"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4C7277">
              <w:t>2,279.60</w:t>
            </w:r>
          </w:p>
        </w:tc>
      </w:tr>
      <w:tr w:rsidR="000D09FE" w:rsidRPr="00260C1D" w14:paraId="0B519080" w14:textId="77777777" w:rsidTr="006C7CCA">
        <w:trPr>
          <w:jc w:val="center"/>
        </w:trPr>
        <w:tc>
          <w:tcPr>
            <w:tcW w:w="0" w:type="auto"/>
            <w:hideMark/>
          </w:tcPr>
          <w:p w14:paraId="52E817A9"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2.6</w:t>
            </w:r>
          </w:p>
        </w:tc>
        <w:tc>
          <w:tcPr>
            <w:tcW w:w="0" w:type="auto"/>
            <w:hideMark/>
          </w:tcPr>
          <w:p w14:paraId="2CE07F78" w14:textId="7FA994DC"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125EED">
              <w:t>924.90</w:t>
            </w:r>
          </w:p>
        </w:tc>
        <w:tc>
          <w:tcPr>
            <w:tcW w:w="0" w:type="auto"/>
            <w:hideMark/>
          </w:tcPr>
          <w:p w14:paraId="3B86E69A" w14:textId="7FADE1E1"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4.3</w:t>
            </w:r>
          </w:p>
        </w:tc>
        <w:tc>
          <w:tcPr>
            <w:tcW w:w="0" w:type="auto"/>
            <w:hideMark/>
          </w:tcPr>
          <w:p w14:paraId="41496AC7" w14:textId="27C0C185"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737CCF">
              <w:t>1,622.80</w:t>
            </w:r>
          </w:p>
        </w:tc>
        <w:tc>
          <w:tcPr>
            <w:tcW w:w="0" w:type="auto"/>
            <w:hideMark/>
          </w:tcPr>
          <w:p w14:paraId="38921D0D" w14:textId="77777777"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6.0</w:t>
            </w:r>
          </w:p>
        </w:tc>
        <w:tc>
          <w:tcPr>
            <w:tcW w:w="0" w:type="auto"/>
            <w:hideMark/>
          </w:tcPr>
          <w:p w14:paraId="58713D82" w14:textId="28CCE010" w:rsidR="000D09FE" w:rsidRPr="00260C1D" w:rsidRDefault="000D09FE" w:rsidP="000D09FE">
            <w:pPr>
              <w:spacing w:after="0" w:line="360" w:lineRule="atLeast"/>
              <w:jc w:val="right"/>
              <w:rPr>
                <w:rFonts w:eastAsia="Segoe UI" w:cstheme="minorHAnsi"/>
                <w:color w:val="323E4F" w:themeColor="text2" w:themeShade="BF"/>
                <w:sz w:val="24"/>
                <w:szCs w:val="24"/>
                <w:lang w:eastAsia="en-AU"/>
              </w:rPr>
            </w:pPr>
            <w:r w:rsidRPr="004C7277">
              <w:t>2,320.70</w:t>
            </w:r>
          </w:p>
        </w:tc>
      </w:tr>
    </w:tbl>
    <w:p w14:paraId="53214408" w14:textId="77777777" w:rsidR="00AD16F0" w:rsidRPr="00260C1D" w:rsidRDefault="00AD16F0" w:rsidP="00AD16F0">
      <w:pPr>
        <w:rPr>
          <w:rFonts w:cstheme="minorHAnsi"/>
          <w:color w:val="323E4F" w:themeColor="text2" w:themeShade="BF"/>
        </w:rPr>
      </w:pPr>
    </w:p>
    <w:p w14:paraId="3E3BD653" w14:textId="77777777" w:rsidR="00AD16F0" w:rsidRPr="00260C1D" w:rsidRDefault="00AD16F0" w:rsidP="00AD16F0">
      <w:pPr>
        <w:rPr>
          <w:rFonts w:cstheme="minorHAnsi"/>
        </w:rPr>
      </w:pPr>
      <w:r w:rsidRPr="00260C1D">
        <w:rPr>
          <w:rFonts w:cstheme="minorHAnsi"/>
        </w:rPr>
        <w:br w:type="page"/>
      </w:r>
    </w:p>
    <w:p w14:paraId="189A0BD1" w14:textId="67ACCF8F" w:rsidR="00AD16F0" w:rsidRPr="00260C1D" w:rsidRDefault="00AD16F0" w:rsidP="00532A33">
      <w:pPr>
        <w:pStyle w:val="Heading2"/>
      </w:pPr>
      <w:bookmarkStart w:id="72" w:name="_Toc141965245"/>
      <w:bookmarkStart w:id="73" w:name="_Toc145339575"/>
      <w:bookmarkStart w:id="74" w:name="_Toc153791898"/>
      <w:r w:rsidRPr="00260C1D">
        <w:lastRenderedPageBreak/>
        <w:t>Paramedical and Interpreter Staff Salaries (Reference 19)</w:t>
      </w:r>
      <w:bookmarkEnd w:id="72"/>
      <w:bookmarkEnd w:id="73"/>
      <w:bookmarkEnd w:id="74"/>
    </w:p>
    <w:p w14:paraId="31155E55" w14:textId="14E7A799" w:rsidR="009758B9" w:rsidRPr="00260C1D" w:rsidRDefault="009758B9" w:rsidP="009758B9">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Paramedical and Interpreter Staff funding is allocated to deaf facilities with secondary enrolments. The funding is inclusive of on costs, (</w:t>
      </w:r>
      <w:r w:rsidR="00154195" w:rsidRPr="00260C1D">
        <w:rPr>
          <w:rFonts w:asciiTheme="minorHAnsi" w:hAnsiTheme="minorHAnsi" w:cstheme="minorHAnsi"/>
          <w:color w:val="011A3C"/>
          <w:lang w:val="en"/>
        </w:rPr>
        <w:t>11</w:t>
      </w:r>
      <w:r w:rsidR="00EF09A2" w:rsidRPr="00260C1D">
        <w:rPr>
          <w:rFonts w:asciiTheme="minorHAnsi" w:hAnsiTheme="minorHAnsi" w:cstheme="minorHAnsi"/>
          <w:color w:val="011A3C"/>
          <w:lang w:val="en"/>
        </w:rPr>
        <w:t>.</w:t>
      </w:r>
      <w:r w:rsidR="00292353">
        <w:rPr>
          <w:rFonts w:asciiTheme="minorHAnsi" w:hAnsiTheme="minorHAnsi" w:cstheme="minorHAnsi"/>
          <w:color w:val="011A3C"/>
          <w:lang w:val="en"/>
        </w:rPr>
        <w:t>5</w:t>
      </w:r>
      <w:r w:rsidR="00EF09A2" w:rsidRPr="00260C1D">
        <w:rPr>
          <w:rFonts w:asciiTheme="minorHAnsi" w:hAnsiTheme="minorHAnsi" w:cstheme="minorHAnsi"/>
          <w:color w:val="011A3C"/>
          <w:lang w:val="en"/>
        </w:rPr>
        <w:t>0</w:t>
      </w:r>
      <w:r w:rsidRPr="00260C1D">
        <w:rPr>
          <w:rFonts w:asciiTheme="minorHAnsi" w:hAnsiTheme="minorHAnsi" w:cstheme="minorHAnsi"/>
          <w:color w:val="011A3C"/>
          <w:lang w:val="en"/>
        </w:rPr>
        <w:t>% superannuation and 5.</w:t>
      </w:r>
      <w:r w:rsidR="00292353">
        <w:rPr>
          <w:rFonts w:asciiTheme="minorHAnsi" w:hAnsiTheme="minorHAnsi" w:cstheme="minorHAnsi"/>
          <w:color w:val="011A3C"/>
          <w:lang w:val="en"/>
        </w:rPr>
        <w:t>40</w:t>
      </w:r>
      <w:r w:rsidRPr="00260C1D">
        <w:rPr>
          <w:rFonts w:asciiTheme="minorHAnsi" w:hAnsiTheme="minorHAnsi" w:cstheme="minorHAnsi"/>
          <w:color w:val="011A3C"/>
          <w:lang w:val="en"/>
        </w:rPr>
        <w:t>% payroll tax), 1.35% leave loading, plus 1.5% for short-term relief costs.</w:t>
      </w:r>
    </w:p>
    <w:p w14:paraId="2B157413" w14:textId="77777777" w:rsidR="009758B9" w:rsidRPr="00260C1D" w:rsidRDefault="009758B9" w:rsidP="004D307F">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7112B7F1" w14:textId="3D4DA317" w:rsidR="009758B9" w:rsidRPr="00260C1D" w:rsidRDefault="009758B9" w:rsidP="009758B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with the following campus types with secondary enrolments are eligible for Interpreter funding at</w:t>
      </w:r>
      <w:r w:rsidR="008C1180">
        <w:rPr>
          <w:rFonts w:eastAsia="Segoe UI" w:cstheme="minorHAnsi"/>
          <w:color w:val="011A3C"/>
          <w:sz w:val="24"/>
          <w:szCs w:val="24"/>
          <w:lang w:val="en" w:eastAsia="en-AU"/>
        </w:rPr>
        <w:t xml:space="preserve"> a</w:t>
      </w:r>
      <w:r w:rsidRPr="00260C1D">
        <w:rPr>
          <w:rFonts w:eastAsia="Segoe UI" w:cstheme="minorHAnsi"/>
          <w:color w:val="011A3C"/>
          <w:sz w:val="24"/>
          <w:szCs w:val="24"/>
          <w:lang w:val="en" w:eastAsia="en-AU"/>
        </w:rPr>
        <w:t xml:space="preserve"> campus level</w:t>
      </w:r>
      <w:r w:rsidR="008C1180">
        <w:rPr>
          <w:rFonts w:eastAsia="Segoe UI" w:cstheme="minorHAnsi"/>
          <w:color w:val="011A3C"/>
          <w:sz w:val="24"/>
          <w:szCs w:val="24"/>
          <w:lang w:val="en" w:eastAsia="en-AU"/>
        </w:rPr>
        <w:t>:</w:t>
      </w:r>
    </w:p>
    <w:p w14:paraId="76279DD8" w14:textId="3E44FA94" w:rsidR="009758B9" w:rsidRPr="00260C1D" w:rsidRDefault="009758B9"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Deaf</w:t>
      </w:r>
      <w:r w:rsidR="00877911" w:rsidRPr="00260C1D">
        <w:rPr>
          <w:rFonts w:eastAsia="Segoe UI" w:cstheme="minorHAnsi"/>
          <w:color w:val="011A3C"/>
          <w:sz w:val="24"/>
          <w:szCs w:val="24"/>
          <w:lang w:val="en" w:eastAsia="en-AU"/>
        </w:rPr>
        <w:t>*</w:t>
      </w:r>
    </w:p>
    <w:p w14:paraId="7BA7AA1C" w14:textId="77777777" w:rsidR="008C1180" w:rsidRDefault="008C1180" w:rsidP="004D307F">
      <w:pPr>
        <w:spacing w:before="100" w:beforeAutospacing="1" w:after="100" w:afterAutospacing="1" w:line="360" w:lineRule="atLeast"/>
        <w:rPr>
          <w:rFonts w:eastAsia="Segoe UI" w:cstheme="minorHAnsi"/>
          <w:color w:val="011A3C"/>
          <w:sz w:val="20"/>
          <w:szCs w:val="20"/>
          <w:lang w:val="en" w:eastAsia="en-AU"/>
        </w:rPr>
      </w:pPr>
      <w:r w:rsidRPr="00260C1D">
        <w:rPr>
          <w:rFonts w:eastAsia="Segoe UI" w:cstheme="minorHAnsi"/>
          <w:color w:val="011A3C"/>
          <w:sz w:val="20"/>
          <w:szCs w:val="20"/>
          <w:lang w:val="en" w:eastAsia="en-AU"/>
        </w:rPr>
        <w:t>*Deaf campuses must be attached to a primary, secondary or primary/secondary combined school.</w:t>
      </w:r>
    </w:p>
    <w:p w14:paraId="4CA32D80" w14:textId="2F0D5413" w:rsidR="009758B9" w:rsidRPr="00260C1D" w:rsidRDefault="009758B9" w:rsidP="004D307F">
      <w:pPr>
        <w:spacing w:before="100" w:beforeAutospacing="1" w:after="100" w:afterAutospacing="1" w:line="360" w:lineRule="atLeast"/>
        <w:rPr>
          <w:rFonts w:cstheme="minorHAnsi"/>
          <w:lang w:val="en"/>
        </w:rPr>
      </w:pPr>
      <w:r w:rsidRPr="00260C1D">
        <w:rPr>
          <w:rFonts w:eastAsia="Segoe UI" w:cstheme="minorHAnsi"/>
          <w:color w:val="011A3C"/>
          <w:sz w:val="24"/>
          <w:szCs w:val="24"/>
          <w:lang w:val="en" w:eastAsia="en-AU"/>
        </w:rPr>
        <w:t>Funding is calculated at the Indicative, Confirmed and Revised cycles</w:t>
      </w:r>
      <w:r w:rsidR="008C1180">
        <w:rPr>
          <w:rFonts w:eastAsia="Segoe UI" w:cstheme="minorHAnsi"/>
          <w:color w:val="011A3C"/>
          <w:sz w:val="24"/>
          <w:szCs w:val="24"/>
          <w:lang w:val="en" w:eastAsia="en-AU"/>
        </w:rPr>
        <w:t xml:space="preserve">. Funding is allocated </w:t>
      </w:r>
      <w:r w:rsidR="00554F86" w:rsidRPr="00260C1D">
        <w:rPr>
          <w:rFonts w:eastAsia="Segoe UI" w:cstheme="minorHAnsi"/>
          <w:color w:val="011A3C"/>
          <w:sz w:val="24"/>
          <w:szCs w:val="24"/>
          <w:lang w:val="en" w:eastAsia="en-AU"/>
        </w:rPr>
        <w:t xml:space="preserve">as </w:t>
      </w:r>
      <w:r w:rsidRPr="00260C1D">
        <w:rPr>
          <w:rFonts w:eastAsia="Segoe UI" w:cstheme="minorHAnsi"/>
          <w:color w:val="011A3C"/>
          <w:sz w:val="24"/>
          <w:szCs w:val="24"/>
          <w:lang w:val="en" w:eastAsia="en-AU"/>
        </w:rPr>
        <w:t>credit funding</w:t>
      </w:r>
      <w:r w:rsidR="008C1180">
        <w:rPr>
          <w:rFonts w:eastAsia="Segoe UI" w:cstheme="minorHAnsi"/>
          <w:color w:val="011A3C"/>
          <w:sz w:val="24"/>
          <w:szCs w:val="24"/>
          <w:lang w:val="en" w:eastAsia="en-AU"/>
        </w:rPr>
        <w:t>.</w:t>
      </w:r>
    </w:p>
    <w:p w14:paraId="1BD0A8DD" w14:textId="77777777" w:rsidR="009758B9" w:rsidRPr="00260C1D" w:rsidRDefault="009758B9" w:rsidP="006C1424">
      <w:pPr>
        <w:pStyle w:val="Heading3"/>
      </w:pPr>
      <w:r w:rsidRPr="00260C1D">
        <w:t>Calculation details</w:t>
      </w:r>
    </w:p>
    <w:p w14:paraId="2EEAF2CA" w14:textId="284E3855" w:rsidR="009758B9" w:rsidRPr="00260C1D" w:rsidRDefault="009758B9" w:rsidP="009758B9">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 xml:space="preserve">Funding is allocated based </w:t>
      </w:r>
      <w:r w:rsidR="00554F86" w:rsidRPr="00260C1D">
        <w:rPr>
          <w:rFonts w:asciiTheme="minorHAnsi" w:hAnsiTheme="minorHAnsi" w:cstheme="minorHAnsi"/>
          <w:color w:val="011A3C"/>
          <w:lang w:val="en"/>
        </w:rPr>
        <w:t xml:space="preserve">on </w:t>
      </w:r>
      <w:r w:rsidRPr="00260C1D">
        <w:rPr>
          <w:rFonts w:asciiTheme="minorHAnsi" w:hAnsiTheme="minorHAnsi" w:cstheme="minorHAnsi"/>
          <w:color w:val="011A3C"/>
          <w:lang w:val="en"/>
        </w:rPr>
        <w:t>enrolments and resourcing model for deaf facilities.</w:t>
      </w:r>
    </w:p>
    <w:p w14:paraId="69053A41" w14:textId="2D5F2F40" w:rsidR="00A515CE" w:rsidRPr="00260C1D" w:rsidRDefault="00A515CE" w:rsidP="009758B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Deaf schools with secondary enrolments are funded at a rate of 1 </w:t>
      </w:r>
      <w:r w:rsidR="00AC1B4F">
        <w:rPr>
          <w:rFonts w:eastAsia="Segoe UI" w:cstheme="minorHAnsi"/>
          <w:color w:val="011A3C"/>
          <w:sz w:val="24"/>
          <w:szCs w:val="24"/>
          <w:lang w:val="en" w:eastAsia="en-AU"/>
        </w:rPr>
        <w:t>FTE</w:t>
      </w:r>
      <w:r w:rsidR="00AC1B4F"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for every 6 enrolments.</w:t>
      </w:r>
    </w:p>
    <w:p w14:paraId="1E95E83F" w14:textId="3B4170FD" w:rsidR="00AD16F0" w:rsidRPr="00260C1D" w:rsidRDefault="009758B9" w:rsidP="000D10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For example: A school with 8 secondary enrolments will be funded for 8 secondary enrolments divided by 6 </w:t>
      </w:r>
      <w:r w:rsidR="00AC1B4F">
        <w:rPr>
          <w:rFonts w:eastAsia="Segoe UI" w:cstheme="minorHAnsi"/>
          <w:color w:val="011A3C"/>
          <w:sz w:val="24"/>
          <w:szCs w:val="24"/>
          <w:lang w:val="en" w:eastAsia="en-AU"/>
        </w:rPr>
        <w:t>FTE</w:t>
      </w:r>
      <w:r w:rsidR="00AC1B4F"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w:t>
      </w:r>
      <w:r w:rsidR="003D146E"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(8/6) = 1.33 </w:t>
      </w:r>
      <w:r w:rsidR="00AC1B4F">
        <w:rPr>
          <w:rFonts w:eastAsia="Segoe UI" w:cstheme="minorHAnsi"/>
          <w:color w:val="011A3C"/>
          <w:sz w:val="24"/>
          <w:szCs w:val="24"/>
          <w:lang w:val="en" w:eastAsia="en-AU"/>
        </w:rPr>
        <w:t>FTE</w:t>
      </w:r>
      <w:r w:rsidR="00AC1B4F"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(rounded)</w:t>
      </w:r>
      <w:r w:rsidR="00AC1B4F">
        <w:rPr>
          <w:rFonts w:eastAsia="Segoe UI" w:cstheme="minorHAnsi"/>
          <w:color w:val="011A3C"/>
          <w:sz w:val="24"/>
          <w:szCs w:val="24"/>
          <w:lang w:val="en" w:eastAsia="en-AU"/>
        </w:rPr>
        <w:t>.</w:t>
      </w:r>
    </w:p>
    <w:p w14:paraId="77FB6D7C" w14:textId="2D303FD3" w:rsidR="00AD16F0" w:rsidRPr="00260C1D" w:rsidRDefault="00AD16F0" w:rsidP="00AD16F0">
      <w:pPr>
        <w:rPr>
          <w:rFonts w:eastAsia="Segoe UI" w:cstheme="minorHAnsi"/>
          <w:color w:val="011A3C"/>
          <w:sz w:val="20"/>
          <w:szCs w:val="20"/>
          <w:lang w:val="en" w:eastAsia="en-AU"/>
        </w:rPr>
      </w:pPr>
      <w:r w:rsidRPr="00260C1D">
        <w:rPr>
          <w:rFonts w:eastAsia="Segoe UI" w:cstheme="minorHAnsi"/>
          <w:color w:val="011A3C"/>
          <w:sz w:val="20"/>
          <w:szCs w:val="20"/>
          <w:lang w:val="en" w:eastAsia="en-AU"/>
        </w:rPr>
        <w:br w:type="page"/>
      </w:r>
    </w:p>
    <w:p w14:paraId="03A41B85" w14:textId="4AC80599" w:rsidR="00AD16F0" w:rsidRPr="00260C1D" w:rsidRDefault="00AD16F0" w:rsidP="00532A33">
      <w:pPr>
        <w:pStyle w:val="Heading2"/>
      </w:pPr>
      <w:bookmarkStart w:id="75" w:name="_Toc141965246"/>
      <w:bookmarkStart w:id="76" w:name="_Toc145339576"/>
      <w:bookmarkStart w:id="77" w:name="_Toc153791899"/>
      <w:r w:rsidRPr="00260C1D">
        <w:lastRenderedPageBreak/>
        <w:t>Medical Intervention Support (Reference 20)</w:t>
      </w:r>
      <w:bookmarkEnd w:id="75"/>
      <w:bookmarkEnd w:id="76"/>
      <w:bookmarkEnd w:id="77"/>
    </w:p>
    <w:p w14:paraId="49C07F54"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Medical Intervention Support (MIS) funding supports schools to engage appropriately trained staff to assist students who require regular, complex medical support at school.</w:t>
      </w:r>
    </w:p>
    <w:p w14:paraId="78E19453"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MIS funding is available to support schools to put in place the necessary work arrangements for the delivery of </w:t>
      </w:r>
      <w:proofErr w:type="spellStart"/>
      <w:r w:rsidRPr="00260C1D">
        <w:rPr>
          <w:rFonts w:eastAsia="Segoe UI" w:cstheme="minorHAnsi"/>
          <w:color w:val="011A3C"/>
          <w:sz w:val="24"/>
          <w:szCs w:val="24"/>
          <w:lang w:val="en" w:eastAsia="en-AU"/>
        </w:rPr>
        <w:t>specialised</w:t>
      </w:r>
      <w:proofErr w:type="spellEnd"/>
      <w:r w:rsidRPr="00260C1D">
        <w:rPr>
          <w:rFonts w:eastAsia="Segoe UI" w:cstheme="minorHAnsi"/>
          <w:color w:val="011A3C"/>
          <w:sz w:val="24"/>
          <w:szCs w:val="24"/>
          <w:lang w:val="en" w:eastAsia="en-AU"/>
        </w:rPr>
        <w:t xml:space="preserve"> assistance to these students. This involves engagement of appropriately trained Education Support (ES) staff to undertake duties and responsibilities for delivering supporting procedures, consistent with Level 1, Range 2 of the ES Class.</w:t>
      </w:r>
    </w:p>
    <w:p w14:paraId="01043A0E" w14:textId="6458A492" w:rsidR="00AD16F0" w:rsidRPr="00260C1D" w:rsidRDefault="00AD16F0" w:rsidP="00AD16F0">
      <w:pPr>
        <w:spacing w:before="100" w:beforeAutospacing="1" w:after="100" w:afterAutospacing="1" w:line="360" w:lineRule="atLeast"/>
        <w:rPr>
          <w:rFonts w:eastAsia="Segoe UI"/>
          <w:color w:val="011A3C"/>
          <w:sz w:val="24"/>
          <w:szCs w:val="24"/>
          <w:lang w:val="en" w:eastAsia="en-AU"/>
        </w:rPr>
      </w:pPr>
      <w:r w:rsidRPr="75A4D76F">
        <w:rPr>
          <w:rFonts w:eastAsia="Segoe UI"/>
          <w:color w:val="011A3C"/>
          <w:sz w:val="24"/>
          <w:szCs w:val="24"/>
          <w:lang w:val="en" w:eastAsia="en-AU"/>
        </w:rPr>
        <w:t xml:space="preserve">The ES staff member must have undergone specific training to support the student’s medical needs. Training may be provided by an appropriate healthcare provider, or through the </w:t>
      </w:r>
      <w:proofErr w:type="spellStart"/>
      <w:r w:rsidR="6F0CF940" w:rsidRPr="75A4D76F">
        <w:rPr>
          <w:rFonts w:eastAsia="Segoe UI"/>
          <w:color w:val="011A3C"/>
          <w:sz w:val="24"/>
          <w:szCs w:val="24"/>
          <w:lang w:val="en" w:eastAsia="en-AU"/>
        </w:rPr>
        <w:t>School</w:t>
      </w:r>
      <w:r w:rsidR="473D9BA9" w:rsidRPr="75A4D76F">
        <w:rPr>
          <w:rFonts w:eastAsia="Segoe UI"/>
          <w:color w:val="011A3C"/>
          <w:sz w:val="24"/>
          <w:szCs w:val="24"/>
          <w:lang w:val="en" w:eastAsia="en-AU"/>
        </w:rPr>
        <w:t>c</w:t>
      </w:r>
      <w:r w:rsidRPr="75A4D76F">
        <w:rPr>
          <w:rFonts w:eastAsia="Segoe UI"/>
          <w:color w:val="011A3C"/>
          <w:sz w:val="24"/>
          <w:szCs w:val="24"/>
          <w:lang w:val="en" w:eastAsia="en-AU"/>
        </w:rPr>
        <w:t>are</w:t>
      </w:r>
      <w:proofErr w:type="spellEnd"/>
      <w:r w:rsidRPr="75A4D76F">
        <w:rPr>
          <w:rFonts w:eastAsia="Segoe UI"/>
          <w:color w:val="011A3C"/>
          <w:sz w:val="24"/>
          <w:szCs w:val="24"/>
          <w:lang w:val="en" w:eastAsia="en-AU"/>
        </w:rPr>
        <w:t xml:space="preserve"> Program.</w:t>
      </w:r>
    </w:p>
    <w:p w14:paraId="44D2B47C" w14:textId="77777777" w:rsidR="009758B9" w:rsidRPr="00260C1D" w:rsidRDefault="009758B9" w:rsidP="009758B9">
      <w:pPr>
        <w:spacing w:before="100" w:beforeAutospacing="1" w:after="100" w:afterAutospacing="1" w:line="360" w:lineRule="atLeast"/>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6262C519" w14:textId="3B34B15B" w:rsidR="009758B9" w:rsidRPr="00260C1D" w:rsidRDefault="009758B9" w:rsidP="009758B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with the following campus types are eligible for Medical Intervention funding at </w:t>
      </w:r>
      <w:r w:rsidR="00AC1B4F">
        <w:rPr>
          <w:rFonts w:eastAsia="Segoe UI" w:cstheme="minorHAnsi"/>
          <w:color w:val="011A3C"/>
          <w:sz w:val="24"/>
          <w:szCs w:val="24"/>
          <w:lang w:val="en" w:eastAsia="en-AU"/>
        </w:rPr>
        <w:t xml:space="preserve">a </w:t>
      </w:r>
      <w:r w:rsidRPr="00260C1D">
        <w:rPr>
          <w:rFonts w:eastAsia="Segoe UI" w:cstheme="minorHAnsi"/>
          <w:color w:val="011A3C"/>
          <w:sz w:val="24"/>
          <w:szCs w:val="24"/>
          <w:lang w:val="en" w:eastAsia="en-AU"/>
        </w:rPr>
        <w:t>campus level</w:t>
      </w:r>
      <w:r w:rsidR="00AC1B4F">
        <w:rPr>
          <w:rFonts w:eastAsia="Segoe UI" w:cstheme="minorHAnsi"/>
          <w:color w:val="011A3C"/>
          <w:sz w:val="24"/>
          <w:szCs w:val="24"/>
          <w:lang w:val="en" w:eastAsia="en-AU"/>
        </w:rPr>
        <w:t>:</w:t>
      </w:r>
    </w:p>
    <w:p w14:paraId="023037F0" w14:textId="77777777" w:rsidR="009758B9" w:rsidRPr="00260C1D" w:rsidRDefault="009758B9"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Primary</w:t>
      </w:r>
    </w:p>
    <w:p w14:paraId="0EDE9C3A" w14:textId="77777777" w:rsidR="009758B9" w:rsidRPr="00260C1D" w:rsidRDefault="009758B9"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Secondary</w:t>
      </w:r>
    </w:p>
    <w:p w14:paraId="0D1C0CBB" w14:textId="6F84C0C1" w:rsidR="009758B9" w:rsidRPr="00260C1D" w:rsidRDefault="009758B9"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Primary/Secondary Combined </w:t>
      </w:r>
    </w:p>
    <w:p w14:paraId="08211A22" w14:textId="77777777" w:rsidR="009758B9" w:rsidRPr="00260C1D" w:rsidRDefault="009758B9"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Special</w:t>
      </w:r>
    </w:p>
    <w:p w14:paraId="5EF28037" w14:textId="77777777" w:rsidR="00BD3D70" w:rsidRPr="00BD3D70" w:rsidRDefault="00BD3D70" w:rsidP="00BD3D70">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BD3D70">
        <w:rPr>
          <w:rFonts w:eastAsia="Segoe UI" w:cstheme="minorHAnsi"/>
          <w:color w:val="011A3C"/>
          <w:sz w:val="24"/>
          <w:szCs w:val="24"/>
          <w:lang w:val="en" w:eastAsia="en-AU"/>
        </w:rPr>
        <w:t>Disability</w:t>
      </w:r>
    </w:p>
    <w:p w14:paraId="182D9D11" w14:textId="77777777" w:rsidR="00BD3D70" w:rsidRPr="00BD3D70" w:rsidRDefault="00BD3D70" w:rsidP="00BD3D70">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BD3D70">
        <w:rPr>
          <w:rFonts w:eastAsia="Segoe UI" w:cstheme="minorHAnsi"/>
          <w:color w:val="011A3C"/>
          <w:sz w:val="24"/>
          <w:szCs w:val="24"/>
          <w:lang w:val="en" w:eastAsia="en-AU"/>
        </w:rPr>
        <w:t>Day Spec</w:t>
      </w:r>
    </w:p>
    <w:p w14:paraId="28EF5BE9" w14:textId="77777777" w:rsidR="00BD3D70" w:rsidRPr="00BD3D70" w:rsidRDefault="00BD3D70" w:rsidP="00BD3D70">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BD3D70">
        <w:rPr>
          <w:rFonts w:eastAsia="Segoe UI" w:cstheme="minorHAnsi"/>
          <w:color w:val="011A3C"/>
          <w:sz w:val="24"/>
          <w:szCs w:val="24"/>
          <w:lang w:val="en" w:eastAsia="en-AU"/>
        </w:rPr>
        <w:t>Spec Dev</w:t>
      </w:r>
    </w:p>
    <w:p w14:paraId="01A5BF1B" w14:textId="77777777" w:rsidR="00BD3D70" w:rsidRPr="00260C1D" w:rsidRDefault="00BD3D70" w:rsidP="00BD3D70">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BD3D70">
        <w:rPr>
          <w:rFonts w:eastAsia="Segoe UI" w:cstheme="minorHAnsi"/>
          <w:color w:val="011A3C"/>
          <w:sz w:val="24"/>
          <w:szCs w:val="24"/>
          <w:lang w:val="en" w:eastAsia="en-AU"/>
        </w:rPr>
        <w:t>Deaf</w:t>
      </w:r>
    </w:p>
    <w:p w14:paraId="4EB1F3E1" w14:textId="77777777" w:rsidR="00A12061" w:rsidRPr="00833928" w:rsidRDefault="009758B9" w:rsidP="00833928">
      <w:pPr>
        <w:rPr>
          <w:color w:val="011A3C"/>
          <w:sz w:val="24"/>
          <w:lang w:val="en"/>
        </w:rPr>
      </w:pPr>
      <w:r w:rsidRPr="00833928">
        <w:rPr>
          <w:color w:val="011A3C"/>
          <w:sz w:val="24"/>
          <w:lang w:val="en"/>
        </w:rPr>
        <w:t xml:space="preserve">Funding is calculated for each of the four school terms and is allocated through credit funding. </w:t>
      </w:r>
    </w:p>
    <w:p w14:paraId="49C4E909" w14:textId="495BB566" w:rsidR="00AD16F0" w:rsidRPr="00260C1D" w:rsidRDefault="00AD16F0" w:rsidP="00AD16F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 202</w:t>
      </w:r>
      <w:r w:rsidR="00EE4F01">
        <w:rPr>
          <w:rFonts w:eastAsia="Segoe UI" w:cstheme="minorHAnsi"/>
          <w:b/>
          <w:color w:val="011A3C"/>
          <w:sz w:val="27"/>
          <w:szCs w:val="27"/>
          <w:lang w:val="en" w:eastAsia="en-AU"/>
        </w:rPr>
        <w:t>4</w:t>
      </w:r>
    </w:p>
    <w:p w14:paraId="2B90A5E2" w14:textId="5E4ADEA6" w:rsidR="008E7838"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Rate per eligible student: </w:t>
      </w:r>
      <w:r w:rsidR="00EE4F01" w:rsidRPr="00EE4F01">
        <w:rPr>
          <w:rFonts w:eastAsia="Segoe UI" w:cstheme="minorHAnsi"/>
          <w:color w:val="011A3C"/>
          <w:sz w:val="24"/>
          <w:szCs w:val="24"/>
          <w:lang w:val="en" w:eastAsia="en-AU"/>
        </w:rPr>
        <w:t>$15,472</w:t>
      </w:r>
    </w:p>
    <w:p w14:paraId="2EA1EDE1" w14:textId="52E39E01"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Medical Intervention Support is allocated on a pro</w:t>
      </w:r>
      <w:r w:rsidR="00511670">
        <w:rPr>
          <w:rFonts w:eastAsia="Segoe UI" w:cstheme="minorHAnsi"/>
          <w:color w:val="011A3C"/>
          <w:sz w:val="24"/>
          <w:szCs w:val="24"/>
          <w:lang w:val="en" w:eastAsia="en-AU"/>
        </w:rPr>
        <w:t>-</w:t>
      </w:r>
      <w:r w:rsidRPr="00260C1D">
        <w:rPr>
          <w:rFonts w:eastAsia="Segoe UI" w:cstheme="minorHAnsi"/>
          <w:color w:val="011A3C"/>
          <w:sz w:val="24"/>
          <w:szCs w:val="24"/>
          <w:lang w:val="en" w:eastAsia="en-AU"/>
        </w:rPr>
        <w:t>rata basis according to applications received from schools and the enrolment of an eligible student.</w:t>
      </w:r>
    </w:p>
    <w:p w14:paraId="152F930E" w14:textId="77777777"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In cases where the student transfers to another school, an application for Medical Intervention Support is required from the new school.</w:t>
      </w:r>
    </w:p>
    <w:p w14:paraId="5D292A0B" w14:textId="77777777" w:rsidR="00AD16F0" w:rsidRPr="00260C1D" w:rsidRDefault="00AD16F0" w:rsidP="00474C70">
      <w:pPr>
        <w:keepNext/>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Further information</w:t>
      </w:r>
    </w:p>
    <w:p w14:paraId="0F3EDD69" w14:textId="77777777" w:rsidR="00AD16F0" w:rsidRPr="00260C1D" w:rsidRDefault="00AD16F0" w:rsidP="00474C70">
      <w:pPr>
        <w:keepNext/>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Medical Intervention Support guidelines are available at:</w:t>
      </w:r>
    </w:p>
    <w:p w14:paraId="79C0D0D2" w14:textId="77777777" w:rsidR="00AD16F0" w:rsidRPr="00260C1D" w:rsidRDefault="00000000" w:rsidP="00F56244">
      <w:pPr>
        <w:numPr>
          <w:ilvl w:val="0"/>
          <w:numId w:val="32"/>
        </w:numPr>
        <w:spacing w:after="0" w:line="240" w:lineRule="auto"/>
        <w:ind w:hanging="357"/>
        <w:rPr>
          <w:rFonts w:cstheme="minorHAnsi"/>
        </w:rPr>
      </w:pPr>
      <w:hyperlink r:id="rId69" w:history="1">
        <w:r w:rsidR="00AD16F0" w:rsidRPr="00260C1D">
          <w:rPr>
            <w:rStyle w:val="Hyperlink"/>
            <w:rFonts w:cstheme="minorHAnsi"/>
            <w:sz w:val="24"/>
            <w:szCs w:val="24"/>
          </w:rPr>
          <w:t>Medical Intervention Support</w:t>
        </w:r>
      </w:hyperlink>
      <w:r w:rsidR="00AD16F0" w:rsidRPr="00260C1D">
        <w:rPr>
          <w:rFonts w:cstheme="minorHAnsi"/>
        </w:rPr>
        <w:br w:type="page"/>
      </w:r>
    </w:p>
    <w:p w14:paraId="7517F3A9" w14:textId="4D05B149" w:rsidR="00AD16F0" w:rsidRPr="00260C1D" w:rsidRDefault="00AD16F0" w:rsidP="00532A33">
      <w:pPr>
        <w:pStyle w:val="Heading2"/>
      </w:pPr>
      <w:bookmarkStart w:id="78" w:name="_Toc141965247"/>
      <w:bookmarkStart w:id="79" w:name="_Toc145339577"/>
      <w:bookmarkStart w:id="80" w:name="_Toc153791900"/>
      <w:r w:rsidRPr="00260C1D">
        <w:lastRenderedPageBreak/>
        <w:t>Special School Transport Administration (Reference 25)</w:t>
      </w:r>
      <w:bookmarkEnd w:id="78"/>
      <w:bookmarkEnd w:id="79"/>
      <w:bookmarkEnd w:id="80"/>
    </w:p>
    <w:p w14:paraId="32EB7F79" w14:textId="2C255B45" w:rsidR="00AD16F0" w:rsidRPr="00260C1D" w:rsidRDefault="00AD16F0" w:rsidP="00AD16F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 Special School Transport Administration allocation is provided in recognition of the arrangements required to manage transport arrangements in consultation with bus contractors and parents.</w:t>
      </w:r>
    </w:p>
    <w:p w14:paraId="1CDD488C" w14:textId="77777777" w:rsidR="00820471" w:rsidRPr="00720A0F" w:rsidRDefault="00820471" w:rsidP="00720A0F">
      <w:pPr>
        <w:spacing w:before="100" w:beforeAutospacing="1" w:after="100" w:afterAutospacing="1" w:line="288" w:lineRule="atLeast"/>
        <w:outlineLvl w:val="2"/>
        <w:rPr>
          <w:rFonts w:eastAsia="Segoe UI" w:cstheme="minorHAnsi"/>
          <w:b/>
          <w:color w:val="011A3C"/>
          <w:sz w:val="27"/>
          <w:szCs w:val="27"/>
          <w:lang w:val="en" w:eastAsia="en-AU"/>
        </w:rPr>
      </w:pPr>
      <w:bookmarkStart w:id="81" w:name="_Hlk46925874"/>
      <w:r w:rsidRPr="00720A0F">
        <w:rPr>
          <w:rFonts w:eastAsia="Segoe UI" w:cstheme="minorHAnsi"/>
          <w:b/>
          <w:color w:val="011A3C"/>
          <w:sz w:val="27"/>
          <w:szCs w:val="27"/>
          <w:lang w:val="en" w:eastAsia="en-AU"/>
        </w:rPr>
        <w:t>Eligibility</w:t>
      </w:r>
    </w:p>
    <w:p w14:paraId="7034E518" w14:textId="2CD95FA4" w:rsidR="00820471" w:rsidRPr="00614B09" w:rsidRDefault="00820471"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614B09">
        <w:rPr>
          <w:rFonts w:eastAsia="Segoe UI" w:cstheme="minorHAnsi"/>
          <w:color w:val="011A3C"/>
          <w:sz w:val="24"/>
          <w:szCs w:val="24"/>
          <w:lang w:val="en" w:eastAsia="en-AU"/>
        </w:rPr>
        <w:t>Special Schools</w:t>
      </w:r>
      <w:r w:rsidR="008E7838" w:rsidRPr="00614B09">
        <w:rPr>
          <w:rFonts w:eastAsia="Segoe UI" w:cstheme="minorHAnsi"/>
          <w:color w:val="011A3C"/>
          <w:sz w:val="24"/>
          <w:szCs w:val="24"/>
          <w:lang w:val="en" w:eastAsia="en-AU"/>
        </w:rPr>
        <w:t xml:space="preserve">*  </w:t>
      </w:r>
    </w:p>
    <w:p w14:paraId="3845B970" w14:textId="35997A72" w:rsidR="00820471" w:rsidRPr="00614B09" w:rsidRDefault="005320C7"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614B09">
        <w:rPr>
          <w:rFonts w:eastAsia="Segoe UI" w:cstheme="minorHAnsi"/>
          <w:color w:val="011A3C"/>
          <w:sz w:val="24"/>
          <w:szCs w:val="24"/>
          <w:lang w:val="en" w:eastAsia="en-AU"/>
        </w:rPr>
        <w:t>Autistic</w:t>
      </w:r>
      <w:r w:rsidR="00820471" w:rsidRPr="00614B09">
        <w:rPr>
          <w:rFonts w:eastAsia="Segoe UI" w:cstheme="minorHAnsi"/>
          <w:color w:val="011A3C"/>
          <w:sz w:val="24"/>
          <w:szCs w:val="24"/>
          <w:lang w:val="en" w:eastAsia="en-AU"/>
        </w:rPr>
        <w:t xml:space="preserve"> Schools</w:t>
      </w:r>
    </w:p>
    <w:bookmarkEnd w:id="81"/>
    <w:p w14:paraId="2E8C3F03" w14:textId="77777777" w:rsidR="00511670" w:rsidRPr="00614B09" w:rsidRDefault="00511670" w:rsidP="00614B09">
      <w:pPr>
        <w:rPr>
          <w:rFonts w:eastAsia="Segoe UI" w:cstheme="minorHAnsi"/>
          <w:color w:val="011A3C"/>
          <w:sz w:val="20"/>
          <w:szCs w:val="20"/>
          <w:lang w:val="en" w:eastAsia="en-AU"/>
        </w:rPr>
      </w:pPr>
      <w:r w:rsidRPr="00614B09">
        <w:rPr>
          <w:rFonts w:eastAsia="Segoe UI" w:cstheme="minorHAnsi"/>
          <w:color w:val="011A3C"/>
          <w:sz w:val="20"/>
          <w:szCs w:val="20"/>
          <w:lang w:val="en" w:eastAsia="en-AU"/>
        </w:rPr>
        <w:t>*Including primary, secondary and primary/secondary combined schools with a defined special school campus.</w:t>
      </w:r>
    </w:p>
    <w:p w14:paraId="65E7D0EE" w14:textId="30120A75" w:rsidR="00820471" w:rsidRPr="00833928" w:rsidRDefault="00820471" w:rsidP="00833928">
      <w:pPr>
        <w:rPr>
          <w:color w:val="011A3C"/>
          <w:sz w:val="24"/>
          <w:lang w:val="en"/>
        </w:rPr>
      </w:pPr>
      <w:r w:rsidRPr="009B4DE1">
        <w:rPr>
          <w:rFonts w:eastAsia="Segoe UI" w:cstheme="minorHAnsi"/>
          <w:color w:val="011A3C"/>
          <w:sz w:val="24"/>
          <w:szCs w:val="24"/>
          <w:lang w:val="en" w:eastAsia="en-AU"/>
        </w:rPr>
        <w:t>Funding is calculated for each of the four school terms</w:t>
      </w:r>
      <w:r w:rsidR="00511670" w:rsidRPr="009B4DE1">
        <w:rPr>
          <w:rFonts w:eastAsia="Segoe UI" w:cstheme="minorHAnsi"/>
          <w:color w:val="011A3C"/>
          <w:sz w:val="24"/>
          <w:szCs w:val="24"/>
          <w:lang w:val="en" w:eastAsia="en-AU"/>
        </w:rPr>
        <w:t>. F</w:t>
      </w:r>
      <w:r w:rsidRPr="009B4DE1">
        <w:rPr>
          <w:rFonts w:eastAsia="Segoe UI" w:cstheme="minorHAnsi"/>
          <w:color w:val="011A3C"/>
          <w:sz w:val="24"/>
          <w:szCs w:val="24"/>
          <w:lang w:val="en" w:eastAsia="en-AU"/>
        </w:rPr>
        <w:t xml:space="preserve">unding is allocated through cash funding. </w:t>
      </w:r>
    </w:p>
    <w:p w14:paraId="09473319" w14:textId="77777777" w:rsidR="00820471" w:rsidRPr="00720A0F" w:rsidRDefault="00820471" w:rsidP="00720A0F">
      <w:pPr>
        <w:spacing w:before="100" w:beforeAutospacing="1" w:after="100" w:afterAutospacing="1" w:line="288" w:lineRule="atLeast"/>
        <w:outlineLvl w:val="2"/>
        <w:rPr>
          <w:rFonts w:eastAsia="Segoe UI" w:cstheme="minorHAnsi"/>
          <w:b/>
          <w:color w:val="011A3C"/>
          <w:sz w:val="27"/>
          <w:szCs w:val="27"/>
          <w:lang w:val="en" w:eastAsia="en-AU"/>
        </w:rPr>
      </w:pPr>
      <w:r w:rsidRPr="00720A0F">
        <w:rPr>
          <w:rFonts w:eastAsia="Segoe UI" w:cstheme="minorHAnsi"/>
          <w:b/>
          <w:color w:val="011A3C"/>
          <w:sz w:val="27"/>
          <w:szCs w:val="27"/>
          <w:lang w:val="en" w:eastAsia="en-AU"/>
        </w:rPr>
        <w:t>Calculation</w:t>
      </w:r>
    </w:p>
    <w:p w14:paraId="0B800A7F" w14:textId="77777777" w:rsidR="00820471" w:rsidRPr="00260C1D" w:rsidRDefault="00820471" w:rsidP="00820471">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calculated based on enrolment ranges provided in the rates section below.</w:t>
      </w:r>
    </w:p>
    <w:p w14:paraId="302B32A5" w14:textId="3F27EFD0" w:rsidR="00820471" w:rsidRPr="00260C1D" w:rsidRDefault="00511670" w:rsidP="000D106B">
      <w:pPr>
        <w:rPr>
          <w:rFonts w:eastAsia="Segoe UI" w:cstheme="minorHAnsi"/>
          <w:color w:val="011A3C"/>
          <w:sz w:val="24"/>
          <w:szCs w:val="24"/>
          <w:lang w:val="en" w:eastAsia="en-AU"/>
        </w:rPr>
      </w:pPr>
      <w:r>
        <w:rPr>
          <w:rFonts w:eastAsia="Segoe UI" w:cstheme="minorHAnsi"/>
          <w:color w:val="011A3C"/>
          <w:sz w:val="24"/>
          <w:szCs w:val="24"/>
          <w:lang w:val="en" w:eastAsia="en-AU"/>
        </w:rPr>
        <w:t>For e</w:t>
      </w:r>
      <w:r w:rsidR="00820471" w:rsidRPr="00260C1D">
        <w:rPr>
          <w:rFonts w:eastAsia="Segoe UI" w:cstheme="minorHAnsi"/>
          <w:color w:val="011A3C"/>
          <w:sz w:val="24"/>
          <w:szCs w:val="24"/>
          <w:lang w:val="en" w:eastAsia="en-AU"/>
        </w:rPr>
        <w:t>xample</w:t>
      </w:r>
      <w:r>
        <w:rPr>
          <w:rFonts w:eastAsia="Segoe UI" w:cstheme="minorHAnsi"/>
          <w:color w:val="011A3C"/>
          <w:sz w:val="24"/>
          <w:szCs w:val="24"/>
          <w:lang w:val="en" w:eastAsia="en-AU"/>
        </w:rPr>
        <w:t>,</w:t>
      </w:r>
      <w:r w:rsidR="00820471" w:rsidRPr="00260C1D">
        <w:rPr>
          <w:rFonts w:eastAsia="Segoe UI" w:cstheme="minorHAnsi"/>
          <w:color w:val="011A3C"/>
          <w:sz w:val="24"/>
          <w:szCs w:val="24"/>
          <w:lang w:val="en" w:eastAsia="en-AU"/>
        </w:rPr>
        <w:t xml:space="preserve"> a school with 27 enrolments would fall into the 26-50 enrolment range.</w:t>
      </w:r>
    </w:p>
    <w:p w14:paraId="5C8BD0C1" w14:textId="027B9855" w:rsidR="00AD16F0" w:rsidRPr="00260C1D" w:rsidRDefault="00AD16F0" w:rsidP="00AD16F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 202</w:t>
      </w:r>
      <w:r w:rsidR="00601C84">
        <w:rPr>
          <w:rFonts w:eastAsia="Segoe UI" w:cstheme="minorHAnsi"/>
          <w:b/>
          <w:color w:val="011A3C"/>
          <w:sz w:val="27"/>
          <w:szCs w:val="27"/>
          <w:lang w:val="en" w:eastAsia="en-AU"/>
        </w:rPr>
        <w:t>4</w:t>
      </w:r>
    </w:p>
    <w:p w14:paraId="7AD46B14" w14:textId="54517BB2" w:rsidR="00AD16F0" w:rsidRPr="00614B09" w:rsidRDefault="00AD16F0"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614B09">
        <w:rPr>
          <w:rFonts w:eastAsia="Segoe UI" w:cstheme="minorHAnsi"/>
          <w:color w:val="011A3C"/>
          <w:sz w:val="24"/>
          <w:szCs w:val="24"/>
          <w:lang w:val="en" w:eastAsia="en-AU"/>
        </w:rPr>
        <w:t>Enrolment range 0 to 2</w:t>
      </w:r>
      <w:r w:rsidR="00AA326A">
        <w:rPr>
          <w:rFonts w:eastAsia="Segoe UI" w:cstheme="minorHAnsi"/>
          <w:color w:val="011A3C"/>
          <w:sz w:val="24"/>
          <w:szCs w:val="24"/>
          <w:lang w:val="en" w:eastAsia="en-AU"/>
        </w:rPr>
        <w:t>5</w:t>
      </w:r>
      <w:r w:rsidRPr="00614B09">
        <w:rPr>
          <w:rFonts w:eastAsia="Segoe UI" w:cstheme="minorHAnsi"/>
          <w:color w:val="011A3C"/>
          <w:sz w:val="24"/>
          <w:szCs w:val="24"/>
          <w:lang w:val="en" w:eastAsia="en-AU"/>
        </w:rPr>
        <w:t xml:space="preserve">: </w:t>
      </w:r>
      <w:r w:rsidR="0005396A" w:rsidRPr="00614B09">
        <w:rPr>
          <w:rFonts w:eastAsia="Segoe UI" w:cstheme="minorHAnsi"/>
          <w:color w:val="011A3C"/>
          <w:sz w:val="24"/>
          <w:szCs w:val="24"/>
          <w:lang w:val="en" w:eastAsia="en-AU"/>
        </w:rPr>
        <w:t>$</w:t>
      </w:r>
      <w:r w:rsidR="00601C84" w:rsidRPr="00601C84">
        <w:rPr>
          <w:rFonts w:eastAsia="Segoe UI" w:cstheme="minorHAnsi"/>
          <w:color w:val="011A3C"/>
          <w:sz w:val="24"/>
          <w:szCs w:val="24"/>
          <w:lang w:val="en" w:eastAsia="en-AU"/>
        </w:rPr>
        <w:t>2,772</w:t>
      </w:r>
    </w:p>
    <w:p w14:paraId="15C7DF7C" w14:textId="55035173" w:rsidR="00423EBD" w:rsidRPr="00614B09" w:rsidRDefault="00AD16F0"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614B09">
        <w:rPr>
          <w:rFonts w:eastAsia="Segoe UI" w:cstheme="minorHAnsi"/>
          <w:color w:val="011A3C"/>
          <w:sz w:val="24"/>
          <w:szCs w:val="24"/>
          <w:lang w:val="en" w:eastAsia="en-AU"/>
        </w:rPr>
        <w:t xml:space="preserve">Enrolment range 26 to 50: </w:t>
      </w:r>
      <w:r w:rsidR="0005396A" w:rsidRPr="00614B09">
        <w:rPr>
          <w:rFonts w:eastAsia="Segoe UI" w:cstheme="minorHAnsi"/>
          <w:color w:val="011A3C"/>
          <w:sz w:val="24"/>
          <w:szCs w:val="24"/>
          <w:lang w:val="en" w:eastAsia="en-AU"/>
        </w:rPr>
        <w:t>$</w:t>
      </w:r>
      <w:r w:rsidR="00961540" w:rsidRPr="00961540">
        <w:rPr>
          <w:rFonts w:eastAsia="Segoe UI" w:cstheme="minorHAnsi"/>
          <w:color w:val="011A3C"/>
          <w:sz w:val="24"/>
          <w:szCs w:val="24"/>
          <w:lang w:val="en" w:eastAsia="en-AU"/>
        </w:rPr>
        <w:t>3,468</w:t>
      </w:r>
    </w:p>
    <w:p w14:paraId="7A487A96" w14:textId="7B58974B" w:rsidR="00423EBD" w:rsidRPr="00614B09" w:rsidRDefault="00AD16F0"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614B09">
        <w:rPr>
          <w:rFonts w:eastAsia="Segoe UI" w:cstheme="minorHAnsi"/>
          <w:color w:val="011A3C"/>
          <w:sz w:val="24"/>
          <w:szCs w:val="24"/>
          <w:lang w:val="en" w:eastAsia="en-AU"/>
        </w:rPr>
        <w:t xml:space="preserve">Enrolment range 51+: </w:t>
      </w:r>
      <w:r w:rsidR="0005396A" w:rsidRPr="00614B09">
        <w:rPr>
          <w:rFonts w:eastAsia="Segoe UI" w:cstheme="minorHAnsi"/>
          <w:color w:val="011A3C"/>
          <w:sz w:val="24"/>
          <w:szCs w:val="24"/>
          <w:lang w:val="en" w:eastAsia="en-AU"/>
        </w:rPr>
        <w:t>$</w:t>
      </w:r>
      <w:r w:rsidR="00961540" w:rsidRPr="00961540">
        <w:rPr>
          <w:rFonts w:eastAsia="Segoe UI" w:cstheme="minorHAnsi"/>
          <w:color w:val="011A3C"/>
          <w:sz w:val="24"/>
          <w:szCs w:val="24"/>
          <w:lang w:val="en" w:eastAsia="en-AU"/>
        </w:rPr>
        <w:t>4,163</w:t>
      </w:r>
    </w:p>
    <w:p w14:paraId="365CDE6D" w14:textId="33EDF651" w:rsidR="00AD16F0" w:rsidRPr="00260C1D" w:rsidRDefault="00AD16F0" w:rsidP="00532A33">
      <w:pPr>
        <w:pStyle w:val="Heading2"/>
      </w:pPr>
      <w:r w:rsidRPr="00260C1D">
        <w:br w:type="page"/>
      </w:r>
      <w:bookmarkStart w:id="82" w:name="_Toc141965248"/>
      <w:bookmarkStart w:id="83" w:name="_Toc145339578"/>
      <w:bookmarkStart w:id="84" w:name="_Toc153791901"/>
      <w:bookmarkStart w:id="85" w:name="_Hlk98251232"/>
      <w:r w:rsidRPr="00260C1D">
        <w:lastRenderedPageBreak/>
        <w:t>EAL Program Funding (Reference 26)</w:t>
      </w:r>
      <w:bookmarkEnd w:id="82"/>
      <w:bookmarkEnd w:id="83"/>
      <w:bookmarkEnd w:id="84"/>
    </w:p>
    <w:p w14:paraId="3F2E99E5" w14:textId="77777777" w:rsidR="00D934A6" w:rsidRPr="00D934A6" w:rsidRDefault="00D934A6" w:rsidP="00D934A6">
      <w:pPr>
        <w:spacing w:before="100" w:beforeAutospacing="1" w:after="100" w:afterAutospacing="1" w:line="288" w:lineRule="atLeast"/>
        <w:outlineLvl w:val="2"/>
        <w:rPr>
          <w:rFonts w:eastAsia="Segoe UI" w:cstheme="minorHAnsi"/>
          <w:b/>
          <w:color w:val="011A3C"/>
          <w:sz w:val="27"/>
          <w:szCs w:val="27"/>
          <w:lang w:val="en" w:eastAsia="en-AU"/>
        </w:rPr>
      </w:pPr>
      <w:r w:rsidRPr="00D934A6">
        <w:rPr>
          <w:rFonts w:eastAsia="Segoe UI" w:cstheme="minorHAnsi"/>
          <w:b/>
          <w:color w:val="011A3C"/>
          <w:sz w:val="27"/>
          <w:szCs w:val="27"/>
          <w:lang w:val="en" w:eastAsia="en-AU"/>
        </w:rPr>
        <w:t>EAL program funding for mainstream schools</w:t>
      </w:r>
    </w:p>
    <w:p w14:paraId="136F4A41" w14:textId="4F33AE8E" w:rsidR="005D5E2A" w:rsidRPr="00260C1D" w:rsidRDefault="00FA3059" w:rsidP="006D6E02">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The </w:t>
      </w:r>
      <w:r w:rsidR="005D5E2A" w:rsidRPr="00260C1D">
        <w:rPr>
          <w:rFonts w:eastAsia="Segoe UI" w:cstheme="minorHAnsi"/>
          <w:color w:val="011A3C"/>
          <w:sz w:val="24"/>
          <w:szCs w:val="24"/>
          <w:lang w:val="en" w:eastAsia="en-AU"/>
        </w:rPr>
        <w:t xml:space="preserve">EAL program funding for primary and secondary schools in the </w:t>
      </w:r>
      <w:r w:rsidR="001B66F8" w:rsidRPr="00260C1D">
        <w:rPr>
          <w:rFonts w:eastAsia="Segoe UI" w:cstheme="minorHAnsi"/>
          <w:color w:val="011A3C"/>
          <w:sz w:val="24"/>
          <w:szCs w:val="24"/>
          <w:lang w:val="en" w:eastAsia="en-AU"/>
        </w:rPr>
        <w:t>Student Resource Package (</w:t>
      </w:r>
      <w:r w:rsidR="005D5E2A" w:rsidRPr="00260C1D">
        <w:rPr>
          <w:rFonts w:eastAsia="Segoe UI" w:cstheme="minorHAnsi"/>
          <w:color w:val="011A3C"/>
          <w:sz w:val="24"/>
          <w:szCs w:val="24"/>
          <w:lang w:val="en" w:eastAsia="en-AU"/>
        </w:rPr>
        <w:t>SRP</w:t>
      </w:r>
      <w:r w:rsidR="001B66F8" w:rsidRPr="00260C1D">
        <w:rPr>
          <w:rFonts w:eastAsia="Segoe UI" w:cstheme="minorHAnsi"/>
          <w:color w:val="011A3C"/>
          <w:sz w:val="24"/>
          <w:szCs w:val="24"/>
          <w:lang w:val="en" w:eastAsia="en-AU"/>
        </w:rPr>
        <w:t>)</w:t>
      </w:r>
      <w:r w:rsidR="005D5E2A" w:rsidRPr="00260C1D">
        <w:rPr>
          <w:rFonts w:eastAsia="Segoe UI" w:cstheme="minorHAnsi"/>
          <w:color w:val="011A3C"/>
          <w:sz w:val="24"/>
          <w:szCs w:val="24"/>
          <w:lang w:val="en" w:eastAsia="en-AU"/>
        </w:rPr>
        <w:t xml:space="preserve"> consists primarily of EAL Index funding (Levels 1</w:t>
      </w:r>
      <w:r w:rsidR="001F27FE">
        <w:rPr>
          <w:rFonts w:eastAsia="Segoe UI" w:cstheme="minorHAnsi"/>
          <w:color w:val="011A3C"/>
          <w:sz w:val="24"/>
          <w:szCs w:val="24"/>
          <w:lang w:val="en" w:eastAsia="en-AU"/>
        </w:rPr>
        <w:t>-</w:t>
      </w:r>
      <w:r w:rsidR="005D5E2A" w:rsidRPr="00260C1D">
        <w:rPr>
          <w:rFonts w:eastAsia="Segoe UI" w:cstheme="minorHAnsi"/>
          <w:color w:val="011A3C"/>
          <w:sz w:val="24"/>
          <w:szCs w:val="24"/>
          <w:lang w:val="en" w:eastAsia="en-AU"/>
        </w:rPr>
        <w:t xml:space="preserve">5) and is provided to schools that meet a pre-determined threshold. Schools that experience an increase to their EAL student profile during the school year which takes them beyond that threshold are also eligible for EAL </w:t>
      </w:r>
      <w:r w:rsidR="001F27FE">
        <w:rPr>
          <w:rFonts w:eastAsia="Segoe UI" w:cstheme="minorHAnsi"/>
          <w:color w:val="011A3C"/>
          <w:sz w:val="24"/>
          <w:szCs w:val="24"/>
          <w:lang w:val="en" w:eastAsia="en-AU"/>
        </w:rPr>
        <w:t>C</w:t>
      </w:r>
      <w:r w:rsidR="005D5E2A" w:rsidRPr="00260C1D">
        <w:rPr>
          <w:rFonts w:eastAsia="Segoe UI" w:cstheme="minorHAnsi"/>
          <w:color w:val="011A3C"/>
          <w:sz w:val="24"/>
          <w:szCs w:val="24"/>
          <w:lang w:val="en" w:eastAsia="en-AU"/>
        </w:rPr>
        <w:t>ontingency funding. Refer to </w:t>
      </w:r>
      <w:hyperlink r:id="rId70" w:history="1">
        <w:r w:rsidR="005D5E2A" w:rsidRPr="00B148A2">
          <w:rPr>
            <w:rStyle w:val="Hyperlink"/>
          </w:rPr>
          <w:t>EAL Contingency</w:t>
        </w:r>
        <w:r w:rsidR="00E271DD">
          <w:rPr>
            <w:rStyle w:val="Hyperlink"/>
            <w:rFonts w:eastAsia="Segoe UI" w:cstheme="minorHAnsi"/>
            <w:sz w:val="24"/>
            <w:szCs w:val="24"/>
            <w:lang w:val="en" w:eastAsia="en-AU"/>
          </w:rPr>
          <w:t xml:space="preserve"> (Reference 27)</w:t>
        </w:r>
      </w:hyperlink>
      <w:r w:rsidR="00E271DD">
        <w:rPr>
          <w:rFonts w:eastAsia="Segoe UI" w:cstheme="minorHAnsi"/>
          <w:color w:val="011A3C"/>
          <w:sz w:val="24"/>
          <w:szCs w:val="24"/>
          <w:lang w:val="en" w:eastAsia="en-AU"/>
        </w:rPr>
        <w:t>.</w:t>
      </w:r>
    </w:p>
    <w:p w14:paraId="6A145E9C" w14:textId="58DBEB6F" w:rsidR="005D5E2A" w:rsidRPr="00260C1D" w:rsidRDefault="005D5E2A" w:rsidP="004D307F">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EAL Index funding (Levels 1</w:t>
      </w:r>
      <w:r w:rsidR="001F27FE">
        <w:rPr>
          <w:rFonts w:eastAsia="Segoe UI" w:cstheme="minorHAnsi"/>
          <w:b/>
          <w:color w:val="011A3C"/>
          <w:sz w:val="27"/>
          <w:szCs w:val="27"/>
          <w:lang w:val="en" w:eastAsia="en-AU"/>
        </w:rPr>
        <w:t>-</w:t>
      </w:r>
      <w:r w:rsidRPr="00260C1D">
        <w:rPr>
          <w:rFonts w:eastAsia="Segoe UI" w:cstheme="minorHAnsi"/>
          <w:b/>
          <w:color w:val="011A3C"/>
          <w:sz w:val="27"/>
          <w:szCs w:val="27"/>
          <w:lang w:val="en" w:eastAsia="en-AU"/>
        </w:rPr>
        <w:t>5)</w:t>
      </w:r>
    </w:p>
    <w:p w14:paraId="2A7E7A70" w14:textId="77777777" w:rsidR="005D5E2A" w:rsidRPr="00260C1D" w:rsidRDefault="005D5E2A" w:rsidP="000A6EFD">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EAL Index funding is made available to schools to staff EAL programs with appropriately qualified EAL teachers and Multicultural Education Aides (MEAs).</w:t>
      </w:r>
    </w:p>
    <w:p w14:paraId="512BE684" w14:textId="25BCA1BD" w:rsidR="005D5E2A" w:rsidRPr="00260C1D" w:rsidRDefault="005D5E2A" w:rsidP="000A6EFD">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EAL Index funding is based on data collected from </w:t>
      </w:r>
      <w:r w:rsidR="00C75EB1">
        <w:rPr>
          <w:rFonts w:eastAsia="Segoe UI" w:cstheme="minorHAnsi"/>
          <w:color w:val="011A3C"/>
          <w:sz w:val="24"/>
          <w:szCs w:val="24"/>
          <w:lang w:val="en" w:eastAsia="en-AU"/>
        </w:rPr>
        <w:t xml:space="preserve">mainstream </w:t>
      </w:r>
      <w:r w:rsidRPr="00260C1D">
        <w:rPr>
          <w:rFonts w:eastAsia="Segoe UI" w:cstheme="minorHAnsi"/>
          <w:color w:val="011A3C"/>
          <w:sz w:val="24"/>
          <w:szCs w:val="24"/>
          <w:lang w:val="en" w:eastAsia="en-AU"/>
        </w:rPr>
        <w:t xml:space="preserve">schools in the preceding August </w:t>
      </w:r>
      <w:r w:rsidR="00FA3059">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chool </w:t>
      </w:r>
      <w:r w:rsidR="00FA3059">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ensus. New schools that did not participate in the preceding August census can apply for </w:t>
      </w:r>
      <w:r w:rsidR="00FA3059">
        <w:rPr>
          <w:rFonts w:eastAsia="Segoe UI" w:cstheme="minorHAnsi"/>
          <w:color w:val="011A3C"/>
          <w:sz w:val="24"/>
          <w:szCs w:val="24"/>
          <w:lang w:val="en" w:eastAsia="en-AU"/>
        </w:rPr>
        <w:t>EAL C</w:t>
      </w:r>
      <w:r w:rsidRPr="00260C1D">
        <w:rPr>
          <w:rFonts w:eastAsia="Segoe UI" w:cstheme="minorHAnsi"/>
          <w:color w:val="011A3C"/>
          <w:sz w:val="24"/>
          <w:szCs w:val="24"/>
          <w:lang w:val="en" w:eastAsia="en-AU"/>
        </w:rPr>
        <w:t>ontingency funding if their EAL student profile meets the EAL Index funding threshold.</w:t>
      </w:r>
    </w:p>
    <w:p w14:paraId="1C3728E7" w14:textId="77777777" w:rsidR="005D5E2A" w:rsidRPr="00260C1D" w:rsidRDefault="005D5E2A" w:rsidP="004D307F">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0B28DC52" w14:textId="77777777" w:rsidR="005D5E2A" w:rsidRPr="0082534A" w:rsidRDefault="005D5E2A" w:rsidP="00F56244">
      <w:pPr>
        <w:pStyle w:val="ListParagraph"/>
        <w:numPr>
          <w:ilvl w:val="0"/>
          <w:numId w:val="76"/>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Primary</w:t>
      </w:r>
    </w:p>
    <w:p w14:paraId="3998E452" w14:textId="77777777" w:rsidR="005D5E2A" w:rsidRPr="0082534A" w:rsidRDefault="005D5E2A" w:rsidP="00F56244">
      <w:pPr>
        <w:pStyle w:val="ListParagraph"/>
        <w:numPr>
          <w:ilvl w:val="0"/>
          <w:numId w:val="76"/>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Secondary</w:t>
      </w:r>
    </w:p>
    <w:p w14:paraId="397BEFE9" w14:textId="17DB1DA0" w:rsidR="005D5E2A" w:rsidRPr="0082534A" w:rsidRDefault="005D5E2A" w:rsidP="00F56244">
      <w:pPr>
        <w:pStyle w:val="ListParagraph"/>
        <w:numPr>
          <w:ilvl w:val="0"/>
          <w:numId w:val="76"/>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 xml:space="preserve">Primary/Secondary </w:t>
      </w:r>
      <w:r w:rsidR="00C75EB1">
        <w:rPr>
          <w:rFonts w:eastAsia="Segoe UI" w:cstheme="minorHAnsi"/>
          <w:color w:val="011A3C"/>
          <w:sz w:val="24"/>
          <w:szCs w:val="24"/>
          <w:lang w:val="en" w:eastAsia="en-AU"/>
        </w:rPr>
        <w:t>combined</w:t>
      </w:r>
    </w:p>
    <w:p w14:paraId="62AF9A7B" w14:textId="77777777" w:rsidR="005D5E2A" w:rsidRPr="00260C1D" w:rsidRDefault="005D5E2A" w:rsidP="0061578B">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Allocation of EAL Index funding</w:t>
      </w:r>
    </w:p>
    <w:p w14:paraId="05C63C8D" w14:textId="77777777" w:rsidR="005D5E2A" w:rsidRPr="00260C1D" w:rsidRDefault="005D5E2A" w:rsidP="000A6EFD">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EAL Index funding is allocated to schools at campus level to provide EAL programs for students based on the number of students who:</w:t>
      </w:r>
    </w:p>
    <w:p w14:paraId="210D94DD" w14:textId="786BE903" w:rsidR="005D5E2A" w:rsidRPr="0082534A" w:rsidRDefault="00FA3059" w:rsidP="00F56244">
      <w:pPr>
        <w:pStyle w:val="ListParagraph"/>
        <w:numPr>
          <w:ilvl w:val="0"/>
          <w:numId w:val="76"/>
        </w:numPr>
        <w:spacing w:before="100" w:beforeAutospacing="1" w:after="100" w:afterAutospacing="1"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C</w:t>
      </w:r>
      <w:r w:rsidR="005D5E2A" w:rsidRPr="0082534A">
        <w:rPr>
          <w:rFonts w:eastAsia="Segoe UI" w:cstheme="minorHAnsi"/>
          <w:color w:val="011A3C"/>
          <w:sz w:val="24"/>
          <w:szCs w:val="24"/>
          <w:lang w:val="en" w:eastAsia="en-AU"/>
        </w:rPr>
        <w:t>ome from a language background other than English</w:t>
      </w:r>
    </w:p>
    <w:p w14:paraId="21149923" w14:textId="5ED71824" w:rsidR="005D5E2A" w:rsidRPr="0082534A" w:rsidRDefault="00FA3059" w:rsidP="00F56244">
      <w:pPr>
        <w:pStyle w:val="ListParagraph"/>
        <w:numPr>
          <w:ilvl w:val="0"/>
          <w:numId w:val="76"/>
        </w:numPr>
        <w:spacing w:before="100" w:beforeAutospacing="1" w:after="100" w:afterAutospacing="1"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S</w:t>
      </w:r>
      <w:r w:rsidR="005D5E2A" w:rsidRPr="0082534A">
        <w:rPr>
          <w:rFonts w:eastAsia="Segoe UI" w:cstheme="minorHAnsi"/>
          <w:color w:val="011A3C"/>
          <w:sz w:val="24"/>
          <w:szCs w:val="24"/>
          <w:lang w:val="en" w:eastAsia="en-AU"/>
        </w:rPr>
        <w:t>peak a language other than English at home as their main language</w:t>
      </w:r>
    </w:p>
    <w:p w14:paraId="2E4385B2" w14:textId="7CC60740" w:rsidR="005D5E2A" w:rsidRPr="0082534A" w:rsidRDefault="00FA3059" w:rsidP="00F56244">
      <w:pPr>
        <w:pStyle w:val="ListParagraph"/>
        <w:numPr>
          <w:ilvl w:val="0"/>
          <w:numId w:val="76"/>
        </w:numPr>
        <w:spacing w:before="100" w:beforeAutospacing="1" w:after="100" w:afterAutospacing="1"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H</w:t>
      </w:r>
      <w:r w:rsidR="005D5E2A" w:rsidRPr="0082534A">
        <w:rPr>
          <w:rFonts w:eastAsia="Segoe UI" w:cstheme="minorHAnsi"/>
          <w:color w:val="011A3C"/>
          <w:sz w:val="24"/>
          <w:szCs w:val="24"/>
          <w:lang w:val="en" w:eastAsia="en-AU"/>
        </w:rPr>
        <w:t>ave been enrolled in an Australian school for less than five years</w:t>
      </w:r>
    </w:p>
    <w:p w14:paraId="6F6CB70E" w14:textId="54110AD9" w:rsidR="005D5E2A" w:rsidRPr="0082534A" w:rsidRDefault="00FA3059" w:rsidP="00F56244">
      <w:pPr>
        <w:pStyle w:val="ListParagraph"/>
        <w:numPr>
          <w:ilvl w:val="0"/>
          <w:numId w:val="76"/>
        </w:numPr>
        <w:spacing w:before="100" w:beforeAutospacing="1" w:after="100" w:afterAutospacing="1"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A</w:t>
      </w:r>
      <w:r w:rsidR="005D5E2A" w:rsidRPr="0082534A">
        <w:rPr>
          <w:rFonts w:eastAsia="Segoe UI" w:cstheme="minorHAnsi"/>
          <w:color w:val="011A3C"/>
          <w:sz w:val="24"/>
          <w:szCs w:val="24"/>
          <w:lang w:val="en" w:eastAsia="en-AU"/>
        </w:rPr>
        <w:t>ttract SRP funding.</w:t>
      </w:r>
    </w:p>
    <w:p w14:paraId="7689E393" w14:textId="47ADBFC3" w:rsidR="005D5E2A" w:rsidRPr="00260C1D" w:rsidRDefault="005D5E2A" w:rsidP="00C116FE">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should plan programs that are sufficiently flexible to accommodate the changes that occur to their EAL populations during the school year. This can be due to new enrolments or students transferring or leaving.</w:t>
      </w:r>
    </w:p>
    <w:p w14:paraId="22EC7132" w14:textId="77777777" w:rsidR="005D5E2A" w:rsidRPr="00260C1D" w:rsidRDefault="005D5E2A" w:rsidP="0061578B">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Calculation</w:t>
      </w:r>
    </w:p>
    <w:p w14:paraId="63BF4921" w14:textId="77777777" w:rsidR="005D5E2A" w:rsidRPr="00260C1D" w:rsidRDefault="005D5E2A" w:rsidP="000A6EFD">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EAL funding is based on an integrated weighted index for primary and secondary students.</w:t>
      </w:r>
    </w:p>
    <w:p w14:paraId="3C655925" w14:textId="0AF3AAFE" w:rsidR="005D5E2A" w:rsidRDefault="005D5E2A" w:rsidP="000A6EFD">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This is applied to the number of students identified in the August </w:t>
      </w:r>
      <w:r w:rsidR="00FA3059">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chool census as meeting the EAL Index funding criteria.</w:t>
      </w:r>
      <w:r w:rsidRPr="00260C1D">
        <w:rPr>
          <w:rFonts w:eastAsia="Segoe UI" w:cstheme="minorHAnsi"/>
          <w:color w:val="011A3C"/>
          <w:sz w:val="24"/>
          <w:szCs w:val="24"/>
          <w:lang w:val="en" w:eastAsia="en-AU"/>
        </w:rPr>
        <w:br/>
      </w:r>
      <w:r w:rsidRPr="00260C1D">
        <w:rPr>
          <w:rFonts w:eastAsia="Segoe UI" w:cstheme="minorHAnsi"/>
          <w:color w:val="011A3C"/>
          <w:sz w:val="24"/>
          <w:szCs w:val="24"/>
          <w:lang w:val="en" w:eastAsia="en-AU"/>
        </w:rPr>
        <w:lastRenderedPageBreak/>
        <w:br/>
        <w:t xml:space="preserve">A school’s EAL allocation includes a weighting based on the school’s densities of Student Family Occupations (SFO </w:t>
      </w:r>
      <w:r w:rsidR="00674B57">
        <w:rPr>
          <w:rFonts w:eastAsia="Segoe UI" w:cstheme="minorHAnsi"/>
          <w:color w:val="011A3C"/>
          <w:sz w:val="24"/>
          <w:szCs w:val="24"/>
          <w:lang w:val="en" w:eastAsia="en-AU"/>
        </w:rPr>
        <w:t>w</w:t>
      </w:r>
      <w:r w:rsidRPr="00260C1D">
        <w:rPr>
          <w:rFonts w:eastAsia="Segoe UI" w:cstheme="minorHAnsi"/>
          <w:color w:val="011A3C"/>
          <w:sz w:val="24"/>
          <w:szCs w:val="24"/>
          <w:lang w:val="en" w:eastAsia="en-AU"/>
        </w:rPr>
        <w:t>eighting).</w:t>
      </w:r>
      <w:r w:rsidR="00F01784" w:rsidRPr="00260C1D">
        <w:rPr>
          <w:rFonts w:eastAsia="Segoe UI" w:cstheme="minorHAnsi"/>
          <w:color w:val="011A3C"/>
          <w:sz w:val="24"/>
          <w:szCs w:val="24"/>
          <w:lang w:val="en" w:eastAsia="en-AU"/>
        </w:rPr>
        <w:t xml:space="preserve"> Refer</w:t>
      </w:r>
      <w:r w:rsidR="00C75EB1">
        <w:rPr>
          <w:rFonts w:eastAsia="Segoe UI" w:cstheme="minorHAnsi"/>
          <w:color w:val="011A3C"/>
          <w:sz w:val="24"/>
          <w:szCs w:val="24"/>
          <w:lang w:val="en" w:eastAsia="en-AU"/>
        </w:rPr>
        <w:t xml:space="preserve"> to</w:t>
      </w:r>
      <w:r w:rsidR="00F01784" w:rsidRPr="00260C1D">
        <w:rPr>
          <w:rFonts w:eastAsia="Segoe UI" w:cstheme="minorHAnsi"/>
          <w:color w:val="011A3C"/>
          <w:sz w:val="24"/>
          <w:szCs w:val="24"/>
          <w:lang w:val="en" w:eastAsia="en-AU"/>
        </w:rPr>
        <w:t xml:space="preserve"> </w:t>
      </w:r>
      <w:hyperlink r:id="rId71" w:history="1">
        <w:r w:rsidR="009212A4" w:rsidRPr="00132FA2">
          <w:rPr>
            <w:rStyle w:val="Hyperlink"/>
            <w:rFonts w:eastAsia="Segoe UI" w:cstheme="minorHAnsi"/>
            <w:sz w:val="24"/>
            <w:szCs w:val="24"/>
            <w:lang w:val="en" w:eastAsia="en-AU"/>
          </w:rPr>
          <w:t>R</w:t>
        </w:r>
        <w:r w:rsidR="00F01784" w:rsidRPr="00132FA2">
          <w:rPr>
            <w:rStyle w:val="Hyperlink"/>
            <w:rFonts w:eastAsia="Segoe UI" w:cstheme="minorHAnsi"/>
            <w:sz w:val="24"/>
            <w:szCs w:val="24"/>
            <w:lang w:val="en" w:eastAsia="en-AU"/>
          </w:rPr>
          <w:t xml:space="preserve">eference </w:t>
        </w:r>
        <w:r w:rsidR="000D3CC4" w:rsidRPr="00132FA2">
          <w:rPr>
            <w:rStyle w:val="Hyperlink"/>
            <w:rFonts w:eastAsia="Segoe UI" w:cstheme="minorHAnsi"/>
            <w:sz w:val="24"/>
            <w:szCs w:val="24"/>
            <w:lang w:val="en" w:eastAsia="en-AU"/>
          </w:rPr>
          <w:t>11</w:t>
        </w:r>
      </w:hyperlink>
      <w:r w:rsidR="000D3CC4" w:rsidRPr="00260C1D">
        <w:rPr>
          <w:rFonts w:eastAsia="Segoe UI" w:cstheme="minorHAnsi"/>
          <w:color w:val="011A3C"/>
          <w:sz w:val="24"/>
          <w:szCs w:val="24"/>
          <w:lang w:val="en" w:eastAsia="en-AU"/>
        </w:rPr>
        <w:t xml:space="preserve"> for the calculation of SFO.</w:t>
      </w:r>
      <w:r w:rsidRPr="00260C1D">
        <w:rPr>
          <w:rFonts w:eastAsia="Segoe UI" w:cstheme="minorHAnsi"/>
          <w:color w:val="011A3C"/>
          <w:sz w:val="24"/>
          <w:szCs w:val="24"/>
          <w:lang w:val="en" w:eastAsia="en-AU"/>
        </w:rPr>
        <w:br/>
      </w:r>
      <w:r w:rsidRPr="00260C1D">
        <w:rPr>
          <w:rFonts w:eastAsia="Segoe UI" w:cstheme="minorHAnsi"/>
          <w:color w:val="011A3C"/>
          <w:sz w:val="24"/>
          <w:szCs w:val="24"/>
          <w:lang w:val="en" w:eastAsia="en-AU"/>
        </w:rPr>
        <w:br/>
        <w:t xml:space="preserve">The SFO </w:t>
      </w:r>
      <w:r w:rsidR="00674B57">
        <w:rPr>
          <w:rFonts w:eastAsia="Segoe UI" w:cstheme="minorHAnsi"/>
          <w:color w:val="011A3C"/>
          <w:sz w:val="24"/>
          <w:szCs w:val="24"/>
          <w:lang w:val="en" w:eastAsia="en-AU"/>
        </w:rPr>
        <w:t>w</w:t>
      </w:r>
      <w:r w:rsidRPr="00260C1D">
        <w:rPr>
          <w:rFonts w:eastAsia="Segoe UI" w:cstheme="minorHAnsi"/>
          <w:color w:val="011A3C"/>
          <w:sz w:val="24"/>
          <w:szCs w:val="24"/>
          <w:lang w:val="en" w:eastAsia="en-AU"/>
        </w:rPr>
        <w:t xml:space="preserve">eighting reflects the high correlation between student outcomes and family occupation to target funding to schools with EAL learners </w:t>
      </w:r>
      <w:r w:rsidR="00674B57">
        <w:rPr>
          <w:rFonts w:eastAsia="Segoe UI" w:cstheme="minorHAnsi"/>
          <w:color w:val="011A3C"/>
          <w:sz w:val="24"/>
          <w:szCs w:val="24"/>
          <w:lang w:val="en" w:eastAsia="en-AU"/>
        </w:rPr>
        <w:t>who have the</w:t>
      </w:r>
      <w:r w:rsidR="00674B57"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greatest need.</w:t>
      </w:r>
      <w:r w:rsidRPr="00260C1D">
        <w:rPr>
          <w:rFonts w:eastAsia="Segoe UI" w:cstheme="minorHAnsi"/>
          <w:color w:val="011A3C"/>
          <w:sz w:val="24"/>
          <w:szCs w:val="24"/>
          <w:lang w:val="en" w:eastAsia="en-AU"/>
        </w:rPr>
        <w:br/>
      </w:r>
      <w:r w:rsidRPr="00260C1D">
        <w:rPr>
          <w:rFonts w:eastAsia="Segoe UI" w:cstheme="minorHAnsi"/>
          <w:color w:val="011A3C"/>
          <w:sz w:val="24"/>
          <w:szCs w:val="24"/>
          <w:lang w:val="en" w:eastAsia="en-AU"/>
        </w:rPr>
        <w:br/>
        <w:t xml:space="preserve">A campus is required to reach a threshold </w:t>
      </w:r>
      <w:r w:rsidR="00067B29">
        <w:rPr>
          <w:rFonts w:eastAsia="Segoe UI" w:cstheme="minorHAnsi"/>
          <w:color w:val="011A3C"/>
          <w:sz w:val="24"/>
          <w:szCs w:val="24"/>
          <w:lang w:val="en" w:eastAsia="en-AU"/>
        </w:rPr>
        <w:t xml:space="preserve">of EAL </w:t>
      </w:r>
      <w:r w:rsidR="00C75EB1">
        <w:rPr>
          <w:rFonts w:eastAsia="Segoe UI" w:cstheme="minorHAnsi"/>
          <w:color w:val="011A3C"/>
          <w:sz w:val="24"/>
          <w:szCs w:val="24"/>
          <w:lang w:val="en" w:eastAsia="en-AU"/>
        </w:rPr>
        <w:t>funding</w:t>
      </w:r>
      <w:r w:rsidR="00067B29">
        <w:rPr>
          <w:rFonts w:eastAsia="Segoe UI" w:cstheme="minorHAnsi"/>
          <w:color w:val="011A3C"/>
          <w:sz w:val="24"/>
          <w:szCs w:val="24"/>
          <w:lang w:val="en" w:eastAsia="en-AU"/>
        </w:rPr>
        <w:t xml:space="preserve"> (EAL Index funding + EAL for </w:t>
      </w:r>
      <w:r w:rsidR="00C75EB1">
        <w:rPr>
          <w:rFonts w:eastAsia="Segoe UI" w:cstheme="minorHAnsi"/>
          <w:color w:val="011A3C"/>
          <w:sz w:val="24"/>
          <w:szCs w:val="24"/>
          <w:lang w:val="en" w:eastAsia="en-AU"/>
        </w:rPr>
        <w:t>Likely Refugee Background</w:t>
      </w:r>
      <w:r w:rsidR="00067B29">
        <w:rPr>
          <w:rFonts w:eastAsia="Segoe UI" w:cstheme="minorHAnsi"/>
          <w:color w:val="011A3C"/>
          <w:sz w:val="24"/>
          <w:szCs w:val="24"/>
          <w:lang w:val="en" w:eastAsia="en-AU"/>
        </w:rPr>
        <w:t xml:space="preserve"> funding)</w:t>
      </w:r>
      <w:r w:rsidR="005F7605">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before </w:t>
      </w:r>
      <w:r w:rsidR="00985A6E" w:rsidRPr="0029141B">
        <w:rPr>
          <w:rFonts w:eastAsia="Segoe UI" w:cstheme="minorHAnsi"/>
          <w:color w:val="011A3C"/>
          <w:sz w:val="24"/>
          <w:szCs w:val="24"/>
          <w:lang w:val="en" w:eastAsia="en-AU"/>
        </w:rPr>
        <w:t xml:space="preserve">EAL Index </w:t>
      </w:r>
      <w:r w:rsidRPr="00260C1D">
        <w:rPr>
          <w:rFonts w:eastAsia="Segoe UI" w:cstheme="minorHAnsi"/>
          <w:color w:val="011A3C"/>
          <w:sz w:val="24"/>
          <w:szCs w:val="24"/>
          <w:lang w:val="en" w:eastAsia="en-AU"/>
        </w:rPr>
        <w:t>funding will apply. Thresholds are applied separately to primary and secondary students for Pri</w:t>
      </w:r>
      <w:r w:rsidR="00C54355">
        <w:rPr>
          <w:rFonts w:eastAsia="Segoe UI" w:cstheme="minorHAnsi"/>
          <w:color w:val="011A3C"/>
          <w:sz w:val="24"/>
          <w:szCs w:val="24"/>
          <w:lang w:val="en" w:eastAsia="en-AU"/>
        </w:rPr>
        <w:t>mary</w:t>
      </w:r>
      <w:r w:rsidRPr="00260C1D">
        <w:rPr>
          <w:rFonts w:eastAsia="Segoe UI" w:cstheme="minorHAnsi"/>
          <w:color w:val="011A3C"/>
          <w:sz w:val="24"/>
          <w:szCs w:val="24"/>
          <w:lang w:val="en" w:eastAsia="en-AU"/>
        </w:rPr>
        <w:t>/Sec</w:t>
      </w:r>
      <w:r w:rsidR="00F01784" w:rsidRPr="00260C1D">
        <w:rPr>
          <w:rFonts w:eastAsia="Segoe UI" w:cstheme="minorHAnsi"/>
          <w:color w:val="011A3C"/>
          <w:sz w:val="24"/>
          <w:szCs w:val="24"/>
          <w:lang w:val="en" w:eastAsia="en-AU"/>
        </w:rPr>
        <w:t>ondary combined</w:t>
      </w:r>
      <w:r w:rsidRPr="00260C1D">
        <w:rPr>
          <w:rFonts w:eastAsia="Segoe UI" w:cstheme="minorHAnsi"/>
          <w:color w:val="011A3C"/>
          <w:sz w:val="24"/>
          <w:szCs w:val="24"/>
          <w:lang w:val="en" w:eastAsia="en-AU"/>
        </w:rPr>
        <w:t xml:space="preserve"> campuses. </w:t>
      </w:r>
    </w:p>
    <w:p w14:paraId="3EF067CF" w14:textId="27B0B41C" w:rsidR="006E0424" w:rsidRDefault="006E0424" w:rsidP="006E0424">
      <w:pPr>
        <w:spacing w:after="100" w:afterAutospacing="1" w:line="360" w:lineRule="atLeast"/>
        <w:rPr>
          <w:rFonts w:eastAsia="Segoe UI" w:cstheme="minorHAnsi"/>
          <w:b/>
          <w:bCs/>
          <w:color w:val="011A3C"/>
          <w:sz w:val="24"/>
          <w:szCs w:val="24"/>
          <w:lang w:val="en" w:eastAsia="en-AU"/>
        </w:rPr>
      </w:pPr>
      <w:r w:rsidRPr="001C0C36">
        <w:rPr>
          <w:rFonts w:eastAsia="Segoe UI" w:cstheme="minorHAnsi"/>
          <w:b/>
          <w:bCs/>
          <w:color w:val="011A3C"/>
          <w:sz w:val="24"/>
          <w:szCs w:val="24"/>
          <w:lang w:val="en" w:eastAsia="en-AU"/>
        </w:rPr>
        <w:t xml:space="preserve">Data regarding </w:t>
      </w:r>
      <w:r>
        <w:rPr>
          <w:rFonts w:eastAsia="Segoe UI" w:cstheme="minorHAnsi"/>
          <w:b/>
          <w:bCs/>
          <w:color w:val="011A3C"/>
          <w:sz w:val="24"/>
          <w:szCs w:val="24"/>
          <w:lang w:val="en" w:eastAsia="en-AU"/>
        </w:rPr>
        <w:t>EAL</w:t>
      </w:r>
      <w:r w:rsidRPr="001C0C36">
        <w:rPr>
          <w:rFonts w:eastAsia="Segoe UI" w:cstheme="minorHAnsi"/>
          <w:b/>
          <w:bCs/>
          <w:color w:val="011A3C"/>
          <w:sz w:val="24"/>
          <w:szCs w:val="24"/>
          <w:lang w:val="en" w:eastAsia="en-AU"/>
        </w:rPr>
        <w:t xml:space="preserve"> is collected each year as part of the August census</w:t>
      </w:r>
      <w:r>
        <w:rPr>
          <w:rFonts w:eastAsia="Segoe UI" w:cstheme="minorHAnsi"/>
          <w:b/>
          <w:bCs/>
          <w:color w:val="011A3C"/>
          <w:sz w:val="24"/>
          <w:szCs w:val="24"/>
          <w:lang w:val="en" w:eastAsia="en-AU"/>
        </w:rPr>
        <w:t xml:space="preserve"> only</w:t>
      </w:r>
      <w:r w:rsidRPr="001C0C36">
        <w:rPr>
          <w:rFonts w:eastAsia="Segoe UI" w:cstheme="minorHAnsi"/>
          <w:b/>
          <w:bCs/>
          <w:color w:val="011A3C"/>
          <w:sz w:val="24"/>
          <w:szCs w:val="24"/>
          <w:lang w:val="en" w:eastAsia="en-AU"/>
        </w:rPr>
        <w:t>.</w:t>
      </w:r>
      <w:r>
        <w:rPr>
          <w:rFonts w:eastAsia="Segoe UI" w:cstheme="minorHAnsi"/>
          <w:b/>
          <w:bCs/>
          <w:color w:val="011A3C"/>
          <w:sz w:val="24"/>
          <w:szCs w:val="24"/>
          <w:lang w:val="en" w:eastAsia="en-AU"/>
        </w:rPr>
        <w:t xml:space="preserve"> </w:t>
      </w:r>
    </w:p>
    <w:p w14:paraId="27CB4804" w14:textId="1EF72CD1" w:rsidR="006E0424" w:rsidRPr="001C0C36" w:rsidRDefault="00264D1D" w:rsidP="00B148A2">
      <w:pPr>
        <w:spacing w:before="100" w:beforeAutospacing="1" w:after="100" w:afterAutospacing="1" w:line="360" w:lineRule="atLeast"/>
        <w:rPr>
          <w:rFonts w:eastAsia="Segoe UI" w:cstheme="minorHAnsi"/>
          <w:b/>
          <w:bCs/>
          <w:color w:val="011A3C"/>
          <w:sz w:val="24"/>
          <w:szCs w:val="24"/>
          <w:lang w:val="en" w:eastAsia="en-AU"/>
        </w:rPr>
      </w:pPr>
      <w:r w:rsidRPr="00264D1D">
        <w:rPr>
          <w:rFonts w:eastAsia="Segoe UI" w:cstheme="minorHAnsi"/>
          <w:b/>
          <w:bCs/>
          <w:color w:val="011A3C"/>
          <w:sz w:val="24"/>
          <w:szCs w:val="24"/>
          <w:lang w:val="en" w:eastAsia="en-AU"/>
        </w:rPr>
        <w:t>While schools can access Panorama data, this is not used for SRP funding purposes. Only data collected at census is used for SRP funding.</w:t>
      </w:r>
    </w:p>
    <w:p w14:paraId="50C17131" w14:textId="748DEAE6" w:rsidR="005D5E2A" w:rsidRPr="00260C1D" w:rsidRDefault="005D5E2A" w:rsidP="0061578B">
      <w:pPr>
        <w:spacing w:before="100" w:beforeAutospacing="1" w:after="100" w:afterAutospacing="1" w:line="360" w:lineRule="atLeast"/>
        <w:rPr>
          <w:rFonts w:eastAsia="Segoe UI" w:cstheme="minorHAnsi"/>
          <w:b/>
          <w:color w:val="011A3C"/>
          <w:sz w:val="24"/>
          <w:szCs w:val="24"/>
          <w:lang w:val="en" w:eastAsia="en-AU"/>
        </w:rPr>
      </w:pPr>
      <w:bookmarkStart w:id="86" w:name="_Hlk48394809"/>
      <w:r w:rsidRPr="00260C1D">
        <w:rPr>
          <w:rFonts w:eastAsia="Segoe UI" w:cstheme="minorHAnsi"/>
          <w:b/>
          <w:color w:val="011A3C"/>
          <w:sz w:val="24"/>
          <w:szCs w:val="24"/>
          <w:lang w:val="en" w:eastAsia="en-AU"/>
        </w:rPr>
        <w:t>Rates — </w:t>
      </w:r>
      <w:r w:rsidR="00712CDE" w:rsidRPr="00260C1D">
        <w:rPr>
          <w:rFonts w:eastAsia="Segoe UI" w:cstheme="minorHAnsi"/>
          <w:b/>
          <w:color w:val="011A3C"/>
          <w:sz w:val="24"/>
          <w:szCs w:val="24"/>
          <w:lang w:val="en" w:eastAsia="en-AU"/>
        </w:rPr>
        <w:t>202</w:t>
      </w:r>
      <w:r w:rsidR="00712CDE">
        <w:rPr>
          <w:rFonts w:eastAsia="Segoe UI" w:cstheme="minorHAnsi"/>
          <w:b/>
          <w:color w:val="011A3C"/>
          <w:sz w:val="24"/>
          <w:szCs w:val="24"/>
          <w:lang w:val="en" w:eastAsia="en-AU"/>
        </w:rPr>
        <w:t>4</w:t>
      </w:r>
    </w:p>
    <w:p w14:paraId="16A8286E" w14:textId="40F38A05" w:rsidR="00674B57" w:rsidRPr="00260C1D" w:rsidRDefault="00C75EB1" w:rsidP="00674B57">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bCs/>
          <w:color w:val="011A3C"/>
          <w:sz w:val="24"/>
          <w:szCs w:val="24"/>
          <w:lang w:val="en" w:eastAsia="en-AU"/>
        </w:rPr>
        <w:t>Funding is</w:t>
      </w:r>
      <w:r w:rsidR="00674B57" w:rsidRPr="00260C1D">
        <w:rPr>
          <w:rFonts w:eastAsia="Segoe UI" w:cstheme="minorHAnsi"/>
          <w:color w:val="011A3C"/>
          <w:sz w:val="24"/>
          <w:szCs w:val="24"/>
          <w:lang w:val="en" w:eastAsia="en-AU"/>
        </w:rPr>
        <w:t xml:space="preserve"> determined by</w:t>
      </w:r>
      <w:r w:rsidR="00674B57">
        <w:rPr>
          <w:rFonts w:eastAsia="Segoe UI" w:cstheme="minorHAnsi"/>
          <w:color w:val="011A3C"/>
          <w:sz w:val="24"/>
          <w:szCs w:val="24"/>
          <w:lang w:val="en" w:eastAsia="en-AU"/>
        </w:rPr>
        <w:t>:</w:t>
      </w:r>
      <w:r>
        <w:rPr>
          <w:rFonts w:eastAsia="Segoe UI" w:cstheme="minorHAnsi"/>
          <w:bCs/>
          <w:color w:val="011A3C"/>
          <w:sz w:val="24"/>
          <w:szCs w:val="24"/>
          <w:lang w:val="en" w:eastAsia="en-AU"/>
        </w:rPr>
        <w:t xml:space="preserve"> </w:t>
      </w:r>
    </w:p>
    <w:p w14:paraId="28203640" w14:textId="77777777" w:rsidR="005D5E2A" w:rsidRPr="00260C1D" w:rsidRDefault="005D5E2A" w:rsidP="0061578B">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List 1: EAL Index funding thresholds</w:t>
      </w:r>
    </w:p>
    <w:p w14:paraId="76CDF9BB" w14:textId="03797065" w:rsidR="005D5E2A" w:rsidRPr="0082534A" w:rsidRDefault="000A6EFD" w:rsidP="00F56244">
      <w:pPr>
        <w:pStyle w:val="ListParagraph"/>
        <w:numPr>
          <w:ilvl w:val="0"/>
          <w:numId w:val="77"/>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Primary:</w:t>
      </w:r>
      <w:r w:rsidR="00221E62" w:rsidRPr="0082534A">
        <w:rPr>
          <w:rFonts w:eastAsia="Segoe UI" w:cstheme="minorHAnsi"/>
          <w:color w:val="011A3C"/>
          <w:sz w:val="24"/>
          <w:szCs w:val="24"/>
          <w:lang w:val="en" w:eastAsia="en-AU"/>
        </w:rPr>
        <w:t xml:space="preserve"> </w:t>
      </w:r>
      <w:r w:rsidR="002B2E95" w:rsidRPr="002B2E95">
        <w:rPr>
          <w:rFonts w:eastAsia="Segoe UI" w:cstheme="minorHAnsi"/>
          <w:color w:val="011A3C"/>
          <w:sz w:val="24"/>
          <w:szCs w:val="24"/>
          <w:lang w:val="en" w:eastAsia="en-AU"/>
        </w:rPr>
        <w:t>$28,266.78</w:t>
      </w:r>
    </w:p>
    <w:p w14:paraId="56F27BE2" w14:textId="64D98976" w:rsidR="005D5E2A" w:rsidRPr="0082534A" w:rsidRDefault="000A6EFD" w:rsidP="00F56244">
      <w:pPr>
        <w:pStyle w:val="ListParagraph"/>
        <w:numPr>
          <w:ilvl w:val="0"/>
          <w:numId w:val="77"/>
        </w:numPr>
        <w:spacing w:before="100" w:beforeAutospacing="1" w:after="100" w:afterAutospacing="1" w:line="360" w:lineRule="atLeast"/>
        <w:rPr>
          <w:rFonts w:eastAsia="Segoe UI" w:cstheme="minorHAnsi"/>
          <w:color w:val="011A3C"/>
          <w:sz w:val="24"/>
          <w:szCs w:val="24"/>
          <w:lang w:val="en" w:eastAsia="en-AU"/>
        </w:rPr>
      </w:pPr>
      <w:r w:rsidRPr="0082534A">
        <w:rPr>
          <w:rFonts w:eastAsia="Segoe UI" w:cstheme="minorHAnsi"/>
          <w:color w:val="011A3C"/>
          <w:sz w:val="24"/>
          <w:szCs w:val="24"/>
          <w:lang w:val="en" w:eastAsia="en-AU"/>
        </w:rPr>
        <w:t>Secondary:</w:t>
      </w:r>
      <w:r w:rsidR="00132503" w:rsidRPr="0082534A">
        <w:rPr>
          <w:rFonts w:eastAsia="Segoe UI" w:cstheme="minorHAnsi"/>
          <w:color w:val="011A3C"/>
          <w:sz w:val="24"/>
          <w:szCs w:val="24"/>
          <w:lang w:val="en" w:eastAsia="en-AU"/>
        </w:rPr>
        <w:t xml:space="preserve"> </w:t>
      </w:r>
      <w:r w:rsidR="002B2E95" w:rsidRPr="002B2E95">
        <w:rPr>
          <w:rFonts w:eastAsia="Segoe UI" w:cstheme="minorHAnsi"/>
          <w:color w:val="011A3C"/>
          <w:sz w:val="24"/>
          <w:szCs w:val="24"/>
          <w:lang w:val="en" w:eastAsia="en-AU"/>
        </w:rPr>
        <w:t>$53,911.90</w:t>
      </w:r>
    </w:p>
    <w:bookmarkEnd w:id="86"/>
    <w:p w14:paraId="2F877E2B" w14:textId="77777777" w:rsidR="005D5E2A" w:rsidRPr="00260C1D" w:rsidRDefault="005D5E2A" w:rsidP="00000933">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List 2: Index levels and level descriptions</w:t>
      </w:r>
    </w:p>
    <w:p w14:paraId="7C001521" w14:textId="3B7DE541" w:rsidR="005D5E2A" w:rsidRPr="0082534A" w:rsidRDefault="005D5E2A" w:rsidP="00F56244">
      <w:pPr>
        <w:pStyle w:val="ListParagraph"/>
        <w:numPr>
          <w:ilvl w:val="0"/>
          <w:numId w:val="77"/>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Level 1 — Foundation — weighting of 1.00</w:t>
      </w:r>
      <w:r w:rsidR="00F01784" w:rsidRPr="0082534A">
        <w:rPr>
          <w:rFonts w:eastAsia="Segoe UI" w:cstheme="minorHAnsi"/>
          <w:color w:val="011A3C"/>
          <w:sz w:val="24"/>
          <w:szCs w:val="24"/>
          <w:lang w:val="en" w:eastAsia="en-AU"/>
        </w:rPr>
        <w:t xml:space="preserve"> applied</w:t>
      </w:r>
    </w:p>
    <w:p w14:paraId="2A378734" w14:textId="22BB6CF9" w:rsidR="005D5E2A" w:rsidRPr="0082534A" w:rsidRDefault="005D5E2A" w:rsidP="00F56244">
      <w:pPr>
        <w:pStyle w:val="ListParagraph"/>
        <w:numPr>
          <w:ilvl w:val="0"/>
          <w:numId w:val="77"/>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Level 2 — 2-5 years in Australian school Years 1-6 — weighting of 2.00</w:t>
      </w:r>
      <w:r w:rsidR="00F01784" w:rsidRPr="0082534A">
        <w:rPr>
          <w:rFonts w:eastAsia="Segoe UI" w:cstheme="minorHAnsi"/>
          <w:color w:val="011A3C"/>
          <w:sz w:val="24"/>
          <w:szCs w:val="24"/>
          <w:lang w:val="en" w:eastAsia="en-AU"/>
        </w:rPr>
        <w:t xml:space="preserve"> applied</w:t>
      </w:r>
    </w:p>
    <w:p w14:paraId="2F4AA53E" w14:textId="156D4BCB" w:rsidR="005D5E2A" w:rsidRPr="0082534A" w:rsidRDefault="005D5E2A" w:rsidP="00F56244">
      <w:pPr>
        <w:pStyle w:val="ListParagraph"/>
        <w:numPr>
          <w:ilvl w:val="0"/>
          <w:numId w:val="77"/>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Level 3 — &lt;2 years in Australian school Years 1-6 — weighting of 4.00</w:t>
      </w:r>
      <w:r w:rsidR="00F01784" w:rsidRPr="0082534A">
        <w:rPr>
          <w:rFonts w:eastAsia="Segoe UI" w:cstheme="minorHAnsi"/>
          <w:color w:val="011A3C"/>
          <w:sz w:val="24"/>
          <w:szCs w:val="24"/>
          <w:lang w:val="en" w:eastAsia="en-AU"/>
        </w:rPr>
        <w:t xml:space="preserve"> applied</w:t>
      </w:r>
    </w:p>
    <w:p w14:paraId="5DB1FCB6" w14:textId="791E18ED" w:rsidR="005D5E2A" w:rsidRPr="0082534A" w:rsidRDefault="005D5E2A" w:rsidP="00F56244">
      <w:pPr>
        <w:pStyle w:val="ListParagraph"/>
        <w:numPr>
          <w:ilvl w:val="0"/>
          <w:numId w:val="77"/>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Level 4 — 2-5 years in Australian school Years 7-12 — weighting of 5.09</w:t>
      </w:r>
      <w:r w:rsidR="00F01784" w:rsidRPr="0082534A">
        <w:rPr>
          <w:rFonts w:eastAsia="Segoe UI" w:cstheme="minorHAnsi"/>
          <w:color w:val="011A3C"/>
          <w:sz w:val="24"/>
          <w:szCs w:val="24"/>
          <w:lang w:val="en" w:eastAsia="en-AU"/>
        </w:rPr>
        <w:t xml:space="preserve"> applied</w:t>
      </w:r>
    </w:p>
    <w:p w14:paraId="1038AD02" w14:textId="6F9AFDF4" w:rsidR="005D5E2A" w:rsidRPr="0082534A" w:rsidRDefault="005D5E2A" w:rsidP="00F56244">
      <w:pPr>
        <w:pStyle w:val="ListParagraph"/>
        <w:numPr>
          <w:ilvl w:val="0"/>
          <w:numId w:val="77"/>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Level 5 — &lt;2 years in Australian school Years 7-12 — weighting of 7.64</w:t>
      </w:r>
      <w:r w:rsidR="00F01784" w:rsidRPr="0082534A">
        <w:rPr>
          <w:rFonts w:eastAsia="Segoe UI" w:cstheme="minorHAnsi"/>
          <w:color w:val="011A3C"/>
          <w:sz w:val="24"/>
          <w:szCs w:val="24"/>
          <w:lang w:val="en" w:eastAsia="en-AU"/>
        </w:rPr>
        <w:t xml:space="preserve"> applied</w:t>
      </w:r>
    </w:p>
    <w:p w14:paraId="6951E5DD" w14:textId="49213F5F" w:rsidR="005D5E2A" w:rsidRPr="00260C1D" w:rsidRDefault="005D5E2A" w:rsidP="0061578B">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List 3: </w:t>
      </w:r>
      <w:r w:rsidR="000D3CC4" w:rsidRPr="00260C1D">
        <w:rPr>
          <w:rFonts w:eastAsia="Segoe UI" w:cstheme="minorHAnsi"/>
          <w:b/>
          <w:color w:val="011A3C"/>
          <w:sz w:val="24"/>
          <w:szCs w:val="24"/>
          <w:lang w:val="en" w:eastAsia="en-AU"/>
        </w:rPr>
        <w:t>Further w</w:t>
      </w:r>
      <w:r w:rsidRPr="00260C1D">
        <w:rPr>
          <w:rFonts w:eastAsia="Segoe UI" w:cstheme="minorHAnsi"/>
          <w:b/>
          <w:color w:val="011A3C"/>
          <w:sz w:val="24"/>
          <w:szCs w:val="24"/>
          <w:lang w:val="en" w:eastAsia="en-AU"/>
        </w:rPr>
        <w:t xml:space="preserve">eightings </w:t>
      </w:r>
      <w:r w:rsidR="000D3CC4" w:rsidRPr="00260C1D">
        <w:rPr>
          <w:rFonts w:eastAsia="Segoe UI" w:cstheme="minorHAnsi"/>
          <w:b/>
          <w:color w:val="011A3C"/>
          <w:sz w:val="24"/>
          <w:szCs w:val="24"/>
          <w:lang w:val="en" w:eastAsia="en-AU"/>
        </w:rPr>
        <w:t xml:space="preserve">are </w:t>
      </w:r>
      <w:r w:rsidRPr="00260C1D">
        <w:rPr>
          <w:rFonts w:eastAsia="Segoe UI" w:cstheme="minorHAnsi"/>
          <w:b/>
          <w:color w:val="011A3C"/>
          <w:sz w:val="24"/>
          <w:szCs w:val="24"/>
          <w:lang w:val="en" w:eastAsia="en-AU"/>
        </w:rPr>
        <w:t xml:space="preserve">applied to campuses </w:t>
      </w:r>
      <w:r w:rsidR="000D3CC4" w:rsidRPr="00260C1D">
        <w:rPr>
          <w:rFonts w:eastAsia="Segoe UI" w:cstheme="minorHAnsi"/>
          <w:b/>
          <w:color w:val="011A3C"/>
          <w:sz w:val="24"/>
          <w:szCs w:val="24"/>
          <w:lang w:val="en" w:eastAsia="en-AU"/>
        </w:rPr>
        <w:t xml:space="preserve">based on the campus </w:t>
      </w:r>
      <w:r w:rsidRPr="00260C1D">
        <w:rPr>
          <w:rFonts w:eastAsia="Segoe UI" w:cstheme="minorHAnsi"/>
          <w:b/>
          <w:color w:val="011A3C"/>
          <w:sz w:val="24"/>
          <w:szCs w:val="24"/>
          <w:lang w:val="en" w:eastAsia="en-AU"/>
        </w:rPr>
        <w:t>densities of Student Family Occupations (SFO)</w:t>
      </w:r>
    </w:p>
    <w:p w14:paraId="05EC3BB6" w14:textId="73481943" w:rsidR="005D5E2A" w:rsidRPr="0082534A" w:rsidRDefault="005D5E2A" w:rsidP="00F56244">
      <w:pPr>
        <w:pStyle w:val="ListParagraph"/>
        <w:numPr>
          <w:ilvl w:val="0"/>
          <w:numId w:val="77"/>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Level 1 — </w:t>
      </w:r>
      <w:r w:rsidR="000D3CC4" w:rsidRPr="0082534A">
        <w:rPr>
          <w:rFonts w:eastAsia="Segoe UI" w:cstheme="minorHAnsi"/>
          <w:color w:val="011A3C"/>
          <w:sz w:val="24"/>
          <w:szCs w:val="24"/>
          <w:lang w:val="en" w:eastAsia="en-AU"/>
        </w:rPr>
        <w:t xml:space="preserve">Where a </w:t>
      </w:r>
      <w:r w:rsidRPr="0082534A">
        <w:rPr>
          <w:rFonts w:eastAsia="Segoe UI" w:cstheme="minorHAnsi"/>
          <w:color w:val="011A3C"/>
          <w:sz w:val="24"/>
          <w:szCs w:val="24"/>
          <w:lang w:val="en" w:eastAsia="en-AU"/>
        </w:rPr>
        <w:t xml:space="preserve">SFO density </w:t>
      </w:r>
      <w:r w:rsidR="000D3CC4" w:rsidRPr="0082534A">
        <w:rPr>
          <w:rFonts w:eastAsia="Segoe UI" w:cstheme="minorHAnsi"/>
          <w:color w:val="011A3C"/>
          <w:sz w:val="24"/>
          <w:szCs w:val="24"/>
          <w:lang w:val="en" w:eastAsia="en-AU"/>
        </w:rPr>
        <w:t xml:space="preserve">is </w:t>
      </w:r>
      <w:r w:rsidRPr="0082534A">
        <w:rPr>
          <w:rFonts w:eastAsia="Segoe UI" w:cstheme="minorHAnsi"/>
          <w:color w:val="011A3C"/>
          <w:sz w:val="24"/>
          <w:szCs w:val="24"/>
          <w:lang w:val="en" w:eastAsia="en-AU"/>
        </w:rPr>
        <w:t>less than or equal to 52.73%</w:t>
      </w:r>
      <w:r w:rsidR="000D3CC4" w:rsidRPr="0082534A">
        <w:rPr>
          <w:rFonts w:eastAsia="Segoe UI" w:cstheme="minorHAnsi"/>
          <w:color w:val="011A3C"/>
          <w:sz w:val="24"/>
          <w:szCs w:val="24"/>
          <w:lang w:val="en" w:eastAsia="en-AU"/>
        </w:rPr>
        <w:t xml:space="preserve"> (0.5273)</w:t>
      </w:r>
      <w:r w:rsidRPr="0082534A">
        <w:rPr>
          <w:rFonts w:eastAsia="Segoe UI" w:cstheme="minorHAnsi"/>
          <w:color w:val="011A3C"/>
          <w:sz w:val="24"/>
          <w:szCs w:val="24"/>
          <w:lang w:val="en" w:eastAsia="en-AU"/>
        </w:rPr>
        <w:t xml:space="preserve"> — </w:t>
      </w:r>
      <w:r w:rsidR="000D3CC4" w:rsidRPr="0082534A">
        <w:rPr>
          <w:rFonts w:eastAsia="Segoe UI" w:cstheme="minorHAnsi"/>
          <w:color w:val="011A3C"/>
          <w:sz w:val="24"/>
          <w:szCs w:val="24"/>
          <w:lang w:val="en" w:eastAsia="en-AU"/>
        </w:rPr>
        <w:t xml:space="preserve">a 0.6 </w:t>
      </w:r>
      <w:r w:rsidR="00337C31" w:rsidRPr="0082534A">
        <w:rPr>
          <w:rFonts w:eastAsia="Segoe UI" w:cstheme="minorHAnsi"/>
          <w:color w:val="011A3C"/>
          <w:sz w:val="24"/>
          <w:szCs w:val="24"/>
          <w:lang w:val="en" w:eastAsia="en-AU"/>
        </w:rPr>
        <w:t>weight is</w:t>
      </w:r>
      <w:r w:rsidR="000D3CC4" w:rsidRPr="0082534A">
        <w:rPr>
          <w:rFonts w:eastAsia="Segoe UI" w:cstheme="minorHAnsi"/>
          <w:color w:val="011A3C"/>
          <w:sz w:val="24"/>
          <w:szCs w:val="24"/>
          <w:lang w:val="en" w:eastAsia="en-AU"/>
        </w:rPr>
        <w:t xml:space="preserve"> applied</w:t>
      </w:r>
    </w:p>
    <w:p w14:paraId="52BB6239" w14:textId="421B741B" w:rsidR="005D5E2A" w:rsidRPr="0082534A" w:rsidRDefault="005D5E2A" w:rsidP="00F56244">
      <w:pPr>
        <w:pStyle w:val="ListParagraph"/>
        <w:numPr>
          <w:ilvl w:val="0"/>
          <w:numId w:val="77"/>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Level 2 — </w:t>
      </w:r>
      <w:r w:rsidR="000D3CC4" w:rsidRPr="0082534A">
        <w:rPr>
          <w:rFonts w:eastAsia="Segoe UI" w:cstheme="minorHAnsi"/>
          <w:color w:val="011A3C"/>
          <w:sz w:val="24"/>
          <w:szCs w:val="24"/>
          <w:lang w:val="en" w:eastAsia="en-AU"/>
        </w:rPr>
        <w:t xml:space="preserve">Where a </w:t>
      </w:r>
      <w:r w:rsidRPr="0082534A">
        <w:rPr>
          <w:rFonts w:eastAsia="Segoe UI" w:cstheme="minorHAnsi"/>
          <w:color w:val="011A3C"/>
          <w:sz w:val="24"/>
          <w:szCs w:val="24"/>
          <w:lang w:val="en" w:eastAsia="en-AU"/>
        </w:rPr>
        <w:t>SFO density greater than 52.74%</w:t>
      </w:r>
      <w:r w:rsidR="000D3CC4" w:rsidRPr="0082534A">
        <w:rPr>
          <w:rFonts w:eastAsia="Segoe UI" w:cstheme="minorHAnsi"/>
          <w:color w:val="011A3C"/>
          <w:sz w:val="24"/>
          <w:szCs w:val="24"/>
          <w:lang w:val="en" w:eastAsia="en-AU"/>
        </w:rPr>
        <w:t xml:space="preserve"> (0.5274)</w:t>
      </w:r>
      <w:r w:rsidRPr="0082534A">
        <w:rPr>
          <w:rFonts w:eastAsia="Segoe UI" w:cstheme="minorHAnsi"/>
          <w:color w:val="011A3C"/>
          <w:sz w:val="24"/>
          <w:szCs w:val="24"/>
          <w:lang w:val="en" w:eastAsia="en-AU"/>
        </w:rPr>
        <w:t xml:space="preserve"> but less than or equal to 54.69% </w:t>
      </w:r>
      <w:r w:rsidR="000D3CC4" w:rsidRPr="0082534A">
        <w:rPr>
          <w:rFonts w:eastAsia="Segoe UI" w:cstheme="minorHAnsi"/>
          <w:color w:val="011A3C"/>
          <w:sz w:val="24"/>
          <w:szCs w:val="24"/>
          <w:lang w:val="en" w:eastAsia="en-AU"/>
        </w:rPr>
        <w:t>(0.5469)</w:t>
      </w:r>
      <w:r w:rsidRPr="0082534A">
        <w:rPr>
          <w:rFonts w:eastAsia="Segoe UI" w:cstheme="minorHAnsi"/>
          <w:color w:val="011A3C"/>
          <w:sz w:val="24"/>
          <w:szCs w:val="24"/>
          <w:lang w:val="en" w:eastAsia="en-AU"/>
        </w:rPr>
        <w:t xml:space="preserve">— </w:t>
      </w:r>
      <w:r w:rsidR="000D3CC4" w:rsidRPr="0082534A">
        <w:rPr>
          <w:rFonts w:eastAsia="Segoe UI" w:cstheme="minorHAnsi"/>
          <w:color w:val="011A3C"/>
          <w:sz w:val="24"/>
          <w:szCs w:val="24"/>
          <w:lang w:val="en" w:eastAsia="en-AU"/>
        </w:rPr>
        <w:t xml:space="preserve">0 1.00 </w:t>
      </w:r>
      <w:r w:rsidR="00337C31" w:rsidRPr="0082534A">
        <w:rPr>
          <w:rFonts w:eastAsia="Segoe UI" w:cstheme="minorHAnsi"/>
          <w:color w:val="011A3C"/>
          <w:sz w:val="24"/>
          <w:szCs w:val="24"/>
          <w:lang w:val="en" w:eastAsia="en-AU"/>
        </w:rPr>
        <w:t>weight is</w:t>
      </w:r>
      <w:r w:rsidR="000D3CC4" w:rsidRPr="0082534A">
        <w:rPr>
          <w:rFonts w:eastAsia="Segoe UI" w:cstheme="minorHAnsi"/>
          <w:color w:val="011A3C"/>
          <w:sz w:val="24"/>
          <w:szCs w:val="24"/>
          <w:lang w:val="en" w:eastAsia="en-AU"/>
        </w:rPr>
        <w:t xml:space="preserve"> applied</w:t>
      </w:r>
    </w:p>
    <w:p w14:paraId="79B40BE1" w14:textId="2B958A2D" w:rsidR="005D5E2A" w:rsidRPr="0082534A" w:rsidRDefault="005D5E2A" w:rsidP="00F56244">
      <w:pPr>
        <w:pStyle w:val="ListParagraph"/>
        <w:numPr>
          <w:ilvl w:val="0"/>
          <w:numId w:val="77"/>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Level 3 — </w:t>
      </w:r>
      <w:r w:rsidR="000D3CC4" w:rsidRPr="0082534A">
        <w:rPr>
          <w:rFonts w:eastAsia="Segoe UI" w:cstheme="minorHAnsi"/>
          <w:color w:val="011A3C"/>
          <w:sz w:val="24"/>
          <w:szCs w:val="24"/>
          <w:lang w:val="en" w:eastAsia="en-AU"/>
        </w:rPr>
        <w:t xml:space="preserve">Where a </w:t>
      </w:r>
      <w:r w:rsidRPr="0082534A">
        <w:rPr>
          <w:rFonts w:eastAsia="Segoe UI" w:cstheme="minorHAnsi"/>
          <w:color w:val="011A3C"/>
          <w:sz w:val="24"/>
          <w:szCs w:val="24"/>
          <w:lang w:val="en" w:eastAsia="en-AU"/>
        </w:rPr>
        <w:t xml:space="preserve">SFO density </w:t>
      </w:r>
      <w:r w:rsidR="000D3CC4" w:rsidRPr="0082534A">
        <w:rPr>
          <w:rFonts w:eastAsia="Segoe UI" w:cstheme="minorHAnsi"/>
          <w:color w:val="011A3C"/>
          <w:sz w:val="24"/>
          <w:szCs w:val="24"/>
          <w:lang w:val="en" w:eastAsia="en-AU"/>
        </w:rPr>
        <w:t xml:space="preserve">is </w:t>
      </w:r>
      <w:r w:rsidRPr="0082534A">
        <w:rPr>
          <w:rFonts w:eastAsia="Segoe UI" w:cstheme="minorHAnsi"/>
          <w:color w:val="011A3C"/>
          <w:sz w:val="24"/>
          <w:szCs w:val="24"/>
          <w:lang w:val="en" w:eastAsia="en-AU"/>
        </w:rPr>
        <w:t>greater</w:t>
      </w:r>
      <w:r w:rsidR="000D3CC4" w:rsidRPr="0082534A">
        <w:rPr>
          <w:rFonts w:eastAsia="Segoe UI" w:cstheme="minorHAnsi"/>
          <w:color w:val="011A3C"/>
          <w:sz w:val="24"/>
          <w:szCs w:val="24"/>
          <w:lang w:val="en" w:eastAsia="en-AU"/>
        </w:rPr>
        <w:t xml:space="preserve"> or equal to</w:t>
      </w:r>
      <w:r w:rsidRPr="0082534A">
        <w:rPr>
          <w:rFonts w:eastAsia="Segoe UI" w:cstheme="minorHAnsi"/>
          <w:color w:val="011A3C"/>
          <w:sz w:val="24"/>
          <w:szCs w:val="24"/>
          <w:lang w:val="en" w:eastAsia="en-AU"/>
        </w:rPr>
        <w:t xml:space="preserve"> 54.70% </w:t>
      </w:r>
      <w:r w:rsidR="000D3CC4" w:rsidRPr="0082534A">
        <w:rPr>
          <w:rFonts w:eastAsia="Segoe UI" w:cstheme="minorHAnsi"/>
          <w:color w:val="011A3C"/>
          <w:sz w:val="24"/>
          <w:szCs w:val="24"/>
          <w:lang w:val="en" w:eastAsia="en-AU"/>
        </w:rPr>
        <w:t>(0.5470)</w:t>
      </w:r>
      <w:r w:rsidRPr="0082534A">
        <w:rPr>
          <w:rFonts w:eastAsia="Segoe UI" w:cstheme="minorHAnsi"/>
          <w:color w:val="011A3C"/>
          <w:sz w:val="24"/>
          <w:szCs w:val="24"/>
          <w:lang w:val="en" w:eastAsia="en-AU"/>
        </w:rPr>
        <w:t xml:space="preserve">— </w:t>
      </w:r>
      <w:r w:rsidR="000D3CC4" w:rsidRPr="0082534A">
        <w:rPr>
          <w:rFonts w:eastAsia="Segoe UI" w:cstheme="minorHAnsi"/>
          <w:color w:val="011A3C"/>
          <w:sz w:val="24"/>
          <w:szCs w:val="24"/>
          <w:lang w:val="en" w:eastAsia="en-AU"/>
        </w:rPr>
        <w:t xml:space="preserve">a 1.40 </w:t>
      </w:r>
      <w:r w:rsidR="00337C31" w:rsidRPr="0082534A">
        <w:rPr>
          <w:rFonts w:eastAsia="Segoe UI" w:cstheme="minorHAnsi"/>
          <w:color w:val="011A3C"/>
          <w:sz w:val="24"/>
          <w:szCs w:val="24"/>
          <w:lang w:val="en" w:eastAsia="en-AU"/>
        </w:rPr>
        <w:t>weight is</w:t>
      </w:r>
      <w:r w:rsidR="000D3CC4" w:rsidRPr="0082534A">
        <w:rPr>
          <w:rFonts w:eastAsia="Segoe UI" w:cstheme="minorHAnsi"/>
          <w:color w:val="011A3C"/>
          <w:sz w:val="24"/>
          <w:szCs w:val="24"/>
          <w:lang w:val="en" w:eastAsia="en-AU"/>
        </w:rPr>
        <w:t xml:space="preserve"> applied</w:t>
      </w:r>
    </w:p>
    <w:p w14:paraId="63C01417" w14:textId="77777777" w:rsidR="00F85311" w:rsidRPr="00260C1D" w:rsidRDefault="005D5E2A" w:rsidP="00F85311">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combined effect of Lists 1, 2 and 3 results in the following matrix: </w:t>
      </w:r>
    </w:p>
    <w:p w14:paraId="1A7E6556" w14:textId="1B88A21E" w:rsidR="005D5E2A" w:rsidRPr="00260C1D" w:rsidRDefault="005D5E2A" w:rsidP="00F85311">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b/>
          <w:color w:val="011A3C"/>
          <w:sz w:val="24"/>
          <w:szCs w:val="24"/>
          <w:lang w:val="en" w:eastAsia="en-AU"/>
        </w:rPr>
        <w:t>List 4: Allocation matrix for total EAL Index funding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113"/>
        <w:gridCol w:w="1055"/>
        <w:gridCol w:w="1950"/>
        <w:gridCol w:w="2112"/>
        <w:gridCol w:w="2142"/>
      </w:tblGrid>
      <w:tr w:rsidR="005D5E2A" w:rsidRPr="00260C1D" w14:paraId="749DC306" w14:textId="77777777" w:rsidTr="00B148A2">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02586C" w14:textId="77777777" w:rsidR="005D5E2A" w:rsidRPr="00614B09" w:rsidRDefault="005D5E2A" w:rsidP="007F1D90">
            <w:pPr>
              <w:spacing w:after="0" w:line="240" w:lineRule="atLeast"/>
              <w:rPr>
                <w:rFonts w:eastAsia="Segoe UI" w:cstheme="minorHAnsi"/>
                <w:b/>
                <w:bCs/>
                <w:color w:val="011A3C"/>
                <w:sz w:val="24"/>
                <w:szCs w:val="24"/>
                <w:lang w:val="en" w:eastAsia="en-AU"/>
              </w:rPr>
            </w:pPr>
            <w:bookmarkStart w:id="87" w:name="_Hlk109913232"/>
            <w:r w:rsidRPr="00614B09">
              <w:rPr>
                <w:rFonts w:eastAsia="Segoe UI" w:cstheme="minorHAnsi"/>
                <w:b/>
                <w:bCs/>
                <w:color w:val="011A3C"/>
                <w:sz w:val="24"/>
                <w:szCs w:val="24"/>
                <w:lang w:val="en" w:eastAsia="en-AU"/>
              </w:rPr>
              <w:lastRenderedPageBreak/>
              <w:t>Level</w:t>
            </w:r>
          </w:p>
        </w:tc>
        <w:tc>
          <w:tcPr>
            <w:tcW w:w="21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0732AD" w14:textId="77777777" w:rsidR="005D5E2A" w:rsidRPr="00614B09" w:rsidRDefault="005D5E2A" w:rsidP="007F1D90">
            <w:pPr>
              <w:spacing w:after="0" w:line="240" w:lineRule="atLeast"/>
              <w:rPr>
                <w:rFonts w:eastAsia="Segoe UI" w:cstheme="minorHAnsi"/>
                <w:b/>
                <w:bCs/>
                <w:color w:val="011A3C"/>
                <w:sz w:val="24"/>
                <w:szCs w:val="24"/>
                <w:lang w:val="en" w:eastAsia="en-AU"/>
              </w:rPr>
            </w:pPr>
            <w:r w:rsidRPr="00614B09">
              <w:rPr>
                <w:rFonts w:eastAsia="Segoe UI" w:cstheme="minorHAnsi"/>
                <w:b/>
                <w:bCs/>
                <w:color w:val="011A3C"/>
                <w:sz w:val="24"/>
                <w:szCs w:val="24"/>
                <w:lang w:val="en" w:eastAsia="en-AU"/>
              </w:rPr>
              <w:t>Description</w:t>
            </w:r>
          </w:p>
        </w:tc>
        <w:tc>
          <w:tcPr>
            <w:tcW w:w="10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2FF20A" w14:textId="77777777" w:rsidR="005D5E2A" w:rsidRPr="00614B09" w:rsidRDefault="005D5E2A" w:rsidP="007F1D90">
            <w:pPr>
              <w:spacing w:after="0" w:line="240" w:lineRule="atLeast"/>
              <w:rPr>
                <w:rFonts w:eastAsia="Segoe UI" w:cstheme="minorHAnsi"/>
                <w:b/>
                <w:bCs/>
                <w:color w:val="011A3C"/>
                <w:sz w:val="24"/>
                <w:szCs w:val="24"/>
                <w:lang w:val="en" w:eastAsia="en-AU"/>
              </w:rPr>
            </w:pPr>
            <w:r w:rsidRPr="00614B09">
              <w:rPr>
                <w:rFonts w:eastAsia="Segoe UI" w:cstheme="minorHAnsi"/>
                <w:b/>
                <w:bCs/>
                <w:color w:val="011A3C"/>
                <w:sz w:val="24"/>
                <w:szCs w:val="24"/>
                <w:lang w:val="en" w:eastAsia="en-AU"/>
              </w:rPr>
              <w:t>Weighting</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651F48" w14:textId="1B9B3297" w:rsidR="005D5E2A" w:rsidRPr="00614B09" w:rsidRDefault="005D5E2A" w:rsidP="0061578B">
            <w:pPr>
              <w:spacing w:after="0" w:line="240" w:lineRule="atLeast"/>
              <w:jc w:val="center"/>
              <w:rPr>
                <w:rFonts w:eastAsia="Segoe UI" w:cstheme="minorHAnsi"/>
                <w:b/>
                <w:bCs/>
                <w:color w:val="011A3C"/>
                <w:sz w:val="24"/>
                <w:szCs w:val="24"/>
                <w:lang w:val="en" w:eastAsia="en-AU"/>
              </w:rPr>
            </w:pPr>
            <w:r w:rsidRPr="00614B09">
              <w:rPr>
                <w:rFonts w:eastAsia="Segoe UI" w:cstheme="minorHAnsi"/>
                <w:b/>
                <w:bCs/>
                <w:color w:val="011A3C"/>
                <w:sz w:val="24"/>
                <w:szCs w:val="24"/>
                <w:lang w:val="en" w:eastAsia="en-AU"/>
              </w:rPr>
              <w:t>SFO Weighting</w:t>
            </w:r>
            <w:r w:rsidR="000D3CC4" w:rsidRPr="00614B09">
              <w:rPr>
                <w:rFonts w:eastAsia="Segoe UI" w:cstheme="minorHAnsi"/>
                <w:b/>
                <w:bCs/>
                <w:color w:val="011A3C"/>
                <w:sz w:val="24"/>
                <w:szCs w:val="24"/>
                <w:lang w:val="en" w:eastAsia="en-AU"/>
              </w:rPr>
              <w:t xml:space="preserve"> 1</w:t>
            </w:r>
          </w:p>
        </w:tc>
        <w:tc>
          <w:tcPr>
            <w:tcW w:w="21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6DE918" w14:textId="48EE1DB7" w:rsidR="005D5E2A" w:rsidRPr="00614B09" w:rsidRDefault="005D5E2A" w:rsidP="0061578B">
            <w:pPr>
              <w:spacing w:after="0" w:line="240" w:lineRule="atLeast"/>
              <w:jc w:val="center"/>
              <w:rPr>
                <w:rFonts w:eastAsia="Segoe UI" w:cstheme="minorHAnsi"/>
                <w:b/>
                <w:bCs/>
                <w:color w:val="011A3C"/>
                <w:sz w:val="24"/>
                <w:szCs w:val="24"/>
                <w:lang w:val="en" w:eastAsia="en-AU"/>
              </w:rPr>
            </w:pPr>
            <w:r w:rsidRPr="00614B09">
              <w:rPr>
                <w:rFonts w:eastAsia="Segoe UI" w:cstheme="minorHAnsi"/>
                <w:b/>
                <w:bCs/>
                <w:color w:val="011A3C"/>
                <w:sz w:val="24"/>
                <w:szCs w:val="24"/>
                <w:lang w:val="en" w:eastAsia="en-AU"/>
              </w:rPr>
              <w:t>SFO Weighting</w:t>
            </w:r>
            <w:r w:rsidR="000D3CC4" w:rsidRPr="00614B09">
              <w:rPr>
                <w:rFonts w:eastAsia="Segoe UI" w:cstheme="minorHAnsi"/>
                <w:b/>
                <w:bCs/>
                <w:color w:val="011A3C"/>
                <w:sz w:val="24"/>
                <w:szCs w:val="24"/>
                <w:lang w:val="en" w:eastAsia="en-AU"/>
              </w:rPr>
              <w:t xml:space="preserve"> 2</w:t>
            </w:r>
          </w:p>
        </w:tc>
        <w:tc>
          <w:tcPr>
            <w:tcW w:w="21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9412B0" w14:textId="2705F13C" w:rsidR="005D5E2A" w:rsidRPr="00614B09" w:rsidRDefault="005D5E2A" w:rsidP="0061578B">
            <w:pPr>
              <w:spacing w:after="0" w:line="240" w:lineRule="atLeast"/>
              <w:jc w:val="center"/>
              <w:rPr>
                <w:rFonts w:eastAsia="Segoe UI" w:cstheme="minorHAnsi"/>
                <w:b/>
                <w:bCs/>
                <w:color w:val="011A3C"/>
                <w:sz w:val="24"/>
                <w:szCs w:val="24"/>
                <w:lang w:val="en" w:eastAsia="en-AU"/>
              </w:rPr>
            </w:pPr>
            <w:r w:rsidRPr="00614B09">
              <w:rPr>
                <w:rFonts w:eastAsia="Segoe UI" w:cstheme="minorHAnsi"/>
                <w:b/>
                <w:bCs/>
                <w:color w:val="011A3C"/>
                <w:sz w:val="24"/>
                <w:szCs w:val="24"/>
                <w:lang w:val="en" w:eastAsia="en-AU"/>
              </w:rPr>
              <w:t>SFO Weighting</w:t>
            </w:r>
            <w:r w:rsidR="000D3CC4" w:rsidRPr="00614B09">
              <w:rPr>
                <w:rFonts w:eastAsia="Segoe UI" w:cstheme="minorHAnsi"/>
                <w:b/>
                <w:bCs/>
                <w:color w:val="011A3C"/>
                <w:sz w:val="24"/>
                <w:szCs w:val="24"/>
                <w:lang w:val="en" w:eastAsia="en-AU"/>
              </w:rPr>
              <w:t xml:space="preserve"> 3</w:t>
            </w:r>
          </w:p>
        </w:tc>
      </w:tr>
      <w:tr w:rsidR="005D5E2A" w:rsidRPr="00260C1D" w14:paraId="5C754E63" w14:textId="77777777" w:rsidTr="00B148A2">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4FBC42" w14:textId="77777777" w:rsidR="005D5E2A" w:rsidRPr="00B148A2" w:rsidRDefault="005D5E2A" w:rsidP="00B148A2">
            <w:pPr>
              <w:rPr>
                <w:b/>
                <w:color w:val="011A3C"/>
                <w:sz w:val="24"/>
                <w:lang w:val="en"/>
              </w:rPr>
            </w:pPr>
          </w:p>
        </w:tc>
        <w:tc>
          <w:tcPr>
            <w:tcW w:w="21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F60C38" w14:textId="77777777" w:rsidR="005D5E2A" w:rsidRPr="00B148A2" w:rsidRDefault="005D5E2A" w:rsidP="00B148A2">
            <w:pPr>
              <w:spacing w:after="0"/>
              <w:rPr>
                <w:sz w:val="20"/>
              </w:rPr>
            </w:pPr>
          </w:p>
        </w:tc>
        <w:tc>
          <w:tcPr>
            <w:tcW w:w="10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3F6475" w14:textId="77777777" w:rsidR="005D5E2A" w:rsidRPr="00B148A2" w:rsidRDefault="005D5E2A" w:rsidP="00B148A2">
            <w:pPr>
              <w:spacing w:after="0"/>
              <w:rPr>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FDCB7A" w14:textId="77777777" w:rsidR="005D5E2A" w:rsidRPr="00260C1D" w:rsidRDefault="005D5E2A" w:rsidP="0061578B">
            <w:pPr>
              <w:spacing w:after="0" w:line="240" w:lineRule="auto"/>
              <w:jc w:val="center"/>
              <w:rPr>
                <w:rFonts w:eastAsia="Segoe UI" w:cstheme="minorHAnsi"/>
                <w:color w:val="011A3C"/>
                <w:sz w:val="24"/>
                <w:szCs w:val="24"/>
                <w:lang w:val="en" w:eastAsia="en-AU"/>
              </w:rPr>
            </w:pPr>
            <w:r w:rsidRPr="00260C1D">
              <w:rPr>
                <w:rFonts w:eastAsia="Segoe UI" w:cstheme="minorHAnsi"/>
                <w:color w:val="011A3C"/>
                <w:sz w:val="24"/>
                <w:szCs w:val="24"/>
                <w:lang w:val="en" w:eastAsia="en-AU"/>
              </w:rPr>
              <w:t>0.6</w:t>
            </w:r>
            <w:r w:rsidRPr="00260C1D">
              <w:rPr>
                <w:rFonts w:eastAsia="Segoe UI" w:cstheme="minorHAnsi"/>
                <w:color w:val="011A3C"/>
                <w:sz w:val="24"/>
                <w:szCs w:val="24"/>
                <w:lang w:val="en" w:eastAsia="en-AU"/>
              </w:rPr>
              <w:br/>
              <w:t>$</w:t>
            </w:r>
          </w:p>
        </w:tc>
        <w:tc>
          <w:tcPr>
            <w:tcW w:w="21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73BB3E" w14:textId="77777777" w:rsidR="005D5E2A" w:rsidRPr="00260C1D" w:rsidRDefault="005D5E2A" w:rsidP="0061578B">
            <w:pPr>
              <w:spacing w:after="0" w:line="240" w:lineRule="auto"/>
              <w:jc w:val="center"/>
              <w:rPr>
                <w:rFonts w:eastAsia="Segoe UI" w:cstheme="minorHAnsi"/>
                <w:color w:val="011A3C"/>
                <w:sz w:val="24"/>
                <w:szCs w:val="24"/>
                <w:lang w:val="en" w:eastAsia="en-AU"/>
              </w:rPr>
            </w:pPr>
            <w:r w:rsidRPr="00260C1D">
              <w:rPr>
                <w:rFonts w:eastAsia="Segoe UI" w:cstheme="minorHAnsi"/>
                <w:color w:val="011A3C"/>
                <w:sz w:val="24"/>
                <w:szCs w:val="24"/>
                <w:lang w:val="en" w:eastAsia="en-AU"/>
              </w:rPr>
              <w:t>1.0</w:t>
            </w:r>
            <w:r w:rsidRPr="00260C1D">
              <w:rPr>
                <w:rFonts w:eastAsia="Segoe UI" w:cstheme="minorHAnsi"/>
                <w:color w:val="011A3C"/>
                <w:sz w:val="24"/>
                <w:szCs w:val="24"/>
                <w:lang w:val="en" w:eastAsia="en-AU"/>
              </w:rPr>
              <w:br/>
              <w:t>$</w:t>
            </w:r>
          </w:p>
        </w:tc>
        <w:tc>
          <w:tcPr>
            <w:tcW w:w="21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E33502" w14:textId="77777777" w:rsidR="005D5E2A" w:rsidRPr="00260C1D" w:rsidRDefault="005D5E2A" w:rsidP="0061578B">
            <w:pPr>
              <w:spacing w:after="0" w:line="240" w:lineRule="auto"/>
              <w:jc w:val="center"/>
              <w:rPr>
                <w:rFonts w:eastAsia="Segoe UI" w:cstheme="minorHAnsi"/>
                <w:color w:val="011A3C"/>
                <w:sz w:val="24"/>
                <w:szCs w:val="24"/>
                <w:lang w:val="en" w:eastAsia="en-AU"/>
              </w:rPr>
            </w:pPr>
            <w:r w:rsidRPr="00260C1D">
              <w:rPr>
                <w:rFonts w:eastAsia="Segoe UI" w:cstheme="minorHAnsi"/>
                <w:color w:val="011A3C"/>
                <w:sz w:val="24"/>
                <w:szCs w:val="24"/>
                <w:lang w:val="en" w:eastAsia="en-AU"/>
              </w:rPr>
              <w:t>1.4</w:t>
            </w:r>
            <w:r w:rsidRPr="00260C1D">
              <w:rPr>
                <w:rFonts w:eastAsia="Segoe UI" w:cstheme="minorHAnsi"/>
                <w:color w:val="011A3C"/>
                <w:sz w:val="24"/>
                <w:szCs w:val="24"/>
                <w:lang w:val="en" w:eastAsia="en-AU"/>
              </w:rPr>
              <w:br/>
              <w:t>$</w:t>
            </w:r>
          </w:p>
        </w:tc>
      </w:tr>
      <w:tr w:rsidR="005D5E2A" w:rsidRPr="00260C1D" w14:paraId="277A34E1" w14:textId="77777777" w:rsidTr="00B148A2">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4D22CE" w14:textId="77777777" w:rsidR="005D5E2A" w:rsidRPr="00260C1D" w:rsidRDefault="005D5E2A" w:rsidP="007F1D90">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1</w:t>
            </w:r>
          </w:p>
        </w:tc>
        <w:tc>
          <w:tcPr>
            <w:tcW w:w="21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3CEF75" w14:textId="77777777" w:rsidR="005D5E2A" w:rsidRPr="00260C1D" w:rsidRDefault="005D5E2A" w:rsidP="007F1D90">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In year Foundation</w:t>
            </w:r>
          </w:p>
        </w:tc>
        <w:tc>
          <w:tcPr>
            <w:tcW w:w="10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BB454E" w14:textId="77777777" w:rsidR="005D5E2A" w:rsidRPr="00260C1D" w:rsidRDefault="005D5E2A" w:rsidP="00833928">
            <w:pPr>
              <w:spacing w:after="0" w:line="240" w:lineRule="auto"/>
              <w:jc w:val="center"/>
              <w:rPr>
                <w:rFonts w:eastAsia="Segoe UI" w:cstheme="minorHAnsi"/>
                <w:color w:val="011A3C"/>
                <w:sz w:val="24"/>
                <w:szCs w:val="24"/>
                <w:lang w:val="en" w:eastAsia="en-AU"/>
              </w:rPr>
            </w:pPr>
            <w:r w:rsidRPr="00260C1D">
              <w:rPr>
                <w:rFonts w:eastAsia="Segoe UI" w:cstheme="minorHAnsi"/>
                <w:color w:val="011A3C"/>
                <w:sz w:val="24"/>
                <w:szCs w:val="24"/>
                <w:lang w:val="en" w:eastAsia="en-AU"/>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1673D1" w14:textId="071255B4" w:rsidR="00620585" w:rsidRDefault="00311133" w:rsidP="0061578B">
            <w:pPr>
              <w:spacing w:after="0" w:line="240" w:lineRule="auto"/>
              <w:jc w:val="center"/>
              <w:rPr>
                <w:rFonts w:eastAsia="Segoe UI" w:cstheme="minorHAnsi"/>
                <w:color w:val="011A3C"/>
                <w:sz w:val="24"/>
                <w:szCs w:val="24"/>
                <w:lang w:val="en" w:eastAsia="en-AU"/>
              </w:rPr>
            </w:pPr>
            <w:r>
              <w:rPr>
                <w:rFonts w:eastAsia="Segoe UI" w:cstheme="minorHAnsi"/>
                <w:color w:val="011A3C"/>
                <w:sz w:val="24"/>
                <w:szCs w:val="24"/>
                <w:lang w:val="en" w:eastAsia="en-AU"/>
              </w:rPr>
              <w:t>$</w:t>
            </w:r>
            <w:r w:rsidRPr="00311133">
              <w:rPr>
                <w:rFonts w:eastAsia="Segoe UI" w:cstheme="minorHAnsi"/>
                <w:color w:val="011A3C"/>
                <w:sz w:val="24"/>
                <w:szCs w:val="24"/>
                <w:lang w:val="en" w:eastAsia="en-AU"/>
              </w:rPr>
              <w:t>381.81</w:t>
            </w:r>
          </w:p>
          <w:p w14:paraId="785E8717" w14:textId="5DD2347C" w:rsidR="0097098C" w:rsidRPr="00260C1D" w:rsidRDefault="0097098C" w:rsidP="0061578B">
            <w:pPr>
              <w:spacing w:after="0" w:line="240" w:lineRule="auto"/>
              <w:jc w:val="center"/>
              <w:rPr>
                <w:rFonts w:eastAsia="Segoe UI" w:cstheme="minorHAnsi"/>
                <w:color w:val="011A3C"/>
                <w:sz w:val="24"/>
                <w:szCs w:val="24"/>
                <w:lang w:val="en" w:eastAsia="en-AU"/>
              </w:rPr>
            </w:pPr>
            <w:r w:rsidRPr="00260C1D">
              <w:rPr>
                <w:rFonts w:eastAsia="Segoe UI" w:cstheme="minorHAnsi"/>
                <w:color w:val="011A3C"/>
                <w:lang w:val="en" w:eastAsia="en-AU"/>
              </w:rPr>
              <w:t>(</w:t>
            </w:r>
            <w:r w:rsidR="00577957" w:rsidRPr="00577957">
              <w:rPr>
                <w:rFonts w:eastAsia="Segoe UI" w:cstheme="minorHAnsi"/>
                <w:color w:val="011A3C"/>
                <w:lang w:val="en" w:eastAsia="en-AU"/>
              </w:rPr>
              <w:t>$374.59</w:t>
            </w:r>
            <w:r w:rsidRPr="00260C1D">
              <w:rPr>
                <w:rFonts w:eastAsia="Segoe UI" w:cstheme="minorHAnsi"/>
                <w:color w:val="011A3C"/>
                <w:lang w:val="en" w:eastAsia="en-AU"/>
              </w:rPr>
              <w:t xml:space="preserve">cr + </w:t>
            </w:r>
            <w:r w:rsidR="00205219" w:rsidRPr="00205219">
              <w:rPr>
                <w:rFonts w:eastAsia="Segoe UI" w:cstheme="minorHAnsi"/>
                <w:color w:val="011A3C"/>
                <w:lang w:val="en" w:eastAsia="en-AU"/>
              </w:rPr>
              <w:t>$7.22</w:t>
            </w:r>
            <w:r w:rsidRPr="00260C1D">
              <w:rPr>
                <w:rFonts w:eastAsia="Segoe UI" w:cstheme="minorHAnsi"/>
                <w:color w:val="011A3C"/>
                <w:lang w:val="en" w:eastAsia="en-AU"/>
              </w:rPr>
              <w:t>ca)</w:t>
            </w:r>
          </w:p>
        </w:tc>
        <w:tc>
          <w:tcPr>
            <w:tcW w:w="21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6E40C1" w14:textId="64345701" w:rsidR="005D5E2A" w:rsidRPr="00260C1D" w:rsidRDefault="00DD02FD" w:rsidP="0061578B">
            <w:pPr>
              <w:spacing w:after="0" w:line="240" w:lineRule="auto"/>
              <w:jc w:val="center"/>
              <w:rPr>
                <w:rFonts w:eastAsia="Segoe UI" w:cstheme="minorHAnsi"/>
                <w:color w:val="011A3C"/>
                <w:sz w:val="24"/>
                <w:szCs w:val="24"/>
                <w:lang w:val="en" w:eastAsia="en-AU"/>
              </w:rPr>
            </w:pPr>
            <w:r w:rsidRPr="00DD02FD">
              <w:rPr>
                <w:rFonts w:eastAsia="Segoe UI" w:cstheme="minorHAnsi"/>
                <w:color w:val="011A3C"/>
                <w:sz w:val="24"/>
                <w:szCs w:val="24"/>
                <w:lang w:val="en" w:eastAsia="en-AU"/>
              </w:rPr>
              <w:t>$636.35</w:t>
            </w:r>
          </w:p>
          <w:p w14:paraId="5D12CF76" w14:textId="15EDC504" w:rsidR="00620585" w:rsidRDefault="0097098C" w:rsidP="0061578B">
            <w:pPr>
              <w:spacing w:after="0" w:line="240" w:lineRule="auto"/>
              <w:jc w:val="center"/>
              <w:rPr>
                <w:rFonts w:eastAsia="Segoe UI" w:cstheme="minorHAnsi"/>
                <w:color w:val="011A3C"/>
                <w:lang w:val="en" w:eastAsia="en-AU"/>
              </w:rPr>
            </w:pPr>
            <w:r w:rsidRPr="00260C1D">
              <w:rPr>
                <w:rFonts w:eastAsia="Segoe UI" w:cstheme="minorHAnsi"/>
                <w:color w:val="011A3C"/>
                <w:lang w:val="en" w:eastAsia="en-AU"/>
              </w:rPr>
              <w:t>(</w:t>
            </w:r>
            <w:r w:rsidR="00D11CB2" w:rsidRPr="00D11CB2">
              <w:rPr>
                <w:rFonts w:eastAsia="Segoe UI" w:cstheme="minorHAnsi"/>
                <w:color w:val="011A3C"/>
                <w:lang w:val="en" w:eastAsia="en-AU"/>
              </w:rPr>
              <w:t>$624.32</w:t>
            </w:r>
            <w:r w:rsidRPr="00260C1D">
              <w:rPr>
                <w:rFonts w:eastAsia="Segoe UI" w:cstheme="minorHAnsi"/>
                <w:color w:val="011A3C"/>
                <w:lang w:val="en" w:eastAsia="en-AU"/>
              </w:rPr>
              <w:t xml:space="preserve">cr + </w:t>
            </w:r>
          </w:p>
          <w:p w14:paraId="5D7181AD" w14:textId="39B7D929" w:rsidR="0097098C" w:rsidRPr="00260C1D" w:rsidRDefault="00D11CB2" w:rsidP="0061578B">
            <w:pPr>
              <w:spacing w:after="0" w:line="240" w:lineRule="auto"/>
              <w:jc w:val="center"/>
              <w:rPr>
                <w:rFonts w:eastAsia="Segoe UI" w:cstheme="minorHAnsi"/>
                <w:color w:val="011A3C"/>
                <w:sz w:val="24"/>
                <w:szCs w:val="24"/>
                <w:lang w:val="en" w:eastAsia="en-AU"/>
              </w:rPr>
            </w:pPr>
            <w:r w:rsidRPr="00D11CB2">
              <w:rPr>
                <w:rFonts w:eastAsia="Segoe UI" w:cstheme="minorHAnsi"/>
                <w:color w:val="011A3C"/>
                <w:lang w:val="en" w:eastAsia="en-AU"/>
              </w:rPr>
              <w:t>$12.03</w:t>
            </w:r>
            <w:r w:rsidR="0097098C" w:rsidRPr="00260C1D">
              <w:rPr>
                <w:rFonts w:eastAsia="Segoe UI" w:cstheme="minorHAnsi"/>
                <w:color w:val="011A3C"/>
                <w:lang w:val="en" w:eastAsia="en-AU"/>
              </w:rPr>
              <w:t>ca)</w:t>
            </w:r>
          </w:p>
        </w:tc>
        <w:tc>
          <w:tcPr>
            <w:tcW w:w="21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0E9C10" w14:textId="0F37B9A7" w:rsidR="00620585" w:rsidRDefault="002F59E8" w:rsidP="0061578B">
            <w:pPr>
              <w:spacing w:after="0" w:line="240" w:lineRule="auto"/>
              <w:jc w:val="center"/>
              <w:rPr>
                <w:rFonts w:eastAsia="Segoe UI" w:cstheme="minorHAnsi"/>
                <w:color w:val="011A3C"/>
                <w:sz w:val="24"/>
                <w:szCs w:val="24"/>
                <w:lang w:val="en" w:eastAsia="en-AU"/>
              </w:rPr>
            </w:pPr>
            <w:r w:rsidRPr="002F59E8">
              <w:rPr>
                <w:rFonts w:eastAsia="Segoe UI" w:cstheme="minorHAnsi"/>
                <w:color w:val="011A3C"/>
                <w:sz w:val="24"/>
                <w:szCs w:val="24"/>
                <w:lang w:val="en" w:eastAsia="en-AU"/>
              </w:rPr>
              <w:t>$890.89</w:t>
            </w:r>
            <w:r w:rsidR="00D15881" w:rsidRPr="00260C1D" w:rsidDel="00D15881">
              <w:rPr>
                <w:rFonts w:eastAsia="Segoe UI" w:cstheme="minorHAnsi"/>
                <w:color w:val="011A3C"/>
                <w:sz w:val="24"/>
                <w:szCs w:val="24"/>
                <w:lang w:val="en" w:eastAsia="en-AU"/>
              </w:rPr>
              <w:t xml:space="preserve"> </w:t>
            </w:r>
          </w:p>
          <w:p w14:paraId="60978DC3" w14:textId="77777777" w:rsidR="00620585" w:rsidRDefault="0097098C" w:rsidP="0061578B">
            <w:pPr>
              <w:spacing w:after="0" w:line="240" w:lineRule="auto"/>
              <w:jc w:val="center"/>
              <w:rPr>
                <w:rFonts w:eastAsia="Segoe UI" w:cstheme="minorHAnsi"/>
                <w:color w:val="011A3C"/>
                <w:lang w:val="en" w:eastAsia="en-AU"/>
              </w:rPr>
            </w:pPr>
            <w:r w:rsidRPr="00260C1D">
              <w:rPr>
                <w:rFonts w:eastAsia="Segoe UI" w:cstheme="minorHAnsi"/>
                <w:color w:val="011A3C"/>
                <w:lang w:val="en" w:eastAsia="en-AU"/>
              </w:rPr>
              <w:t>(</w:t>
            </w:r>
            <w:r w:rsidR="00EE5C97" w:rsidRPr="00EE5C97">
              <w:rPr>
                <w:rFonts w:eastAsia="Segoe UI" w:cstheme="minorHAnsi"/>
                <w:color w:val="011A3C"/>
                <w:lang w:val="en" w:eastAsia="en-AU"/>
              </w:rPr>
              <w:t>$874.05</w:t>
            </w:r>
            <w:r w:rsidRPr="00260C1D">
              <w:rPr>
                <w:rFonts w:eastAsia="Segoe UI" w:cstheme="minorHAnsi"/>
                <w:color w:val="011A3C"/>
                <w:lang w:val="en" w:eastAsia="en-AU"/>
              </w:rPr>
              <w:t>cr +</w:t>
            </w:r>
          </w:p>
          <w:p w14:paraId="6688C1A8" w14:textId="2F398A4C" w:rsidR="005D5E2A" w:rsidRPr="00260C1D" w:rsidRDefault="00A2688F" w:rsidP="0061578B">
            <w:pPr>
              <w:spacing w:after="0" w:line="240" w:lineRule="auto"/>
              <w:jc w:val="center"/>
              <w:rPr>
                <w:rFonts w:eastAsia="Segoe UI" w:cstheme="minorHAnsi"/>
                <w:color w:val="011A3C"/>
                <w:sz w:val="24"/>
                <w:szCs w:val="24"/>
                <w:lang w:val="en" w:eastAsia="en-AU"/>
              </w:rPr>
            </w:pPr>
            <w:r w:rsidRPr="00A2688F">
              <w:rPr>
                <w:rFonts w:eastAsia="Segoe UI" w:cstheme="minorHAnsi"/>
                <w:color w:val="011A3C"/>
                <w:lang w:val="en" w:eastAsia="en-AU"/>
              </w:rPr>
              <w:t>$16.84</w:t>
            </w:r>
            <w:r w:rsidR="0097098C" w:rsidRPr="00260C1D">
              <w:rPr>
                <w:rFonts w:eastAsia="Segoe UI" w:cstheme="minorHAnsi"/>
                <w:color w:val="011A3C"/>
                <w:lang w:val="en" w:eastAsia="en-AU"/>
              </w:rPr>
              <w:t>ca)</w:t>
            </w:r>
          </w:p>
        </w:tc>
      </w:tr>
      <w:tr w:rsidR="005D5E2A" w:rsidRPr="00260C1D" w14:paraId="59FA1906" w14:textId="77777777" w:rsidTr="00B148A2">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4B7654" w14:textId="77777777" w:rsidR="005D5E2A" w:rsidRPr="00260C1D" w:rsidRDefault="005D5E2A" w:rsidP="007F1D90">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2</w:t>
            </w:r>
          </w:p>
        </w:tc>
        <w:tc>
          <w:tcPr>
            <w:tcW w:w="21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073F24" w14:textId="77777777" w:rsidR="005D5E2A" w:rsidRPr="00260C1D" w:rsidRDefault="005D5E2A" w:rsidP="007F1D90">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2-5 years in Australian school Years 1-6</w:t>
            </w:r>
          </w:p>
        </w:tc>
        <w:tc>
          <w:tcPr>
            <w:tcW w:w="10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0E44FB" w14:textId="77777777" w:rsidR="005D5E2A" w:rsidRPr="00260C1D" w:rsidRDefault="005D5E2A" w:rsidP="00833928">
            <w:pPr>
              <w:spacing w:after="0" w:line="240" w:lineRule="auto"/>
              <w:jc w:val="center"/>
              <w:rPr>
                <w:rFonts w:eastAsia="Segoe UI" w:cstheme="minorHAnsi"/>
                <w:color w:val="011A3C"/>
                <w:sz w:val="24"/>
                <w:szCs w:val="24"/>
                <w:lang w:val="en" w:eastAsia="en-AU"/>
              </w:rPr>
            </w:pPr>
            <w:r w:rsidRPr="00260C1D">
              <w:rPr>
                <w:rFonts w:eastAsia="Segoe UI" w:cstheme="minorHAnsi"/>
                <w:color w:val="011A3C"/>
                <w:sz w:val="24"/>
                <w:szCs w:val="24"/>
                <w:lang w:val="en" w:eastAsia="en-AU"/>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D8FF73" w14:textId="4D7B3F01" w:rsidR="005D5E2A" w:rsidRPr="00260C1D" w:rsidRDefault="00F25EB5" w:rsidP="0061578B">
            <w:pPr>
              <w:spacing w:after="0" w:line="240" w:lineRule="auto"/>
              <w:jc w:val="center"/>
              <w:rPr>
                <w:rFonts w:eastAsia="Segoe UI" w:cstheme="minorHAnsi"/>
                <w:color w:val="011A3C"/>
                <w:sz w:val="24"/>
                <w:szCs w:val="24"/>
                <w:lang w:val="en" w:eastAsia="en-AU"/>
              </w:rPr>
            </w:pPr>
            <w:r w:rsidRPr="00F25EB5">
              <w:rPr>
                <w:rFonts w:eastAsia="Segoe UI" w:cstheme="minorHAnsi"/>
                <w:color w:val="011A3C"/>
                <w:sz w:val="24"/>
                <w:szCs w:val="24"/>
                <w:lang w:val="en" w:eastAsia="en-AU"/>
              </w:rPr>
              <w:t>$763.62</w:t>
            </w:r>
          </w:p>
          <w:p w14:paraId="33794985" w14:textId="76800322" w:rsidR="0097098C" w:rsidRPr="00260C1D" w:rsidRDefault="0097098C" w:rsidP="0061578B">
            <w:pPr>
              <w:spacing w:after="0" w:line="240" w:lineRule="auto"/>
              <w:jc w:val="center"/>
              <w:rPr>
                <w:rFonts w:eastAsia="Segoe UI" w:cstheme="minorHAnsi"/>
                <w:color w:val="011A3C"/>
                <w:sz w:val="24"/>
                <w:szCs w:val="24"/>
                <w:lang w:val="en" w:eastAsia="en-AU"/>
              </w:rPr>
            </w:pPr>
            <w:r w:rsidRPr="00260C1D">
              <w:rPr>
                <w:rFonts w:eastAsia="Segoe UI" w:cstheme="minorHAnsi"/>
                <w:color w:val="011A3C"/>
                <w:lang w:val="en" w:eastAsia="en-AU"/>
              </w:rPr>
              <w:t>(</w:t>
            </w:r>
            <w:r w:rsidR="00F25EB5" w:rsidRPr="00F25EB5">
              <w:rPr>
                <w:rFonts w:eastAsia="Segoe UI" w:cstheme="minorHAnsi"/>
                <w:color w:val="011A3C"/>
                <w:lang w:val="en" w:eastAsia="en-AU"/>
              </w:rPr>
              <w:t>$749.20</w:t>
            </w:r>
            <w:r w:rsidRPr="00260C1D">
              <w:rPr>
                <w:rFonts w:eastAsia="Segoe UI" w:cstheme="minorHAnsi"/>
                <w:color w:val="011A3C"/>
                <w:lang w:val="en" w:eastAsia="en-AU"/>
              </w:rPr>
              <w:t xml:space="preserve">cr + </w:t>
            </w:r>
            <w:r w:rsidR="00F25EB5" w:rsidRPr="00F25EB5">
              <w:rPr>
                <w:rFonts w:eastAsia="Segoe UI" w:cstheme="minorHAnsi"/>
                <w:color w:val="011A3C"/>
                <w:lang w:val="en" w:eastAsia="en-AU"/>
              </w:rPr>
              <w:t>$</w:t>
            </w:r>
            <w:r w:rsidR="00F25EB5" w:rsidRPr="00833928">
              <w:rPr>
                <w:color w:val="011A3C"/>
                <w:lang w:val="en"/>
              </w:rPr>
              <w:t>14</w:t>
            </w:r>
            <w:r w:rsidR="00F25EB5" w:rsidRPr="00F25EB5">
              <w:rPr>
                <w:rFonts w:eastAsia="Segoe UI" w:cstheme="minorHAnsi"/>
                <w:color w:val="011A3C"/>
                <w:lang w:val="en" w:eastAsia="en-AU"/>
              </w:rPr>
              <w:t>.43</w:t>
            </w:r>
            <w:r w:rsidRPr="00260C1D">
              <w:rPr>
                <w:rFonts w:eastAsia="Segoe UI" w:cstheme="minorHAnsi"/>
                <w:color w:val="011A3C"/>
                <w:lang w:val="en" w:eastAsia="en-AU"/>
              </w:rPr>
              <w:t>ca)</w:t>
            </w:r>
          </w:p>
        </w:tc>
        <w:tc>
          <w:tcPr>
            <w:tcW w:w="21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06425D" w14:textId="5A6FBDC4" w:rsidR="004F28C5" w:rsidRPr="00260C1D" w:rsidRDefault="009F07C7" w:rsidP="0061578B">
            <w:pPr>
              <w:spacing w:after="0" w:line="240" w:lineRule="auto"/>
              <w:jc w:val="center"/>
              <w:rPr>
                <w:rFonts w:eastAsia="Segoe UI" w:cstheme="minorHAnsi"/>
                <w:color w:val="011A3C"/>
                <w:sz w:val="24"/>
                <w:szCs w:val="24"/>
                <w:lang w:val="en" w:eastAsia="en-AU"/>
              </w:rPr>
            </w:pPr>
            <w:r w:rsidRPr="009F07C7">
              <w:rPr>
                <w:rFonts w:eastAsia="Segoe UI" w:cstheme="minorHAnsi"/>
                <w:color w:val="011A3C"/>
                <w:sz w:val="24"/>
                <w:szCs w:val="24"/>
                <w:lang w:val="en" w:eastAsia="en-AU"/>
              </w:rPr>
              <w:t>$1,272.71</w:t>
            </w:r>
            <w:r w:rsidR="00550346" w:rsidRPr="00260C1D" w:rsidDel="00550346">
              <w:rPr>
                <w:rFonts w:eastAsia="Segoe UI" w:cstheme="minorHAnsi"/>
                <w:color w:val="011A3C"/>
                <w:sz w:val="24"/>
                <w:szCs w:val="24"/>
                <w:lang w:val="en" w:eastAsia="en-AU"/>
              </w:rPr>
              <w:t xml:space="preserve"> </w:t>
            </w:r>
            <w:r w:rsidR="004F28C5" w:rsidRPr="00260C1D">
              <w:rPr>
                <w:rFonts w:eastAsia="Segoe UI" w:cstheme="minorHAnsi"/>
                <w:color w:val="011A3C"/>
                <w:lang w:val="en" w:eastAsia="en-AU"/>
              </w:rPr>
              <w:t>(</w:t>
            </w:r>
            <w:r w:rsidRPr="009F07C7">
              <w:rPr>
                <w:rFonts w:eastAsia="Segoe UI" w:cstheme="minorHAnsi"/>
                <w:color w:val="011A3C"/>
                <w:lang w:val="en" w:eastAsia="en-AU"/>
              </w:rPr>
              <w:t>$1,248.66</w:t>
            </w:r>
            <w:r w:rsidR="004F28C5" w:rsidRPr="00260C1D">
              <w:rPr>
                <w:rFonts w:eastAsia="Segoe UI" w:cstheme="minorHAnsi"/>
                <w:color w:val="011A3C"/>
                <w:lang w:val="en" w:eastAsia="en-AU"/>
              </w:rPr>
              <w:t xml:space="preserve">cr + </w:t>
            </w:r>
            <w:r w:rsidR="00881780" w:rsidRPr="00881780">
              <w:rPr>
                <w:rFonts w:eastAsia="Segoe UI" w:cstheme="minorHAnsi"/>
                <w:color w:val="011A3C"/>
                <w:lang w:val="en" w:eastAsia="en-AU"/>
              </w:rPr>
              <w:t>$24.05</w:t>
            </w:r>
            <w:r w:rsidR="004F28C5" w:rsidRPr="00260C1D">
              <w:rPr>
                <w:rFonts w:eastAsia="Segoe UI" w:cstheme="minorHAnsi"/>
                <w:color w:val="011A3C"/>
                <w:lang w:val="en" w:eastAsia="en-AU"/>
              </w:rPr>
              <w:t>ca)</w:t>
            </w:r>
          </w:p>
        </w:tc>
        <w:tc>
          <w:tcPr>
            <w:tcW w:w="21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F9E591" w14:textId="0BCFDBE7" w:rsidR="005D5E2A" w:rsidRPr="00260C1D" w:rsidRDefault="00A2688F" w:rsidP="0061578B">
            <w:pPr>
              <w:spacing w:after="0" w:line="240" w:lineRule="auto"/>
              <w:jc w:val="center"/>
              <w:rPr>
                <w:rFonts w:eastAsia="Segoe UI" w:cstheme="minorHAnsi"/>
                <w:color w:val="011A3C"/>
                <w:sz w:val="24"/>
                <w:szCs w:val="24"/>
                <w:lang w:val="en" w:eastAsia="en-AU"/>
              </w:rPr>
            </w:pPr>
            <w:r w:rsidRPr="00A2688F">
              <w:rPr>
                <w:rFonts w:eastAsia="Segoe UI" w:cstheme="minorHAnsi"/>
                <w:color w:val="011A3C"/>
                <w:sz w:val="24"/>
                <w:szCs w:val="24"/>
                <w:lang w:val="en" w:eastAsia="en-AU"/>
              </w:rPr>
              <w:t>$1,781.79</w:t>
            </w:r>
          </w:p>
          <w:p w14:paraId="3E2CDBD4" w14:textId="3488DEDC" w:rsidR="00930F15" w:rsidRPr="00260C1D" w:rsidRDefault="00930F15" w:rsidP="00930F15">
            <w:pPr>
              <w:spacing w:after="0" w:line="240" w:lineRule="auto"/>
              <w:jc w:val="center"/>
              <w:rPr>
                <w:rFonts w:eastAsia="Segoe UI" w:cstheme="minorHAnsi"/>
                <w:color w:val="011A3C"/>
                <w:sz w:val="24"/>
                <w:szCs w:val="24"/>
                <w:lang w:val="en" w:eastAsia="en-AU"/>
              </w:rPr>
            </w:pPr>
            <w:r w:rsidRPr="00260C1D">
              <w:rPr>
                <w:rFonts w:eastAsia="Segoe UI" w:cstheme="minorHAnsi"/>
                <w:color w:val="011A3C"/>
                <w:lang w:val="en" w:eastAsia="en-AU"/>
              </w:rPr>
              <w:t>(</w:t>
            </w:r>
            <w:r w:rsidR="00A2688F" w:rsidRPr="00A2688F">
              <w:rPr>
                <w:rFonts w:eastAsia="Segoe UI" w:cstheme="minorHAnsi"/>
                <w:color w:val="011A3C"/>
                <w:lang w:val="en" w:eastAsia="en-AU"/>
              </w:rPr>
              <w:t>$1,748.12</w:t>
            </w:r>
            <w:r w:rsidRPr="00260C1D">
              <w:rPr>
                <w:rFonts w:eastAsia="Segoe UI" w:cstheme="minorHAnsi"/>
                <w:color w:val="011A3C"/>
                <w:lang w:val="en" w:eastAsia="en-AU"/>
              </w:rPr>
              <w:t xml:space="preserve">cr + </w:t>
            </w:r>
            <w:r w:rsidR="00FA5E80" w:rsidRPr="00FA5E80">
              <w:rPr>
                <w:rFonts w:eastAsia="Segoe UI" w:cstheme="minorHAnsi"/>
                <w:color w:val="011A3C"/>
                <w:lang w:val="en" w:eastAsia="en-AU"/>
              </w:rPr>
              <w:t>$33.66</w:t>
            </w:r>
            <w:r w:rsidRPr="00260C1D">
              <w:rPr>
                <w:rFonts w:eastAsia="Segoe UI" w:cstheme="minorHAnsi"/>
                <w:color w:val="011A3C"/>
                <w:lang w:val="en" w:eastAsia="en-AU"/>
              </w:rPr>
              <w:t>ca)</w:t>
            </w:r>
          </w:p>
        </w:tc>
      </w:tr>
      <w:bookmarkEnd w:id="87"/>
      <w:tr w:rsidR="00F42171" w:rsidRPr="00260C1D" w14:paraId="73AF5D27" w14:textId="77777777" w:rsidTr="00B148A2">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9EE02E" w14:textId="77777777" w:rsidR="00F42171" w:rsidRPr="00260C1D" w:rsidRDefault="00F42171" w:rsidP="00F42171">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3</w:t>
            </w:r>
          </w:p>
        </w:tc>
        <w:tc>
          <w:tcPr>
            <w:tcW w:w="21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0B3F37" w14:textId="77777777" w:rsidR="00F42171" w:rsidRPr="00260C1D" w:rsidRDefault="00F42171" w:rsidP="00F42171">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&lt;2 years in Australian school Years 1-6</w:t>
            </w:r>
          </w:p>
        </w:tc>
        <w:tc>
          <w:tcPr>
            <w:tcW w:w="10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852083" w14:textId="77777777" w:rsidR="00F42171" w:rsidRPr="00260C1D" w:rsidRDefault="00F42171" w:rsidP="00833928">
            <w:pPr>
              <w:spacing w:after="0" w:line="240" w:lineRule="auto"/>
              <w:jc w:val="center"/>
              <w:rPr>
                <w:rFonts w:eastAsia="Segoe UI" w:cstheme="minorHAnsi"/>
                <w:color w:val="011A3C"/>
                <w:sz w:val="24"/>
                <w:szCs w:val="24"/>
                <w:lang w:val="en" w:eastAsia="en-AU"/>
              </w:rPr>
            </w:pPr>
            <w:r w:rsidRPr="00260C1D">
              <w:rPr>
                <w:rFonts w:eastAsia="Segoe UI" w:cstheme="minorHAnsi"/>
                <w:color w:val="011A3C"/>
                <w:sz w:val="24"/>
                <w:szCs w:val="24"/>
                <w:lang w:val="en" w:eastAsia="en-AU"/>
              </w:rPr>
              <w:t>4.00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48BE79" w14:textId="01DA7EA9" w:rsidR="00F42171" w:rsidRPr="00260C1D" w:rsidRDefault="0022760C" w:rsidP="00F42171">
            <w:pPr>
              <w:spacing w:after="0" w:line="240" w:lineRule="auto"/>
              <w:jc w:val="center"/>
              <w:rPr>
                <w:rFonts w:eastAsia="Segoe UI" w:cstheme="minorHAnsi"/>
                <w:color w:val="011A3C"/>
                <w:sz w:val="24"/>
                <w:szCs w:val="24"/>
                <w:lang w:val="en" w:eastAsia="en-AU"/>
              </w:rPr>
            </w:pPr>
            <w:r w:rsidRPr="0022760C">
              <w:rPr>
                <w:rFonts w:eastAsia="Segoe UI" w:cstheme="minorHAnsi"/>
                <w:color w:val="011A3C"/>
                <w:sz w:val="24"/>
                <w:szCs w:val="24"/>
                <w:lang w:val="en" w:eastAsia="en-AU"/>
              </w:rPr>
              <w:t>$1,527.25</w:t>
            </w:r>
          </w:p>
          <w:p w14:paraId="3C3CFB0F" w14:textId="74D5989B" w:rsidR="00000A88" w:rsidRPr="00260C1D" w:rsidRDefault="00000A88" w:rsidP="00F42171">
            <w:pPr>
              <w:spacing w:after="0" w:line="240" w:lineRule="auto"/>
              <w:jc w:val="center"/>
              <w:rPr>
                <w:rFonts w:eastAsia="Segoe UI" w:cstheme="minorHAnsi"/>
                <w:color w:val="011A3C"/>
                <w:sz w:val="24"/>
                <w:szCs w:val="24"/>
                <w:lang w:val="en" w:eastAsia="en-AU"/>
              </w:rPr>
            </w:pPr>
            <w:r w:rsidRPr="00260C1D">
              <w:rPr>
                <w:rFonts w:eastAsia="Segoe UI" w:cstheme="minorHAnsi"/>
                <w:color w:val="011A3C"/>
                <w:lang w:val="en" w:eastAsia="en-AU"/>
              </w:rPr>
              <w:t>(</w:t>
            </w:r>
            <w:r w:rsidR="00A675EF" w:rsidRPr="00A675EF">
              <w:rPr>
                <w:rFonts w:eastAsia="Segoe UI" w:cstheme="minorHAnsi"/>
                <w:color w:val="011A3C"/>
                <w:lang w:val="en" w:eastAsia="en-AU"/>
              </w:rPr>
              <w:t>$1,498.39</w:t>
            </w:r>
            <w:r w:rsidRPr="00260C1D">
              <w:rPr>
                <w:rFonts w:eastAsia="Segoe UI" w:cstheme="minorHAnsi"/>
                <w:color w:val="011A3C"/>
                <w:lang w:val="en" w:eastAsia="en-AU"/>
              </w:rPr>
              <w:t xml:space="preserve">cr + </w:t>
            </w:r>
            <w:r w:rsidR="00A675EF" w:rsidRPr="00A675EF">
              <w:rPr>
                <w:rFonts w:eastAsia="Segoe UI" w:cstheme="minorHAnsi"/>
                <w:color w:val="011A3C"/>
                <w:lang w:val="en" w:eastAsia="en-AU"/>
              </w:rPr>
              <w:t>$</w:t>
            </w:r>
            <w:r w:rsidR="00A675EF" w:rsidRPr="00833928">
              <w:rPr>
                <w:color w:val="011A3C"/>
                <w:lang w:val="en"/>
              </w:rPr>
              <w:t>28</w:t>
            </w:r>
            <w:r w:rsidR="00A675EF" w:rsidRPr="00A675EF">
              <w:rPr>
                <w:rFonts w:eastAsia="Segoe UI" w:cstheme="minorHAnsi"/>
                <w:color w:val="011A3C"/>
                <w:lang w:val="en" w:eastAsia="en-AU"/>
              </w:rPr>
              <w:t>.86</w:t>
            </w:r>
            <w:r w:rsidRPr="00260C1D">
              <w:rPr>
                <w:rFonts w:eastAsia="Segoe UI" w:cstheme="minorHAnsi"/>
                <w:color w:val="011A3C"/>
                <w:lang w:val="en" w:eastAsia="en-AU"/>
              </w:rPr>
              <w:t>ca)</w:t>
            </w:r>
          </w:p>
        </w:tc>
        <w:tc>
          <w:tcPr>
            <w:tcW w:w="21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785481" w14:textId="1D0A0067" w:rsidR="00930F15" w:rsidRPr="00260C1D" w:rsidRDefault="00881780" w:rsidP="00930F15">
            <w:pPr>
              <w:spacing w:after="0" w:line="240" w:lineRule="auto"/>
              <w:jc w:val="center"/>
              <w:rPr>
                <w:rFonts w:eastAsia="Segoe UI" w:cstheme="minorHAnsi"/>
                <w:color w:val="011A3C"/>
                <w:sz w:val="24"/>
                <w:szCs w:val="24"/>
                <w:lang w:val="en" w:eastAsia="en-AU"/>
              </w:rPr>
            </w:pPr>
            <w:r w:rsidRPr="00881780">
              <w:rPr>
                <w:rFonts w:eastAsia="Segoe UI" w:cstheme="minorHAnsi"/>
                <w:color w:val="011A3C"/>
                <w:sz w:val="24"/>
                <w:szCs w:val="24"/>
                <w:lang w:val="en" w:eastAsia="en-AU"/>
              </w:rPr>
              <w:t>$2,545.41</w:t>
            </w:r>
            <w:r w:rsidR="00B60088" w:rsidRPr="00260C1D" w:rsidDel="00B60088">
              <w:rPr>
                <w:rFonts w:eastAsia="Segoe UI" w:cstheme="minorHAnsi"/>
                <w:color w:val="011A3C"/>
                <w:sz w:val="24"/>
                <w:szCs w:val="24"/>
                <w:lang w:val="en" w:eastAsia="en-AU"/>
              </w:rPr>
              <w:t xml:space="preserve"> </w:t>
            </w:r>
            <w:r w:rsidR="00930F15" w:rsidRPr="00260C1D">
              <w:rPr>
                <w:rFonts w:eastAsia="Segoe UI" w:cstheme="minorHAnsi"/>
                <w:color w:val="011A3C"/>
                <w:lang w:val="en" w:eastAsia="en-AU"/>
              </w:rPr>
              <w:t>(</w:t>
            </w:r>
            <w:r w:rsidR="00F25883" w:rsidRPr="00F25883">
              <w:rPr>
                <w:rFonts w:eastAsia="Segoe UI" w:cstheme="minorHAnsi"/>
                <w:color w:val="011A3C"/>
                <w:lang w:val="en" w:eastAsia="en-AU"/>
              </w:rPr>
              <w:t>$2,497.32</w:t>
            </w:r>
            <w:r w:rsidR="00930F15" w:rsidRPr="00260C1D">
              <w:rPr>
                <w:rFonts w:eastAsia="Segoe UI" w:cstheme="minorHAnsi"/>
                <w:color w:val="011A3C"/>
                <w:lang w:val="en" w:eastAsia="en-AU"/>
              </w:rPr>
              <w:t xml:space="preserve">cr + </w:t>
            </w:r>
            <w:r w:rsidR="00F25883" w:rsidRPr="00F25883">
              <w:rPr>
                <w:rFonts w:eastAsia="Segoe UI" w:cstheme="minorHAnsi"/>
                <w:color w:val="011A3C"/>
                <w:lang w:val="en" w:eastAsia="en-AU"/>
              </w:rPr>
              <w:t>$48.09</w:t>
            </w:r>
            <w:r w:rsidR="00930F15" w:rsidRPr="00260C1D">
              <w:rPr>
                <w:rFonts w:eastAsia="Segoe UI" w:cstheme="minorHAnsi"/>
                <w:color w:val="011A3C"/>
                <w:lang w:val="en" w:eastAsia="en-AU"/>
              </w:rPr>
              <w:t>ca)</w:t>
            </w:r>
          </w:p>
        </w:tc>
        <w:tc>
          <w:tcPr>
            <w:tcW w:w="21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E2C124" w14:textId="23BE2F7C" w:rsidR="00F42171" w:rsidRPr="00260C1D" w:rsidRDefault="00FA5E80" w:rsidP="00F42171">
            <w:pPr>
              <w:spacing w:after="0" w:line="240" w:lineRule="auto"/>
              <w:jc w:val="center"/>
              <w:rPr>
                <w:rFonts w:eastAsia="Segoe UI" w:cstheme="minorHAnsi"/>
                <w:color w:val="011A3C"/>
                <w:sz w:val="24"/>
                <w:szCs w:val="24"/>
                <w:lang w:val="en" w:eastAsia="en-AU"/>
              </w:rPr>
            </w:pPr>
            <w:r w:rsidRPr="00FA5E80">
              <w:rPr>
                <w:rFonts w:eastAsia="Segoe UI" w:cstheme="minorHAnsi"/>
                <w:color w:val="011A3C"/>
                <w:sz w:val="24"/>
                <w:szCs w:val="24"/>
                <w:lang w:val="en" w:eastAsia="en-AU"/>
              </w:rPr>
              <w:t>$3,563.57</w:t>
            </w:r>
          </w:p>
          <w:p w14:paraId="454E9B79" w14:textId="6F4644A5" w:rsidR="00930F15" w:rsidRPr="00260C1D" w:rsidRDefault="00930F15" w:rsidP="00930F15">
            <w:pPr>
              <w:spacing w:after="0" w:line="240" w:lineRule="auto"/>
              <w:jc w:val="center"/>
              <w:rPr>
                <w:rFonts w:eastAsia="Segoe UI" w:cstheme="minorHAnsi"/>
                <w:color w:val="011A3C"/>
                <w:sz w:val="24"/>
                <w:szCs w:val="24"/>
                <w:lang w:val="en" w:eastAsia="en-AU"/>
              </w:rPr>
            </w:pPr>
            <w:r w:rsidRPr="00260C1D">
              <w:rPr>
                <w:rFonts w:eastAsia="Segoe UI" w:cstheme="minorHAnsi"/>
                <w:color w:val="011A3C"/>
                <w:lang w:val="en" w:eastAsia="en-AU"/>
              </w:rPr>
              <w:t>(</w:t>
            </w:r>
            <w:r w:rsidR="00055EA1" w:rsidRPr="00055EA1">
              <w:rPr>
                <w:rFonts w:eastAsia="Segoe UI" w:cstheme="minorHAnsi"/>
                <w:color w:val="011A3C"/>
                <w:lang w:val="en" w:eastAsia="en-AU"/>
              </w:rPr>
              <w:t>$3,496.24</w:t>
            </w:r>
            <w:r w:rsidRPr="00260C1D">
              <w:rPr>
                <w:rFonts w:eastAsia="Segoe UI" w:cstheme="minorHAnsi"/>
                <w:color w:val="011A3C"/>
                <w:lang w:val="en" w:eastAsia="en-AU"/>
              </w:rPr>
              <w:t xml:space="preserve">cr + </w:t>
            </w:r>
            <w:r w:rsidR="00055EA1" w:rsidRPr="00055EA1">
              <w:rPr>
                <w:rFonts w:eastAsia="Segoe UI" w:cstheme="minorHAnsi"/>
                <w:color w:val="011A3C"/>
                <w:lang w:val="en" w:eastAsia="en-AU"/>
              </w:rPr>
              <w:t>$67.33</w:t>
            </w:r>
            <w:r w:rsidRPr="00260C1D">
              <w:rPr>
                <w:rFonts w:eastAsia="Segoe UI" w:cstheme="minorHAnsi"/>
                <w:color w:val="011A3C"/>
                <w:lang w:val="en" w:eastAsia="en-AU"/>
              </w:rPr>
              <w:t>ca)</w:t>
            </w:r>
          </w:p>
        </w:tc>
      </w:tr>
      <w:tr w:rsidR="00F42171" w:rsidRPr="00260C1D" w14:paraId="1FCD0536" w14:textId="77777777" w:rsidTr="00B148A2">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958619" w14:textId="77777777" w:rsidR="00F42171" w:rsidRPr="00260C1D" w:rsidRDefault="00F42171" w:rsidP="00F42171">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4</w:t>
            </w:r>
          </w:p>
        </w:tc>
        <w:tc>
          <w:tcPr>
            <w:tcW w:w="21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463A55" w14:textId="77777777" w:rsidR="00F42171" w:rsidRPr="00260C1D" w:rsidRDefault="00F42171" w:rsidP="00F42171">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2-5 years in Australian school Years 7-12</w:t>
            </w:r>
          </w:p>
        </w:tc>
        <w:tc>
          <w:tcPr>
            <w:tcW w:w="10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38B321" w14:textId="77777777" w:rsidR="00F42171" w:rsidRPr="00260C1D" w:rsidRDefault="00F42171" w:rsidP="00833928">
            <w:pPr>
              <w:spacing w:after="0" w:line="240" w:lineRule="auto"/>
              <w:jc w:val="center"/>
              <w:rPr>
                <w:rFonts w:eastAsia="Segoe UI" w:cstheme="minorHAnsi"/>
                <w:color w:val="011A3C"/>
                <w:sz w:val="24"/>
                <w:szCs w:val="24"/>
                <w:lang w:val="en" w:eastAsia="en-AU"/>
              </w:rPr>
            </w:pPr>
            <w:r w:rsidRPr="00260C1D">
              <w:rPr>
                <w:rFonts w:eastAsia="Segoe UI" w:cstheme="minorHAnsi"/>
                <w:color w:val="011A3C"/>
                <w:sz w:val="24"/>
                <w:szCs w:val="24"/>
                <w:lang w:val="en" w:eastAsia="en-AU"/>
              </w:rPr>
              <w:t>5.09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18186F" w14:textId="571CF016" w:rsidR="00620585" w:rsidRDefault="007D6CBA" w:rsidP="00F42171">
            <w:pPr>
              <w:spacing w:after="0" w:line="240" w:lineRule="auto"/>
              <w:jc w:val="center"/>
              <w:rPr>
                <w:rFonts w:eastAsia="Segoe UI" w:cstheme="minorHAnsi"/>
                <w:color w:val="011A3C"/>
                <w:sz w:val="24"/>
                <w:szCs w:val="24"/>
                <w:lang w:val="en" w:eastAsia="en-AU"/>
              </w:rPr>
            </w:pPr>
            <w:r>
              <w:t xml:space="preserve"> </w:t>
            </w:r>
            <w:r w:rsidRPr="007D6CBA">
              <w:rPr>
                <w:rFonts w:eastAsia="Segoe UI" w:cstheme="minorHAnsi"/>
                <w:color w:val="011A3C"/>
                <w:sz w:val="24"/>
                <w:szCs w:val="24"/>
                <w:lang w:val="en" w:eastAsia="en-AU"/>
              </w:rPr>
              <w:t>$1,943.42</w:t>
            </w:r>
            <w:r w:rsidR="003B640E" w:rsidRPr="00260C1D" w:rsidDel="003B640E">
              <w:rPr>
                <w:rFonts w:eastAsia="Segoe UI" w:cstheme="minorHAnsi"/>
                <w:color w:val="011A3C"/>
                <w:sz w:val="24"/>
                <w:szCs w:val="24"/>
                <w:lang w:val="en" w:eastAsia="en-AU"/>
              </w:rPr>
              <w:t xml:space="preserve"> </w:t>
            </w:r>
          </w:p>
          <w:p w14:paraId="3F3CFA8A" w14:textId="0030BE8B" w:rsidR="00000A88" w:rsidRPr="00260C1D" w:rsidRDefault="00000A88" w:rsidP="00F42171">
            <w:pPr>
              <w:spacing w:after="0" w:line="240" w:lineRule="auto"/>
              <w:jc w:val="center"/>
              <w:rPr>
                <w:rFonts w:eastAsia="Segoe UI" w:cstheme="minorHAnsi"/>
                <w:color w:val="011A3C"/>
                <w:sz w:val="24"/>
                <w:szCs w:val="24"/>
                <w:lang w:val="en" w:eastAsia="en-AU"/>
              </w:rPr>
            </w:pPr>
            <w:r w:rsidRPr="00260C1D">
              <w:rPr>
                <w:rFonts w:eastAsia="Segoe UI" w:cstheme="minorHAnsi"/>
                <w:color w:val="011A3C"/>
                <w:lang w:val="en" w:eastAsia="en-AU"/>
              </w:rPr>
              <w:t>(</w:t>
            </w:r>
            <w:r w:rsidR="0056661E" w:rsidRPr="0056661E">
              <w:rPr>
                <w:rFonts w:eastAsia="Segoe UI" w:cstheme="minorHAnsi"/>
                <w:color w:val="011A3C"/>
                <w:lang w:val="en" w:eastAsia="en-AU"/>
              </w:rPr>
              <w:t>$1,906.70</w:t>
            </w:r>
            <w:r w:rsidRPr="00260C1D">
              <w:rPr>
                <w:rFonts w:eastAsia="Segoe UI" w:cstheme="minorHAnsi"/>
                <w:color w:val="011A3C"/>
                <w:lang w:val="en" w:eastAsia="en-AU"/>
              </w:rPr>
              <w:t>cr +</w:t>
            </w:r>
            <w:r w:rsidR="00620585">
              <w:rPr>
                <w:rFonts w:eastAsia="Segoe UI" w:cstheme="minorHAnsi"/>
                <w:color w:val="011A3C"/>
                <w:lang w:val="en" w:eastAsia="en-AU"/>
              </w:rPr>
              <w:t xml:space="preserve"> </w:t>
            </w:r>
            <w:r w:rsidR="00A14EED" w:rsidRPr="00A14EED">
              <w:rPr>
                <w:rFonts w:eastAsia="Segoe UI" w:cstheme="minorHAnsi"/>
                <w:color w:val="011A3C"/>
                <w:lang w:val="en" w:eastAsia="en-AU"/>
              </w:rPr>
              <w:t>36.72</w:t>
            </w:r>
            <w:r w:rsidRPr="00260C1D">
              <w:rPr>
                <w:rFonts w:eastAsia="Segoe UI" w:cstheme="minorHAnsi"/>
                <w:color w:val="011A3C"/>
                <w:lang w:val="en" w:eastAsia="en-AU"/>
              </w:rPr>
              <w:t>ca)</w:t>
            </w:r>
          </w:p>
        </w:tc>
        <w:tc>
          <w:tcPr>
            <w:tcW w:w="21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658A89" w14:textId="690A94B7" w:rsidR="00620585" w:rsidRDefault="005C3406" w:rsidP="00F42171">
            <w:pPr>
              <w:spacing w:after="0" w:line="240" w:lineRule="auto"/>
              <w:jc w:val="center"/>
              <w:rPr>
                <w:rFonts w:cstheme="minorHAnsi"/>
              </w:rPr>
            </w:pPr>
            <w:r w:rsidRPr="005C3406">
              <w:rPr>
                <w:rFonts w:cstheme="minorHAnsi"/>
              </w:rPr>
              <w:t>$3,239.04</w:t>
            </w:r>
            <w:r w:rsidR="00AA4161" w:rsidRPr="00260C1D" w:rsidDel="00AA4161">
              <w:rPr>
                <w:rFonts w:cstheme="minorHAnsi"/>
              </w:rPr>
              <w:t xml:space="preserve"> </w:t>
            </w:r>
          </w:p>
          <w:p w14:paraId="21645C26" w14:textId="3E0C8833" w:rsidR="00CA1637" w:rsidRPr="00260C1D" w:rsidRDefault="00CA1637" w:rsidP="00F42171">
            <w:pPr>
              <w:spacing w:after="0" w:line="240" w:lineRule="auto"/>
              <w:jc w:val="center"/>
              <w:rPr>
                <w:rFonts w:eastAsia="Segoe UI" w:cstheme="minorHAnsi"/>
                <w:color w:val="011A3C"/>
                <w:sz w:val="24"/>
                <w:szCs w:val="24"/>
                <w:lang w:val="en" w:eastAsia="en-AU"/>
              </w:rPr>
            </w:pPr>
            <w:r w:rsidRPr="00260C1D">
              <w:rPr>
                <w:rFonts w:eastAsia="Segoe UI" w:cstheme="minorHAnsi"/>
                <w:color w:val="011A3C"/>
                <w:lang w:val="en" w:eastAsia="en-AU"/>
              </w:rPr>
              <w:t>(</w:t>
            </w:r>
            <w:r w:rsidR="00B43DDD" w:rsidRPr="00B43DDD">
              <w:rPr>
                <w:rFonts w:eastAsia="Segoe UI" w:cstheme="minorHAnsi"/>
                <w:color w:val="011A3C"/>
                <w:lang w:val="en" w:eastAsia="en-AU"/>
              </w:rPr>
              <w:t>$3,177.84</w:t>
            </w:r>
            <w:r w:rsidRPr="00260C1D">
              <w:rPr>
                <w:rFonts w:eastAsia="Segoe UI" w:cstheme="minorHAnsi"/>
                <w:color w:val="011A3C"/>
                <w:lang w:val="en" w:eastAsia="en-AU"/>
              </w:rPr>
              <w:t xml:space="preserve">cr + </w:t>
            </w:r>
            <w:r w:rsidR="00B43DDD" w:rsidRPr="00B43DDD">
              <w:rPr>
                <w:rFonts w:eastAsia="Segoe UI" w:cstheme="minorHAnsi"/>
                <w:color w:val="011A3C"/>
                <w:lang w:val="en" w:eastAsia="en-AU"/>
              </w:rPr>
              <w:t>$61.20</w:t>
            </w:r>
            <w:r w:rsidRPr="00260C1D">
              <w:rPr>
                <w:rFonts w:eastAsia="Segoe UI" w:cstheme="minorHAnsi"/>
                <w:color w:val="011A3C"/>
                <w:lang w:val="en" w:eastAsia="en-AU"/>
              </w:rPr>
              <w:t>ca)</w:t>
            </w:r>
          </w:p>
        </w:tc>
        <w:tc>
          <w:tcPr>
            <w:tcW w:w="21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2FD361" w14:textId="331F62F3" w:rsidR="00CA1637" w:rsidRPr="00260C1D" w:rsidRDefault="00055EA1" w:rsidP="00F42171">
            <w:pPr>
              <w:spacing w:after="0" w:line="240" w:lineRule="auto"/>
              <w:jc w:val="center"/>
              <w:rPr>
                <w:rFonts w:eastAsia="Segoe UI" w:cstheme="minorHAnsi"/>
                <w:color w:val="011A3C"/>
                <w:sz w:val="24"/>
                <w:szCs w:val="24"/>
                <w:lang w:val="en" w:eastAsia="en-AU"/>
              </w:rPr>
            </w:pPr>
            <w:r w:rsidRPr="00055EA1">
              <w:rPr>
                <w:rFonts w:eastAsia="Segoe UI" w:cstheme="minorHAnsi"/>
                <w:color w:val="011A3C"/>
                <w:sz w:val="24"/>
                <w:szCs w:val="24"/>
                <w:lang w:val="en" w:eastAsia="en-AU"/>
              </w:rPr>
              <w:t>$4,534.65</w:t>
            </w:r>
            <w:r w:rsidR="0027124D" w:rsidRPr="00260C1D" w:rsidDel="0027124D">
              <w:rPr>
                <w:rFonts w:eastAsia="Segoe UI" w:cstheme="minorHAnsi"/>
                <w:color w:val="011A3C"/>
                <w:sz w:val="24"/>
                <w:szCs w:val="24"/>
                <w:lang w:val="en" w:eastAsia="en-AU"/>
              </w:rPr>
              <w:t xml:space="preserve"> </w:t>
            </w:r>
            <w:r w:rsidR="00CA1637" w:rsidRPr="00260C1D">
              <w:rPr>
                <w:rFonts w:eastAsia="Segoe UI" w:cstheme="minorHAnsi"/>
                <w:color w:val="011A3C"/>
                <w:lang w:val="en" w:eastAsia="en-AU"/>
              </w:rPr>
              <w:t>(</w:t>
            </w:r>
            <w:r w:rsidR="001862C6" w:rsidRPr="001862C6">
              <w:rPr>
                <w:rFonts w:eastAsia="Segoe UI" w:cstheme="minorHAnsi"/>
                <w:color w:val="011A3C"/>
                <w:lang w:val="en" w:eastAsia="en-AU"/>
              </w:rPr>
              <w:t>$4,448.97</w:t>
            </w:r>
            <w:r w:rsidR="00CA1637" w:rsidRPr="00260C1D">
              <w:rPr>
                <w:rFonts w:eastAsia="Segoe UI" w:cstheme="minorHAnsi"/>
                <w:color w:val="011A3C"/>
                <w:lang w:val="en" w:eastAsia="en-AU"/>
              </w:rPr>
              <w:t xml:space="preserve">cr + </w:t>
            </w:r>
            <w:r w:rsidR="001862C6" w:rsidRPr="001862C6">
              <w:rPr>
                <w:rFonts w:eastAsia="Segoe UI" w:cstheme="minorHAnsi"/>
                <w:color w:val="011A3C"/>
                <w:lang w:val="en" w:eastAsia="en-AU"/>
              </w:rPr>
              <w:t>$85.68</w:t>
            </w:r>
            <w:r w:rsidR="00CA1637" w:rsidRPr="00260C1D">
              <w:rPr>
                <w:rFonts w:eastAsia="Segoe UI" w:cstheme="minorHAnsi"/>
                <w:color w:val="011A3C"/>
                <w:lang w:val="en" w:eastAsia="en-AU"/>
              </w:rPr>
              <w:t>ca)</w:t>
            </w:r>
          </w:p>
        </w:tc>
      </w:tr>
      <w:tr w:rsidR="005D5E2A" w:rsidRPr="00260C1D" w14:paraId="6AE3450B" w14:textId="77777777" w:rsidTr="00B148A2">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4D9B59" w14:textId="77777777" w:rsidR="005D5E2A" w:rsidRPr="00260C1D" w:rsidRDefault="005D5E2A" w:rsidP="007F1D90">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5</w:t>
            </w:r>
          </w:p>
        </w:tc>
        <w:tc>
          <w:tcPr>
            <w:tcW w:w="21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4D57B0" w14:textId="77777777" w:rsidR="005D5E2A" w:rsidRPr="00260C1D" w:rsidRDefault="005D5E2A" w:rsidP="007F1D90">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&lt;2 years in Australian school Years 7-12</w:t>
            </w:r>
          </w:p>
        </w:tc>
        <w:tc>
          <w:tcPr>
            <w:tcW w:w="10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29B0D0" w14:textId="77777777" w:rsidR="005D5E2A" w:rsidRPr="00260C1D" w:rsidRDefault="005D5E2A" w:rsidP="00833928">
            <w:pPr>
              <w:spacing w:after="0" w:line="240" w:lineRule="auto"/>
              <w:jc w:val="center"/>
              <w:rPr>
                <w:rFonts w:eastAsia="Segoe UI" w:cstheme="minorHAnsi"/>
                <w:color w:val="011A3C"/>
                <w:sz w:val="24"/>
                <w:szCs w:val="24"/>
                <w:lang w:val="en" w:eastAsia="en-AU"/>
              </w:rPr>
            </w:pPr>
            <w:r w:rsidRPr="00260C1D">
              <w:rPr>
                <w:rFonts w:eastAsia="Segoe UI" w:cstheme="minorHAnsi"/>
                <w:color w:val="011A3C"/>
                <w:sz w:val="24"/>
                <w:szCs w:val="24"/>
                <w:lang w:val="en" w:eastAsia="en-AU"/>
              </w:rPr>
              <w:t>7.64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044C6D" w14:textId="59A4267A" w:rsidR="00620585" w:rsidRDefault="00A14EED" w:rsidP="0061578B">
            <w:pPr>
              <w:spacing w:after="0" w:line="240" w:lineRule="auto"/>
              <w:jc w:val="center"/>
              <w:rPr>
                <w:rFonts w:eastAsia="Segoe UI" w:cstheme="minorHAnsi"/>
                <w:color w:val="011A3C"/>
                <w:sz w:val="24"/>
                <w:szCs w:val="24"/>
                <w:lang w:val="en" w:eastAsia="en-AU"/>
              </w:rPr>
            </w:pPr>
            <w:r w:rsidRPr="00A14EED">
              <w:rPr>
                <w:rFonts w:eastAsia="Segoe UI" w:cstheme="minorHAnsi"/>
                <w:color w:val="011A3C"/>
                <w:sz w:val="24"/>
                <w:szCs w:val="24"/>
                <w:lang w:val="en" w:eastAsia="en-AU"/>
              </w:rPr>
              <w:t>$2,917.04</w:t>
            </w:r>
            <w:r w:rsidR="00EA64F5" w:rsidRPr="00260C1D" w:rsidDel="00EA64F5">
              <w:rPr>
                <w:rFonts w:eastAsia="Segoe UI" w:cstheme="minorHAnsi"/>
                <w:color w:val="011A3C"/>
                <w:sz w:val="24"/>
                <w:szCs w:val="24"/>
                <w:lang w:val="en" w:eastAsia="en-AU"/>
              </w:rPr>
              <w:t xml:space="preserve"> </w:t>
            </w:r>
          </w:p>
          <w:p w14:paraId="1370E60B" w14:textId="58F4A050" w:rsidR="00000A88" w:rsidRPr="00260C1D" w:rsidRDefault="00000A88" w:rsidP="0061578B">
            <w:pPr>
              <w:spacing w:after="0" w:line="240" w:lineRule="auto"/>
              <w:jc w:val="center"/>
              <w:rPr>
                <w:rFonts w:eastAsia="Segoe UI" w:cstheme="minorHAnsi"/>
                <w:color w:val="011A3C"/>
                <w:sz w:val="24"/>
                <w:szCs w:val="24"/>
                <w:lang w:val="en" w:eastAsia="en-AU"/>
              </w:rPr>
            </w:pPr>
            <w:r w:rsidRPr="00260C1D">
              <w:rPr>
                <w:rFonts w:eastAsia="Segoe UI" w:cstheme="minorHAnsi"/>
                <w:color w:val="011A3C"/>
                <w:lang w:val="en" w:eastAsia="en-AU"/>
              </w:rPr>
              <w:t>(</w:t>
            </w:r>
            <w:r w:rsidR="007A20FD" w:rsidRPr="007A20FD">
              <w:rPr>
                <w:rFonts w:eastAsia="Segoe UI" w:cstheme="minorHAnsi"/>
                <w:color w:val="011A3C"/>
                <w:lang w:val="en" w:eastAsia="en-AU"/>
              </w:rPr>
              <w:t>$2,861.93</w:t>
            </w:r>
            <w:r w:rsidRPr="00260C1D">
              <w:rPr>
                <w:rFonts w:eastAsia="Segoe UI" w:cstheme="minorHAnsi"/>
                <w:color w:val="011A3C"/>
                <w:lang w:val="en" w:eastAsia="en-AU"/>
              </w:rPr>
              <w:t>cr +</w:t>
            </w:r>
            <w:r w:rsidR="00620585">
              <w:t xml:space="preserve"> </w:t>
            </w:r>
            <w:r w:rsidR="007A20FD" w:rsidRPr="007A20FD">
              <w:rPr>
                <w:rFonts w:eastAsia="Segoe UI" w:cstheme="minorHAnsi"/>
                <w:color w:val="011A3C"/>
                <w:lang w:val="en" w:eastAsia="en-AU"/>
              </w:rPr>
              <w:t>$55.11</w:t>
            </w:r>
            <w:r w:rsidRPr="00260C1D">
              <w:rPr>
                <w:rFonts w:eastAsia="Segoe UI" w:cstheme="minorHAnsi"/>
                <w:color w:val="011A3C"/>
                <w:lang w:val="en" w:eastAsia="en-AU"/>
              </w:rPr>
              <w:t>ca)</w:t>
            </w:r>
          </w:p>
        </w:tc>
        <w:tc>
          <w:tcPr>
            <w:tcW w:w="21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35FC99" w14:textId="4171F162" w:rsidR="00CA1637" w:rsidRPr="00260C1D" w:rsidRDefault="00B43DDD" w:rsidP="0061578B">
            <w:pPr>
              <w:spacing w:after="0" w:line="240" w:lineRule="auto"/>
              <w:jc w:val="center"/>
              <w:rPr>
                <w:rFonts w:eastAsia="Segoe UI" w:cstheme="minorHAnsi"/>
                <w:color w:val="011A3C"/>
                <w:sz w:val="24"/>
                <w:szCs w:val="24"/>
                <w:lang w:val="en" w:eastAsia="en-AU"/>
              </w:rPr>
            </w:pPr>
            <w:r w:rsidRPr="00B43DDD">
              <w:rPr>
                <w:rFonts w:eastAsia="Segoe UI" w:cstheme="minorHAnsi"/>
                <w:color w:val="011A3C"/>
                <w:sz w:val="24"/>
                <w:szCs w:val="24"/>
                <w:lang w:val="en" w:eastAsia="en-AU"/>
              </w:rPr>
              <w:t>$4,861.73</w:t>
            </w:r>
            <w:r w:rsidRPr="00B43DDD" w:rsidDel="00B43DDD">
              <w:rPr>
                <w:rFonts w:eastAsia="Segoe UI" w:cstheme="minorHAnsi"/>
                <w:color w:val="011A3C"/>
                <w:sz w:val="24"/>
                <w:szCs w:val="24"/>
                <w:lang w:val="en" w:eastAsia="en-AU"/>
              </w:rPr>
              <w:t xml:space="preserve"> </w:t>
            </w:r>
            <w:r w:rsidR="00CA1637" w:rsidRPr="00260C1D">
              <w:rPr>
                <w:rFonts w:eastAsia="Segoe UI" w:cstheme="minorHAnsi"/>
                <w:color w:val="011A3C"/>
                <w:lang w:val="en" w:eastAsia="en-AU"/>
              </w:rPr>
              <w:t>(</w:t>
            </w:r>
            <w:r w:rsidR="00B34C78" w:rsidRPr="00B34C78">
              <w:rPr>
                <w:rFonts w:eastAsia="Segoe UI" w:cstheme="minorHAnsi"/>
                <w:color w:val="011A3C"/>
                <w:lang w:val="en" w:eastAsia="en-AU"/>
              </w:rPr>
              <w:t>$4,769.88</w:t>
            </w:r>
            <w:r w:rsidR="00CA1637" w:rsidRPr="00260C1D">
              <w:rPr>
                <w:rFonts w:eastAsia="Segoe UI" w:cstheme="minorHAnsi"/>
                <w:color w:val="011A3C"/>
                <w:lang w:val="en" w:eastAsia="en-AU"/>
              </w:rPr>
              <w:t xml:space="preserve">cr + </w:t>
            </w:r>
            <w:r w:rsidR="00B34C78" w:rsidRPr="00B34C78">
              <w:rPr>
                <w:rFonts w:eastAsia="Segoe UI" w:cstheme="minorHAnsi"/>
                <w:color w:val="011A3C"/>
                <w:lang w:val="en" w:eastAsia="en-AU"/>
              </w:rPr>
              <w:t>$91.84</w:t>
            </w:r>
            <w:r w:rsidR="00CA1637" w:rsidRPr="00260C1D">
              <w:rPr>
                <w:rFonts w:eastAsia="Segoe UI" w:cstheme="minorHAnsi"/>
                <w:color w:val="011A3C"/>
                <w:lang w:val="en" w:eastAsia="en-AU"/>
              </w:rPr>
              <w:t>ca)</w:t>
            </w:r>
          </w:p>
        </w:tc>
        <w:tc>
          <w:tcPr>
            <w:tcW w:w="21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287A29" w14:textId="089BFFC2" w:rsidR="00CA1637" w:rsidRPr="00260C1D" w:rsidRDefault="001862C6" w:rsidP="0061578B">
            <w:pPr>
              <w:spacing w:after="0" w:line="240" w:lineRule="auto"/>
              <w:jc w:val="center"/>
              <w:rPr>
                <w:rFonts w:eastAsia="Segoe UI" w:cstheme="minorHAnsi"/>
                <w:color w:val="011A3C"/>
                <w:sz w:val="24"/>
                <w:szCs w:val="24"/>
                <w:lang w:val="en" w:eastAsia="en-AU"/>
              </w:rPr>
            </w:pPr>
            <w:r w:rsidRPr="001862C6">
              <w:rPr>
                <w:rFonts w:eastAsia="Segoe UI" w:cstheme="minorHAnsi"/>
                <w:color w:val="011A3C"/>
                <w:sz w:val="24"/>
                <w:szCs w:val="24"/>
                <w:lang w:val="en" w:eastAsia="en-AU"/>
              </w:rPr>
              <w:t>$6,806.42</w:t>
            </w:r>
            <w:r w:rsidR="00432046" w:rsidRPr="00260C1D" w:rsidDel="00432046">
              <w:rPr>
                <w:rFonts w:eastAsia="Segoe UI" w:cstheme="minorHAnsi"/>
                <w:color w:val="011A3C"/>
                <w:sz w:val="24"/>
                <w:szCs w:val="24"/>
                <w:lang w:val="en" w:eastAsia="en-AU"/>
              </w:rPr>
              <w:t xml:space="preserve"> </w:t>
            </w:r>
            <w:r w:rsidR="00521EE4" w:rsidRPr="00260C1D">
              <w:rPr>
                <w:rFonts w:eastAsia="Segoe UI" w:cstheme="minorHAnsi"/>
                <w:color w:val="011A3C"/>
                <w:lang w:val="en" w:eastAsia="en-AU"/>
              </w:rPr>
              <w:t>(</w:t>
            </w:r>
            <w:r w:rsidRPr="001862C6">
              <w:rPr>
                <w:rFonts w:eastAsia="Segoe UI" w:cstheme="minorHAnsi"/>
                <w:color w:val="011A3C"/>
                <w:lang w:val="en" w:eastAsia="en-AU"/>
              </w:rPr>
              <w:t>$6,677.84</w:t>
            </w:r>
            <w:r w:rsidR="00CA1637" w:rsidRPr="00260C1D">
              <w:rPr>
                <w:rFonts w:eastAsia="Segoe UI" w:cstheme="minorHAnsi"/>
                <w:color w:val="011A3C"/>
                <w:lang w:val="en" w:eastAsia="en-AU"/>
              </w:rPr>
              <w:t xml:space="preserve">cr + </w:t>
            </w:r>
            <w:r w:rsidR="00FF6311" w:rsidRPr="00FF6311">
              <w:rPr>
                <w:rFonts w:eastAsia="Segoe UI" w:cstheme="minorHAnsi"/>
                <w:color w:val="011A3C"/>
                <w:lang w:val="en" w:eastAsia="en-AU"/>
              </w:rPr>
              <w:t>$128.58</w:t>
            </w:r>
            <w:r w:rsidR="00CA1637" w:rsidRPr="00260C1D">
              <w:rPr>
                <w:rFonts w:eastAsia="Segoe UI" w:cstheme="minorHAnsi"/>
                <w:color w:val="011A3C"/>
                <w:lang w:val="en" w:eastAsia="en-AU"/>
              </w:rPr>
              <w:t>ca)</w:t>
            </w:r>
          </w:p>
        </w:tc>
      </w:tr>
    </w:tbl>
    <w:p w14:paraId="3F6A4A7F" w14:textId="04703112" w:rsidR="00DB47A1" w:rsidRPr="00260C1D" w:rsidRDefault="00DB47A1" w:rsidP="00DB47A1">
      <w:pPr>
        <w:spacing w:after="100" w:afterAutospacing="1" w:line="240" w:lineRule="auto"/>
        <w:rPr>
          <w:rFonts w:eastAsia="Segoe UI" w:cstheme="minorHAnsi"/>
          <w:color w:val="011A3C"/>
          <w:sz w:val="18"/>
          <w:szCs w:val="18"/>
          <w:lang w:val="en" w:eastAsia="en-AU"/>
        </w:rPr>
      </w:pPr>
      <w:r w:rsidRPr="00260C1D">
        <w:rPr>
          <w:rFonts w:eastAsia="Segoe UI" w:cstheme="minorHAnsi"/>
          <w:color w:val="011A3C"/>
          <w:sz w:val="18"/>
          <w:szCs w:val="18"/>
          <w:lang w:val="en" w:eastAsia="en-AU"/>
        </w:rPr>
        <w:t>*Due to rounding</w:t>
      </w:r>
      <w:r w:rsidR="00F400EC">
        <w:rPr>
          <w:rFonts w:eastAsia="Segoe UI" w:cstheme="minorHAnsi"/>
          <w:color w:val="011A3C"/>
          <w:sz w:val="18"/>
          <w:szCs w:val="18"/>
          <w:lang w:val="en" w:eastAsia="en-AU"/>
        </w:rPr>
        <w:t>,</w:t>
      </w:r>
      <w:r w:rsidRPr="00260C1D">
        <w:rPr>
          <w:rFonts w:eastAsia="Segoe UI" w:cstheme="minorHAnsi"/>
          <w:color w:val="011A3C"/>
          <w:sz w:val="18"/>
          <w:szCs w:val="18"/>
          <w:lang w:val="en" w:eastAsia="en-AU"/>
        </w:rPr>
        <w:t xml:space="preserve"> </w:t>
      </w:r>
      <w:r w:rsidR="005B5651" w:rsidRPr="00260C1D">
        <w:rPr>
          <w:rFonts w:eastAsia="Segoe UI" w:cstheme="minorHAnsi"/>
          <w:color w:val="011A3C"/>
          <w:sz w:val="18"/>
          <w:szCs w:val="18"/>
          <w:lang w:val="en" w:eastAsia="en-AU"/>
        </w:rPr>
        <w:t>some</w:t>
      </w:r>
      <w:r w:rsidRPr="00260C1D">
        <w:rPr>
          <w:rFonts w:eastAsia="Segoe UI" w:cstheme="minorHAnsi"/>
          <w:color w:val="011A3C"/>
          <w:sz w:val="18"/>
          <w:szCs w:val="18"/>
          <w:lang w:val="en" w:eastAsia="en-AU"/>
        </w:rPr>
        <w:t xml:space="preserve"> rates do not multiply exactly by the weightings</w:t>
      </w:r>
      <w:r w:rsidR="005B5651" w:rsidRPr="00260C1D">
        <w:rPr>
          <w:rFonts w:eastAsia="Segoe UI" w:cstheme="minorHAnsi"/>
          <w:color w:val="011A3C"/>
          <w:sz w:val="18"/>
          <w:szCs w:val="18"/>
          <w:lang w:val="en" w:eastAsia="en-AU"/>
        </w:rPr>
        <w:t xml:space="preserve"> above</w:t>
      </w:r>
      <w:r w:rsidRPr="00260C1D">
        <w:rPr>
          <w:rFonts w:eastAsia="Segoe UI" w:cstheme="minorHAnsi"/>
          <w:color w:val="011A3C"/>
          <w:sz w:val="18"/>
          <w:szCs w:val="18"/>
          <w:lang w:val="en" w:eastAsia="en-AU"/>
        </w:rPr>
        <w:t>.</w:t>
      </w:r>
    </w:p>
    <w:p w14:paraId="2BDCA225" w14:textId="63AF6BB9"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Teacher salary charges to schools in </w:t>
      </w:r>
      <w:r w:rsidR="007B40C1" w:rsidRPr="00260C1D">
        <w:rPr>
          <w:rFonts w:eastAsia="Segoe UI" w:cstheme="minorHAnsi"/>
          <w:color w:val="011A3C"/>
          <w:sz w:val="24"/>
          <w:szCs w:val="24"/>
          <w:lang w:val="en" w:eastAsia="en-AU"/>
        </w:rPr>
        <w:t>202</w:t>
      </w:r>
      <w:r w:rsidR="007A20FD">
        <w:rPr>
          <w:rFonts w:eastAsia="Segoe UI" w:cstheme="minorHAnsi"/>
          <w:color w:val="011A3C"/>
          <w:sz w:val="24"/>
          <w:szCs w:val="24"/>
          <w:lang w:val="en" w:eastAsia="en-AU"/>
        </w:rPr>
        <w:t>4</w:t>
      </w:r>
      <w:r w:rsidR="007B40C1"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will continue to be based on actual payroll debits for individual staff as reflected on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This includes the actual cost of annual leave loading and all allowances, such as higher duties and special payments. Also included are non-cash benefits for teachers.</w:t>
      </w:r>
    </w:p>
    <w:p w14:paraId="4A4535B0" w14:textId="77777777" w:rsidR="005D5E2A" w:rsidRPr="00260C1D" w:rsidRDefault="005D5E2A" w:rsidP="000D106B">
      <w:pPr>
        <w:keepNext/>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List 5: Salary rates</w:t>
      </w:r>
    </w:p>
    <w:p w14:paraId="5C298F61" w14:textId="1D436669"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Primary schools receive a total of </w:t>
      </w:r>
      <w:r w:rsidR="00E4523A" w:rsidRPr="00833928">
        <w:t>$</w:t>
      </w:r>
      <w:r w:rsidR="00E4523A" w:rsidRPr="00E4523A">
        <w:rPr>
          <w:rFonts w:eastAsia="Segoe UI" w:cstheme="minorHAnsi"/>
          <w:color w:val="011A3C"/>
          <w:sz w:val="24"/>
          <w:szCs w:val="24"/>
          <w:lang w:val="en" w:eastAsia="en-AU"/>
        </w:rPr>
        <w:t>134,074</w:t>
      </w:r>
      <w:r w:rsidR="00A542F8"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made up of:</w:t>
      </w:r>
    </w:p>
    <w:p w14:paraId="416E7267" w14:textId="3DBC7FDE" w:rsidR="005D5E2A" w:rsidRPr="0082534A" w:rsidRDefault="005D5E2A" w:rsidP="00F56244">
      <w:pPr>
        <w:pStyle w:val="ListParagraph"/>
        <w:numPr>
          <w:ilvl w:val="0"/>
          <w:numId w:val="78"/>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 xml:space="preserve">Credit: </w:t>
      </w:r>
      <w:r w:rsidR="00263F95">
        <w:rPr>
          <w:rFonts w:eastAsia="Segoe UI" w:cstheme="minorHAnsi"/>
          <w:color w:val="011A3C"/>
          <w:sz w:val="24"/>
          <w:szCs w:val="24"/>
          <w:lang w:val="en" w:eastAsia="en-AU"/>
        </w:rPr>
        <w:t>$</w:t>
      </w:r>
      <w:r w:rsidR="00E4523A" w:rsidRPr="00E4523A">
        <w:rPr>
          <w:rFonts w:eastAsia="Segoe UI" w:cstheme="minorHAnsi"/>
          <w:color w:val="011A3C"/>
          <w:sz w:val="24"/>
          <w:szCs w:val="24"/>
          <w:lang w:val="en" w:eastAsia="en-AU"/>
        </w:rPr>
        <w:t>130,828</w:t>
      </w:r>
    </w:p>
    <w:p w14:paraId="45279E0D" w14:textId="3872FA6F" w:rsidR="005D5E2A" w:rsidRPr="0082534A" w:rsidRDefault="005D5E2A" w:rsidP="00F56244">
      <w:pPr>
        <w:pStyle w:val="ListParagraph"/>
        <w:numPr>
          <w:ilvl w:val="0"/>
          <w:numId w:val="78"/>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 xml:space="preserve">Cash: </w:t>
      </w:r>
      <w:r w:rsidR="00263F95">
        <w:rPr>
          <w:rFonts w:eastAsia="Segoe UI" w:cstheme="minorHAnsi"/>
          <w:color w:val="011A3C"/>
          <w:sz w:val="24"/>
          <w:szCs w:val="24"/>
          <w:lang w:val="en" w:eastAsia="en-AU"/>
        </w:rPr>
        <w:t>$</w:t>
      </w:r>
      <w:r w:rsidR="005231CB" w:rsidRPr="005231CB">
        <w:rPr>
          <w:rFonts w:eastAsia="Segoe UI" w:cstheme="minorHAnsi"/>
          <w:color w:val="011A3C"/>
          <w:sz w:val="24"/>
          <w:szCs w:val="24"/>
          <w:lang w:val="en" w:eastAsia="en-AU"/>
        </w:rPr>
        <w:t>3,246</w:t>
      </w:r>
    </w:p>
    <w:p w14:paraId="1BE74140" w14:textId="0FFB1394"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Secondary schools receive a total of </w:t>
      </w:r>
      <w:r w:rsidR="0005396A" w:rsidRPr="00260C1D">
        <w:rPr>
          <w:rFonts w:eastAsia="Segoe UI" w:cstheme="minorHAnsi"/>
          <w:color w:val="011A3C"/>
          <w:sz w:val="24"/>
          <w:szCs w:val="24"/>
          <w:lang w:val="en" w:eastAsia="en-AU"/>
        </w:rPr>
        <w:t>$</w:t>
      </w:r>
      <w:r w:rsidR="005231CB" w:rsidRPr="005231CB">
        <w:rPr>
          <w:rFonts w:eastAsia="Segoe UI" w:cstheme="minorHAnsi"/>
          <w:color w:val="011A3C"/>
          <w:sz w:val="24"/>
          <w:szCs w:val="24"/>
          <w:lang w:val="en" w:eastAsia="en-AU"/>
        </w:rPr>
        <w:t>133,660</w:t>
      </w:r>
      <w:r w:rsidR="007F04C9"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made up of:</w:t>
      </w:r>
    </w:p>
    <w:p w14:paraId="11BEF6A4" w14:textId="2E2ADC66" w:rsidR="005D5E2A" w:rsidRPr="0082534A" w:rsidRDefault="005D5E2A" w:rsidP="00F56244">
      <w:pPr>
        <w:pStyle w:val="ListParagraph"/>
        <w:numPr>
          <w:ilvl w:val="0"/>
          <w:numId w:val="78"/>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 xml:space="preserve">Credit: </w:t>
      </w:r>
      <w:r w:rsidR="00263F95">
        <w:rPr>
          <w:rFonts w:eastAsia="Segoe UI" w:cstheme="minorHAnsi"/>
          <w:color w:val="011A3C"/>
          <w:sz w:val="24"/>
          <w:szCs w:val="24"/>
          <w:lang w:val="en" w:eastAsia="en-AU"/>
        </w:rPr>
        <w:t>$</w:t>
      </w:r>
      <w:r w:rsidR="002B4B76" w:rsidRPr="002B4B76">
        <w:rPr>
          <w:rFonts w:eastAsia="Segoe UI" w:cstheme="minorHAnsi"/>
          <w:color w:val="011A3C"/>
          <w:sz w:val="24"/>
          <w:szCs w:val="24"/>
          <w:lang w:val="en" w:eastAsia="en-AU"/>
        </w:rPr>
        <w:t>131,974</w:t>
      </w:r>
    </w:p>
    <w:p w14:paraId="6608A281" w14:textId="2780D025" w:rsidR="005D5E2A" w:rsidRPr="0082534A" w:rsidRDefault="005D5E2A" w:rsidP="00F56244">
      <w:pPr>
        <w:pStyle w:val="ListParagraph"/>
        <w:numPr>
          <w:ilvl w:val="0"/>
          <w:numId w:val="78"/>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 xml:space="preserve">Cash: </w:t>
      </w:r>
      <w:r w:rsidR="00263F95">
        <w:rPr>
          <w:rFonts w:eastAsia="Segoe UI" w:cstheme="minorHAnsi"/>
          <w:color w:val="011A3C"/>
          <w:sz w:val="24"/>
          <w:szCs w:val="24"/>
          <w:lang w:val="en" w:eastAsia="en-AU"/>
        </w:rPr>
        <w:t>$</w:t>
      </w:r>
      <w:r w:rsidR="002B4B76" w:rsidRPr="002B4B76">
        <w:rPr>
          <w:rFonts w:eastAsia="Segoe UI" w:cstheme="minorHAnsi"/>
          <w:color w:val="011A3C"/>
          <w:sz w:val="24"/>
          <w:szCs w:val="24"/>
          <w:lang w:val="en" w:eastAsia="en-AU"/>
        </w:rPr>
        <w:t>1,686</w:t>
      </w:r>
    </w:p>
    <w:p w14:paraId="732CC3AC" w14:textId="77777777" w:rsidR="00C75EB1" w:rsidRDefault="00C75EB1" w:rsidP="00C75EB1">
      <w:pPr>
        <w:spacing w:before="100" w:beforeAutospacing="1" w:after="100" w:afterAutospacing="1" w:line="360" w:lineRule="atLeast"/>
        <w:rPr>
          <w:rFonts w:eastAsia="Segoe UI" w:cstheme="minorHAnsi"/>
          <w:b/>
          <w:color w:val="011A3C"/>
          <w:sz w:val="24"/>
          <w:szCs w:val="24"/>
          <w:lang w:val="en" w:eastAsia="en-AU"/>
        </w:rPr>
      </w:pPr>
      <w:r>
        <w:rPr>
          <w:rFonts w:eastAsia="Segoe UI" w:cstheme="minorHAnsi"/>
          <w:b/>
          <w:color w:val="011A3C"/>
          <w:sz w:val="24"/>
          <w:szCs w:val="24"/>
          <w:lang w:val="en" w:eastAsia="en-AU"/>
        </w:rPr>
        <w:t>EAL for Likely Refugee Background (LRB) students</w:t>
      </w:r>
    </w:p>
    <w:p w14:paraId="7F31F673" w14:textId="77777777"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An additional loading is provided to campuses:</w:t>
      </w:r>
    </w:p>
    <w:p w14:paraId="3AC8920A" w14:textId="0B7F1B7B" w:rsidR="005D5E2A" w:rsidRPr="0082534A" w:rsidRDefault="00526518" w:rsidP="00F56244">
      <w:pPr>
        <w:pStyle w:val="ListParagraph"/>
        <w:numPr>
          <w:ilvl w:val="0"/>
          <w:numId w:val="78"/>
        </w:numPr>
        <w:spacing w:before="100" w:beforeAutospacing="1" w:after="100" w:afterAutospacing="1"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T</w:t>
      </w:r>
      <w:r w:rsidR="005D5E2A" w:rsidRPr="0082534A">
        <w:rPr>
          <w:rFonts w:eastAsia="Segoe UI" w:cstheme="minorHAnsi"/>
          <w:color w:val="011A3C"/>
          <w:sz w:val="24"/>
          <w:szCs w:val="24"/>
          <w:lang w:val="en" w:eastAsia="en-AU"/>
        </w:rPr>
        <w:t xml:space="preserve">hat </w:t>
      </w:r>
      <w:r w:rsidR="00B70EA2">
        <w:rPr>
          <w:rFonts w:eastAsia="Segoe UI" w:cstheme="minorHAnsi"/>
          <w:color w:val="011A3C"/>
          <w:sz w:val="24"/>
          <w:szCs w:val="24"/>
          <w:lang w:val="en" w:eastAsia="en-AU"/>
        </w:rPr>
        <w:t>have enrolments eligible for</w:t>
      </w:r>
      <w:r w:rsidR="00B70EA2" w:rsidRPr="0082534A">
        <w:rPr>
          <w:rFonts w:eastAsia="Segoe UI" w:cstheme="minorHAnsi"/>
          <w:color w:val="011A3C"/>
          <w:sz w:val="24"/>
          <w:szCs w:val="24"/>
          <w:lang w:val="en" w:eastAsia="en-AU"/>
        </w:rPr>
        <w:t xml:space="preserve"> EAL Index funding </w:t>
      </w:r>
      <w:r w:rsidR="005D5E2A" w:rsidRPr="0082534A">
        <w:rPr>
          <w:rFonts w:eastAsia="Segoe UI" w:cstheme="minorHAnsi"/>
          <w:color w:val="011A3C"/>
          <w:sz w:val="24"/>
          <w:szCs w:val="24"/>
          <w:lang w:val="en" w:eastAsia="en-AU"/>
        </w:rPr>
        <w:t>and</w:t>
      </w:r>
    </w:p>
    <w:p w14:paraId="3B9751A4" w14:textId="41625B54" w:rsidR="005D5E2A" w:rsidRPr="0082534A" w:rsidRDefault="00526518" w:rsidP="00F56244">
      <w:pPr>
        <w:pStyle w:val="ListParagraph"/>
        <w:numPr>
          <w:ilvl w:val="0"/>
          <w:numId w:val="78"/>
        </w:numPr>
        <w:spacing w:before="100" w:beforeAutospacing="1" w:after="100" w:afterAutospacing="1"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H</w:t>
      </w:r>
      <w:r w:rsidR="005D5E2A" w:rsidRPr="0082534A">
        <w:rPr>
          <w:rFonts w:eastAsia="Segoe UI" w:cstheme="minorHAnsi"/>
          <w:color w:val="011A3C"/>
          <w:sz w:val="24"/>
          <w:szCs w:val="24"/>
          <w:lang w:val="en" w:eastAsia="en-AU"/>
        </w:rPr>
        <w:t>ave an SFO weighting below 1.4 (this equates to an SFO density greater than 0.547) and</w:t>
      </w:r>
    </w:p>
    <w:p w14:paraId="3723C969" w14:textId="47A12A86" w:rsidR="005D5E2A" w:rsidRPr="0082534A" w:rsidRDefault="00526518" w:rsidP="00F56244">
      <w:pPr>
        <w:pStyle w:val="ListParagraph"/>
        <w:numPr>
          <w:ilvl w:val="0"/>
          <w:numId w:val="78"/>
        </w:numPr>
        <w:spacing w:before="100" w:beforeAutospacing="1" w:after="100" w:afterAutospacing="1"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H</w:t>
      </w:r>
      <w:r w:rsidR="005D5E2A" w:rsidRPr="0082534A">
        <w:rPr>
          <w:rFonts w:eastAsia="Segoe UI" w:cstheme="minorHAnsi"/>
          <w:color w:val="011A3C"/>
          <w:sz w:val="24"/>
          <w:szCs w:val="24"/>
          <w:lang w:val="en" w:eastAsia="en-AU"/>
        </w:rPr>
        <w:t xml:space="preserve">ave 10 or more </w:t>
      </w:r>
      <w:r w:rsidR="00C75EB1">
        <w:rPr>
          <w:rFonts w:eastAsia="Segoe UI" w:cstheme="minorHAnsi"/>
          <w:color w:val="011A3C"/>
          <w:sz w:val="24"/>
          <w:szCs w:val="24"/>
          <w:lang w:val="en" w:eastAsia="en-AU"/>
        </w:rPr>
        <w:t>Likely Refugee Background (LRB)</w:t>
      </w:r>
      <w:r w:rsidR="005D5E2A" w:rsidRPr="0082534A">
        <w:rPr>
          <w:rFonts w:eastAsia="Segoe UI" w:cstheme="minorHAnsi"/>
          <w:color w:val="011A3C"/>
          <w:sz w:val="24"/>
          <w:szCs w:val="24"/>
          <w:lang w:val="en" w:eastAsia="en-AU"/>
        </w:rPr>
        <w:t xml:space="preserve"> students enrolled.</w:t>
      </w:r>
    </w:p>
    <w:p w14:paraId="72F289E6" w14:textId="0CE93804"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In these cases, the school is provided with funding for the </w:t>
      </w:r>
      <w:r w:rsidR="00C75EB1">
        <w:rPr>
          <w:rFonts w:eastAsia="Segoe UI" w:cstheme="minorHAnsi"/>
          <w:color w:val="011A3C"/>
          <w:sz w:val="24"/>
          <w:szCs w:val="24"/>
          <w:lang w:val="en" w:eastAsia="en-AU"/>
        </w:rPr>
        <w:t>LRB</w:t>
      </w:r>
      <w:r w:rsidRPr="00260C1D">
        <w:rPr>
          <w:rFonts w:eastAsia="Segoe UI" w:cstheme="minorHAnsi"/>
          <w:color w:val="011A3C"/>
          <w:sz w:val="24"/>
          <w:szCs w:val="24"/>
          <w:lang w:val="en" w:eastAsia="en-AU"/>
        </w:rPr>
        <w:t xml:space="preserve"> students at an SFO weighting of 1.4.</w:t>
      </w:r>
    </w:p>
    <w:p w14:paraId="66F5D7F1" w14:textId="5F2E8F2E" w:rsidR="004977ED" w:rsidRDefault="00C75EB1" w:rsidP="004977ED">
      <w:pPr>
        <w:spacing w:before="100" w:beforeAutospacing="1" w:after="100" w:afterAutospacing="1"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 xml:space="preserve">If eligible, the following lines (as applicable) will also appear in a school’s SRP budget details: EAL for Refugees – Primary, or EAL for Refugees – Secondary. </w:t>
      </w:r>
      <w:r w:rsidR="004977ED">
        <w:rPr>
          <w:rFonts w:eastAsia="Segoe UI" w:cstheme="minorHAnsi"/>
          <w:color w:val="011A3C"/>
          <w:sz w:val="24"/>
          <w:szCs w:val="24"/>
          <w:lang w:val="en" w:eastAsia="en-AU"/>
        </w:rPr>
        <w:t xml:space="preserve">As </w:t>
      </w:r>
      <w:r>
        <w:rPr>
          <w:rFonts w:eastAsia="Segoe UI" w:cstheme="minorHAnsi"/>
          <w:color w:val="011A3C"/>
          <w:sz w:val="24"/>
          <w:szCs w:val="24"/>
          <w:lang w:val="en" w:eastAsia="en-AU"/>
        </w:rPr>
        <w:t>with</w:t>
      </w:r>
      <w:r w:rsidR="004977ED">
        <w:rPr>
          <w:rFonts w:eastAsia="Segoe UI" w:cstheme="minorHAnsi"/>
          <w:color w:val="011A3C"/>
          <w:sz w:val="24"/>
          <w:szCs w:val="24"/>
          <w:lang w:val="en" w:eastAsia="en-AU"/>
        </w:rPr>
        <w:t xml:space="preserve"> EAL Index funding, a</w:t>
      </w:r>
      <w:r w:rsidR="004977ED" w:rsidRPr="00260C1D">
        <w:rPr>
          <w:rFonts w:eastAsia="Segoe UI" w:cstheme="minorHAnsi"/>
          <w:color w:val="011A3C"/>
          <w:sz w:val="24"/>
          <w:szCs w:val="24"/>
          <w:lang w:val="en" w:eastAsia="en-AU"/>
        </w:rPr>
        <w:t xml:space="preserve"> campus is required to reach a threshold</w:t>
      </w:r>
      <w:r w:rsidR="004977ED">
        <w:rPr>
          <w:rFonts w:eastAsia="Segoe UI" w:cstheme="minorHAnsi"/>
          <w:color w:val="011A3C"/>
          <w:sz w:val="24"/>
          <w:szCs w:val="24"/>
          <w:lang w:val="en" w:eastAsia="en-AU"/>
        </w:rPr>
        <w:t xml:space="preserve"> of EAL </w:t>
      </w:r>
      <w:r>
        <w:rPr>
          <w:rFonts w:eastAsia="Segoe UI" w:cstheme="minorHAnsi"/>
          <w:color w:val="011A3C"/>
          <w:sz w:val="24"/>
          <w:szCs w:val="24"/>
          <w:lang w:val="en" w:eastAsia="en-AU"/>
        </w:rPr>
        <w:t>funding</w:t>
      </w:r>
      <w:r w:rsidR="004977ED">
        <w:rPr>
          <w:rFonts w:eastAsia="Segoe UI" w:cstheme="minorHAnsi"/>
          <w:color w:val="011A3C"/>
          <w:sz w:val="24"/>
          <w:szCs w:val="24"/>
          <w:lang w:val="en" w:eastAsia="en-AU"/>
        </w:rPr>
        <w:t xml:space="preserve"> (EAL Index funding + EAL for </w:t>
      </w:r>
      <w:r>
        <w:rPr>
          <w:rFonts w:eastAsia="Segoe UI" w:cstheme="minorHAnsi"/>
          <w:color w:val="011A3C"/>
          <w:sz w:val="24"/>
          <w:szCs w:val="24"/>
          <w:lang w:val="en" w:eastAsia="en-AU"/>
        </w:rPr>
        <w:t>LRB</w:t>
      </w:r>
      <w:r w:rsidR="004977ED">
        <w:rPr>
          <w:rFonts w:eastAsia="Segoe UI" w:cstheme="minorHAnsi"/>
          <w:color w:val="011A3C"/>
          <w:sz w:val="24"/>
          <w:szCs w:val="24"/>
          <w:lang w:val="en" w:eastAsia="en-AU"/>
        </w:rPr>
        <w:t xml:space="preserve"> funding)</w:t>
      </w:r>
      <w:r w:rsidR="004977ED" w:rsidRPr="00260C1D">
        <w:rPr>
          <w:rFonts w:eastAsia="Segoe UI" w:cstheme="minorHAnsi"/>
          <w:color w:val="011A3C"/>
          <w:sz w:val="24"/>
          <w:szCs w:val="24"/>
          <w:lang w:val="en" w:eastAsia="en-AU"/>
        </w:rPr>
        <w:t xml:space="preserve"> before </w:t>
      </w:r>
      <w:r w:rsidR="004977ED" w:rsidRPr="0029141B">
        <w:rPr>
          <w:rFonts w:eastAsia="Segoe UI" w:cstheme="minorHAnsi"/>
          <w:color w:val="011A3C"/>
          <w:sz w:val="24"/>
          <w:szCs w:val="24"/>
          <w:lang w:val="en" w:eastAsia="en-AU"/>
        </w:rPr>
        <w:t xml:space="preserve">EAL </w:t>
      </w:r>
      <w:r w:rsidR="004977ED">
        <w:rPr>
          <w:rFonts w:eastAsia="Segoe UI" w:cstheme="minorHAnsi"/>
          <w:color w:val="011A3C"/>
          <w:sz w:val="24"/>
          <w:szCs w:val="24"/>
          <w:lang w:val="en" w:eastAsia="en-AU"/>
        </w:rPr>
        <w:t xml:space="preserve">for </w:t>
      </w:r>
      <w:r>
        <w:rPr>
          <w:rFonts w:eastAsia="Segoe UI" w:cstheme="minorHAnsi"/>
          <w:color w:val="011A3C"/>
          <w:sz w:val="24"/>
          <w:szCs w:val="24"/>
          <w:lang w:val="en" w:eastAsia="en-AU"/>
        </w:rPr>
        <w:t>LRB</w:t>
      </w:r>
      <w:r w:rsidR="004977ED">
        <w:rPr>
          <w:rFonts w:eastAsia="Segoe UI" w:cstheme="minorHAnsi"/>
          <w:color w:val="011A3C"/>
          <w:sz w:val="24"/>
          <w:szCs w:val="24"/>
          <w:lang w:val="en" w:eastAsia="en-AU"/>
        </w:rPr>
        <w:t xml:space="preserve"> </w:t>
      </w:r>
      <w:r w:rsidR="004977ED" w:rsidRPr="00260C1D">
        <w:rPr>
          <w:rFonts w:eastAsia="Segoe UI" w:cstheme="minorHAnsi"/>
          <w:color w:val="011A3C"/>
          <w:sz w:val="24"/>
          <w:szCs w:val="24"/>
          <w:lang w:val="en" w:eastAsia="en-AU"/>
        </w:rPr>
        <w:t xml:space="preserve">funding will </w:t>
      </w:r>
      <w:r w:rsidR="004977ED" w:rsidRPr="00260C1D">
        <w:rPr>
          <w:rFonts w:eastAsia="Segoe UI" w:cstheme="minorHAnsi"/>
          <w:color w:val="011A3C"/>
          <w:sz w:val="24"/>
          <w:szCs w:val="24"/>
          <w:lang w:val="en" w:eastAsia="en-AU"/>
        </w:rPr>
        <w:lastRenderedPageBreak/>
        <w:t>apply. Thresholds are applied separately to primary and secondary students for Pri</w:t>
      </w:r>
      <w:r w:rsidR="004977ED">
        <w:rPr>
          <w:rFonts w:eastAsia="Segoe UI" w:cstheme="minorHAnsi"/>
          <w:color w:val="011A3C"/>
          <w:sz w:val="24"/>
          <w:szCs w:val="24"/>
          <w:lang w:val="en" w:eastAsia="en-AU"/>
        </w:rPr>
        <w:t>mary</w:t>
      </w:r>
      <w:r w:rsidR="004977ED" w:rsidRPr="00260C1D">
        <w:rPr>
          <w:rFonts w:eastAsia="Segoe UI" w:cstheme="minorHAnsi"/>
          <w:color w:val="011A3C"/>
          <w:sz w:val="24"/>
          <w:szCs w:val="24"/>
          <w:lang w:val="en" w:eastAsia="en-AU"/>
        </w:rPr>
        <w:t>/Secondary combined campuses.</w:t>
      </w:r>
    </w:p>
    <w:p w14:paraId="3BC17408" w14:textId="2CF0B0E5" w:rsidR="005D5E2A" w:rsidRPr="00B148A2" w:rsidRDefault="00C75EB1" w:rsidP="005D5E2A">
      <w:pPr>
        <w:spacing w:before="100" w:beforeAutospacing="1" w:after="100" w:afterAutospacing="1" w:line="288" w:lineRule="atLeast"/>
        <w:outlineLvl w:val="2"/>
        <w:rPr>
          <w:b/>
          <w:color w:val="011A3C"/>
          <w:sz w:val="27"/>
          <w:lang w:val="en"/>
        </w:rPr>
      </w:pPr>
      <w:r w:rsidRPr="00D934A6">
        <w:rPr>
          <w:rFonts w:eastAsia="Segoe UI" w:cstheme="minorHAnsi"/>
          <w:b/>
          <w:color w:val="011A3C"/>
          <w:sz w:val="27"/>
          <w:szCs w:val="27"/>
          <w:lang w:val="en" w:eastAsia="en-AU"/>
        </w:rPr>
        <w:t>EAL program funding</w:t>
      </w:r>
      <w:r w:rsidR="005D5E2A" w:rsidRPr="00B148A2">
        <w:rPr>
          <w:b/>
          <w:color w:val="011A3C"/>
          <w:sz w:val="27"/>
          <w:lang w:val="en"/>
        </w:rPr>
        <w:t xml:space="preserve"> for English language schools and </w:t>
      </w:r>
      <w:proofErr w:type="spellStart"/>
      <w:r w:rsidR="005D5E2A" w:rsidRPr="00B148A2">
        <w:rPr>
          <w:b/>
          <w:color w:val="011A3C"/>
          <w:sz w:val="27"/>
          <w:lang w:val="en"/>
        </w:rPr>
        <w:t>centres</w:t>
      </w:r>
      <w:proofErr w:type="spellEnd"/>
    </w:p>
    <w:p w14:paraId="6E14CEEB" w14:textId="77777777" w:rsidR="005D5E2A" w:rsidRPr="00260C1D" w:rsidRDefault="00C75EB1" w:rsidP="00B148A2">
      <w:pPr>
        <w:spacing w:before="100" w:beforeAutospacing="1" w:after="100" w:afterAutospacing="1"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 xml:space="preserve">EAL program funding for English language schools and </w:t>
      </w:r>
      <w:proofErr w:type="spellStart"/>
      <w:r>
        <w:rPr>
          <w:rFonts w:eastAsia="Segoe UI" w:cstheme="minorHAnsi"/>
          <w:color w:val="011A3C"/>
          <w:sz w:val="24"/>
          <w:szCs w:val="24"/>
          <w:lang w:val="en" w:eastAsia="en-AU"/>
        </w:rPr>
        <w:t>centres</w:t>
      </w:r>
      <w:proofErr w:type="spellEnd"/>
      <w:r>
        <w:rPr>
          <w:rFonts w:eastAsia="Segoe UI" w:cstheme="minorHAnsi"/>
          <w:color w:val="011A3C"/>
          <w:sz w:val="24"/>
          <w:szCs w:val="24"/>
          <w:lang w:val="en" w:eastAsia="en-AU"/>
        </w:rPr>
        <w:t xml:space="preserve"> supports a targeted number of students and provides services to newly arrived students who are not currently enrolled in a full-time new arrivals program. </w:t>
      </w:r>
      <w:r w:rsidR="005D5E2A" w:rsidRPr="00260C1D">
        <w:rPr>
          <w:rFonts w:eastAsia="Segoe UI" w:cstheme="minorHAnsi"/>
          <w:color w:val="011A3C"/>
          <w:sz w:val="24"/>
          <w:szCs w:val="24"/>
          <w:lang w:val="en" w:eastAsia="en-AU"/>
        </w:rPr>
        <w:t xml:space="preserve">English language schools and </w:t>
      </w:r>
      <w:proofErr w:type="spellStart"/>
      <w:r w:rsidR="005D5E2A" w:rsidRPr="00260C1D">
        <w:rPr>
          <w:rFonts w:eastAsia="Segoe UI" w:cstheme="minorHAnsi"/>
          <w:color w:val="011A3C"/>
          <w:sz w:val="24"/>
          <w:szCs w:val="24"/>
          <w:lang w:val="en" w:eastAsia="en-AU"/>
        </w:rPr>
        <w:t>centres</w:t>
      </w:r>
      <w:proofErr w:type="spellEnd"/>
      <w:r w:rsidR="005D5E2A" w:rsidRPr="00260C1D">
        <w:rPr>
          <w:rFonts w:eastAsia="Segoe UI" w:cstheme="minorHAnsi"/>
          <w:color w:val="011A3C"/>
          <w:sz w:val="24"/>
          <w:szCs w:val="24"/>
          <w:lang w:val="en" w:eastAsia="en-AU"/>
        </w:rPr>
        <w:t xml:space="preserve"> that experience a significant increase to their enrolments during the school year may also be eligible for EAL </w:t>
      </w:r>
      <w:r w:rsidR="001F27FE">
        <w:rPr>
          <w:rFonts w:eastAsia="Segoe UI" w:cstheme="minorHAnsi"/>
          <w:color w:val="011A3C"/>
          <w:sz w:val="24"/>
          <w:szCs w:val="24"/>
          <w:lang w:val="en" w:eastAsia="en-AU"/>
        </w:rPr>
        <w:t>C</w:t>
      </w:r>
      <w:r w:rsidR="005D5E2A" w:rsidRPr="00260C1D">
        <w:rPr>
          <w:rFonts w:eastAsia="Segoe UI" w:cstheme="minorHAnsi"/>
          <w:color w:val="011A3C"/>
          <w:sz w:val="24"/>
          <w:szCs w:val="24"/>
          <w:lang w:val="en" w:eastAsia="en-AU"/>
        </w:rPr>
        <w:t>ontingency funding. Refer to </w:t>
      </w:r>
      <w:hyperlink r:id="rId72" w:history="1">
        <w:r w:rsidR="000B607F" w:rsidRPr="000B607F">
          <w:rPr>
            <w:rStyle w:val="Hyperlink"/>
            <w:rFonts w:eastAsia="Segoe UI" w:cstheme="minorHAnsi"/>
            <w:sz w:val="24"/>
            <w:szCs w:val="24"/>
            <w:lang w:val="en" w:eastAsia="en-AU"/>
          </w:rPr>
          <w:t>EAL Contingency</w:t>
        </w:r>
        <w:r w:rsidR="005D5E2A" w:rsidRPr="000B607F">
          <w:rPr>
            <w:rStyle w:val="Hyperlink"/>
            <w:rFonts w:eastAsia="Segoe UI" w:cstheme="minorHAnsi"/>
            <w:sz w:val="24"/>
            <w:szCs w:val="24"/>
            <w:lang w:val="en" w:eastAsia="en-AU"/>
          </w:rPr>
          <w:t xml:space="preserve"> (Reference 27)</w:t>
        </w:r>
      </w:hyperlink>
      <w:r w:rsidR="005D5E2A" w:rsidRPr="00B148A2">
        <w:rPr>
          <w:rStyle w:val="Hyperlink"/>
        </w:rPr>
        <w:t>.</w:t>
      </w:r>
    </w:p>
    <w:p w14:paraId="078D3E16" w14:textId="2F52F320"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Funding for English language schools and </w:t>
      </w:r>
      <w:proofErr w:type="spellStart"/>
      <w:r w:rsidRPr="00260C1D">
        <w:rPr>
          <w:rFonts w:eastAsia="Segoe UI" w:cstheme="minorHAnsi"/>
          <w:color w:val="011A3C"/>
          <w:sz w:val="24"/>
          <w:szCs w:val="24"/>
          <w:lang w:val="en" w:eastAsia="en-AU"/>
        </w:rPr>
        <w:t>centres</w:t>
      </w:r>
      <w:proofErr w:type="spellEnd"/>
      <w:r w:rsidRPr="00260C1D">
        <w:rPr>
          <w:rFonts w:eastAsia="Segoe UI" w:cstheme="minorHAnsi"/>
          <w:color w:val="011A3C"/>
          <w:sz w:val="24"/>
          <w:szCs w:val="24"/>
          <w:lang w:val="en" w:eastAsia="en-AU"/>
        </w:rPr>
        <w:t xml:space="preserve"> is based on target enrolments established by the </w:t>
      </w:r>
      <w:r w:rsidR="004F658D">
        <w:rPr>
          <w:rFonts w:eastAsia="Segoe UI" w:cstheme="minorHAnsi"/>
          <w:color w:val="011A3C"/>
          <w:sz w:val="24"/>
          <w:szCs w:val="24"/>
          <w:lang w:val="en" w:eastAsia="en-AU"/>
        </w:rPr>
        <w:t xml:space="preserve">Statewide </w:t>
      </w:r>
      <w:r w:rsidR="006868E6">
        <w:rPr>
          <w:rFonts w:eastAsia="Segoe UI" w:cstheme="minorHAnsi"/>
          <w:color w:val="011A3C"/>
          <w:sz w:val="24"/>
          <w:szCs w:val="24"/>
          <w:lang w:val="en" w:eastAsia="en-AU"/>
        </w:rPr>
        <w:t xml:space="preserve">Programs and </w:t>
      </w:r>
      <w:r w:rsidR="00206910">
        <w:rPr>
          <w:rFonts w:eastAsia="Segoe UI" w:cstheme="minorHAnsi"/>
          <w:color w:val="011A3C"/>
          <w:sz w:val="24"/>
          <w:szCs w:val="24"/>
          <w:lang w:val="en" w:eastAsia="en-AU"/>
        </w:rPr>
        <w:t>Tech Schools Division</w:t>
      </w:r>
      <w:r w:rsidRPr="00260C1D">
        <w:rPr>
          <w:rFonts w:eastAsia="Segoe UI" w:cstheme="minorHAnsi"/>
          <w:color w:val="011A3C"/>
          <w:sz w:val="24"/>
          <w:szCs w:val="24"/>
          <w:lang w:val="en" w:eastAsia="en-AU"/>
        </w:rPr>
        <w:t xml:space="preserve"> in consultation with regions</w:t>
      </w:r>
      <w:r w:rsidR="00B241D3"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schools and </w:t>
      </w:r>
      <w:proofErr w:type="spellStart"/>
      <w:r w:rsidRPr="00260C1D">
        <w:rPr>
          <w:rFonts w:eastAsia="Segoe UI" w:cstheme="minorHAnsi"/>
          <w:color w:val="011A3C"/>
          <w:sz w:val="24"/>
          <w:szCs w:val="24"/>
          <w:lang w:val="en" w:eastAsia="en-AU"/>
        </w:rPr>
        <w:t>centres</w:t>
      </w:r>
      <w:proofErr w:type="spellEnd"/>
      <w:r w:rsidRPr="00260C1D">
        <w:rPr>
          <w:rFonts w:eastAsia="Segoe UI" w:cstheme="minorHAnsi"/>
          <w:color w:val="011A3C"/>
          <w:sz w:val="24"/>
          <w:szCs w:val="24"/>
          <w:lang w:val="en" w:eastAsia="en-AU"/>
        </w:rPr>
        <w:t>. Classes are funded at a student to teacher ratio of 13:1.</w:t>
      </w:r>
    </w:p>
    <w:p w14:paraId="50938A0A" w14:textId="77777777"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English language schools receive a per target enrolment rate and a base to provide both safety net and support. Both allocations are multiples of the rates that apply in standard settings.</w:t>
      </w:r>
    </w:p>
    <w:p w14:paraId="47237660" w14:textId="1C45DFE1"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English language </w:t>
      </w:r>
      <w:proofErr w:type="spellStart"/>
      <w:r w:rsidRPr="00260C1D">
        <w:rPr>
          <w:rFonts w:eastAsia="Segoe UI" w:cstheme="minorHAnsi"/>
          <w:color w:val="011A3C"/>
          <w:sz w:val="24"/>
          <w:szCs w:val="24"/>
          <w:lang w:val="en" w:eastAsia="en-AU"/>
        </w:rPr>
        <w:t>centres</w:t>
      </w:r>
      <w:proofErr w:type="spellEnd"/>
      <w:r w:rsidRPr="00260C1D">
        <w:rPr>
          <w:rFonts w:eastAsia="Segoe UI" w:cstheme="minorHAnsi"/>
          <w:color w:val="011A3C"/>
          <w:sz w:val="24"/>
          <w:szCs w:val="24"/>
          <w:lang w:val="en" w:eastAsia="en-AU"/>
        </w:rPr>
        <w:t xml:space="preserve"> are campuses of a primary or secondary school</w:t>
      </w:r>
      <w:r w:rsidR="00B241D3"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Base support is provided by the primary or secondary school and the </w:t>
      </w:r>
      <w:proofErr w:type="spellStart"/>
      <w:r w:rsidRPr="00260C1D">
        <w:rPr>
          <w:rFonts w:eastAsia="Segoe UI" w:cstheme="minorHAnsi"/>
          <w:color w:val="011A3C"/>
          <w:sz w:val="24"/>
          <w:szCs w:val="24"/>
          <w:lang w:val="en" w:eastAsia="en-AU"/>
        </w:rPr>
        <w:t>centre</w:t>
      </w:r>
      <w:proofErr w:type="spellEnd"/>
      <w:r w:rsidRPr="00260C1D">
        <w:rPr>
          <w:rFonts w:eastAsia="Segoe UI" w:cstheme="minorHAnsi"/>
          <w:color w:val="011A3C"/>
          <w:sz w:val="24"/>
          <w:szCs w:val="24"/>
          <w:lang w:val="en" w:eastAsia="en-AU"/>
        </w:rPr>
        <w:t xml:space="preserve"> receives a per target enrolment rate.</w:t>
      </w:r>
      <w:r w:rsidR="009212A4" w:rsidRPr="00260C1D">
        <w:rPr>
          <w:rFonts w:eastAsia="Segoe UI" w:cstheme="minorHAnsi"/>
          <w:color w:val="011A3C"/>
          <w:sz w:val="24"/>
          <w:szCs w:val="24"/>
          <w:lang w:val="en" w:eastAsia="en-AU"/>
        </w:rPr>
        <w:t xml:space="preserve"> The Virtual New Arrivals Program receives a per target enrolment rate.</w:t>
      </w:r>
      <w:r w:rsidR="00C75EB1">
        <w:rPr>
          <w:rFonts w:eastAsia="Segoe UI" w:cstheme="minorHAnsi"/>
          <w:color w:val="011A3C"/>
          <w:sz w:val="24"/>
          <w:szCs w:val="24"/>
          <w:lang w:val="en" w:eastAsia="en-AU"/>
        </w:rPr>
        <w:t xml:space="preserve"> </w:t>
      </w:r>
    </w:p>
    <w:p w14:paraId="3FAA78A1" w14:textId="77777777" w:rsidR="00C75EB1" w:rsidRDefault="00C75EB1" w:rsidP="00C75EB1">
      <w:pPr>
        <w:spacing w:before="100" w:beforeAutospacing="1" w:after="100" w:afterAutospacing="1" w:line="240" w:lineRule="auto"/>
        <w:rPr>
          <w:rFonts w:eastAsia="Segoe UI" w:cstheme="minorHAnsi"/>
          <w:color w:val="011A3C"/>
          <w:sz w:val="24"/>
          <w:szCs w:val="24"/>
          <w:lang w:val="en" w:eastAsia="en-AU"/>
        </w:rPr>
      </w:pPr>
      <w:bookmarkStart w:id="88" w:name="_Hlk132894519"/>
      <w:r>
        <w:rPr>
          <w:rFonts w:eastAsia="Segoe UI" w:cstheme="minorHAnsi"/>
          <w:color w:val="011A3C"/>
          <w:sz w:val="24"/>
          <w:szCs w:val="24"/>
          <w:lang w:val="en" w:eastAsia="en-AU"/>
        </w:rPr>
        <w:t xml:space="preserve">EAL program funding to English language schools and </w:t>
      </w:r>
      <w:proofErr w:type="spellStart"/>
      <w:r>
        <w:rPr>
          <w:rFonts w:eastAsia="Segoe UI" w:cstheme="minorHAnsi"/>
          <w:color w:val="011A3C"/>
          <w:sz w:val="24"/>
          <w:szCs w:val="24"/>
          <w:lang w:val="en" w:eastAsia="en-AU"/>
        </w:rPr>
        <w:t>centres</w:t>
      </w:r>
      <w:proofErr w:type="spellEnd"/>
      <w:r>
        <w:rPr>
          <w:rFonts w:eastAsia="Segoe UI" w:cstheme="minorHAnsi"/>
          <w:color w:val="011A3C"/>
          <w:sz w:val="24"/>
          <w:szCs w:val="24"/>
          <w:lang w:val="en" w:eastAsia="en-AU"/>
        </w:rPr>
        <w:t xml:space="preserve"> is allocated at campus level.</w:t>
      </w:r>
    </w:p>
    <w:bookmarkEnd w:id="88"/>
    <w:p w14:paraId="36812B6D" w14:textId="77777777" w:rsidR="005D5E2A" w:rsidRPr="00260C1D" w:rsidRDefault="005D5E2A" w:rsidP="00C370BC">
      <w:pPr>
        <w:spacing w:before="100" w:beforeAutospacing="1" w:after="100" w:afterAutospacing="1" w:line="288" w:lineRule="atLeast"/>
        <w:outlineLvl w:val="2"/>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Eligibility</w:t>
      </w:r>
    </w:p>
    <w:p w14:paraId="146BB351" w14:textId="77777777" w:rsidR="005D5E2A" w:rsidRPr="0082534A" w:rsidRDefault="005D5E2A" w:rsidP="00F56244">
      <w:pPr>
        <w:pStyle w:val="ListParagraph"/>
        <w:numPr>
          <w:ilvl w:val="0"/>
          <w:numId w:val="79"/>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English language schools</w:t>
      </w:r>
    </w:p>
    <w:p w14:paraId="02CADF2E" w14:textId="77777777" w:rsidR="005D5E2A" w:rsidRPr="0082534A" w:rsidRDefault="005D5E2A" w:rsidP="00F56244">
      <w:pPr>
        <w:pStyle w:val="ListParagraph"/>
        <w:numPr>
          <w:ilvl w:val="0"/>
          <w:numId w:val="79"/>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 xml:space="preserve">English language </w:t>
      </w:r>
      <w:proofErr w:type="spellStart"/>
      <w:r w:rsidRPr="0082534A">
        <w:rPr>
          <w:rFonts w:eastAsia="Segoe UI" w:cstheme="minorHAnsi"/>
          <w:color w:val="011A3C"/>
          <w:sz w:val="24"/>
          <w:szCs w:val="24"/>
          <w:lang w:val="en" w:eastAsia="en-AU"/>
        </w:rPr>
        <w:t>centres</w:t>
      </w:r>
      <w:proofErr w:type="spellEnd"/>
    </w:p>
    <w:p w14:paraId="3BE09664" w14:textId="74EC3BD3" w:rsidR="005D5E2A" w:rsidRPr="0082534A" w:rsidRDefault="005D5E2A" w:rsidP="00F56244">
      <w:pPr>
        <w:pStyle w:val="ListParagraph"/>
        <w:numPr>
          <w:ilvl w:val="0"/>
          <w:numId w:val="79"/>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Virtual New Arrivals Program</w:t>
      </w:r>
    </w:p>
    <w:p w14:paraId="31F65A64" w14:textId="13BDDB5C" w:rsidR="005D5E2A" w:rsidRPr="00260C1D" w:rsidRDefault="007E7079" w:rsidP="00C370BC">
      <w:pPr>
        <w:spacing w:before="100" w:beforeAutospacing="1" w:after="100" w:afterAutospacing="1" w:line="288" w:lineRule="atLeast"/>
        <w:outlineLvl w:val="2"/>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202</w:t>
      </w:r>
      <w:r w:rsidR="00C00E56">
        <w:rPr>
          <w:rFonts w:eastAsia="Segoe UI" w:cstheme="minorHAnsi"/>
          <w:b/>
          <w:color w:val="011A3C"/>
          <w:sz w:val="24"/>
          <w:szCs w:val="24"/>
          <w:lang w:val="en" w:eastAsia="en-AU"/>
        </w:rPr>
        <w:t>4</w:t>
      </w:r>
      <w:r w:rsidR="005D5E2A" w:rsidRPr="00260C1D">
        <w:rPr>
          <w:rFonts w:eastAsia="Segoe UI" w:cstheme="minorHAnsi"/>
          <w:b/>
          <w:color w:val="011A3C"/>
          <w:sz w:val="24"/>
          <w:szCs w:val="24"/>
          <w:lang w:val="en" w:eastAsia="en-AU"/>
        </w:rPr>
        <w:t xml:space="preserve"> English language school and </w:t>
      </w:r>
      <w:proofErr w:type="spellStart"/>
      <w:r w:rsidR="005D5E2A" w:rsidRPr="00260C1D">
        <w:rPr>
          <w:rFonts w:eastAsia="Segoe UI" w:cstheme="minorHAnsi"/>
          <w:b/>
          <w:color w:val="011A3C"/>
          <w:sz w:val="24"/>
          <w:szCs w:val="24"/>
          <w:lang w:val="en" w:eastAsia="en-AU"/>
        </w:rPr>
        <w:t>centre</w:t>
      </w:r>
      <w:proofErr w:type="spellEnd"/>
      <w:r w:rsidR="005D5E2A" w:rsidRPr="00260C1D">
        <w:rPr>
          <w:rFonts w:eastAsia="Segoe UI" w:cstheme="minorHAnsi"/>
          <w:b/>
          <w:color w:val="011A3C"/>
          <w:sz w:val="24"/>
          <w:szCs w:val="24"/>
          <w:lang w:val="en" w:eastAsia="en-AU"/>
        </w:rPr>
        <w:t xml:space="preserve"> target enrolment rates</w:t>
      </w:r>
    </w:p>
    <w:p w14:paraId="52F67390" w14:textId="75950992"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In an English language school, primary target enrolments receive a total of </w:t>
      </w:r>
      <w:r w:rsidR="008008E8" w:rsidRPr="00260C1D">
        <w:rPr>
          <w:rFonts w:eastAsia="Segoe UI" w:cstheme="minorHAnsi"/>
          <w:color w:val="011A3C"/>
          <w:sz w:val="24"/>
          <w:szCs w:val="24"/>
          <w:lang w:val="en" w:eastAsia="en-AU"/>
        </w:rPr>
        <w:t>$</w:t>
      </w:r>
      <w:r w:rsidR="00FD0F93" w:rsidRPr="00FD0F93">
        <w:rPr>
          <w:rFonts w:eastAsia="Segoe UI" w:cstheme="minorHAnsi"/>
          <w:color w:val="011A3C"/>
          <w:sz w:val="24"/>
          <w:szCs w:val="24"/>
          <w:lang w:val="en" w:eastAsia="en-AU"/>
        </w:rPr>
        <w:t>14,538</w:t>
      </w:r>
      <w:r w:rsidR="000F0C43"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made up of:</w:t>
      </w:r>
    </w:p>
    <w:p w14:paraId="53BC2EDB" w14:textId="719D2C3C" w:rsidR="005D5E2A" w:rsidRPr="0082534A" w:rsidRDefault="005D5E2A" w:rsidP="00F56244">
      <w:pPr>
        <w:pStyle w:val="ListParagraph"/>
        <w:numPr>
          <w:ilvl w:val="0"/>
          <w:numId w:val="79"/>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 xml:space="preserve">Credit: </w:t>
      </w:r>
      <w:r w:rsidR="002410D3">
        <w:rPr>
          <w:rFonts w:eastAsia="Segoe UI" w:cstheme="minorHAnsi"/>
          <w:color w:val="011A3C"/>
          <w:sz w:val="24"/>
          <w:szCs w:val="24"/>
          <w:lang w:val="en" w:eastAsia="en-AU"/>
        </w:rPr>
        <w:t>$</w:t>
      </w:r>
      <w:r w:rsidR="00044E50" w:rsidRPr="00044E50">
        <w:rPr>
          <w:rFonts w:eastAsia="Segoe UI" w:cstheme="minorHAnsi"/>
          <w:color w:val="011A3C"/>
          <w:sz w:val="24"/>
          <w:szCs w:val="24"/>
          <w:lang w:val="en" w:eastAsia="en-AU"/>
        </w:rPr>
        <w:t>13,694</w:t>
      </w:r>
      <w:r w:rsidR="00DB5075" w:rsidRPr="0082534A" w:rsidDel="00DB5075">
        <w:rPr>
          <w:rFonts w:eastAsia="Segoe UI" w:cstheme="minorHAnsi"/>
          <w:color w:val="011A3C"/>
          <w:sz w:val="24"/>
          <w:szCs w:val="24"/>
          <w:lang w:val="en" w:eastAsia="en-AU"/>
        </w:rPr>
        <w:t xml:space="preserve"> </w:t>
      </w:r>
      <w:bookmarkStart w:id="89" w:name="_Hlk144468257"/>
      <w:r w:rsidR="00FF451D">
        <w:rPr>
          <w:rFonts w:eastAsia="Segoe UI" w:cstheme="minorHAnsi"/>
          <w:color w:val="011A3C"/>
          <w:sz w:val="24"/>
          <w:szCs w:val="24"/>
          <w:lang w:val="en" w:eastAsia="en-AU"/>
        </w:rPr>
        <w:t>(refer</w:t>
      </w:r>
      <w:r w:rsidR="00285DE0">
        <w:rPr>
          <w:rFonts w:eastAsia="Segoe UI" w:cstheme="minorHAnsi"/>
          <w:color w:val="011A3C"/>
          <w:sz w:val="24"/>
          <w:szCs w:val="24"/>
          <w:lang w:val="en" w:eastAsia="en-AU"/>
        </w:rPr>
        <w:t xml:space="preserve">enced in your SRP </w:t>
      </w:r>
      <w:r w:rsidR="00CD7880">
        <w:rPr>
          <w:rFonts w:eastAsia="Segoe UI" w:cstheme="minorHAnsi"/>
          <w:color w:val="011A3C"/>
          <w:sz w:val="24"/>
          <w:szCs w:val="24"/>
          <w:lang w:val="en" w:eastAsia="en-AU"/>
        </w:rPr>
        <w:t xml:space="preserve">budget report </w:t>
      </w:r>
      <w:r w:rsidR="00DA3297">
        <w:rPr>
          <w:rFonts w:eastAsia="Segoe UI" w:cstheme="minorHAnsi"/>
          <w:color w:val="011A3C"/>
          <w:sz w:val="24"/>
          <w:szCs w:val="24"/>
          <w:lang w:val="en" w:eastAsia="en-AU"/>
        </w:rPr>
        <w:t>under</w:t>
      </w:r>
      <w:r w:rsidR="00CD7880">
        <w:rPr>
          <w:rFonts w:eastAsia="Segoe UI" w:cstheme="minorHAnsi"/>
          <w:color w:val="011A3C"/>
          <w:sz w:val="24"/>
          <w:szCs w:val="24"/>
          <w:lang w:val="en" w:eastAsia="en-AU"/>
        </w:rPr>
        <w:t xml:space="preserve"> </w:t>
      </w:r>
      <w:r w:rsidR="002B211F" w:rsidRPr="002B211F">
        <w:rPr>
          <w:rFonts w:eastAsia="Segoe UI" w:cstheme="minorHAnsi"/>
          <w:color w:val="011A3C"/>
          <w:sz w:val="24"/>
          <w:szCs w:val="24"/>
          <w:lang w:val="en" w:eastAsia="en-AU"/>
        </w:rPr>
        <w:t xml:space="preserve">Primary per Student </w:t>
      </w:r>
      <w:r w:rsidR="002B211F">
        <w:rPr>
          <w:rFonts w:eastAsia="Segoe UI" w:cstheme="minorHAnsi"/>
          <w:color w:val="011A3C"/>
          <w:sz w:val="24"/>
          <w:szCs w:val="24"/>
          <w:lang w:val="en" w:eastAsia="en-AU"/>
        </w:rPr>
        <w:t>No</w:t>
      </w:r>
      <w:r w:rsidR="00C55457">
        <w:rPr>
          <w:rFonts w:eastAsia="Segoe UI" w:cstheme="minorHAnsi"/>
          <w:color w:val="011A3C"/>
          <w:sz w:val="24"/>
          <w:szCs w:val="24"/>
          <w:lang w:val="en" w:eastAsia="en-AU"/>
        </w:rPr>
        <w:t xml:space="preserve">n-Standard </w:t>
      </w:r>
      <w:r w:rsidR="00B9271C">
        <w:rPr>
          <w:rFonts w:eastAsia="Segoe UI" w:cstheme="minorHAnsi"/>
          <w:color w:val="011A3C"/>
          <w:sz w:val="24"/>
          <w:szCs w:val="24"/>
          <w:lang w:val="en" w:eastAsia="en-AU"/>
        </w:rPr>
        <w:t xml:space="preserve">Setting </w:t>
      </w:r>
      <w:r w:rsidR="002B211F" w:rsidRPr="002B211F">
        <w:rPr>
          <w:rFonts w:eastAsia="Segoe UI" w:cstheme="minorHAnsi"/>
          <w:color w:val="011A3C"/>
          <w:sz w:val="24"/>
          <w:szCs w:val="24"/>
          <w:lang w:val="en" w:eastAsia="en-AU"/>
        </w:rPr>
        <w:t xml:space="preserve">(NS) </w:t>
      </w:r>
    </w:p>
    <w:bookmarkEnd w:id="89"/>
    <w:p w14:paraId="10F97280" w14:textId="35B6DFED" w:rsidR="00DA3297" w:rsidRPr="00DA3297" w:rsidRDefault="005D5E2A" w:rsidP="00833928">
      <w:pPr>
        <w:pStyle w:val="ListParagraph"/>
        <w:numPr>
          <w:ilvl w:val="0"/>
          <w:numId w:val="79"/>
        </w:numPr>
        <w:rPr>
          <w:rFonts w:eastAsia="Segoe UI" w:cstheme="minorHAnsi"/>
          <w:color w:val="011A3C"/>
          <w:sz w:val="24"/>
          <w:szCs w:val="24"/>
          <w:lang w:val="en" w:eastAsia="en-AU"/>
        </w:rPr>
      </w:pPr>
      <w:r w:rsidRPr="00DA3297">
        <w:rPr>
          <w:rFonts w:eastAsia="Segoe UI" w:cstheme="minorHAnsi"/>
          <w:color w:val="011A3C"/>
          <w:sz w:val="24"/>
          <w:szCs w:val="24"/>
          <w:lang w:val="en" w:eastAsia="en-AU"/>
        </w:rPr>
        <w:t xml:space="preserve">Cash: </w:t>
      </w:r>
      <w:r w:rsidR="002410D3" w:rsidRPr="00DA3297">
        <w:rPr>
          <w:rFonts w:eastAsia="Segoe UI" w:cstheme="minorHAnsi"/>
          <w:color w:val="011A3C"/>
          <w:sz w:val="24"/>
          <w:szCs w:val="24"/>
          <w:lang w:val="en" w:eastAsia="en-AU"/>
        </w:rPr>
        <w:t>$</w:t>
      </w:r>
      <w:r w:rsidR="001D3D8A" w:rsidRPr="001D3D8A">
        <w:t xml:space="preserve"> </w:t>
      </w:r>
      <w:r w:rsidR="001D3D8A" w:rsidRPr="001D3D8A">
        <w:rPr>
          <w:rFonts w:eastAsia="Segoe UI" w:cstheme="minorHAnsi"/>
          <w:color w:val="011A3C"/>
          <w:sz w:val="24"/>
          <w:szCs w:val="24"/>
          <w:lang w:val="en" w:eastAsia="en-AU"/>
        </w:rPr>
        <w:t>844</w:t>
      </w:r>
      <w:r w:rsidR="00DA3297" w:rsidRPr="00DA3297">
        <w:rPr>
          <w:rFonts w:eastAsia="Segoe UI" w:cstheme="minorHAnsi"/>
          <w:color w:val="011A3C"/>
          <w:sz w:val="24"/>
          <w:szCs w:val="24"/>
          <w:lang w:val="en" w:eastAsia="en-AU"/>
        </w:rPr>
        <w:t xml:space="preserve"> (referenced in your SRP budget report under Primary per Student Non-Standard Setting (NS) </w:t>
      </w:r>
    </w:p>
    <w:p w14:paraId="58EAA511" w14:textId="75725847" w:rsidR="00CB3102" w:rsidRPr="00833928" w:rsidRDefault="00CB3102" w:rsidP="00833928">
      <w:pPr>
        <w:spacing w:before="100" w:beforeAutospacing="1" w:after="0" w:line="240" w:lineRule="auto"/>
        <w:jc w:val="both"/>
        <w:rPr>
          <w:color w:val="011A3C"/>
          <w:sz w:val="24"/>
          <w:lang w:val="en"/>
        </w:rPr>
      </w:pPr>
      <w:bookmarkStart w:id="90" w:name="_Hlk144471230"/>
      <w:r w:rsidRPr="00833928">
        <w:rPr>
          <w:color w:val="011A3C"/>
          <w:sz w:val="24"/>
          <w:lang w:val="en"/>
        </w:rPr>
        <w:t>Calculation</w:t>
      </w:r>
    </w:p>
    <w:p w14:paraId="755E75B3" w14:textId="79D671F1" w:rsidR="005D5E2A" w:rsidRDefault="00CB3102" w:rsidP="009B4DE1">
      <w:pPr>
        <w:spacing w:after="0" w:line="240" w:lineRule="auto"/>
        <w:jc w:val="both"/>
        <w:rPr>
          <w:rFonts w:eastAsia="Segoe UI" w:cstheme="minorHAnsi"/>
          <w:color w:val="011A3C"/>
          <w:sz w:val="24"/>
          <w:szCs w:val="24"/>
          <w:lang w:val="en" w:eastAsia="en-AU"/>
        </w:rPr>
      </w:pPr>
      <w:r w:rsidRPr="00CB3102">
        <w:rPr>
          <w:rFonts w:eastAsia="Segoe UI" w:cstheme="minorHAnsi"/>
          <w:color w:val="011A3C"/>
          <w:sz w:val="24"/>
          <w:szCs w:val="24"/>
          <w:lang w:val="en" w:eastAsia="en-AU"/>
        </w:rPr>
        <w:t>For example, a</w:t>
      </w:r>
      <w:r>
        <w:rPr>
          <w:rFonts w:eastAsia="Segoe UI" w:cstheme="minorHAnsi"/>
          <w:color w:val="011A3C"/>
          <w:sz w:val="24"/>
          <w:szCs w:val="24"/>
          <w:lang w:val="en" w:eastAsia="en-AU"/>
        </w:rPr>
        <w:t>n</w:t>
      </w:r>
      <w:r w:rsidRPr="00CB3102">
        <w:rPr>
          <w:rFonts w:eastAsia="Segoe UI" w:cstheme="minorHAnsi"/>
          <w:color w:val="011A3C"/>
          <w:sz w:val="24"/>
          <w:szCs w:val="24"/>
          <w:lang w:val="en" w:eastAsia="en-AU"/>
        </w:rPr>
        <w:t xml:space="preserve"> </w:t>
      </w:r>
      <w:r>
        <w:rPr>
          <w:rFonts w:eastAsia="Segoe UI" w:cstheme="minorHAnsi"/>
          <w:color w:val="011A3C"/>
          <w:sz w:val="24"/>
          <w:szCs w:val="24"/>
          <w:lang w:val="en" w:eastAsia="en-AU"/>
        </w:rPr>
        <w:t>EL</w:t>
      </w:r>
      <w:r w:rsidR="00E225F9">
        <w:rPr>
          <w:rFonts w:eastAsia="Segoe UI" w:cstheme="minorHAnsi"/>
          <w:color w:val="011A3C"/>
          <w:sz w:val="24"/>
          <w:szCs w:val="24"/>
          <w:lang w:val="en" w:eastAsia="en-AU"/>
        </w:rPr>
        <w:t>S</w:t>
      </w:r>
      <w:r w:rsidR="006A4B57">
        <w:rPr>
          <w:rFonts w:eastAsia="Segoe UI" w:cstheme="minorHAnsi"/>
          <w:color w:val="011A3C"/>
          <w:sz w:val="24"/>
          <w:szCs w:val="24"/>
          <w:lang w:val="en" w:eastAsia="en-AU"/>
        </w:rPr>
        <w:t xml:space="preserve"> </w:t>
      </w:r>
      <w:r w:rsidRPr="00CB3102">
        <w:rPr>
          <w:rFonts w:eastAsia="Segoe UI" w:cstheme="minorHAnsi"/>
          <w:color w:val="011A3C"/>
          <w:sz w:val="24"/>
          <w:szCs w:val="24"/>
          <w:lang w:val="en" w:eastAsia="en-AU"/>
        </w:rPr>
        <w:t>with 2</w:t>
      </w:r>
      <w:r w:rsidR="007F33DA">
        <w:rPr>
          <w:rFonts w:eastAsia="Segoe UI" w:cstheme="minorHAnsi"/>
          <w:color w:val="011A3C"/>
          <w:sz w:val="24"/>
          <w:szCs w:val="24"/>
          <w:lang w:val="en" w:eastAsia="en-AU"/>
        </w:rPr>
        <w:t>6</w:t>
      </w:r>
      <w:r w:rsidRPr="00CB3102">
        <w:rPr>
          <w:rFonts w:eastAsia="Segoe UI" w:cstheme="minorHAnsi"/>
          <w:color w:val="011A3C"/>
          <w:sz w:val="24"/>
          <w:szCs w:val="24"/>
          <w:lang w:val="en" w:eastAsia="en-AU"/>
        </w:rPr>
        <w:t xml:space="preserve"> </w:t>
      </w:r>
      <w:r w:rsidR="00794E38">
        <w:rPr>
          <w:rFonts w:eastAsia="Segoe UI" w:cstheme="minorHAnsi"/>
          <w:color w:val="011A3C"/>
          <w:sz w:val="24"/>
          <w:szCs w:val="24"/>
          <w:lang w:val="en" w:eastAsia="en-AU"/>
        </w:rPr>
        <w:t xml:space="preserve">primary </w:t>
      </w:r>
      <w:r w:rsidRPr="00CB3102">
        <w:rPr>
          <w:rFonts w:eastAsia="Segoe UI" w:cstheme="minorHAnsi"/>
          <w:color w:val="011A3C"/>
          <w:sz w:val="24"/>
          <w:szCs w:val="24"/>
          <w:lang w:val="en" w:eastAsia="en-AU"/>
        </w:rPr>
        <w:t>enrolments</w:t>
      </w:r>
      <w:r w:rsidR="000207F8">
        <w:rPr>
          <w:rFonts w:eastAsia="Segoe UI" w:cstheme="minorHAnsi"/>
          <w:color w:val="011A3C"/>
          <w:sz w:val="24"/>
          <w:szCs w:val="24"/>
          <w:lang w:val="en" w:eastAsia="en-AU"/>
        </w:rPr>
        <w:t xml:space="preserve"> </w:t>
      </w:r>
      <w:r w:rsidR="0071755C">
        <w:rPr>
          <w:rFonts w:eastAsia="Segoe UI" w:cstheme="minorHAnsi"/>
          <w:color w:val="011A3C"/>
          <w:sz w:val="24"/>
          <w:szCs w:val="24"/>
          <w:lang w:val="en" w:eastAsia="en-AU"/>
        </w:rPr>
        <w:t>would receive</w:t>
      </w:r>
      <w:r w:rsidR="006671ED">
        <w:rPr>
          <w:rFonts w:eastAsia="Segoe UI" w:cstheme="minorHAnsi"/>
          <w:color w:val="011A3C"/>
          <w:sz w:val="24"/>
          <w:szCs w:val="24"/>
          <w:lang w:val="en" w:eastAsia="en-AU"/>
        </w:rPr>
        <w:t xml:space="preserve"> </w:t>
      </w:r>
      <w:r w:rsidR="000207F8">
        <w:rPr>
          <w:rFonts w:eastAsia="Segoe UI" w:cstheme="minorHAnsi"/>
          <w:color w:val="011A3C"/>
          <w:sz w:val="24"/>
          <w:szCs w:val="24"/>
          <w:lang w:val="en" w:eastAsia="en-AU"/>
        </w:rPr>
        <w:t>the foll</w:t>
      </w:r>
      <w:r w:rsidR="00391F6A">
        <w:rPr>
          <w:rFonts w:eastAsia="Segoe UI" w:cstheme="minorHAnsi"/>
          <w:color w:val="011A3C"/>
          <w:sz w:val="24"/>
          <w:szCs w:val="24"/>
          <w:lang w:val="en" w:eastAsia="en-AU"/>
        </w:rPr>
        <w:t>owing:</w:t>
      </w:r>
    </w:p>
    <w:p w14:paraId="4D5B0511" w14:textId="3FFE2F3B" w:rsidR="00391F6A" w:rsidRPr="009B4DE1" w:rsidRDefault="004F4992" w:rsidP="009B4DE1">
      <w:pPr>
        <w:spacing w:after="100" w:afterAutospacing="1" w:line="240" w:lineRule="auto"/>
        <w:jc w:val="both"/>
        <w:rPr>
          <w:rFonts w:eastAsia="Segoe UI" w:cstheme="minorHAnsi"/>
          <w:color w:val="011A3C"/>
          <w:sz w:val="24"/>
          <w:szCs w:val="24"/>
          <w:lang w:val="en" w:eastAsia="en-AU"/>
        </w:rPr>
      </w:pPr>
      <w:r>
        <w:rPr>
          <w:rFonts w:eastAsia="Segoe UI" w:cstheme="minorHAnsi"/>
          <w:color w:val="011A3C"/>
          <w:sz w:val="24"/>
          <w:szCs w:val="24"/>
          <w:lang w:val="en" w:eastAsia="en-AU"/>
        </w:rPr>
        <w:t>2</w:t>
      </w:r>
      <w:r w:rsidR="007F33DA">
        <w:rPr>
          <w:rFonts w:eastAsia="Segoe UI" w:cstheme="minorHAnsi"/>
          <w:color w:val="011A3C"/>
          <w:sz w:val="24"/>
          <w:szCs w:val="24"/>
          <w:lang w:val="en" w:eastAsia="en-AU"/>
        </w:rPr>
        <w:t>6</w:t>
      </w:r>
      <w:r>
        <w:rPr>
          <w:rFonts w:eastAsia="Segoe UI" w:cstheme="minorHAnsi"/>
          <w:color w:val="011A3C"/>
          <w:sz w:val="24"/>
          <w:szCs w:val="24"/>
          <w:lang w:val="en" w:eastAsia="en-AU"/>
        </w:rPr>
        <w:t xml:space="preserve"> primary </w:t>
      </w:r>
      <w:proofErr w:type="spellStart"/>
      <w:r>
        <w:rPr>
          <w:rFonts w:eastAsia="Segoe UI" w:cstheme="minorHAnsi"/>
          <w:color w:val="011A3C"/>
          <w:sz w:val="24"/>
          <w:szCs w:val="24"/>
          <w:lang w:val="en" w:eastAsia="en-AU"/>
        </w:rPr>
        <w:t>enrols</w:t>
      </w:r>
      <w:proofErr w:type="spellEnd"/>
      <w:r>
        <w:rPr>
          <w:rFonts w:eastAsia="Segoe UI" w:cstheme="minorHAnsi"/>
          <w:color w:val="011A3C"/>
          <w:sz w:val="24"/>
          <w:szCs w:val="24"/>
          <w:lang w:val="en" w:eastAsia="en-AU"/>
        </w:rPr>
        <w:t xml:space="preserve"> x $</w:t>
      </w:r>
      <w:r w:rsidR="00AF67BD">
        <w:rPr>
          <w:rFonts w:eastAsia="Segoe UI" w:cstheme="minorHAnsi"/>
          <w:color w:val="011A3C"/>
          <w:sz w:val="24"/>
          <w:szCs w:val="24"/>
          <w:lang w:val="en" w:eastAsia="en-AU"/>
        </w:rPr>
        <w:t xml:space="preserve">14,538 = </w:t>
      </w:r>
      <w:r w:rsidR="007F33DA">
        <w:rPr>
          <w:rFonts w:eastAsia="Segoe UI" w:cstheme="minorHAnsi"/>
          <w:color w:val="011A3C"/>
          <w:sz w:val="24"/>
          <w:szCs w:val="24"/>
          <w:lang w:val="en" w:eastAsia="en-AU"/>
        </w:rPr>
        <w:t>$377,988</w:t>
      </w:r>
    </w:p>
    <w:bookmarkEnd w:id="90"/>
    <w:p w14:paraId="43D654AE" w14:textId="43B950C1"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In an English language school, secondary target enrolments receive a total of </w:t>
      </w:r>
      <w:r w:rsidR="007C6B18" w:rsidRPr="00260C1D">
        <w:rPr>
          <w:rFonts w:eastAsia="Segoe UI" w:cstheme="minorHAnsi"/>
          <w:color w:val="011A3C"/>
          <w:sz w:val="24"/>
          <w:szCs w:val="24"/>
          <w:lang w:val="en" w:eastAsia="en-AU"/>
        </w:rPr>
        <w:t>$</w:t>
      </w:r>
      <w:r w:rsidR="00310014" w:rsidRPr="00310014">
        <w:t xml:space="preserve"> </w:t>
      </w:r>
      <w:r w:rsidR="00310014" w:rsidRPr="00310014">
        <w:rPr>
          <w:rFonts w:eastAsia="Segoe UI" w:cstheme="minorHAnsi"/>
          <w:color w:val="011A3C"/>
          <w:sz w:val="24"/>
          <w:szCs w:val="24"/>
          <w:lang w:val="en" w:eastAsia="en-AU"/>
        </w:rPr>
        <w:t>17,562</w:t>
      </w:r>
      <w:r w:rsidR="008008E8"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made up of:</w:t>
      </w:r>
    </w:p>
    <w:p w14:paraId="5DFAC753" w14:textId="375BC4CB" w:rsidR="005C59AD" w:rsidRPr="005C59AD" w:rsidRDefault="005D5E2A" w:rsidP="00833928">
      <w:pPr>
        <w:pStyle w:val="ListParagraph"/>
        <w:numPr>
          <w:ilvl w:val="0"/>
          <w:numId w:val="79"/>
        </w:numPr>
        <w:rPr>
          <w:rFonts w:eastAsia="Segoe UI" w:cstheme="minorHAnsi"/>
          <w:color w:val="011A3C"/>
          <w:sz w:val="24"/>
          <w:szCs w:val="24"/>
          <w:lang w:val="en" w:eastAsia="en-AU"/>
        </w:rPr>
      </w:pPr>
      <w:r w:rsidRPr="005C59AD">
        <w:rPr>
          <w:rFonts w:eastAsia="Segoe UI" w:cstheme="minorHAnsi"/>
          <w:color w:val="011A3C"/>
          <w:sz w:val="24"/>
          <w:szCs w:val="24"/>
          <w:lang w:val="en" w:eastAsia="en-AU"/>
        </w:rPr>
        <w:t xml:space="preserve">Credit: </w:t>
      </w:r>
      <w:r w:rsidR="00CC0694" w:rsidRPr="005C59AD">
        <w:rPr>
          <w:rFonts w:eastAsia="Segoe UI" w:cstheme="minorHAnsi"/>
          <w:color w:val="011A3C"/>
          <w:sz w:val="24"/>
          <w:szCs w:val="24"/>
          <w:lang w:val="en" w:eastAsia="en-AU"/>
        </w:rPr>
        <w:t>$</w:t>
      </w:r>
      <w:r w:rsidR="0054196A" w:rsidRPr="0054196A">
        <w:t xml:space="preserve"> </w:t>
      </w:r>
      <w:r w:rsidR="0054196A" w:rsidRPr="0054196A">
        <w:rPr>
          <w:rFonts w:eastAsia="Segoe UI" w:cstheme="minorHAnsi"/>
          <w:color w:val="011A3C"/>
          <w:sz w:val="24"/>
          <w:szCs w:val="24"/>
          <w:lang w:val="en" w:eastAsia="en-AU"/>
        </w:rPr>
        <w:t>16,690</w:t>
      </w:r>
      <w:r w:rsidR="009B40E4" w:rsidRPr="005C59AD" w:rsidDel="009B40E4">
        <w:rPr>
          <w:rFonts w:eastAsia="Segoe UI" w:cstheme="minorHAnsi"/>
          <w:color w:val="011A3C"/>
          <w:sz w:val="24"/>
          <w:szCs w:val="24"/>
          <w:lang w:val="en" w:eastAsia="en-AU"/>
        </w:rPr>
        <w:t xml:space="preserve"> </w:t>
      </w:r>
      <w:r w:rsidR="005C59AD" w:rsidRPr="005C59AD">
        <w:rPr>
          <w:rFonts w:eastAsia="Segoe UI" w:cstheme="minorHAnsi"/>
          <w:color w:val="011A3C"/>
          <w:sz w:val="24"/>
          <w:szCs w:val="24"/>
          <w:lang w:val="en" w:eastAsia="en-AU"/>
        </w:rPr>
        <w:t xml:space="preserve">(referenced in your SRP budget report under </w:t>
      </w:r>
      <w:r w:rsidR="0054196A">
        <w:rPr>
          <w:rFonts w:eastAsia="Segoe UI" w:cstheme="minorHAnsi"/>
          <w:color w:val="011A3C"/>
          <w:sz w:val="24"/>
          <w:szCs w:val="24"/>
          <w:lang w:val="en" w:eastAsia="en-AU"/>
        </w:rPr>
        <w:t>Secondary</w:t>
      </w:r>
      <w:r w:rsidR="005C59AD" w:rsidRPr="005C59AD">
        <w:rPr>
          <w:rFonts w:eastAsia="Segoe UI" w:cstheme="minorHAnsi"/>
          <w:color w:val="011A3C"/>
          <w:sz w:val="24"/>
          <w:szCs w:val="24"/>
          <w:lang w:val="en" w:eastAsia="en-AU"/>
        </w:rPr>
        <w:t xml:space="preserve"> per Student Non-Standard Setting (NS) </w:t>
      </w:r>
    </w:p>
    <w:p w14:paraId="73E226C3" w14:textId="59F3F47D" w:rsidR="005C59AD" w:rsidRPr="005C59AD" w:rsidRDefault="005D5E2A" w:rsidP="00833928">
      <w:pPr>
        <w:pStyle w:val="ListParagraph"/>
        <w:numPr>
          <w:ilvl w:val="0"/>
          <w:numId w:val="79"/>
        </w:numPr>
        <w:rPr>
          <w:rFonts w:eastAsia="Segoe UI" w:cstheme="minorHAnsi"/>
          <w:color w:val="011A3C"/>
          <w:sz w:val="24"/>
          <w:szCs w:val="24"/>
          <w:lang w:val="en" w:eastAsia="en-AU"/>
        </w:rPr>
      </w:pPr>
      <w:r w:rsidRPr="005C59AD">
        <w:rPr>
          <w:rFonts w:eastAsia="Segoe UI" w:cstheme="minorHAnsi"/>
          <w:color w:val="011A3C"/>
          <w:sz w:val="24"/>
          <w:szCs w:val="24"/>
          <w:lang w:val="en" w:eastAsia="en-AU"/>
        </w:rPr>
        <w:t xml:space="preserve">Cash: </w:t>
      </w:r>
      <w:r w:rsidR="00CC0694" w:rsidRPr="005C59AD">
        <w:rPr>
          <w:rFonts w:eastAsia="Segoe UI" w:cstheme="minorHAnsi"/>
          <w:color w:val="011A3C"/>
          <w:sz w:val="24"/>
          <w:szCs w:val="24"/>
          <w:lang w:val="en" w:eastAsia="en-AU"/>
        </w:rPr>
        <w:t>$</w:t>
      </w:r>
      <w:r w:rsidR="00673A5F" w:rsidRPr="00673A5F">
        <w:t xml:space="preserve"> </w:t>
      </w:r>
      <w:r w:rsidR="00673A5F" w:rsidRPr="00673A5F">
        <w:rPr>
          <w:rFonts w:eastAsia="Segoe UI" w:cstheme="minorHAnsi"/>
          <w:color w:val="011A3C"/>
          <w:sz w:val="24"/>
          <w:szCs w:val="24"/>
          <w:lang w:val="en" w:eastAsia="en-AU"/>
        </w:rPr>
        <w:t>872</w:t>
      </w:r>
      <w:r w:rsidR="005C59AD" w:rsidRPr="005C59AD">
        <w:rPr>
          <w:rFonts w:eastAsia="Segoe UI" w:cstheme="minorHAnsi"/>
          <w:color w:val="011A3C"/>
          <w:sz w:val="24"/>
          <w:szCs w:val="24"/>
          <w:lang w:val="en" w:eastAsia="en-AU"/>
        </w:rPr>
        <w:t xml:space="preserve"> (referenced in your SRP budget report under </w:t>
      </w:r>
      <w:r w:rsidR="0054196A">
        <w:rPr>
          <w:rFonts w:eastAsia="Segoe UI" w:cstheme="minorHAnsi"/>
          <w:color w:val="011A3C"/>
          <w:sz w:val="24"/>
          <w:szCs w:val="24"/>
          <w:lang w:val="en" w:eastAsia="en-AU"/>
        </w:rPr>
        <w:t>Secondary</w:t>
      </w:r>
      <w:r w:rsidR="005C59AD" w:rsidRPr="005C59AD">
        <w:rPr>
          <w:rFonts w:eastAsia="Segoe UI" w:cstheme="minorHAnsi"/>
          <w:color w:val="011A3C"/>
          <w:sz w:val="24"/>
          <w:szCs w:val="24"/>
          <w:lang w:val="en" w:eastAsia="en-AU"/>
        </w:rPr>
        <w:t xml:space="preserve"> per Student Non-Standard Setting (NS) </w:t>
      </w:r>
    </w:p>
    <w:p w14:paraId="3C471AF4" w14:textId="45F60A1D" w:rsidR="000A6EFD" w:rsidRDefault="000A6EFD" w:rsidP="005C59AD">
      <w:pPr>
        <w:pStyle w:val="ListParagraph"/>
        <w:spacing w:before="100" w:beforeAutospacing="1" w:after="100" w:afterAutospacing="1" w:line="240" w:lineRule="auto"/>
        <w:ind w:left="1080"/>
        <w:rPr>
          <w:rFonts w:eastAsia="Segoe UI" w:cstheme="minorHAnsi"/>
          <w:color w:val="011A3C"/>
          <w:sz w:val="24"/>
          <w:szCs w:val="24"/>
          <w:lang w:val="en" w:eastAsia="en-AU"/>
        </w:rPr>
      </w:pPr>
    </w:p>
    <w:p w14:paraId="6C2216EB" w14:textId="77777777" w:rsidR="000A2D32" w:rsidRPr="00833928" w:rsidRDefault="000A2D32" w:rsidP="00833928">
      <w:pPr>
        <w:spacing w:before="100" w:beforeAutospacing="1" w:after="0" w:line="240" w:lineRule="auto"/>
        <w:jc w:val="both"/>
        <w:rPr>
          <w:color w:val="011A3C"/>
          <w:sz w:val="24"/>
          <w:lang w:val="en"/>
        </w:rPr>
      </w:pPr>
      <w:bookmarkStart w:id="91" w:name="_Hlk144471546"/>
      <w:r w:rsidRPr="00833928">
        <w:rPr>
          <w:color w:val="011A3C"/>
          <w:sz w:val="24"/>
          <w:lang w:val="en"/>
        </w:rPr>
        <w:t>Calculation</w:t>
      </w:r>
    </w:p>
    <w:p w14:paraId="72D613A1" w14:textId="6509E60B" w:rsidR="000A2D32" w:rsidRDefault="000A2D32" w:rsidP="009B4DE1">
      <w:pPr>
        <w:spacing w:after="0" w:line="240" w:lineRule="auto"/>
        <w:jc w:val="both"/>
        <w:rPr>
          <w:rFonts w:eastAsia="Segoe UI" w:cstheme="minorHAnsi"/>
          <w:color w:val="011A3C"/>
          <w:sz w:val="24"/>
          <w:szCs w:val="24"/>
          <w:lang w:val="en" w:eastAsia="en-AU"/>
        </w:rPr>
      </w:pPr>
      <w:r w:rsidRPr="00CB3102">
        <w:rPr>
          <w:rFonts w:eastAsia="Segoe UI" w:cstheme="minorHAnsi"/>
          <w:color w:val="011A3C"/>
          <w:sz w:val="24"/>
          <w:szCs w:val="24"/>
          <w:lang w:val="en" w:eastAsia="en-AU"/>
        </w:rPr>
        <w:t>For example, a</w:t>
      </w:r>
      <w:r>
        <w:rPr>
          <w:rFonts w:eastAsia="Segoe UI" w:cstheme="minorHAnsi"/>
          <w:color w:val="011A3C"/>
          <w:sz w:val="24"/>
          <w:szCs w:val="24"/>
          <w:lang w:val="en" w:eastAsia="en-AU"/>
        </w:rPr>
        <w:t>n</w:t>
      </w:r>
      <w:r w:rsidRPr="00CB3102">
        <w:rPr>
          <w:rFonts w:eastAsia="Segoe UI" w:cstheme="minorHAnsi"/>
          <w:color w:val="011A3C"/>
          <w:sz w:val="24"/>
          <w:szCs w:val="24"/>
          <w:lang w:val="en" w:eastAsia="en-AU"/>
        </w:rPr>
        <w:t xml:space="preserve"> </w:t>
      </w:r>
      <w:r>
        <w:rPr>
          <w:rFonts w:eastAsia="Segoe UI" w:cstheme="minorHAnsi"/>
          <w:color w:val="011A3C"/>
          <w:sz w:val="24"/>
          <w:szCs w:val="24"/>
          <w:lang w:val="en" w:eastAsia="en-AU"/>
        </w:rPr>
        <w:t xml:space="preserve">ELS </w:t>
      </w:r>
      <w:r w:rsidRPr="00CB3102">
        <w:rPr>
          <w:rFonts w:eastAsia="Segoe UI" w:cstheme="minorHAnsi"/>
          <w:color w:val="011A3C"/>
          <w:sz w:val="24"/>
          <w:szCs w:val="24"/>
          <w:lang w:val="en" w:eastAsia="en-AU"/>
        </w:rPr>
        <w:t xml:space="preserve">with </w:t>
      </w:r>
      <w:r w:rsidR="00DC5078">
        <w:rPr>
          <w:rFonts w:eastAsia="Segoe UI" w:cstheme="minorHAnsi"/>
          <w:color w:val="011A3C"/>
          <w:sz w:val="24"/>
          <w:szCs w:val="24"/>
          <w:lang w:val="en" w:eastAsia="en-AU"/>
        </w:rPr>
        <w:t>5</w:t>
      </w:r>
      <w:r w:rsidR="00AF1643">
        <w:rPr>
          <w:rFonts w:eastAsia="Segoe UI" w:cstheme="minorHAnsi"/>
          <w:color w:val="011A3C"/>
          <w:sz w:val="24"/>
          <w:szCs w:val="24"/>
          <w:lang w:val="en" w:eastAsia="en-AU"/>
        </w:rPr>
        <w:t>2</w:t>
      </w:r>
      <w:r w:rsidRPr="00CB3102">
        <w:rPr>
          <w:rFonts w:eastAsia="Segoe UI" w:cstheme="minorHAnsi"/>
          <w:color w:val="011A3C"/>
          <w:sz w:val="24"/>
          <w:szCs w:val="24"/>
          <w:lang w:val="en" w:eastAsia="en-AU"/>
        </w:rPr>
        <w:t xml:space="preserve"> </w:t>
      </w:r>
      <w:r w:rsidR="00DC5078">
        <w:rPr>
          <w:rFonts w:eastAsia="Segoe UI" w:cstheme="minorHAnsi"/>
          <w:color w:val="011A3C"/>
          <w:sz w:val="24"/>
          <w:szCs w:val="24"/>
          <w:lang w:val="en" w:eastAsia="en-AU"/>
        </w:rPr>
        <w:t>second</w:t>
      </w:r>
      <w:r>
        <w:rPr>
          <w:rFonts w:eastAsia="Segoe UI" w:cstheme="minorHAnsi"/>
          <w:color w:val="011A3C"/>
          <w:sz w:val="24"/>
          <w:szCs w:val="24"/>
          <w:lang w:val="en" w:eastAsia="en-AU"/>
        </w:rPr>
        <w:t xml:space="preserve">ary </w:t>
      </w:r>
      <w:r w:rsidRPr="00CB3102">
        <w:rPr>
          <w:rFonts w:eastAsia="Segoe UI" w:cstheme="minorHAnsi"/>
          <w:color w:val="011A3C"/>
          <w:sz w:val="24"/>
          <w:szCs w:val="24"/>
          <w:lang w:val="en" w:eastAsia="en-AU"/>
        </w:rPr>
        <w:t>enrolments</w:t>
      </w:r>
      <w:r>
        <w:rPr>
          <w:rFonts w:eastAsia="Segoe UI" w:cstheme="minorHAnsi"/>
          <w:color w:val="011A3C"/>
          <w:sz w:val="24"/>
          <w:szCs w:val="24"/>
          <w:lang w:val="en" w:eastAsia="en-AU"/>
        </w:rPr>
        <w:t xml:space="preserve"> would receive the following:</w:t>
      </w:r>
    </w:p>
    <w:p w14:paraId="19BBF4D0" w14:textId="0F3FDB09" w:rsidR="000A2D32" w:rsidRPr="00CF14D0" w:rsidRDefault="00DC5078" w:rsidP="009B4DE1">
      <w:pPr>
        <w:spacing w:after="100" w:afterAutospacing="1" w:line="240" w:lineRule="auto"/>
        <w:jc w:val="both"/>
        <w:rPr>
          <w:rFonts w:eastAsia="Segoe UI" w:cstheme="minorHAnsi"/>
          <w:color w:val="011A3C"/>
          <w:sz w:val="24"/>
          <w:szCs w:val="24"/>
          <w:lang w:val="en" w:eastAsia="en-AU"/>
        </w:rPr>
      </w:pPr>
      <w:r>
        <w:rPr>
          <w:rFonts w:eastAsia="Segoe UI" w:cstheme="minorHAnsi"/>
          <w:color w:val="011A3C"/>
          <w:sz w:val="24"/>
          <w:szCs w:val="24"/>
          <w:lang w:val="en" w:eastAsia="en-AU"/>
        </w:rPr>
        <w:t>5</w:t>
      </w:r>
      <w:r w:rsidR="00AF1643">
        <w:rPr>
          <w:rFonts w:eastAsia="Segoe UI" w:cstheme="minorHAnsi"/>
          <w:color w:val="011A3C"/>
          <w:sz w:val="24"/>
          <w:szCs w:val="24"/>
          <w:lang w:val="en" w:eastAsia="en-AU"/>
        </w:rPr>
        <w:t>2</w:t>
      </w:r>
      <w:r w:rsidR="000A2D32">
        <w:rPr>
          <w:rFonts w:eastAsia="Segoe UI" w:cstheme="minorHAnsi"/>
          <w:color w:val="011A3C"/>
          <w:sz w:val="24"/>
          <w:szCs w:val="24"/>
          <w:lang w:val="en" w:eastAsia="en-AU"/>
        </w:rPr>
        <w:t xml:space="preserve"> </w:t>
      </w:r>
      <w:r w:rsidR="0064074C">
        <w:rPr>
          <w:rFonts w:eastAsia="Segoe UI" w:cstheme="minorHAnsi"/>
          <w:color w:val="011A3C"/>
          <w:sz w:val="24"/>
          <w:szCs w:val="24"/>
          <w:lang w:val="en" w:eastAsia="en-AU"/>
        </w:rPr>
        <w:t>secondary</w:t>
      </w:r>
      <w:r w:rsidR="000A2D32">
        <w:rPr>
          <w:rFonts w:eastAsia="Segoe UI" w:cstheme="minorHAnsi"/>
          <w:color w:val="011A3C"/>
          <w:sz w:val="24"/>
          <w:szCs w:val="24"/>
          <w:lang w:val="en" w:eastAsia="en-AU"/>
        </w:rPr>
        <w:t xml:space="preserve"> </w:t>
      </w:r>
      <w:proofErr w:type="spellStart"/>
      <w:r w:rsidR="000A2D32">
        <w:rPr>
          <w:rFonts w:eastAsia="Segoe UI" w:cstheme="minorHAnsi"/>
          <w:color w:val="011A3C"/>
          <w:sz w:val="24"/>
          <w:szCs w:val="24"/>
          <w:lang w:val="en" w:eastAsia="en-AU"/>
        </w:rPr>
        <w:t>enrols</w:t>
      </w:r>
      <w:proofErr w:type="spellEnd"/>
      <w:r w:rsidR="000A2D32">
        <w:rPr>
          <w:rFonts w:eastAsia="Segoe UI" w:cstheme="minorHAnsi"/>
          <w:color w:val="011A3C"/>
          <w:sz w:val="24"/>
          <w:szCs w:val="24"/>
          <w:lang w:val="en" w:eastAsia="en-AU"/>
        </w:rPr>
        <w:t xml:space="preserve"> x </w:t>
      </w:r>
      <w:r w:rsidR="00AF1643">
        <w:rPr>
          <w:rFonts w:eastAsia="Segoe UI" w:cstheme="minorHAnsi"/>
          <w:color w:val="011A3C"/>
          <w:sz w:val="24"/>
          <w:szCs w:val="24"/>
          <w:lang w:val="en" w:eastAsia="en-AU"/>
        </w:rPr>
        <w:t>$17,562</w:t>
      </w:r>
      <w:r w:rsidR="000A2D32">
        <w:rPr>
          <w:rFonts w:eastAsia="Segoe UI" w:cstheme="minorHAnsi"/>
          <w:color w:val="011A3C"/>
          <w:sz w:val="24"/>
          <w:szCs w:val="24"/>
          <w:lang w:val="en" w:eastAsia="en-AU"/>
        </w:rPr>
        <w:t xml:space="preserve"> = </w:t>
      </w:r>
      <w:r w:rsidR="00AF1643">
        <w:rPr>
          <w:rFonts w:eastAsia="Segoe UI" w:cstheme="minorHAnsi"/>
          <w:color w:val="011A3C"/>
          <w:sz w:val="24"/>
          <w:szCs w:val="24"/>
          <w:lang w:val="en" w:eastAsia="en-AU"/>
        </w:rPr>
        <w:t>$913,224</w:t>
      </w:r>
    </w:p>
    <w:bookmarkEnd w:id="91"/>
    <w:p w14:paraId="4DDC43DC" w14:textId="70027F66"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In an English language </w:t>
      </w:r>
      <w:proofErr w:type="spellStart"/>
      <w:r w:rsidRPr="00260C1D">
        <w:rPr>
          <w:rFonts w:eastAsia="Segoe UI" w:cstheme="minorHAnsi"/>
          <w:color w:val="011A3C"/>
          <w:sz w:val="24"/>
          <w:szCs w:val="24"/>
          <w:lang w:val="en" w:eastAsia="en-AU"/>
        </w:rPr>
        <w:t>centre</w:t>
      </w:r>
      <w:proofErr w:type="spellEnd"/>
      <w:r w:rsidRPr="00260C1D">
        <w:rPr>
          <w:rFonts w:eastAsia="Segoe UI" w:cstheme="minorHAnsi"/>
          <w:color w:val="011A3C"/>
          <w:sz w:val="24"/>
          <w:szCs w:val="24"/>
          <w:lang w:val="en" w:eastAsia="en-AU"/>
        </w:rPr>
        <w:t xml:space="preserve">, primary target enrolments receive a total of </w:t>
      </w:r>
      <w:r w:rsidR="007C6B18" w:rsidRPr="00260C1D">
        <w:rPr>
          <w:rFonts w:eastAsia="Segoe UI" w:cstheme="minorHAnsi"/>
          <w:color w:val="011A3C"/>
          <w:sz w:val="24"/>
          <w:szCs w:val="24"/>
          <w:lang w:val="en" w:eastAsia="en-AU"/>
        </w:rPr>
        <w:t>$</w:t>
      </w:r>
      <w:r w:rsidR="00022C4D" w:rsidRPr="00022C4D">
        <w:t xml:space="preserve"> </w:t>
      </w:r>
      <w:r w:rsidR="00022C4D" w:rsidRPr="00022C4D">
        <w:rPr>
          <w:rFonts w:eastAsia="Segoe UI" w:cstheme="minorHAnsi"/>
          <w:color w:val="011A3C"/>
          <w:sz w:val="24"/>
          <w:szCs w:val="24"/>
          <w:lang w:val="en" w:eastAsia="en-AU"/>
        </w:rPr>
        <w:t>15,172</w:t>
      </w:r>
      <w:r w:rsidR="00160893">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made up of:</w:t>
      </w:r>
    </w:p>
    <w:p w14:paraId="431192F0" w14:textId="77777777" w:rsidR="009B47B0" w:rsidRPr="0082534A" w:rsidRDefault="005D5E2A" w:rsidP="009B47B0">
      <w:pPr>
        <w:pStyle w:val="ListParagraph"/>
        <w:numPr>
          <w:ilvl w:val="0"/>
          <w:numId w:val="79"/>
        </w:numPr>
        <w:spacing w:before="100" w:beforeAutospacing="1" w:after="100" w:afterAutospacing="1" w:line="240" w:lineRule="auto"/>
        <w:rPr>
          <w:rFonts w:eastAsia="Segoe UI" w:cstheme="minorHAnsi"/>
          <w:color w:val="011A3C"/>
          <w:sz w:val="24"/>
          <w:szCs w:val="24"/>
          <w:lang w:val="en" w:eastAsia="en-AU"/>
        </w:rPr>
      </w:pPr>
      <w:r w:rsidRPr="00B54B36">
        <w:rPr>
          <w:rFonts w:eastAsia="Segoe UI" w:cstheme="minorHAnsi"/>
          <w:color w:val="011A3C"/>
          <w:sz w:val="24"/>
          <w:szCs w:val="24"/>
          <w:lang w:val="en" w:eastAsia="en-AU"/>
        </w:rPr>
        <w:t xml:space="preserve">Credit: </w:t>
      </w:r>
      <w:r w:rsidR="00160893" w:rsidRPr="00B54B36">
        <w:rPr>
          <w:rFonts w:eastAsia="Segoe UI" w:cstheme="minorHAnsi"/>
          <w:color w:val="011A3C"/>
          <w:sz w:val="24"/>
          <w:szCs w:val="24"/>
          <w:lang w:val="en" w:eastAsia="en-AU"/>
        </w:rPr>
        <w:t>$</w:t>
      </w:r>
      <w:r w:rsidR="00B54B36" w:rsidRPr="00B54B36">
        <w:t xml:space="preserve"> </w:t>
      </w:r>
      <w:r w:rsidR="00B54B36" w:rsidRPr="00B54B36">
        <w:rPr>
          <w:rFonts w:eastAsia="Segoe UI" w:cstheme="minorHAnsi"/>
          <w:color w:val="011A3C"/>
          <w:sz w:val="24"/>
          <w:szCs w:val="24"/>
          <w:lang w:val="en" w:eastAsia="en-AU"/>
        </w:rPr>
        <w:t>14,407</w:t>
      </w:r>
      <w:r w:rsidR="009B47B0">
        <w:rPr>
          <w:rFonts w:eastAsia="Segoe UI" w:cstheme="minorHAnsi"/>
          <w:color w:val="011A3C"/>
          <w:sz w:val="24"/>
          <w:szCs w:val="24"/>
          <w:lang w:val="en" w:eastAsia="en-AU"/>
        </w:rPr>
        <w:t xml:space="preserve"> (referenced in your SRP budget report under </w:t>
      </w:r>
      <w:r w:rsidR="009B47B0" w:rsidRPr="002B211F">
        <w:rPr>
          <w:rFonts w:eastAsia="Segoe UI" w:cstheme="minorHAnsi"/>
          <w:color w:val="011A3C"/>
          <w:sz w:val="24"/>
          <w:szCs w:val="24"/>
          <w:lang w:val="en" w:eastAsia="en-AU"/>
        </w:rPr>
        <w:t xml:space="preserve">Primary per Student </w:t>
      </w:r>
      <w:r w:rsidR="009B47B0">
        <w:rPr>
          <w:rFonts w:eastAsia="Segoe UI" w:cstheme="minorHAnsi"/>
          <w:color w:val="011A3C"/>
          <w:sz w:val="24"/>
          <w:szCs w:val="24"/>
          <w:lang w:val="en" w:eastAsia="en-AU"/>
        </w:rPr>
        <w:t xml:space="preserve">Non-Standard Setting </w:t>
      </w:r>
      <w:r w:rsidR="009B47B0" w:rsidRPr="002B211F">
        <w:rPr>
          <w:rFonts w:eastAsia="Segoe UI" w:cstheme="minorHAnsi"/>
          <w:color w:val="011A3C"/>
          <w:sz w:val="24"/>
          <w:szCs w:val="24"/>
          <w:lang w:val="en" w:eastAsia="en-AU"/>
        </w:rPr>
        <w:t xml:space="preserve">(NS) </w:t>
      </w:r>
    </w:p>
    <w:p w14:paraId="35AAF333" w14:textId="77777777" w:rsidR="009B47B0" w:rsidRPr="0082534A" w:rsidRDefault="005D5E2A" w:rsidP="009B47B0">
      <w:pPr>
        <w:pStyle w:val="ListParagraph"/>
        <w:numPr>
          <w:ilvl w:val="0"/>
          <w:numId w:val="79"/>
        </w:numPr>
        <w:spacing w:before="100" w:beforeAutospacing="1" w:after="100" w:afterAutospacing="1" w:line="240" w:lineRule="auto"/>
        <w:rPr>
          <w:rFonts w:eastAsia="Segoe UI" w:cstheme="minorHAnsi"/>
          <w:color w:val="011A3C"/>
          <w:sz w:val="24"/>
          <w:szCs w:val="24"/>
          <w:lang w:val="en" w:eastAsia="en-AU"/>
        </w:rPr>
      </w:pPr>
      <w:r w:rsidRPr="00B54B36">
        <w:rPr>
          <w:rFonts w:eastAsia="Segoe UI" w:cstheme="minorHAnsi"/>
          <w:color w:val="011A3C"/>
          <w:sz w:val="24"/>
          <w:szCs w:val="24"/>
          <w:lang w:val="en" w:eastAsia="en-AU"/>
        </w:rPr>
        <w:t xml:space="preserve">Cash: </w:t>
      </w:r>
      <w:r w:rsidR="00160893" w:rsidRPr="00B54B36">
        <w:rPr>
          <w:rFonts w:eastAsia="Segoe UI" w:cstheme="minorHAnsi"/>
          <w:color w:val="011A3C"/>
          <w:sz w:val="24"/>
          <w:szCs w:val="24"/>
          <w:lang w:val="en" w:eastAsia="en-AU"/>
        </w:rPr>
        <w:t>$</w:t>
      </w:r>
      <w:r w:rsidR="00736581" w:rsidRPr="00736581">
        <w:t xml:space="preserve"> </w:t>
      </w:r>
      <w:r w:rsidR="00736581" w:rsidRPr="00736581">
        <w:rPr>
          <w:rFonts w:eastAsia="Segoe UI" w:cstheme="minorHAnsi"/>
          <w:color w:val="011A3C"/>
          <w:sz w:val="24"/>
          <w:szCs w:val="24"/>
          <w:lang w:val="en" w:eastAsia="en-AU"/>
        </w:rPr>
        <w:t>765</w:t>
      </w:r>
      <w:r w:rsidR="009B47B0">
        <w:rPr>
          <w:rFonts w:eastAsia="Segoe UI" w:cstheme="minorHAnsi"/>
          <w:color w:val="011A3C"/>
          <w:sz w:val="24"/>
          <w:szCs w:val="24"/>
          <w:lang w:val="en" w:eastAsia="en-AU"/>
        </w:rPr>
        <w:t xml:space="preserve"> (referenced in your SRP budget report under </w:t>
      </w:r>
      <w:r w:rsidR="009B47B0" w:rsidRPr="002B211F">
        <w:rPr>
          <w:rFonts w:eastAsia="Segoe UI" w:cstheme="minorHAnsi"/>
          <w:color w:val="011A3C"/>
          <w:sz w:val="24"/>
          <w:szCs w:val="24"/>
          <w:lang w:val="en" w:eastAsia="en-AU"/>
        </w:rPr>
        <w:t xml:space="preserve">Primary per Student </w:t>
      </w:r>
      <w:r w:rsidR="009B47B0">
        <w:rPr>
          <w:rFonts w:eastAsia="Segoe UI" w:cstheme="minorHAnsi"/>
          <w:color w:val="011A3C"/>
          <w:sz w:val="24"/>
          <w:szCs w:val="24"/>
          <w:lang w:val="en" w:eastAsia="en-AU"/>
        </w:rPr>
        <w:t xml:space="preserve">Non-Standard Setting </w:t>
      </w:r>
      <w:r w:rsidR="009B47B0" w:rsidRPr="002B211F">
        <w:rPr>
          <w:rFonts w:eastAsia="Segoe UI" w:cstheme="minorHAnsi"/>
          <w:color w:val="011A3C"/>
          <w:sz w:val="24"/>
          <w:szCs w:val="24"/>
          <w:lang w:val="en" w:eastAsia="en-AU"/>
        </w:rPr>
        <w:t xml:space="preserve">(NS) </w:t>
      </w:r>
    </w:p>
    <w:p w14:paraId="604CA94C" w14:textId="77777777" w:rsidR="00DA61D3" w:rsidRDefault="00DA61D3" w:rsidP="009B4DE1">
      <w:pPr>
        <w:spacing w:after="0" w:line="240" w:lineRule="auto"/>
        <w:rPr>
          <w:rFonts w:eastAsia="Segoe UI" w:cstheme="minorHAnsi"/>
          <w:color w:val="011A3C"/>
          <w:sz w:val="24"/>
          <w:szCs w:val="24"/>
          <w:lang w:val="en" w:eastAsia="en-AU"/>
        </w:rPr>
      </w:pPr>
    </w:p>
    <w:p w14:paraId="69166B05" w14:textId="58C38831" w:rsidR="00736581" w:rsidRPr="00736581" w:rsidRDefault="00736581" w:rsidP="009B4DE1">
      <w:pPr>
        <w:spacing w:after="0" w:line="240" w:lineRule="auto"/>
        <w:rPr>
          <w:rFonts w:eastAsia="Segoe UI" w:cstheme="minorHAnsi"/>
          <w:color w:val="011A3C"/>
          <w:sz w:val="24"/>
          <w:szCs w:val="24"/>
          <w:lang w:val="en" w:eastAsia="en-AU"/>
        </w:rPr>
      </w:pPr>
      <w:r w:rsidRPr="00736581">
        <w:rPr>
          <w:rFonts w:eastAsia="Segoe UI" w:cstheme="minorHAnsi"/>
          <w:color w:val="011A3C"/>
          <w:sz w:val="24"/>
          <w:szCs w:val="24"/>
          <w:lang w:val="en" w:eastAsia="en-AU"/>
        </w:rPr>
        <w:t>C</w:t>
      </w:r>
      <w:bookmarkStart w:id="92" w:name="_Hlk144471637"/>
      <w:r w:rsidRPr="00736581">
        <w:rPr>
          <w:rFonts w:eastAsia="Segoe UI" w:cstheme="minorHAnsi"/>
          <w:color w:val="011A3C"/>
          <w:sz w:val="24"/>
          <w:szCs w:val="24"/>
          <w:lang w:val="en" w:eastAsia="en-AU"/>
        </w:rPr>
        <w:t>alculation</w:t>
      </w:r>
    </w:p>
    <w:p w14:paraId="1C14A0E5" w14:textId="5C720455" w:rsidR="00736581" w:rsidRPr="00736581" w:rsidRDefault="00736581" w:rsidP="009B4DE1">
      <w:pPr>
        <w:spacing w:after="0" w:line="240" w:lineRule="auto"/>
        <w:rPr>
          <w:rFonts w:eastAsia="Segoe UI" w:cstheme="minorHAnsi"/>
          <w:color w:val="011A3C"/>
          <w:sz w:val="24"/>
          <w:szCs w:val="24"/>
          <w:lang w:val="en" w:eastAsia="en-AU"/>
        </w:rPr>
      </w:pPr>
      <w:r w:rsidRPr="00736581">
        <w:rPr>
          <w:rFonts w:eastAsia="Segoe UI" w:cstheme="minorHAnsi"/>
          <w:color w:val="011A3C"/>
          <w:sz w:val="24"/>
          <w:szCs w:val="24"/>
          <w:lang w:val="en" w:eastAsia="en-AU"/>
        </w:rPr>
        <w:t>For example, an EL</w:t>
      </w:r>
      <w:r>
        <w:rPr>
          <w:rFonts w:eastAsia="Segoe UI" w:cstheme="minorHAnsi"/>
          <w:color w:val="011A3C"/>
          <w:sz w:val="24"/>
          <w:szCs w:val="24"/>
          <w:lang w:val="en" w:eastAsia="en-AU"/>
        </w:rPr>
        <w:t>C</w:t>
      </w:r>
      <w:r w:rsidRPr="00736581">
        <w:rPr>
          <w:rFonts w:eastAsia="Segoe UI" w:cstheme="minorHAnsi"/>
          <w:color w:val="011A3C"/>
          <w:sz w:val="24"/>
          <w:szCs w:val="24"/>
          <w:lang w:val="en" w:eastAsia="en-AU"/>
        </w:rPr>
        <w:t xml:space="preserve"> with </w:t>
      </w:r>
      <w:r w:rsidR="00FA1C92">
        <w:rPr>
          <w:rFonts w:eastAsia="Segoe UI" w:cstheme="minorHAnsi"/>
          <w:color w:val="011A3C"/>
          <w:sz w:val="24"/>
          <w:szCs w:val="24"/>
          <w:lang w:val="en" w:eastAsia="en-AU"/>
        </w:rPr>
        <w:t>26</w:t>
      </w:r>
      <w:r w:rsidRPr="00736581">
        <w:rPr>
          <w:rFonts w:eastAsia="Segoe UI" w:cstheme="minorHAnsi"/>
          <w:color w:val="011A3C"/>
          <w:sz w:val="24"/>
          <w:szCs w:val="24"/>
          <w:lang w:val="en" w:eastAsia="en-AU"/>
        </w:rPr>
        <w:t xml:space="preserve"> </w:t>
      </w:r>
      <w:r w:rsidR="00FA1C92">
        <w:rPr>
          <w:rFonts w:eastAsia="Segoe UI" w:cstheme="minorHAnsi"/>
          <w:color w:val="011A3C"/>
          <w:sz w:val="24"/>
          <w:szCs w:val="24"/>
          <w:lang w:val="en" w:eastAsia="en-AU"/>
        </w:rPr>
        <w:t>primary</w:t>
      </w:r>
      <w:r w:rsidRPr="00736581">
        <w:rPr>
          <w:rFonts w:eastAsia="Segoe UI" w:cstheme="minorHAnsi"/>
          <w:color w:val="011A3C"/>
          <w:sz w:val="24"/>
          <w:szCs w:val="24"/>
          <w:lang w:val="en" w:eastAsia="en-AU"/>
        </w:rPr>
        <w:t xml:space="preserve"> enrolments would receive the following:</w:t>
      </w:r>
    </w:p>
    <w:p w14:paraId="21F36DFD" w14:textId="47B688A4" w:rsidR="00736581" w:rsidRPr="009B4DE1" w:rsidRDefault="00FA1C92" w:rsidP="009B4DE1">
      <w:pPr>
        <w:spacing w:after="0"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26</w:t>
      </w:r>
      <w:r w:rsidR="00736581" w:rsidRPr="00736581">
        <w:rPr>
          <w:rFonts w:eastAsia="Segoe UI" w:cstheme="minorHAnsi"/>
          <w:color w:val="011A3C"/>
          <w:sz w:val="24"/>
          <w:szCs w:val="24"/>
          <w:lang w:val="en" w:eastAsia="en-AU"/>
        </w:rPr>
        <w:t xml:space="preserve"> primary </w:t>
      </w:r>
      <w:proofErr w:type="spellStart"/>
      <w:r w:rsidR="00736581" w:rsidRPr="00736581">
        <w:rPr>
          <w:rFonts w:eastAsia="Segoe UI" w:cstheme="minorHAnsi"/>
          <w:color w:val="011A3C"/>
          <w:sz w:val="24"/>
          <w:szCs w:val="24"/>
          <w:lang w:val="en" w:eastAsia="en-AU"/>
        </w:rPr>
        <w:t>enrols</w:t>
      </w:r>
      <w:proofErr w:type="spellEnd"/>
      <w:r w:rsidR="00736581" w:rsidRPr="00736581">
        <w:rPr>
          <w:rFonts w:eastAsia="Segoe UI" w:cstheme="minorHAnsi"/>
          <w:color w:val="011A3C"/>
          <w:sz w:val="24"/>
          <w:szCs w:val="24"/>
          <w:lang w:val="en" w:eastAsia="en-AU"/>
        </w:rPr>
        <w:t xml:space="preserve"> x $1</w:t>
      </w:r>
      <w:r w:rsidR="00762CA5">
        <w:rPr>
          <w:rFonts w:eastAsia="Segoe UI" w:cstheme="minorHAnsi"/>
          <w:color w:val="011A3C"/>
          <w:sz w:val="24"/>
          <w:szCs w:val="24"/>
          <w:lang w:val="en" w:eastAsia="en-AU"/>
        </w:rPr>
        <w:t>5</w:t>
      </w:r>
      <w:r w:rsidR="00736581" w:rsidRPr="00736581">
        <w:rPr>
          <w:rFonts w:eastAsia="Segoe UI" w:cstheme="minorHAnsi"/>
          <w:color w:val="011A3C"/>
          <w:sz w:val="24"/>
          <w:szCs w:val="24"/>
          <w:lang w:val="en" w:eastAsia="en-AU"/>
        </w:rPr>
        <w:t>,</w:t>
      </w:r>
      <w:r w:rsidR="00762CA5">
        <w:rPr>
          <w:rFonts w:eastAsia="Segoe UI" w:cstheme="minorHAnsi"/>
          <w:color w:val="011A3C"/>
          <w:sz w:val="24"/>
          <w:szCs w:val="24"/>
          <w:lang w:val="en" w:eastAsia="en-AU"/>
        </w:rPr>
        <w:t>172</w:t>
      </w:r>
      <w:r w:rsidR="00736581" w:rsidRPr="00736581">
        <w:rPr>
          <w:rFonts w:eastAsia="Segoe UI" w:cstheme="minorHAnsi"/>
          <w:color w:val="011A3C"/>
          <w:sz w:val="24"/>
          <w:szCs w:val="24"/>
          <w:lang w:val="en" w:eastAsia="en-AU"/>
        </w:rPr>
        <w:t xml:space="preserve"> = $</w:t>
      </w:r>
      <w:r w:rsidR="005229DA">
        <w:rPr>
          <w:rFonts w:eastAsia="Segoe UI" w:cstheme="minorHAnsi"/>
          <w:color w:val="011A3C"/>
          <w:sz w:val="24"/>
          <w:szCs w:val="24"/>
          <w:lang w:val="en" w:eastAsia="en-AU"/>
        </w:rPr>
        <w:t>394</w:t>
      </w:r>
      <w:r w:rsidR="00736581" w:rsidRPr="00736581">
        <w:rPr>
          <w:rFonts w:eastAsia="Segoe UI" w:cstheme="minorHAnsi"/>
          <w:color w:val="011A3C"/>
          <w:sz w:val="24"/>
          <w:szCs w:val="24"/>
          <w:lang w:val="en" w:eastAsia="en-AU"/>
        </w:rPr>
        <w:t>,</w:t>
      </w:r>
      <w:r w:rsidR="005229DA">
        <w:rPr>
          <w:rFonts w:eastAsia="Segoe UI" w:cstheme="minorHAnsi"/>
          <w:color w:val="011A3C"/>
          <w:sz w:val="24"/>
          <w:szCs w:val="24"/>
          <w:lang w:val="en" w:eastAsia="en-AU"/>
        </w:rPr>
        <w:t>472</w:t>
      </w:r>
    </w:p>
    <w:bookmarkEnd w:id="92"/>
    <w:p w14:paraId="61BAF5D7" w14:textId="711CFB13"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In an English language </w:t>
      </w:r>
      <w:proofErr w:type="spellStart"/>
      <w:r w:rsidRPr="00260C1D">
        <w:rPr>
          <w:rFonts w:eastAsia="Segoe UI" w:cstheme="minorHAnsi"/>
          <w:color w:val="011A3C"/>
          <w:sz w:val="24"/>
          <w:szCs w:val="24"/>
          <w:lang w:val="en" w:eastAsia="en-AU"/>
        </w:rPr>
        <w:t>centre</w:t>
      </w:r>
      <w:proofErr w:type="spellEnd"/>
      <w:r w:rsidRPr="00260C1D">
        <w:rPr>
          <w:rFonts w:eastAsia="Segoe UI" w:cstheme="minorHAnsi"/>
          <w:color w:val="011A3C"/>
          <w:sz w:val="24"/>
          <w:szCs w:val="24"/>
          <w:lang w:val="en" w:eastAsia="en-AU"/>
        </w:rPr>
        <w:t xml:space="preserve">, secondary target enrolments receive a total of </w:t>
      </w:r>
      <w:r w:rsidR="0005396A" w:rsidRPr="00260C1D">
        <w:rPr>
          <w:rFonts w:eastAsia="Segoe UI" w:cstheme="minorHAnsi"/>
          <w:color w:val="011A3C"/>
          <w:sz w:val="24"/>
          <w:szCs w:val="24"/>
          <w:lang w:val="en" w:eastAsia="en-AU"/>
        </w:rPr>
        <w:t>$</w:t>
      </w:r>
      <w:r w:rsidR="001E3275" w:rsidRPr="001E3275">
        <w:rPr>
          <w:rFonts w:eastAsia="Segoe UI" w:cstheme="minorHAnsi"/>
          <w:color w:val="011A3C"/>
          <w:sz w:val="24"/>
          <w:szCs w:val="24"/>
          <w:lang w:val="en" w:eastAsia="en-AU"/>
        </w:rPr>
        <w:t>18,409</w:t>
      </w:r>
      <w:r w:rsidR="00D73D76"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made up of:</w:t>
      </w:r>
    </w:p>
    <w:p w14:paraId="53F46132" w14:textId="77777777" w:rsidR="009B47B0" w:rsidRPr="005C59AD" w:rsidRDefault="005D5E2A" w:rsidP="009B47B0">
      <w:pPr>
        <w:pStyle w:val="ListParagraph"/>
        <w:numPr>
          <w:ilvl w:val="0"/>
          <w:numId w:val="79"/>
        </w:numPr>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Credit: </w:t>
      </w:r>
      <w:r w:rsidR="00036647">
        <w:rPr>
          <w:rFonts w:eastAsia="Segoe UI" w:cstheme="minorHAnsi"/>
          <w:color w:val="011A3C"/>
          <w:sz w:val="24"/>
          <w:szCs w:val="24"/>
          <w:lang w:val="en" w:eastAsia="en-AU"/>
        </w:rPr>
        <w:t>$</w:t>
      </w:r>
      <w:r w:rsidR="00681666" w:rsidRPr="00681666">
        <w:t xml:space="preserve"> </w:t>
      </w:r>
      <w:r w:rsidR="00681666" w:rsidRPr="00681666">
        <w:rPr>
          <w:rFonts w:eastAsia="Segoe UI" w:cstheme="minorHAnsi"/>
          <w:color w:val="011A3C"/>
          <w:sz w:val="24"/>
          <w:szCs w:val="24"/>
          <w:lang w:val="en" w:eastAsia="en-AU"/>
        </w:rPr>
        <w:t>17,543</w:t>
      </w:r>
      <w:r w:rsidR="009B47B0">
        <w:rPr>
          <w:rFonts w:eastAsia="Segoe UI" w:cstheme="minorHAnsi"/>
          <w:color w:val="011A3C"/>
          <w:sz w:val="24"/>
          <w:szCs w:val="24"/>
          <w:lang w:val="en" w:eastAsia="en-AU"/>
        </w:rPr>
        <w:t xml:space="preserve"> </w:t>
      </w:r>
      <w:r w:rsidR="009B47B0" w:rsidRPr="005C59AD">
        <w:rPr>
          <w:rFonts w:eastAsia="Segoe UI" w:cstheme="minorHAnsi"/>
          <w:color w:val="011A3C"/>
          <w:sz w:val="24"/>
          <w:szCs w:val="24"/>
          <w:lang w:val="en" w:eastAsia="en-AU"/>
        </w:rPr>
        <w:t xml:space="preserve">(referenced in your SRP budget report under </w:t>
      </w:r>
      <w:r w:rsidR="009B47B0">
        <w:rPr>
          <w:rFonts w:eastAsia="Segoe UI" w:cstheme="minorHAnsi"/>
          <w:color w:val="011A3C"/>
          <w:sz w:val="24"/>
          <w:szCs w:val="24"/>
          <w:lang w:val="en" w:eastAsia="en-AU"/>
        </w:rPr>
        <w:t>Secondary</w:t>
      </w:r>
      <w:r w:rsidR="009B47B0" w:rsidRPr="005C59AD">
        <w:rPr>
          <w:rFonts w:eastAsia="Segoe UI" w:cstheme="minorHAnsi"/>
          <w:color w:val="011A3C"/>
          <w:sz w:val="24"/>
          <w:szCs w:val="24"/>
          <w:lang w:val="en" w:eastAsia="en-AU"/>
        </w:rPr>
        <w:t xml:space="preserve"> per Student Non-Standard Setting (NS) </w:t>
      </w:r>
    </w:p>
    <w:p w14:paraId="39A7953E" w14:textId="66FA99FC" w:rsidR="005D5E2A" w:rsidRPr="00833928" w:rsidRDefault="005D5E2A" w:rsidP="00833928">
      <w:pPr>
        <w:pStyle w:val="ListParagraph"/>
        <w:numPr>
          <w:ilvl w:val="0"/>
          <w:numId w:val="79"/>
        </w:numPr>
        <w:rPr>
          <w:rFonts w:eastAsia="Segoe UI" w:cstheme="minorHAnsi"/>
          <w:color w:val="011A3C"/>
          <w:sz w:val="24"/>
          <w:szCs w:val="24"/>
          <w:lang w:val="en" w:eastAsia="en-AU"/>
        </w:rPr>
      </w:pPr>
      <w:r w:rsidRPr="009B47B0">
        <w:rPr>
          <w:rFonts w:eastAsia="Segoe UI" w:cstheme="minorHAnsi"/>
          <w:color w:val="011A3C"/>
          <w:sz w:val="24"/>
          <w:szCs w:val="24"/>
          <w:lang w:val="en" w:eastAsia="en-AU"/>
        </w:rPr>
        <w:t xml:space="preserve">Cash: </w:t>
      </w:r>
      <w:r w:rsidR="00036647" w:rsidRPr="009B47B0">
        <w:rPr>
          <w:rFonts w:eastAsia="Segoe UI" w:cstheme="minorHAnsi"/>
          <w:color w:val="011A3C"/>
          <w:sz w:val="24"/>
          <w:szCs w:val="24"/>
          <w:lang w:val="en" w:eastAsia="en-AU"/>
        </w:rPr>
        <w:t>$</w:t>
      </w:r>
      <w:r w:rsidR="00CE6192" w:rsidRPr="009B47B0">
        <w:rPr>
          <w:rFonts w:eastAsia="Segoe UI" w:cstheme="minorHAnsi"/>
          <w:color w:val="011A3C"/>
          <w:sz w:val="24"/>
          <w:szCs w:val="24"/>
          <w:lang w:val="en" w:eastAsia="en-AU"/>
        </w:rPr>
        <w:t>8</w:t>
      </w:r>
      <w:r w:rsidR="004029FC" w:rsidRPr="009B47B0">
        <w:rPr>
          <w:rFonts w:eastAsia="Segoe UI" w:cstheme="minorHAnsi"/>
          <w:color w:val="011A3C"/>
          <w:sz w:val="24"/>
          <w:szCs w:val="24"/>
          <w:lang w:val="en" w:eastAsia="en-AU"/>
        </w:rPr>
        <w:t>66</w:t>
      </w:r>
      <w:r w:rsidR="009B47B0" w:rsidRPr="009B47B0">
        <w:rPr>
          <w:rFonts w:eastAsia="Segoe UI" w:cstheme="minorHAnsi"/>
          <w:color w:val="011A3C"/>
          <w:sz w:val="24"/>
          <w:szCs w:val="24"/>
          <w:lang w:val="en" w:eastAsia="en-AU"/>
        </w:rPr>
        <w:t xml:space="preserve"> (referenced in your SRP budget report under Secondary per Student Non-Standard Setting (NS) </w:t>
      </w:r>
    </w:p>
    <w:p w14:paraId="24218F84" w14:textId="4E07704A" w:rsidR="0064074C" w:rsidRPr="00736581" w:rsidRDefault="0064074C" w:rsidP="0064074C">
      <w:pPr>
        <w:spacing w:after="0"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C</w:t>
      </w:r>
      <w:r w:rsidRPr="00736581">
        <w:rPr>
          <w:rFonts w:eastAsia="Segoe UI" w:cstheme="minorHAnsi"/>
          <w:color w:val="011A3C"/>
          <w:sz w:val="24"/>
          <w:szCs w:val="24"/>
          <w:lang w:val="en" w:eastAsia="en-AU"/>
        </w:rPr>
        <w:t>alculation</w:t>
      </w:r>
    </w:p>
    <w:p w14:paraId="368B929F" w14:textId="663E6E64" w:rsidR="0064074C" w:rsidRPr="00736581" w:rsidRDefault="0064074C" w:rsidP="0064074C">
      <w:pPr>
        <w:spacing w:after="0" w:line="240" w:lineRule="auto"/>
        <w:rPr>
          <w:rFonts w:eastAsia="Segoe UI" w:cstheme="minorHAnsi"/>
          <w:color w:val="011A3C"/>
          <w:sz w:val="24"/>
          <w:szCs w:val="24"/>
          <w:lang w:val="en" w:eastAsia="en-AU"/>
        </w:rPr>
      </w:pPr>
      <w:r w:rsidRPr="00736581">
        <w:rPr>
          <w:rFonts w:eastAsia="Segoe UI" w:cstheme="minorHAnsi"/>
          <w:color w:val="011A3C"/>
          <w:sz w:val="24"/>
          <w:szCs w:val="24"/>
          <w:lang w:val="en" w:eastAsia="en-AU"/>
        </w:rPr>
        <w:t>For example, an EL</w:t>
      </w:r>
      <w:r>
        <w:rPr>
          <w:rFonts w:eastAsia="Segoe UI" w:cstheme="minorHAnsi"/>
          <w:color w:val="011A3C"/>
          <w:sz w:val="24"/>
          <w:szCs w:val="24"/>
          <w:lang w:val="en" w:eastAsia="en-AU"/>
        </w:rPr>
        <w:t>C</w:t>
      </w:r>
      <w:r w:rsidRPr="00736581">
        <w:rPr>
          <w:rFonts w:eastAsia="Segoe UI" w:cstheme="minorHAnsi"/>
          <w:color w:val="011A3C"/>
          <w:sz w:val="24"/>
          <w:szCs w:val="24"/>
          <w:lang w:val="en" w:eastAsia="en-AU"/>
        </w:rPr>
        <w:t xml:space="preserve"> with </w:t>
      </w:r>
      <w:r>
        <w:rPr>
          <w:rFonts w:eastAsia="Segoe UI" w:cstheme="minorHAnsi"/>
          <w:color w:val="011A3C"/>
          <w:sz w:val="24"/>
          <w:szCs w:val="24"/>
          <w:lang w:val="en" w:eastAsia="en-AU"/>
        </w:rPr>
        <w:t>13</w:t>
      </w:r>
      <w:r w:rsidRPr="00736581">
        <w:rPr>
          <w:rFonts w:eastAsia="Segoe UI" w:cstheme="minorHAnsi"/>
          <w:color w:val="011A3C"/>
          <w:sz w:val="24"/>
          <w:szCs w:val="24"/>
          <w:lang w:val="en" w:eastAsia="en-AU"/>
        </w:rPr>
        <w:t xml:space="preserve"> </w:t>
      </w:r>
      <w:r>
        <w:rPr>
          <w:rFonts w:eastAsia="Segoe UI" w:cstheme="minorHAnsi"/>
          <w:color w:val="011A3C"/>
          <w:sz w:val="24"/>
          <w:szCs w:val="24"/>
          <w:lang w:val="en" w:eastAsia="en-AU"/>
        </w:rPr>
        <w:t>secondar</w:t>
      </w:r>
      <w:r w:rsidR="00601C54">
        <w:rPr>
          <w:rFonts w:eastAsia="Segoe UI" w:cstheme="minorHAnsi"/>
          <w:color w:val="011A3C"/>
          <w:sz w:val="24"/>
          <w:szCs w:val="24"/>
          <w:lang w:val="en" w:eastAsia="en-AU"/>
        </w:rPr>
        <w:t>y</w:t>
      </w:r>
      <w:r w:rsidRPr="00736581">
        <w:rPr>
          <w:rFonts w:eastAsia="Segoe UI" w:cstheme="minorHAnsi"/>
          <w:color w:val="011A3C"/>
          <w:sz w:val="24"/>
          <w:szCs w:val="24"/>
          <w:lang w:val="en" w:eastAsia="en-AU"/>
        </w:rPr>
        <w:t xml:space="preserve"> enrolments would receive the following:</w:t>
      </w:r>
    </w:p>
    <w:p w14:paraId="021989CC" w14:textId="777DFCD7" w:rsidR="0064074C" w:rsidRPr="009B4DE1" w:rsidRDefault="0064074C" w:rsidP="009B4DE1">
      <w:pPr>
        <w:spacing w:after="0"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13</w:t>
      </w:r>
      <w:r w:rsidRPr="00736581">
        <w:rPr>
          <w:rFonts w:eastAsia="Segoe UI" w:cstheme="minorHAnsi"/>
          <w:color w:val="011A3C"/>
          <w:sz w:val="24"/>
          <w:szCs w:val="24"/>
          <w:lang w:val="en" w:eastAsia="en-AU"/>
        </w:rPr>
        <w:t xml:space="preserve"> </w:t>
      </w:r>
      <w:r>
        <w:rPr>
          <w:rFonts w:eastAsia="Segoe UI" w:cstheme="minorHAnsi"/>
          <w:color w:val="011A3C"/>
          <w:sz w:val="24"/>
          <w:szCs w:val="24"/>
          <w:lang w:val="en" w:eastAsia="en-AU"/>
        </w:rPr>
        <w:t>secondary</w:t>
      </w:r>
      <w:r w:rsidRPr="00736581">
        <w:rPr>
          <w:rFonts w:eastAsia="Segoe UI" w:cstheme="minorHAnsi"/>
          <w:color w:val="011A3C"/>
          <w:sz w:val="24"/>
          <w:szCs w:val="24"/>
          <w:lang w:val="en" w:eastAsia="en-AU"/>
        </w:rPr>
        <w:t xml:space="preserve"> </w:t>
      </w:r>
      <w:proofErr w:type="spellStart"/>
      <w:r w:rsidRPr="00736581">
        <w:rPr>
          <w:rFonts w:eastAsia="Segoe UI" w:cstheme="minorHAnsi"/>
          <w:color w:val="011A3C"/>
          <w:sz w:val="24"/>
          <w:szCs w:val="24"/>
          <w:lang w:val="en" w:eastAsia="en-AU"/>
        </w:rPr>
        <w:t>enrols</w:t>
      </w:r>
      <w:proofErr w:type="spellEnd"/>
      <w:r w:rsidRPr="00736581">
        <w:rPr>
          <w:rFonts w:eastAsia="Segoe UI" w:cstheme="minorHAnsi"/>
          <w:color w:val="011A3C"/>
          <w:sz w:val="24"/>
          <w:szCs w:val="24"/>
          <w:lang w:val="en" w:eastAsia="en-AU"/>
        </w:rPr>
        <w:t xml:space="preserve"> x $</w:t>
      </w:r>
      <w:r w:rsidR="001E3275" w:rsidRPr="001E3275">
        <w:t xml:space="preserve"> </w:t>
      </w:r>
      <w:r w:rsidR="001E3275" w:rsidRPr="001E3275">
        <w:rPr>
          <w:rFonts w:eastAsia="Segoe UI" w:cstheme="minorHAnsi"/>
          <w:color w:val="011A3C"/>
          <w:sz w:val="24"/>
          <w:szCs w:val="24"/>
          <w:lang w:val="en" w:eastAsia="en-AU"/>
        </w:rPr>
        <w:t>18,409</w:t>
      </w:r>
      <w:r w:rsidRPr="00736581">
        <w:rPr>
          <w:rFonts w:eastAsia="Segoe UI" w:cstheme="minorHAnsi"/>
          <w:color w:val="011A3C"/>
          <w:sz w:val="24"/>
          <w:szCs w:val="24"/>
          <w:lang w:val="en" w:eastAsia="en-AU"/>
        </w:rPr>
        <w:t xml:space="preserve"> = $</w:t>
      </w:r>
      <w:r w:rsidR="000D4A6B">
        <w:rPr>
          <w:rFonts w:eastAsia="Segoe UI" w:cstheme="minorHAnsi"/>
          <w:color w:val="011A3C"/>
          <w:sz w:val="24"/>
          <w:szCs w:val="24"/>
          <w:lang w:val="en" w:eastAsia="en-AU"/>
        </w:rPr>
        <w:t>239,317</w:t>
      </w:r>
    </w:p>
    <w:p w14:paraId="6D152E22" w14:textId="77777777" w:rsidR="005D5E2A" w:rsidRPr="00260C1D" w:rsidRDefault="005D5E2A" w:rsidP="000D106B">
      <w:pPr>
        <w:keepNext/>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Multicultural Education Aides (MEAs)</w:t>
      </w:r>
    </w:p>
    <w:p w14:paraId="6097BA8C" w14:textId="7BBB1CD8"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An allocation for the employment of Multicultural Education Aides (MEAs) is made to English language schools and </w:t>
      </w:r>
      <w:proofErr w:type="spellStart"/>
      <w:r w:rsidRPr="00260C1D">
        <w:rPr>
          <w:rFonts w:eastAsia="Segoe UI" w:cstheme="minorHAnsi"/>
          <w:color w:val="011A3C"/>
          <w:sz w:val="24"/>
          <w:szCs w:val="24"/>
          <w:lang w:val="en" w:eastAsia="en-AU"/>
        </w:rPr>
        <w:t>centres</w:t>
      </w:r>
      <w:proofErr w:type="spellEnd"/>
      <w:r w:rsidRPr="00260C1D">
        <w:rPr>
          <w:rFonts w:eastAsia="Segoe UI" w:cstheme="minorHAnsi"/>
          <w:color w:val="011A3C"/>
          <w:sz w:val="24"/>
          <w:szCs w:val="24"/>
          <w:lang w:val="en" w:eastAsia="en-AU"/>
        </w:rPr>
        <w:t xml:space="preserve"> based on target enrolments. The current student to MEA ratio is 65:1. Campuses with target enrolments below 65 are entitled to a 1.0 FTE MEA</w:t>
      </w:r>
      <w:r w:rsidR="00C5040A">
        <w:rPr>
          <w:rFonts w:eastAsia="Segoe UI" w:cstheme="minorHAnsi"/>
          <w:color w:val="011A3C"/>
          <w:sz w:val="24"/>
          <w:szCs w:val="24"/>
          <w:lang w:val="en" w:eastAsia="en-AU"/>
        </w:rPr>
        <w:t>. F</w:t>
      </w:r>
      <w:r w:rsidRPr="00260C1D">
        <w:rPr>
          <w:rFonts w:eastAsia="Segoe UI" w:cstheme="minorHAnsi"/>
          <w:color w:val="011A3C"/>
          <w:sz w:val="24"/>
          <w:szCs w:val="24"/>
          <w:lang w:val="en" w:eastAsia="en-AU"/>
        </w:rPr>
        <w:t>or campuses</w:t>
      </w:r>
      <w:r w:rsidR="00C5040A">
        <w:rPr>
          <w:rFonts w:eastAsia="Segoe UI" w:cstheme="minorHAnsi"/>
          <w:color w:val="011A3C"/>
          <w:sz w:val="24"/>
          <w:szCs w:val="24"/>
          <w:lang w:val="en" w:eastAsia="en-AU"/>
        </w:rPr>
        <w:t xml:space="preserve"> with target enrolments</w:t>
      </w:r>
      <w:r w:rsidRPr="00260C1D">
        <w:rPr>
          <w:rFonts w:eastAsia="Segoe UI" w:cstheme="minorHAnsi"/>
          <w:color w:val="011A3C"/>
          <w:sz w:val="24"/>
          <w:szCs w:val="24"/>
          <w:lang w:val="en" w:eastAsia="en-AU"/>
        </w:rPr>
        <w:t xml:space="preserve"> above 65</w:t>
      </w:r>
      <w:r w:rsidR="00C5040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the 65:1 ratio applies.</w:t>
      </w:r>
    </w:p>
    <w:p w14:paraId="107658C2" w14:textId="1BEE8998" w:rsidR="00CB1045" w:rsidRPr="00260C1D" w:rsidRDefault="005D5E2A" w:rsidP="00C370BC">
      <w:pPr>
        <w:spacing w:before="100" w:beforeAutospacing="1" w:after="100" w:afterAutospacing="1" w:line="288" w:lineRule="atLeast"/>
        <w:outlineLvl w:val="3"/>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w:t>
      </w:r>
      <w:r w:rsidR="005256BB" w:rsidRPr="00260C1D">
        <w:rPr>
          <w:rFonts w:eastAsia="Segoe UI" w:cstheme="minorHAnsi"/>
          <w:color w:val="011A3C"/>
          <w:sz w:val="24"/>
          <w:szCs w:val="24"/>
          <w:lang w:val="en" w:eastAsia="en-AU"/>
        </w:rPr>
        <w:t>202</w:t>
      </w:r>
      <w:r w:rsidR="00D9038A">
        <w:rPr>
          <w:rFonts w:eastAsia="Segoe UI" w:cstheme="minorHAnsi"/>
          <w:color w:val="011A3C"/>
          <w:sz w:val="24"/>
          <w:szCs w:val="24"/>
          <w:lang w:val="en" w:eastAsia="en-AU"/>
        </w:rPr>
        <w:t>4</w:t>
      </w:r>
      <w:r w:rsidR="005256BB"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MEA rate is </w:t>
      </w:r>
      <w:r w:rsidR="00DC006A" w:rsidRPr="00260C1D">
        <w:rPr>
          <w:rFonts w:eastAsia="Segoe UI" w:cstheme="minorHAnsi"/>
          <w:color w:val="011A3C"/>
          <w:sz w:val="24"/>
          <w:szCs w:val="24"/>
          <w:lang w:val="en" w:eastAsia="en-AU"/>
        </w:rPr>
        <w:t>$</w:t>
      </w:r>
      <w:r w:rsidR="00D9038A" w:rsidRPr="00D9038A">
        <w:t xml:space="preserve"> </w:t>
      </w:r>
      <w:r w:rsidR="00D9038A" w:rsidRPr="00D9038A">
        <w:rPr>
          <w:rFonts w:eastAsia="Segoe UI" w:cstheme="minorHAnsi"/>
          <w:color w:val="011A3C"/>
          <w:sz w:val="24"/>
          <w:szCs w:val="24"/>
          <w:lang w:val="en" w:eastAsia="en-AU"/>
        </w:rPr>
        <w:t>$67,572</w:t>
      </w:r>
    </w:p>
    <w:p w14:paraId="1F061F90" w14:textId="16DFD4E7" w:rsidR="005D5E2A" w:rsidRPr="00260C1D" w:rsidRDefault="005D5E2A" w:rsidP="00C370BC">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EAL student services</w:t>
      </w:r>
    </w:p>
    <w:p w14:paraId="3572AE72" w14:textId="292E0115" w:rsidR="005D5E2A" w:rsidRPr="00260C1D" w:rsidRDefault="005D5E2A" w:rsidP="000D106B">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In addition, English language schools and </w:t>
      </w:r>
      <w:proofErr w:type="spellStart"/>
      <w:r w:rsidRPr="00260C1D">
        <w:rPr>
          <w:rFonts w:eastAsia="Segoe UI" w:cstheme="minorHAnsi"/>
          <w:color w:val="011A3C"/>
          <w:sz w:val="24"/>
          <w:szCs w:val="24"/>
          <w:lang w:val="en" w:eastAsia="en-AU"/>
        </w:rPr>
        <w:t>centres</w:t>
      </w:r>
      <w:proofErr w:type="spellEnd"/>
      <w:r w:rsidRPr="00260C1D">
        <w:rPr>
          <w:rFonts w:eastAsia="Segoe UI" w:cstheme="minorHAnsi"/>
          <w:color w:val="011A3C"/>
          <w:sz w:val="24"/>
          <w:szCs w:val="24"/>
          <w:lang w:val="en" w:eastAsia="en-AU"/>
        </w:rPr>
        <w:t xml:space="preserve"> receive funding to provide services to EAL students who are not yet or no longer enrolled in a full-time intensive program. These services include outreach services</w:t>
      </w:r>
      <w:r w:rsidR="009212A4" w:rsidRPr="00260C1D">
        <w:rPr>
          <w:rFonts w:eastAsia="Segoe UI" w:cstheme="minorHAnsi"/>
          <w:color w:val="011A3C"/>
          <w:sz w:val="24"/>
          <w:szCs w:val="24"/>
          <w:lang w:val="en" w:eastAsia="en-AU"/>
        </w:rPr>
        <w:t xml:space="preserve"> and</w:t>
      </w:r>
      <w:r w:rsidRPr="00260C1D">
        <w:rPr>
          <w:rFonts w:eastAsia="Segoe UI" w:cstheme="minorHAnsi"/>
          <w:color w:val="011A3C"/>
          <w:sz w:val="24"/>
          <w:szCs w:val="24"/>
          <w:lang w:val="en" w:eastAsia="en-AU"/>
        </w:rPr>
        <w:t xml:space="preserve"> transition support for high needs </w:t>
      </w:r>
      <w:r w:rsidR="00C75EB1">
        <w:rPr>
          <w:rFonts w:eastAsia="Segoe UI" w:cstheme="minorHAnsi"/>
          <w:color w:val="011A3C"/>
          <w:sz w:val="24"/>
          <w:szCs w:val="24"/>
          <w:lang w:val="en" w:eastAsia="en-AU"/>
        </w:rPr>
        <w:t>LRB</w:t>
      </w:r>
      <w:r w:rsidRPr="00260C1D">
        <w:rPr>
          <w:rFonts w:eastAsia="Segoe UI" w:cstheme="minorHAnsi"/>
          <w:color w:val="011A3C"/>
          <w:sz w:val="24"/>
          <w:szCs w:val="24"/>
          <w:lang w:val="en" w:eastAsia="en-AU"/>
        </w:rPr>
        <w:t xml:space="preserve"> students</w:t>
      </w:r>
      <w:r w:rsidR="009212A4" w:rsidRPr="00260C1D">
        <w:rPr>
          <w:rFonts w:eastAsia="Segoe UI" w:cstheme="minorHAnsi"/>
          <w:color w:val="011A3C"/>
          <w:sz w:val="24"/>
          <w:szCs w:val="24"/>
          <w:lang w:val="en" w:eastAsia="en-AU"/>
        </w:rPr>
        <w:t>.</w:t>
      </w:r>
    </w:p>
    <w:p w14:paraId="727991D5" w14:textId="77777777" w:rsidR="00966C65" w:rsidRPr="00614B09" w:rsidRDefault="00966C65" w:rsidP="00614B09">
      <w:pPr>
        <w:spacing w:before="100" w:beforeAutospacing="1" w:after="100" w:afterAutospacing="1" w:line="288" w:lineRule="atLeast"/>
        <w:outlineLvl w:val="3"/>
        <w:rPr>
          <w:rFonts w:eastAsia="Segoe UI" w:cstheme="minorHAnsi"/>
          <w:b/>
          <w:color w:val="011A3C"/>
          <w:sz w:val="24"/>
          <w:szCs w:val="24"/>
          <w:lang w:val="en" w:eastAsia="en-AU"/>
        </w:rPr>
      </w:pPr>
      <w:r w:rsidRPr="00614B09">
        <w:rPr>
          <w:rFonts w:eastAsia="Segoe UI" w:cstheme="minorHAnsi"/>
          <w:b/>
          <w:color w:val="011A3C"/>
          <w:sz w:val="24"/>
          <w:szCs w:val="24"/>
          <w:lang w:val="en" w:eastAsia="en-AU"/>
        </w:rPr>
        <w:t>EAL student services (Cluster funding)</w:t>
      </w:r>
    </w:p>
    <w:p w14:paraId="50855AE4" w14:textId="7E94DECD" w:rsidR="00C75EB1" w:rsidRDefault="00C75EB1" w:rsidP="00833928">
      <w:r w:rsidRPr="00833928">
        <w:rPr>
          <w:rFonts w:eastAsia="Segoe UI" w:cstheme="minorHAnsi"/>
          <w:color w:val="011A3C"/>
          <w:sz w:val="24"/>
          <w:szCs w:val="24"/>
          <w:lang w:val="en" w:eastAsia="en-AU"/>
        </w:rPr>
        <w:t>In regional and rural areas, primary</w:t>
      </w:r>
      <w:r w:rsidR="00966C65" w:rsidRPr="00833928">
        <w:rPr>
          <w:rFonts w:eastAsia="Segoe UI" w:cstheme="minorHAnsi"/>
          <w:color w:val="011A3C"/>
          <w:sz w:val="24"/>
          <w:szCs w:val="24"/>
          <w:lang w:val="en" w:eastAsia="en-AU"/>
        </w:rPr>
        <w:t xml:space="preserve"> and secondary schools that coordinate EAL cluster programs are provided with funding to employ EAL specialists to provide advice and guidance to teachers in cluster schools to build their understanding, knowledge and capacity to meet EAL student learning needs.</w:t>
      </w:r>
      <w:r w:rsidR="005D5E2A" w:rsidRPr="00260C1D">
        <w:br w:type="page"/>
      </w:r>
    </w:p>
    <w:p w14:paraId="2E8C1682" w14:textId="26FCB612" w:rsidR="00AD16F0" w:rsidRPr="00260C1D" w:rsidRDefault="00AD16F0" w:rsidP="00532A33">
      <w:pPr>
        <w:pStyle w:val="Heading2"/>
      </w:pPr>
      <w:bookmarkStart w:id="93" w:name="_Toc141965249"/>
      <w:bookmarkStart w:id="94" w:name="_Toc145339579"/>
      <w:bookmarkStart w:id="95" w:name="_Toc153791902"/>
      <w:r w:rsidRPr="00260C1D">
        <w:lastRenderedPageBreak/>
        <w:t>EAL Contingency (Reference 27)</w:t>
      </w:r>
      <w:bookmarkEnd w:id="93"/>
      <w:bookmarkEnd w:id="94"/>
      <w:bookmarkEnd w:id="95"/>
    </w:p>
    <w:p w14:paraId="4BD87BD2" w14:textId="6E7398D8" w:rsidR="005D5E2A" w:rsidRPr="009B4DE1" w:rsidRDefault="005D5E2A" w:rsidP="00833928">
      <w:pPr>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EAL Contingency funding is provided, budget allowing, to enable the employment of additional EAL teachers and Multicultural Education Aides where </w:t>
      </w:r>
      <w:r w:rsidR="00C75EB1" w:rsidRPr="009B4DE1">
        <w:rPr>
          <w:rFonts w:eastAsia="Segoe UI" w:cstheme="minorHAnsi"/>
          <w:color w:val="011A3C"/>
          <w:sz w:val="24"/>
          <w:szCs w:val="24"/>
          <w:lang w:val="en" w:eastAsia="en-AU"/>
        </w:rPr>
        <w:t xml:space="preserve">mainstream schools or English language schools and </w:t>
      </w:r>
      <w:proofErr w:type="spellStart"/>
      <w:r w:rsidR="00C75EB1" w:rsidRPr="009B4DE1">
        <w:rPr>
          <w:rFonts w:eastAsia="Segoe UI" w:cstheme="minorHAnsi"/>
          <w:color w:val="011A3C"/>
          <w:sz w:val="24"/>
          <w:szCs w:val="24"/>
          <w:lang w:val="en" w:eastAsia="en-AU"/>
        </w:rPr>
        <w:t>centres</w:t>
      </w:r>
      <w:proofErr w:type="spellEnd"/>
      <w:r w:rsidRPr="009B4DE1">
        <w:rPr>
          <w:rFonts w:eastAsia="Segoe UI" w:cstheme="minorHAnsi"/>
          <w:color w:val="011A3C"/>
          <w:sz w:val="24"/>
          <w:szCs w:val="24"/>
          <w:lang w:val="en" w:eastAsia="en-AU"/>
        </w:rPr>
        <w:t xml:space="preserve"> experience a significant increase to their EAL student profile after their EAL funding has been established for the year.</w:t>
      </w:r>
    </w:p>
    <w:p w14:paraId="4B12F524" w14:textId="63BB8EE0" w:rsidR="005D5E2A" w:rsidRPr="009B4DE1" w:rsidRDefault="005D5E2A" w:rsidP="00833928">
      <w:pPr>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A ‘significant increase’ for a </w:t>
      </w:r>
      <w:r w:rsidR="00C75EB1" w:rsidRPr="009B4DE1">
        <w:rPr>
          <w:rFonts w:eastAsia="Segoe UI" w:cstheme="minorHAnsi"/>
          <w:color w:val="011A3C"/>
          <w:sz w:val="24"/>
          <w:szCs w:val="24"/>
          <w:lang w:val="en" w:eastAsia="en-AU"/>
        </w:rPr>
        <w:t xml:space="preserve">mainstream school - </w:t>
      </w:r>
      <w:r w:rsidRPr="009B4DE1">
        <w:rPr>
          <w:rFonts w:eastAsia="Segoe UI" w:cstheme="minorHAnsi"/>
          <w:color w:val="011A3C"/>
          <w:sz w:val="24"/>
          <w:szCs w:val="24"/>
          <w:lang w:val="en" w:eastAsia="en-AU"/>
        </w:rPr>
        <w:t xml:space="preserve">primary, secondary or combined primary/secondary </w:t>
      </w:r>
      <w:r w:rsidR="00C75EB1" w:rsidRPr="009B4DE1">
        <w:rPr>
          <w:rFonts w:eastAsia="Segoe UI" w:cstheme="minorHAnsi"/>
          <w:color w:val="011A3C"/>
          <w:sz w:val="24"/>
          <w:szCs w:val="24"/>
          <w:lang w:val="en" w:eastAsia="en-AU"/>
        </w:rPr>
        <w:t>-</w:t>
      </w:r>
      <w:r w:rsidRPr="009B4DE1">
        <w:rPr>
          <w:rFonts w:eastAsia="Segoe UI" w:cstheme="minorHAnsi"/>
          <w:color w:val="011A3C"/>
          <w:sz w:val="24"/>
          <w:szCs w:val="24"/>
          <w:lang w:val="en" w:eastAsia="en-AU"/>
        </w:rPr>
        <w:t xml:space="preserve"> means that the cohort of additional students, based on the rates and weightings outlined in Reference 26, attract funding above the relevant EAL Index funding threshold (primary or secondary). This means there is no set number of students a school must </w:t>
      </w:r>
      <w:proofErr w:type="spellStart"/>
      <w:r w:rsidRPr="009B4DE1">
        <w:rPr>
          <w:rFonts w:eastAsia="Segoe UI" w:cstheme="minorHAnsi"/>
          <w:color w:val="011A3C"/>
          <w:sz w:val="24"/>
          <w:szCs w:val="24"/>
          <w:lang w:val="en" w:eastAsia="en-AU"/>
        </w:rPr>
        <w:t>enrol</w:t>
      </w:r>
      <w:proofErr w:type="spellEnd"/>
      <w:r w:rsidRPr="009B4DE1">
        <w:rPr>
          <w:rFonts w:eastAsia="Segoe UI" w:cstheme="minorHAnsi"/>
          <w:color w:val="011A3C"/>
          <w:sz w:val="24"/>
          <w:szCs w:val="24"/>
          <w:lang w:val="en" w:eastAsia="en-AU"/>
        </w:rPr>
        <w:t xml:space="preserve"> to be eligible for EAL Contingency. Each student’s year level and length of time in Australia determines the level of funding he or she attracts.</w:t>
      </w:r>
    </w:p>
    <w:p w14:paraId="3153355A" w14:textId="127FB5C7" w:rsidR="005D5E2A" w:rsidRPr="009B4DE1" w:rsidRDefault="005D5E2A" w:rsidP="00833928">
      <w:pPr>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A ‘significant increase’ for an English language school or </w:t>
      </w:r>
      <w:proofErr w:type="spellStart"/>
      <w:r w:rsidRPr="009B4DE1">
        <w:rPr>
          <w:rFonts w:eastAsia="Segoe UI" w:cstheme="minorHAnsi"/>
          <w:color w:val="011A3C"/>
          <w:sz w:val="24"/>
          <w:szCs w:val="24"/>
          <w:lang w:val="en" w:eastAsia="en-AU"/>
        </w:rPr>
        <w:t>centre</w:t>
      </w:r>
      <w:proofErr w:type="spellEnd"/>
      <w:r w:rsidRPr="009B4DE1">
        <w:rPr>
          <w:rFonts w:eastAsia="Segoe UI" w:cstheme="minorHAnsi"/>
          <w:color w:val="011A3C"/>
          <w:sz w:val="24"/>
          <w:szCs w:val="24"/>
          <w:lang w:val="en" w:eastAsia="en-AU"/>
        </w:rPr>
        <w:t xml:space="preserve"> or the Virtual New Arrivals Program is one which requires provision of an additional class.</w:t>
      </w:r>
    </w:p>
    <w:p w14:paraId="1FFD825B" w14:textId="77777777" w:rsidR="00C75EB1" w:rsidRPr="009B4DE1" w:rsidRDefault="00C75EB1" w:rsidP="00833928">
      <w:pPr>
        <w:rPr>
          <w:rFonts w:eastAsia="Segoe UI" w:cstheme="minorHAnsi"/>
          <w:color w:val="011A3C"/>
          <w:sz w:val="24"/>
          <w:szCs w:val="24"/>
          <w:lang w:val="en" w:eastAsia="en-AU"/>
        </w:rPr>
      </w:pPr>
      <w:r w:rsidRPr="009B4DE1">
        <w:rPr>
          <w:rFonts w:eastAsia="Segoe UI" w:cstheme="minorHAnsi"/>
          <w:color w:val="011A3C"/>
          <w:sz w:val="24"/>
          <w:szCs w:val="24"/>
          <w:lang w:val="en" w:eastAsia="en-AU"/>
        </w:rPr>
        <w:t>EAL Contingency funding is allocated at campus level.</w:t>
      </w:r>
    </w:p>
    <w:p w14:paraId="60329E47" w14:textId="544E7611" w:rsidR="005D5E2A" w:rsidRPr="009B4DE1" w:rsidRDefault="005D5E2A" w:rsidP="00833928">
      <w:pPr>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Applications for </w:t>
      </w:r>
      <w:r w:rsidR="00C5040A" w:rsidRPr="009B4DE1">
        <w:rPr>
          <w:rFonts w:eastAsia="Segoe UI" w:cstheme="minorHAnsi"/>
          <w:color w:val="011A3C"/>
          <w:sz w:val="24"/>
          <w:szCs w:val="24"/>
          <w:lang w:val="en" w:eastAsia="en-AU"/>
        </w:rPr>
        <w:t>EAL C</w:t>
      </w:r>
      <w:r w:rsidRPr="009B4DE1">
        <w:rPr>
          <w:rFonts w:eastAsia="Segoe UI" w:cstheme="minorHAnsi"/>
          <w:color w:val="011A3C"/>
          <w:sz w:val="24"/>
          <w:szCs w:val="24"/>
          <w:lang w:val="en" w:eastAsia="en-AU"/>
        </w:rPr>
        <w:t xml:space="preserve">ontingency funding can be submitted at any time of the school year. </w:t>
      </w:r>
    </w:p>
    <w:p w14:paraId="10EEE8CE" w14:textId="77777777" w:rsidR="005D5E2A" w:rsidRPr="00260C1D" w:rsidRDefault="005D5E2A" w:rsidP="00C370BC">
      <w:pPr>
        <w:spacing w:before="100" w:beforeAutospacing="1" w:after="100" w:afterAutospacing="1" w:line="288" w:lineRule="atLeast"/>
        <w:outlineLvl w:val="3"/>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3865E69A" w14:textId="77777777" w:rsidR="005D5E2A" w:rsidRPr="0082534A" w:rsidRDefault="005D5E2A" w:rsidP="00F56244">
      <w:pPr>
        <w:pStyle w:val="ListParagraph"/>
        <w:numPr>
          <w:ilvl w:val="0"/>
          <w:numId w:val="80"/>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Primary</w:t>
      </w:r>
    </w:p>
    <w:p w14:paraId="384C6B87" w14:textId="77777777" w:rsidR="005D5E2A" w:rsidRPr="0082534A" w:rsidRDefault="005D5E2A" w:rsidP="00F56244">
      <w:pPr>
        <w:pStyle w:val="ListParagraph"/>
        <w:numPr>
          <w:ilvl w:val="0"/>
          <w:numId w:val="80"/>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Secondary</w:t>
      </w:r>
    </w:p>
    <w:p w14:paraId="66C5DBC1" w14:textId="2D6523AF" w:rsidR="005D5E2A" w:rsidRPr="0082534A" w:rsidRDefault="005D5E2A" w:rsidP="00F56244">
      <w:pPr>
        <w:pStyle w:val="ListParagraph"/>
        <w:numPr>
          <w:ilvl w:val="0"/>
          <w:numId w:val="80"/>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 xml:space="preserve">Primary/Secondary </w:t>
      </w:r>
      <w:r w:rsidR="00C75EB1">
        <w:rPr>
          <w:rFonts w:eastAsia="Segoe UI" w:cstheme="minorHAnsi"/>
          <w:color w:val="011A3C"/>
          <w:sz w:val="24"/>
          <w:szCs w:val="24"/>
          <w:lang w:val="en" w:eastAsia="en-AU"/>
        </w:rPr>
        <w:t>combined</w:t>
      </w:r>
    </w:p>
    <w:p w14:paraId="4F8C606A" w14:textId="77777777" w:rsidR="005D5E2A" w:rsidRPr="0082534A" w:rsidRDefault="005D5E2A" w:rsidP="00F56244">
      <w:pPr>
        <w:pStyle w:val="ListParagraph"/>
        <w:numPr>
          <w:ilvl w:val="0"/>
          <w:numId w:val="80"/>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English language schools</w:t>
      </w:r>
    </w:p>
    <w:p w14:paraId="575BB286" w14:textId="77777777" w:rsidR="005D5E2A" w:rsidRPr="0082534A" w:rsidRDefault="005D5E2A" w:rsidP="00F56244">
      <w:pPr>
        <w:pStyle w:val="ListParagraph"/>
        <w:numPr>
          <w:ilvl w:val="0"/>
          <w:numId w:val="80"/>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 xml:space="preserve">English language </w:t>
      </w:r>
      <w:proofErr w:type="spellStart"/>
      <w:r w:rsidRPr="0082534A">
        <w:rPr>
          <w:rFonts w:eastAsia="Segoe UI" w:cstheme="minorHAnsi"/>
          <w:color w:val="011A3C"/>
          <w:sz w:val="24"/>
          <w:szCs w:val="24"/>
          <w:lang w:val="en" w:eastAsia="en-AU"/>
        </w:rPr>
        <w:t>centres</w:t>
      </w:r>
      <w:proofErr w:type="spellEnd"/>
    </w:p>
    <w:p w14:paraId="73DCADB8" w14:textId="486D4259" w:rsidR="005D5E2A" w:rsidRPr="0082534A" w:rsidRDefault="005D5E2A" w:rsidP="00F56244">
      <w:pPr>
        <w:pStyle w:val="ListParagraph"/>
        <w:numPr>
          <w:ilvl w:val="0"/>
          <w:numId w:val="80"/>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Virtual New Arrivals Program</w:t>
      </w:r>
    </w:p>
    <w:p w14:paraId="74017363" w14:textId="211CDC19" w:rsidR="005D5E2A" w:rsidRPr="00720A0F" w:rsidRDefault="005D5E2A" w:rsidP="00C370BC">
      <w:pPr>
        <w:spacing w:before="100" w:beforeAutospacing="1" w:after="100" w:afterAutospacing="1" w:line="288" w:lineRule="atLeast"/>
        <w:outlineLvl w:val="3"/>
        <w:rPr>
          <w:rFonts w:eastAsia="Segoe UI" w:cstheme="minorHAnsi"/>
          <w:b/>
          <w:color w:val="011A3C"/>
          <w:sz w:val="27"/>
          <w:szCs w:val="27"/>
          <w:lang w:val="en" w:eastAsia="en-AU"/>
        </w:rPr>
      </w:pPr>
      <w:r w:rsidRPr="00720A0F">
        <w:rPr>
          <w:rFonts w:eastAsia="Segoe UI" w:cstheme="minorHAnsi"/>
          <w:b/>
          <w:color w:val="011A3C"/>
          <w:sz w:val="27"/>
          <w:szCs w:val="27"/>
          <w:lang w:val="en" w:eastAsia="en-AU"/>
        </w:rPr>
        <w:t>Applications</w:t>
      </w:r>
      <w:r w:rsidR="00C75EB1">
        <w:rPr>
          <w:rFonts w:eastAsia="Segoe UI" w:cstheme="minorHAnsi"/>
          <w:b/>
          <w:color w:val="011A3C"/>
          <w:sz w:val="27"/>
          <w:szCs w:val="27"/>
          <w:lang w:val="en" w:eastAsia="en-AU"/>
        </w:rPr>
        <w:t xml:space="preserve"> from mainstream schools</w:t>
      </w:r>
    </w:p>
    <w:p w14:paraId="76B48D6E" w14:textId="61143DB8"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Primary and secondary schools that have enrolled an increased number of students since their EAL Index funding was established by the preceding year’s August census may apply for EAL </w:t>
      </w:r>
      <w:r w:rsidR="00C5040A">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ontingency funding. Each application is assessed based on the additional students’ eligibility for EAL Index level funding and the rates and weightings outlined in Reference 26.</w:t>
      </w:r>
    </w:p>
    <w:p w14:paraId="07A2A788" w14:textId="1C16B12A"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New primary and secondary schools will not have participated in the preceding August census. They can apply for EAL </w:t>
      </w:r>
      <w:r w:rsidR="00C5040A">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ontingency funding to establish </w:t>
      </w:r>
      <w:r w:rsidR="00953BFB">
        <w:rPr>
          <w:rFonts w:eastAsia="Segoe UI" w:cstheme="minorHAnsi"/>
          <w:color w:val="011A3C"/>
          <w:sz w:val="24"/>
          <w:szCs w:val="24"/>
          <w:lang w:val="en" w:eastAsia="en-AU"/>
        </w:rPr>
        <w:t>an</w:t>
      </w:r>
      <w:r w:rsidRPr="00260C1D">
        <w:rPr>
          <w:rFonts w:eastAsia="Segoe UI" w:cstheme="minorHAnsi"/>
          <w:color w:val="011A3C"/>
          <w:sz w:val="24"/>
          <w:szCs w:val="24"/>
          <w:lang w:val="en" w:eastAsia="en-AU"/>
        </w:rPr>
        <w:t xml:space="preserve"> EAL program following the February school census.</w:t>
      </w:r>
    </w:p>
    <w:p w14:paraId="0601B58C" w14:textId="626964AF"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To apply, primary and secondary schools should run a Contingency Report ST21038 from CASES21 and email this with a request to be considered for EAL </w:t>
      </w:r>
      <w:r w:rsidR="00C5040A">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ontingency funding to the EAL Unit at </w:t>
      </w:r>
      <w:hyperlink r:id="rId73" w:history="1">
        <w:r w:rsidRPr="0085211C">
          <w:rPr>
            <w:rStyle w:val="Hyperlink"/>
            <w:rFonts w:eastAsia="Segoe UI" w:cstheme="minorHAnsi"/>
            <w:sz w:val="24"/>
            <w:szCs w:val="24"/>
            <w:lang w:val="en" w:eastAsia="en-AU"/>
          </w:rPr>
          <w:t>eal</w:t>
        </w:r>
        <w:r w:rsidRPr="00B148A2">
          <w:rPr>
            <w:rStyle w:val="Hyperlink"/>
            <w:sz w:val="24"/>
            <w:lang w:val="en-GB"/>
          </w:rPr>
          <w:t>@education.vic.gov.au</w:t>
        </w:r>
      </w:hyperlink>
      <w:r w:rsidRPr="00260C1D">
        <w:rPr>
          <w:rFonts w:eastAsia="Segoe UI" w:cstheme="minorHAnsi"/>
          <w:color w:val="011A3C"/>
          <w:sz w:val="24"/>
          <w:szCs w:val="24"/>
          <w:lang w:val="en" w:eastAsia="en-AU"/>
        </w:rPr>
        <w:t>. The ST21038 report is used to compare current enrolments with enrolments from the preceding August census to determine if an increase beyond the relevant threshold has been reached. Applications from new schools are assessed based on the student numbers in the ST21038 report.</w:t>
      </w:r>
    </w:p>
    <w:p w14:paraId="55752A97" w14:textId="77777777" w:rsidR="005D5E2A" w:rsidRPr="00720A0F" w:rsidRDefault="005D5E2A" w:rsidP="005A7E0A">
      <w:pPr>
        <w:spacing w:before="100" w:beforeAutospacing="1" w:after="100" w:afterAutospacing="1" w:line="288" w:lineRule="atLeast"/>
        <w:outlineLvl w:val="3"/>
        <w:rPr>
          <w:rFonts w:eastAsia="Segoe UI" w:cstheme="minorHAnsi"/>
          <w:b/>
          <w:color w:val="011A3C"/>
          <w:sz w:val="27"/>
          <w:szCs w:val="27"/>
          <w:lang w:val="en" w:eastAsia="en-AU"/>
        </w:rPr>
      </w:pPr>
      <w:r w:rsidRPr="00720A0F">
        <w:rPr>
          <w:rFonts w:eastAsia="Segoe UI" w:cstheme="minorHAnsi"/>
          <w:b/>
          <w:color w:val="011A3C"/>
          <w:sz w:val="27"/>
          <w:szCs w:val="27"/>
          <w:lang w:val="en" w:eastAsia="en-AU"/>
        </w:rPr>
        <w:t>Calculation</w:t>
      </w:r>
    </w:p>
    <w:p w14:paraId="0AEFD161" w14:textId="77777777" w:rsidR="00C75EB1" w:rsidRDefault="00C75EB1" w:rsidP="00C75EB1">
      <w:pPr>
        <w:spacing w:before="100" w:beforeAutospacing="1" w:after="100" w:afterAutospacing="1"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EAL Contingency = FTE allocation × average teacher rate</w:t>
      </w:r>
    </w:p>
    <w:p w14:paraId="11174875" w14:textId="77777777" w:rsidR="005D5E2A" w:rsidRPr="00260C1D" w:rsidRDefault="005D5E2A" w:rsidP="00C370BC">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 xml:space="preserve">For primary and secondary schools, EAL </w:t>
      </w:r>
      <w:r w:rsidR="00C5040A">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ontingency is calculated based on the change in the school’s EAL student profile between the previous August census and the date of application, as outlined above. Any additional entitlement to EAL Index funding using the levels and weightings outlined in Reference 26, is converted to FTE and paid pro-rata for the remainder of the school year. </w:t>
      </w:r>
    </w:p>
    <w:p w14:paraId="4543730A" w14:textId="77777777"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Primary and secondary FTE allocations are calculated separately.</w:t>
      </w:r>
    </w:p>
    <w:p w14:paraId="7986FA68" w14:textId="559349A8"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that apply within the first </w:t>
      </w:r>
      <w:r w:rsidR="00C75EB1">
        <w:rPr>
          <w:rFonts w:eastAsia="Segoe UI" w:cstheme="minorHAnsi"/>
          <w:color w:val="011A3C"/>
          <w:sz w:val="24"/>
          <w:szCs w:val="24"/>
          <w:lang w:val="en" w:eastAsia="en-AU"/>
        </w:rPr>
        <w:t>5</w:t>
      </w:r>
      <w:r w:rsidRPr="00260C1D">
        <w:rPr>
          <w:rFonts w:eastAsia="Segoe UI" w:cstheme="minorHAnsi"/>
          <w:color w:val="011A3C"/>
          <w:sz w:val="24"/>
          <w:szCs w:val="24"/>
          <w:lang w:val="en" w:eastAsia="en-AU"/>
        </w:rPr>
        <w:t xml:space="preserve"> weeks of term and meet eligibility requirements are funded for that term and any other remaining terms in the school year.</w:t>
      </w:r>
    </w:p>
    <w:p w14:paraId="4A414F08" w14:textId="77777777"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that apply in week 6 or beyond and meet eligibility requirements are funded for the following and any remaining terms of the school year.</w:t>
      </w:r>
    </w:p>
    <w:p w14:paraId="4681CB6F" w14:textId="7B4904FB"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All schools are notified when their request has been assessed, with further notification of their total funding after it has been approved. Payment is made through the </w:t>
      </w:r>
      <w:r w:rsidR="001B66F8" w:rsidRPr="00260C1D">
        <w:rPr>
          <w:rFonts w:eastAsia="Segoe UI" w:cstheme="minorHAnsi"/>
          <w:color w:val="011A3C"/>
          <w:sz w:val="24"/>
          <w:szCs w:val="24"/>
          <w:lang w:val="en" w:eastAsia="en-AU"/>
        </w:rPr>
        <w:t>Student Resource Package (</w:t>
      </w:r>
      <w:r w:rsidRPr="00260C1D">
        <w:rPr>
          <w:rFonts w:eastAsia="Segoe UI" w:cstheme="minorHAnsi"/>
          <w:color w:val="011A3C"/>
          <w:sz w:val="24"/>
          <w:szCs w:val="24"/>
          <w:lang w:val="en" w:eastAsia="en-AU"/>
        </w:rPr>
        <w:t>SRP</w:t>
      </w:r>
      <w:r w:rsidR="001B66F8"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at the end of each applicable term.</w:t>
      </w:r>
    </w:p>
    <w:p w14:paraId="3EBCC416" w14:textId="30346A71" w:rsidR="005D5E2A" w:rsidRPr="00260C1D" w:rsidRDefault="005D5E2A" w:rsidP="00C370BC">
      <w:pPr>
        <w:spacing w:before="100" w:beforeAutospacing="1" w:after="100" w:afterAutospacing="1" w:line="288" w:lineRule="atLeast"/>
        <w:outlineLvl w:val="3"/>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 </w:t>
      </w:r>
      <w:r w:rsidR="00D9038A" w:rsidRPr="00260C1D">
        <w:rPr>
          <w:rFonts w:eastAsia="Segoe UI" w:cstheme="minorHAnsi"/>
          <w:b/>
          <w:color w:val="011A3C"/>
          <w:sz w:val="27"/>
          <w:szCs w:val="27"/>
          <w:lang w:val="en" w:eastAsia="en-AU"/>
        </w:rPr>
        <w:t>202</w:t>
      </w:r>
      <w:r w:rsidR="00D9038A">
        <w:rPr>
          <w:rFonts w:eastAsia="Segoe UI" w:cstheme="minorHAnsi"/>
          <w:b/>
          <w:color w:val="011A3C"/>
          <w:sz w:val="27"/>
          <w:szCs w:val="27"/>
          <w:lang w:val="en" w:eastAsia="en-AU"/>
        </w:rPr>
        <w:t>4</w:t>
      </w:r>
    </w:p>
    <w:p w14:paraId="6ABB60A6" w14:textId="77777777" w:rsidR="005D5E2A" w:rsidRPr="00260C1D" w:rsidRDefault="005D5E2A" w:rsidP="005D5E2A">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 xml:space="preserve">List 1: </w:t>
      </w:r>
      <w:bookmarkStart w:id="96" w:name="_Hlk81828572"/>
      <w:r w:rsidRPr="00260C1D">
        <w:rPr>
          <w:rFonts w:eastAsia="Segoe UI" w:cstheme="minorHAnsi"/>
          <w:b/>
          <w:color w:val="011A3C"/>
          <w:sz w:val="24"/>
          <w:szCs w:val="24"/>
          <w:lang w:val="en" w:eastAsia="en-AU"/>
        </w:rPr>
        <w:t>EAL Index funding thresholds</w:t>
      </w:r>
      <w:bookmarkEnd w:id="96"/>
    </w:p>
    <w:p w14:paraId="3177A649" w14:textId="7E1A8C89" w:rsidR="005D5E2A" w:rsidRPr="0082534A" w:rsidRDefault="005D5E2A" w:rsidP="00F56244">
      <w:pPr>
        <w:pStyle w:val="ListParagraph"/>
        <w:numPr>
          <w:ilvl w:val="0"/>
          <w:numId w:val="80"/>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Primary</w:t>
      </w:r>
      <w:r w:rsidR="00AE1CE2">
        <w:rPr>
          <w:rFonts w:eastAsia="Segoe UI" w:cstheme="minorHAnsi"/>
          <w:color w:val="011A3C"/>
          <w:sz w:val="24"/>
          <w:szCs w:val="24"/>
          <w:lang w:val="en" w:eastAsia="en-AU"/>
        </w:rPr>
        <w:t>:</w:t>
      </w:r>
      <w:r w:rsidRPr="0082534A">
        <w:rPr>
          <w:rFonts w:eastAsia="Segoe UI" w:cstheme="minorHAnsi"/>
          <w:color w:val="011A3C"/>
          <w:sz w:val="24"/>
          <w:szCs w:val="24"/>
          <w:lang w:val="en" w:eastAsia="en-AU"/>
        </w:rPr>
        <w:t xml:space="preserve"> </w:t>
      </w:r>
      <w:r w:rsidR="00E02E7A" w:rsidRPr="0082534A">
        <w:rPr>
          <w:rFonts w:eastAsia="Segoe UI" w:cstheme="minorHAnsi"/>
          <w:color w:val="011A3C"/>
          <w:sz w:val="24"/>
          <w:szCs w:val="24"/>
          <w:lang w:val="en" w:eastAsia="en-AU"/>
        </w:rPr>
        <w:t>$</w:t>
      </w:r>
      <w:r w:rsidR="000B0EF3" w:rsidRPr="000B0EF3">
        <w:rPr>
          <w:rFonts w:eastAsia="Segoe UI" w:cstheme="minorHAnsi"/>
          <w:color w:val="011A3C"/>
          <w:sz w:val="24"/>
          <w:szCs w:val="24"/>
          <w:lang w:val="en" w:eastAsia="en-AU"/>
        </w:rPr>
        <w:t>28</w:t>
      </w:r>
      <w:r w:rsidR="000B0EF3">
        <w:rPr>
          <w:rFonts w:eastAsia="Segoe UI" w:cstheme="minorHAnsi"/>
          <w:color w:val="011A3C"/>
          <w:sz w:val="24"/>
          <w:szCs w:val="24"/>
          <w:lang w:val="en" w:eastAsia="en-AU"/>
        </w:rPr>
        <w:t>,</w:t>
      </w:r>
      <w:r w:rsidR="000B0EF3" w:rsidRPr="000B0EF3">
        <w:rPr>
          <w:rFonts w:eastAsia="Segoe UI" w:cstheme="minorHAnsi"/>
          <w:color w:val="011A3C"/>
          <w:sz w:val="24"/>
          <w:szCs w:val="24"/>
          <w:lang w:val="en" w:eastAsia="en-AU"/>
        </w:rPr>
        <w:t>266.78</w:t>
      </w:r>
    </w:p>
    <w:p w14:paraId="5632FA29" w14:textId="01F149F3" w:rsidR="005D5E2A" w:rsidRPr="0082534A" w:rsidRDefault="005D5E2A" w:rsidP="00F56244">
      <w:pPr>
        <w:pStyle w:val="ListParagraph"/>
        <w:numPr>
          <w:ilvl w:val="0"/>
          <w:numId w:val="80"/>
        </w:numPr>
        <w:spacing w:before="100" w:beforeAutospacing="1" w:after="100" w:afterAutospacing="1" w:line="240" w:lineRule="auto"/>
        <w:rPr>
          <w:rFonts w:eastAsia="Segoe UI" w:cstheme="minorHAnsi"/>
          <w:color w:val="011A3C"/>
          <w:sz w:val="24"/>
          <w:szCs w:val="24"/>
          <w:lang w:val="en" w:eastAsia="en-AU"/>
        </w:rPr>
      </w:pPr>
      <w:r w:rsidRPr="0082534A">
        <w:rPr>
          <w:rFonts w:eastAsia="Segoe UI" w:cstheme="minorHAnsi"/>
          <w:color w:val="011A3C"/>
          <w:sz w:val="24"/>
          <w:szCs w:val="24"/>
          <w:lang w:val="en" w:eastAsia="en-AU"/>
        </w:rPr>
        <w:t>Secondary</w:t>
      </w:r>
      <w:r w:rsidR="00AE1CE2">
        <w:rPr>
          <w:rFonts w:eastAsia="Segoe UI" w:cstheme="minorHAnsi"/>
          <w:color w:val="011A3C"/>
          <w:sz w:val="24"/>
          <w:szCs w:val="24"/>
          <w:lang w:val="en" w:eastAsia="en-AU"/>
        </w:rPr>
        <w:t>:</w:t>
      </w:r>
      <w:r w:rsidRPr="0082534A">
        <w:rPr>
          <w:rFonts w:eastAsia="Segoe UI" w:cstheme="minorHAnsi"/>
          <w:color w:val="011A3C"/>
          <w:sz w:val="24"/>
          <w:szCs w:val="24"/>
          <w:lang w:val="en" w:eastAsia="en-AU"/>
        </w:rPr>
        <w:t xml:space="preserve"> </w:t>
      </w:r>
      <w:r w:rsidR="0084608C" w:rsidRPr="0082534A">
        <w:rPr>
          <w:rFonts w:eastAsia="Segoe UI" w:cstheme="minorHAnsi"/>
          <w:color w:val="011A3C"/>
          <w:sz w:val="24"/>
          <w:szCs w:val="24"/>
          <w:lang w:val="en" w:eastAsia="en-AU"/>
        </w:rPr>
        <w:t>$</w:t>
      </w:r>
      <w:r w:rsidR="00816134" w:rsidRPr="00816134">
        <w:t xml:space="preserve"> </w:t>
      </w:r>
      <w:r w:rsidR="00816134" w:rsidRPr="00816134">
        <w:rPr>
          <w:rFonts w:eastAsia="Segoe UI" w:cstheme="minorHAnsi"/>
          <w:color w:val="011A3C"/>
          <w:sz w:val="24"/>
          <w:szCs w:val="24"/>
          <w:lang w:val="en" w:eastAsia="en-AU"/>
        </w:rPr>
        <w:t>53</w:t>
      </w:r>
      <w:r w:rsidR="00816134">
        <w:rPr>
          <w:rFonts w:eastAsia="Segoe UI" w:cstheme="minorHAnsi"/>
          <w:color w:val="011A3C"/>
          <w:sz w:val="24"/>
          <w:szCs w:val="24"/>
          <w:lang w:val="en" w:eastAsia="en-AU"/>
        </w:rPr>
        <w:t>,</w:t>
      </w:r>
      <w:r w:rsidR="00816134" w:rsidRPr="00816134">
        <w:rPr>
          <w:rFonts w:eastAsia="Segoe UI" w:cstheme="minorHAnsi"/>
          <w:color w:val="011A3C"/>
          <w:sz w:val="24"/>
          <w:szCs w:val="24"/>
          <w:lang w:val="en" w:eastAsia="en-AU"/>
        </w:rPr>
        <w:t>911.9</w:t>
      </w:r>
      <w:r w:rsidR="00816134">
        <w:rPr>
          <w:rFonts w:eastAsia="Segoe UI" w:cstheme="minorHAnsi"/>
          <w:color w:val="011A3C"/>
          <w:sz w:val="24"/>
          <w:szCs w:val="24"/>
          <w:lang w:val="en" w:eastAsia="en-AU"/>
        </w:rPr>
        <w:t>0</w:t>
      </w:r>
    </w:p>
    <w:p w14:paraId="1CB9E72C" w14:textId="48DC7A2B" w:rsidR="005D5E2A" w:rsidRPr="00260C1D" w:rsidRDefault="005D5E2A" w:rsidP="00C370BC">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 xml:space="preserve">List 2: Average </w:t>
      </w:r>
      <w:r w:rsidR="00C75EB1">
        <w:rPr>
          <w:rFonts w:eastAsia="Segoe UI" w:cstheme="minorHAnsi"/>
          <w:b/>
          <w:color w:val="011A3C"/>
          <w:sz w:val="24"/>
          <w:szCs w:val="24"/>
          <w:lang w:val="en" w:eastAsia="en-AU"/>
        </w:rPr>
        <w:t>teacher rates</w:t>
      </w:r>
    </w:p>
    <w:p w14:paraId="22E653D6" w14:textId="63BE1948"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Primary schools receive a total of </w:t>
      </w:r>
      <w:r w:rsidR="000F5F3F" w:rsidRPr="00260C1D">
        <w:rPr>
          <w:rFonts w:eastAsia="Segoe UI" w:cstheme="minorHAnsi"/>
          <w:color w:val="011A3C"/>
          <w:sz w:val="24"/>
          <w:szCs w:val="24"/>
          <w:lang w:val="en" w:eastAsia="en-AU"/>
        </w:rPr>
        <w:t>$</w:t>
      </w:r>
      <w:r w:rsidR="0062557C" w:rsidRPr="0062557C">
        <w:rPr>
          <w:rFonts w:eastAsia="Segoe UI" w:cstheme="minorHAnsi"/>
          <w:color w:val="011A3C"/>
          <w:sz w:val="24"/>
          <w:szCs w:val="24"/>
          <w:lang w:val="en" w:eastAsia="en-AU"/>
        </w:rPr>
        <w:t>134,074</w:t>
      </w:r>
      <w:r w:rsidR="008552BC"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made up of:</w:t>
      </w:r>
    </w:p>
    <w:p w14:paraId="68CDAD70" w14:textId="0EDCC8BC" w:rsidR="00153A83" w:rsidRPr="00260C1D" w:rsidRDefault="005D5E2A">
      <w:pPr>
        <w:pStyle w:val="ListParagraph"/>
        <w:numPr>
          <w:ilvl w:val="0"/>
          <w:numId w:val="80"/>
        </w:numPr>
        <w:spacing w:before="100" w:beforeAutospacing="1" w:after="100" w:afterAutospacing="1" w:line="240" w:lineRule="auto"/>
        <w:rPr>
          <w:rFonts w:eastAsia="Segoe UI" w:cstheme="minorHAnsi"/>
          <w:color w:val="011A3C"/>
          <w:sz w:val="24"/>
          <w:szCs w:val="24"/>
          <w:lang w:val="en" w:eastAsia="en-AU"/>
        </w:rPr>
      </w:pPr>
      <w:bookmarkStart w:id="97" w:name="_Hlk144472467"/>
      <w:r w:rsidRPr="00153A83">
        <w:rPr>
          <w:rFonts w:eastAsia="Segoe UI" w:cstheme="minorHAnsi"/>
          <w:color w:val="011A3C"/>
          <w:sz w:val="24"/>
          <w:szCs w:val="24"/>
          <w:lang w:val="en" w:eastAsia="en-AU"/>
        </w:rPr>
        <w:t xml:space="preserve">Credit: </w:t>
      </w:r>
      <w:r w:rsidR="00AE1CE2" w:rsidRPr="00153A83">
        <w:rPr>
          <w:rFonts w:eastAsia="Segoe UI" w:cstheme="minorHAnsi"/>
          <w:color w:val="011A3C"/>
          <w:sz w:val="24"/>
          <w:szCs w:val="24"/>
          <w:lang w:val="en" w:eastAsia="en-AU"/>
        </w:rPr>
        <w:t>$</w:t>
      </w:r>
      <w:r w:rsidR="00153A83" w:rsidRPr="00153A83">
        <w:rPr>
          <w:rFonts w:eastAsia="Segoe UI" w:cstheme="minorHAnsi"/>
          <w:color w:val="011A3C"/>
          <w:sz w:val="24"/>
          <w:szCs w:val="24"/>
          <w:lang w:val="en" w:eastAsia="en-AU"/>
        </w:rPr>
        <w:t>130,828</w:t>
      </w:r>
    </w:p>
    <w:p w14:paraId="7EA692A9" w14:textId="6CB9ED20" w:rsidR="005D5E2A" w:rsidRPr="00153A83" w:rsidRDefault="005D5E2A">
      <w:pPr>
        <w:pStyle w:val="ListParagraph"/>
        <w:numPr>
          <w:ilvl w:val="0"/>
          <w:numId w:val="80"/>
        </w:numPr>
        <w:spacing w:before="100" w:beforeAutospacing="1" w:after="100" w:afterAutospacing="1" w:line="240" w:lineRule="auto"/>
        <w:rPr>
          <w:rFonts w:eastAsia="Segoe UI" w:cstheme="minorHAnsi"/>
          <w:color w:val="011A3C"/>
          <w:sz w:val="24"/>
          <w:szCs w:val="24"/>
          <w:lang w:val="en" w:eastAsia="en-AU"/>
        </w:rPr>
      </w:pPr>
      <w:r w:rsidRPr="00153A83">
        <w:rPr>
          <w:rFonts w:eastAsia="Segoe UI" w:cstheme="minorHAnsi"/>
          <w:color w:val="011A3C"/>
          <w:sz w:val="24"/>
          <w:szCs w:val="24"/>
          <w:lang w:val="en" w:eastAsia="en-AU"/>
        </w:rPr>
        <w:t xml:space="preserve">Cash: </w:t>
      </w:r>
      <w:r w:rsidR="00AE1CE2" w:rsidRPr="00153A83">
        <w:rPr>
          <w:rFonts w:eastAsia="Segoe UI" w:cstheme="minorHAnsi"/>
          <w:color w:val="011A3C"/>
          <w:sz w:val="24"/>
          <w:szCs w:val="24"/>
          <w:lang w:val="en" w:eastAsia="en-AU"/>
        </w:rPr>
        <w:t>$</w:t>
      </w:r>
      <w:r w:rsidR="007859F1" w:rsidRPr="007859F1">
        <w:t xml:space="preserve"> </w:t>
      </w:r>
      <w:r w:rsidR="007859F1" w:rsidRPr="00153A83">
        <w:rPr>
          <w:rFonts w:eastAsia="Segoe UI" w:cstheme="minorHAnsi"/>
          <w:color w:val="011A3C"/>
          <w:sz w:val="24"/>
          <w:szCs w:val="24"/>
          <w:lang w:val="en" w:eastAsia="en-AU"/>
        </w:rPr>
        <w:t>3,246</w:t>
      </w:r>
    </w:p>
    <w:bookmarkEnd w:id="97"/>
    <w:p w14:paraId="57554B77" w14:textId="08469B86" w:rsidR="005D5E2A" w:rsidRPr="00260C1D" w:rsidRDefault="005D5E2A" w:rsidP="005D5E2A">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Secondary schools receive a total of </w:t>
      </w:r>
      <w:r w:rsidR="000F5F3F" w:rsidRPr="00260C1D">
        <w:rPr>
          <w:rFonts w:eastAsia="Segoe UI" w:cstheme="minorHAnsi"/>
          <w:color w:val="011A3C"/>
          <w:sz w:val="24"/>
          <w:szCs w:val="24"/>
          <w:lang w:val="en" w:eastAsia="en-AU"/>
        </w:rPr>
        <w:t>$</w:t>
      </w:r>
      <w:r w:rsidR="00F55FD7" w:rsidRPr="00F55FD7">
        <w:rPr>
          <w:rFonts w:eastAsia="Segoe UI" w:cstheme="minorHAnsi"/>
          <w:color w:val="011A3C"/>
          <w:sz w:val="24"/>
          <w:szCs w:val="24"/>
          <w:lang w:val="en" w:eastAsia="en-AU"/>
        </w:rPr>
        <w:t>133,660</w:t>
      </w:r>
      <w:r w:rsidR="008552BC"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made up of:</w:t>
      </w:r>
    </w:p>
    <w:p w14:paraId="7D6419C1" w14:textId="17C91F2D" w:rsidR="008552BC" w:rsidRPr="00260C1D" w:rsidRDefault="005D5E2A" w:rsidP="00F56244">
      <w:pPr>
        <w:pStyle w:val="ListParagraph"/>
        <w:numPr>
          <w:ilvl w:val="0"/>
          <w:numId w:val="80"/>
        </w:numPr>
        <w:spacing w:before="100" w:beforeAutospacing="1" w:after="100" w:afterAutospacing="1" w:line="240" w:lineRule="auto"/>
        <w:rPr>
          <w:rFonts w:eastAsia="Segoe UI" w:cstheme="minorHAnsi"/>
          <w:color w:val="011A3C"/>
          <w:sz w:val="24"/>
          <w:szCs w:val="24"/>
          <w:lang w:val="en" w:eastAsia="en-AU"/>
        </w:rPr>
      </w:pPr>
      <w:bookmarkStart w:id="98" w:name="_Hlk144472482"/>
      <w:r w:rsidRPr="00260C1D">
        <w:rPr>
          <w:rFonts w:eastAsia="Segoe UI" w:cstheme="minorHAnsi"/>
          <w:color w:val="011A3C"/>
          <w:sz w:val="24"/>
          <w:szCs w:val="24"/>
          <w:lang w:val="en" w:eastAsia="en-AU"/>
        </w:rPr>
        <w:t xml:space="preserve">Credit: </w:t>
      </w:r>
      <w:r w:rsidR="0094237B">
        <w:rPr>
          <w:rFonts w:eastAsia="Segoe UI" w:cstheme="minorHAnsi"/>
          <w:color w:val="011A3C"/>
          <w:sz w:val="24"/>
          <w:szCs w:val="24"/>
          <w:lang w:val="en" w:eastAsia="en-AU"/>
        </w:rPr>
        <w:t>$</w:t>
      </w:r>
      <w:r w:rsidR="00CD0C22" w:rsidRPr="00CD0C22">
        <w:rPr>
          <w:rFonts w:eastAsia="Segoe UI" w:cstheme="minorHAnsi"/>
          <w:color w:val="011A3C"/>
          <w:sz w:val="24"/>
          <w:szCs w:val="24"/>
          <w:lang w:val="en" w:eastAsia="en-AU"/>
        </w:rPr>
        <w:t>131,974</w:t>
      </w:r>
    </w:p>
    <w:p w14:paraId="269EC976" w14:textId="1F168595" w:rsidR="008552BC" w:rsidRPr="00260C1D" w:rsidRDefault="005D5E2A" w:rsidP="00F56244">
      <w:pPr>
        <w:pStyle w:val="ListParagraph"/>
        <w:numPr>
          <w:ilvl w:val="0"/>
          <w:numId w:val="80"/>
        </w:num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Cash: </w:t>
      </w:r>
      <w:r w:rsidR="0094237B">
        <w:rPr>
          <w:rFonts w:eastAsia="Segoe UI" w:cstheme="minorHAnsi"/>
          <w:color w:val="011A3C"/>
          <w:sz w:val="24"/>
          <w:szCs w:val="24"/>
          <w:lang w:val="en" w:eastAsia="en-AU"/>
        </w:rPr>
        <w:t>$</w:t>
      </w:r>
      <w:r w:rsidR="006A5DA1" w:rsidRPr="00260C1D">
        <w:rPr>
          <w:rFonts w:eastAsia="Segoe UI" w:cstheme="minorHAnsi"/>
          <w:color w:val="011A3C"/>
          <w:sz w:val="24"/>
          <w:szCs w:val="24"/>
          <w:lang w:val="en" w:eastAsia="en-AU"/>
        </w:rPr>
        <w:t>1,6</w:t>
      </w:r>
      <w:r w:rsidR="00BB2368">
        <w:rPr>
          <w:rFonts w:eastAsia="Segoe UI" w:cstheme="minorHAnsi"/>
          <w:color w:val="011A3C"/>
          <w:sz w:val="24"/>
          <w:szCs w:val="24"/>
          <w:lang w:val="en" w:eastAsia="en-AU"/>
        </w:rPr>
        <w:t>86</w:t>
      </w:r>
    </w:p>
    <w:bookmarkEnd w:id="98"/>
    <w:p w14:paraId="02BC04CA" w14:textId="01DE7BF0" w:rsidR="00C75EB1" w:rsidRDefault="005D5E2A" w:rsidP="00C75EB1">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Teacher salary charges to schools will continue to be based on actual payroll debits for individual staff as reflected on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This includes the actual cost of annual leave loading and all allowances, such as higher duties and special payments. Also included are non-cash benefits for teachers.</w:t>
      </w:r>
      <w:bookmarkEnd w:id="85"/>
    </w:p>
    <w:p w14:paraId="02106093" w14:textId="77777777" w:rsidR="00C75EB1" w:rsidRDefault="00C75EB1" w:rsidP="00C75EB1">
      <w:pPr>
        <w:spacing w:before="100" w:beforeAutospacing="1" w:after="100" w:afterAutospacing="1" w:line="288" w:lineRule="atLeast"/>
        <w:outlineLvl w:val="3"/>
        <w:rPr>
          <w:rFonts w:eastAsia="Segoe UI" w:cstheme="minorHAnsi"/>
          <w:b/>
          <w:color w:val="011A3C"/>
          <w:sz w:val="27"/>
          <w:szCs w:val="27"/>
          <w:lang w:val="en" w:eastAsia="en-AU"/>
        </w:rPr>
      </w:pPr>
      <w:r>
        <w:rPr>
          <w:rFonts w:eastAsia="Segoe UI" w:cstheme="minorHAnsi"/>
          <w:b/>
          <w:color w:val="011A3C"/>
          <w:sz w:val="27"/>
          <w:szCs w:val="27"/>
          <w:lang w:val="en" w:eastAsia="en-AU"/>
        </w:rPr>
        <w:t xml:space="preserve">Applications from English language schools and </w:t>
      </w:r>
      <w:proofErr w:type="spellStart"/>
      <w:r>
        <w:rPr>
          <w:rFonts w:eastAsia="Segoe UI" w:cstheme="minorHAnsi"/>
          <w:b/>
          <w:color w:val="011A3C"/>
          <w:sz w:val="27"/>
          <w:szCs w:val="27"/>
          <w:lang w:val="en" w:eastAsia="en-AU"/>
        </w:rPr>
        <w:t>centres</w:t>
      </w:r>
      <w:proofErr w:type="spellEnd"/>
    </w:p>
    <w:p w14:paraId="49559ACE" w14:textId="3E0F7514" w:rsidR="00C75EB1" w:rsidRDefault="00C75EB1" w:rsidP="00C75EB1">
      <w:pPr>
        <w:spacing w:before="100" w:beforeAutospacing="1" w:after="100" w:afterAutospacing="1"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 xml:space="preserve">English language schools and </w:t>
      </w:r>
      <w:proofErr w:type="spellStart"/>
      <w:r>
        <w:rPr>
          <w:rFonts w:eastAsia="Segoe UI" w:cstheme="minorHAnsi"/>
          <w:color w:val="011A3C"/>
          <w:sz w:val="24"/>
          <w:szCs w:val="24"/>
          <w:lang w:val="en" w:eastAsia="en-AU"/>
        </w:rPr>
        <w:t>centres</w:t>
      </w:r>
      <w:proofErr w:type="spellEnd"/>
      <w:r>
        <w:rPr>
          <w:rFonts w:eastAsia="Segoe UI" w:cstheme="minorHAnsi"/>
          <w:color w:val="011A3C"/>
          <w:sz w:val="24"/>
          <w:szCs w:val="24"/>
          <w:lang w:val="en" w:eastAsia="en-AU"/>
        </w:rPr>
        <w:t xml:space="preserve"> should use the Request for EAL Contingency Funding for New Arrivals Provision form to discuss changed provision needs with their Regional Service Support Branch Manager, then email the form to: </w:t>
      </w:r>
      <w:hyperlink r:id="rId74" w:history="1">
        <w:r>
          <w:rPr>
            <w:rStyle w:val="Hyperlink"/>
            <w:rFonts w:eastAsia="Century Gothic"/>
            <w:sz w:val="24"/>
            <w:szCs w:val="24"/>
            <w:lang w:val="en-GB"/>
          </w:rPr>
          <w:t>eal@education.vic.gov.au</w:t>
        </w:r>
      </w:hyperlink>
    </w:p>
    <w:p w14:paraId="7420B289" w14:textId="77777777" w:rsidR="00C75EB1" w:rsidRDefault="00C75EB1" w:rsidP="00C75EB1">
      <w:pPr>
        <w:spacing w:before="100" w:beforeAutospacing="1" w:after="100" w:afterAutospacing="1"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 xml:space="preserve">English language schools or </w:t>
      </w:r>
      <w:proofErr w:type="spellStart"/>
      <w:r>
        <w:rPr>
          <w:rFonts w:eastAsia="Segoe UI" w:cstheme="minorHAnsi"/>
          <w:color w:val="011A3C"/>
          <w:sz w:val="24"/>
          <w:szCs w:val="24"/>
          <w:lang w:val="en" w:eastAsia="en-AU"/>
        </w:rPr>
        <w:t>centres</w:t>
      </w:r>
      <w:proofErr w:type="spellEnd"/>
      <w:r>
        <w:rPr>
          <w:rFonts w:eastAsia="Segoe UI" w:cstheme="minorHAnsi"/>
          <w:color w:val="011A3C"/>
          <w:sz w:val="24"/>
          <w:szCs w:val="24"/>
          <w:lang w:val="en" w:eastAsia="en-AU"/>
        </w:rPr>
        <w:t xml:space="preserve"> that apply within the first 5 weeks of term and meet eligibility requirements are funded for that term and any other remaining terms in the school year.</w:t>
      </w:r>
    </w:p>
    <w:p w14:paraId="256E24F0" w14:textId="77777777" w:rsidR="00C75EB1" w:rsidRDefault="00C75EB1" w:rsidP="00C75EB1">
      <w:pPr>
        <w:spacing w:before="100" w:beforeAutospacing="1" w:after="100" w:afterAutospacing="1"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lastRenderedPageBreak/>
        <w:t xml:space="preserve">English language schools or </w:t>
      </w:r>
      <w:proofErr w:type="spellStart"/>
      <w:r>
        <w:rPr>
          <w:rFonts w:eastAsia="Segoe UI" w:cstheme="minorHAnsi"/>
          <w:color w:val="011A3C"/>
          <w:sz w:val="24"/>
          <w:szCs w:val="24"/>
          <w:lang w:val="en" w:eastAsia="en-AU"/>
        </w:rPr>
        <w:t>centres</w:t>
      </w:r>
      <w:proofErr w:type="spellEnd"/>
      <w:r>
        <w:rPr>
          <w:rFonts w:eastAsia="Segoe UI" w:cstheme="minorHAnsi"/>
          <w:color w:val="011A3C"/>
          <w:sz w:val="24"/>
          <w:szCs w:val="24"/>
          <w:lang w:val="en" w:eastAsia="en-AU"/>
        </w:rPr>
        <w:t xml:space="preserve"> that apply in week 6 or beyond and meet eligibility requirements are funded for the following and any remaining terms of the school year.</w:t>
      </w:r>
    </w:p>
    <w:p w14:paraId="0D8BC5B6" w14:textId="77777777" w:rsidR="00C75EB1" w:rsidRDefault="00C75EB1" w:rsidP="00C75EB1">
      <w:pPr>
        <w:spacing w:before="100" w:beforeAutospacing="1" w:after="100" w:afterAutospacing="1"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 xml:space="preserve">All English language schools or </w:t>
      </w:r>
      <w:proofErr w:type="spellStart"/>
      <w:r>
        <w:rPr>
          <w:rFonts w:eastAsia="Segoe UI" w:cstheme="minorHAnsi"/>
          <w:color w:val="011A3C"/>
          <w:sz w:val="24"/>
          <w:szCs w:val="24"/>
          <w:lang w:val="en" w:eastAsia="en-AU"/>
        </w:rPr>
        <w:t>centres</w:t>
      </w:r>
      <w:proofErr w:type="spellEnd"/>
      <w:r>
        <w:rPr>
          <w:rFonts w:eastAsia="Segoe UI" w:cstheme="minorHAnsi"/>
          <w:color w:val="011A3C"/>
          <w:sz w:val="24"/>
          <w:szCs w:val="24"/>
          <w:lang w:val="en" w:eastAsia="en-AU"/>
        </w:rPr>
        <w:t xml:space="preserve"> are notified when their request has been assessed, with further notification of their total funding after it has been approved. Payment is made through the Student Resource Package (SRP) at the end of each applicable term.</w:t>
      </w:r>
    </w:p>
    <w:p w14:paraId="462C8546" w14:textId="77777777" w:rsidR="005D5E2A" w:rsidRPr="00260C1D" w:rsidRDefault="005D5E2A" w:rsidP="00C370BC">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For English language schools and </w:t>
      </w:r>
      <w:proofErr w:type="spellStart"/>
      <w:r w:rsidRPr="00260C1D">
        <w:rPr>
          <w:rFonts w:eastAsia="Segoe UI" w:cstheme="minorHAnsi"/>
          <w:color w:val="011A3C"/>
          <w:sz w:val="24"/>
          <w:szCs w:val="24"/>
          <w:lang w:val="en" w:eastAsia="en-AU"/>
        </w:rPr>
        <w:t>centres</w:t>
      </w:r>
      <w:proofErr w:type="spellEnd"/>
      <w:r w:rsidRPr="00260C1D">
        <w:rPr>
          <w:rFonts w:eastAsia="Segoe UI" w:cstheme="minorHAnsi"/>
          <w:color w:val="011A3C"/>
          <w:sz w:val="24"/>
          <w:szCs w:val="24"/>
          <w:lang w:val="en" w:eastAsia="en-AU"/>
        </w:rPr>
        <w:t xml:space="preserve"> and the Virtual New Arrivals Program, each additional class to be provided attracts 1.0 FTE at the average teacher rate, paid pro-rata for the period for which the class will be required.</w:t>
      </w:r>
    </w:p>
    <w:p w14:paraId="3501A413" w14:textId="77777777" w:rsidR="00C75EB1" w:rsidRDefault="00C75EB1" w:rsidP="00C75EB1">
      <w:pPr>
        <w:spacing w:before="100" w:beforeAutospacing="1" w:after="100" w:afterAutospacing="1" w:line="288" w:lineRule="atLeast"/>
        <w:outlineLvl w:val="3"/>
        <w:rPr>
          <w:rFonts w:eastAsia="Segoe UI" w:cstheme="minorHAnsi"/>
          <w:b/>
          <w:color w:val="011A3C"/>
          <w:sz w:val="24"/>
          <w:szCs w:val="24"/>
          <w:lang w:val="en" w:eastAsia="en-AU"/>
        </w:rPr>
      </w:pPr>
      <w:r>
        <w:rPr>
          <w:rFonts w:eastAsia="Segoe UI" w:cstheme="minorHAnsi"/>
          <w:b/>
          <w:color w:val="011A3C"/>
          <w:sz w:val="24"/>
          <w:szCs w:val="24"/>
          <w:lang w:val="en" w:eastAsia="en-AU"/>
        </w:rPr>
        <w:t>Average teacher rates</w:t>
      </w:r>
    </w:p>
    <w:p w14:paraId="1B0037FC" w14:textId="720B52D5" w:rsidR="00C75EB1" w:rsidRDefault="00C75EB1" w:rsidP="00C75EB1">
      <w:pPr>
        <w:spacing w:before="100" w:beforeAutospacing="1" w:after="100" w:afterAutospacing="1"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 xml:space="preserve">Primary schools receive a total of </w:t>
      </w:r>
      <w:r w:rsidR="00F16616" w:rsidRPr="00F16616">
        <w:rPr>
          <w:rFonts w:eastAsia="Segoe UI" w:cstheme="minorHAnsi"/>
          <w:color w:val="011A3C"/>
          <w:sz w:val="24"/>
          <w:szCs w:val="24"/>
          <w:lang w:val="en" w:eastAsia="en-AU"/>
        </w:rPr>
        <w:t xml:space="preserve">$134,074 </w:t>
      </w:r>
      <w:r>
        <w:rPr>
          <w:rFonts w:eastAsia="Segoe UI" w:cstheme="minorHAnsi"/>
          <w:color w:val="011A3C"/>
          <w:sz w:val="24"/>
          <w:szCs w:val="24"/>
          <w:lang w:val="en" w:eastAsia="en-AU"/>
        </w:rPr>
        <w:t>made up of:</w:t>
      </w:r>
    </w:p>
    <w:p w14:paraId="64B37686" w14:textId="3775BC07" w:rsidR="00F16616" w:rsidRPr="00260C1D" w:rsidRDefault="00F16616" w:rsidP="00F16616">
      <w:pPr>
        <w:pStyle w:val="ListParagraph"/>
        <w:numPr>
          <w:ilvl w:val="0"/>
          <w:numId w:val="80"/>
        </w:numPr>
        <w:spacing w:before="100" w:beforeAutospacing="1" w:after="100" w:afterAutospacing="1" w:line="240" w:lineRule="auto"/>
        <w:rPr>
          <w:rFonts w:eastAsia="Segoe UI" w:cstheme="minorHAnsi"/>
          <w:color w:val="011A3C"/>
          <w:sz w:val="24"/>
          <w:szCs w:val="24"/>
          <w:lang w:val="en" w:eastAsia="en-AU"/>
        </w:rPr>
      </w:pPr>
      <w:r w:rsidRPr="00153A83">
        <w:rPr>
          <w:rFonts w:eastAsia="Segoe UI" w:cstheme="minorHAnsi"/>
          <w:color w:val="011A3C"/>
          <w:sz w:val="24"/>
          <w:szCs w:val="24"/>
          <w:lang w:val="en" w:eastAsia="en-AU"/>
        </w:rPr>
        <w:t>Credit: $130,828</w:t>
      </w:r>
    </w:p>
    <w:p w14:paraId="53D6E23F" w14:textId="3ABB1BC1" w:rsidR="00F16616" w:rsidRPr="00153A83" w:rsidRDefault="00F16616" w:rsidP="00F16616">
      <w:pPr>
        <w:pStyle w:val="ListParagraph"/>
        <w:numPr>
          <w:ilvl w:val="0"/>
          <w:numId w:val="80"/>
        </w:numPr>
        <w:spacing w:before="100" w:beforeAutospacing="1" w:after="100" w:afterAutospacing="1" w:line="240" w:lineRule="auto"/>
        <w:rPr>
          <w:rFonts w:eastAsia="Segoe UI" w:cstheme="minorHAnsi"/>
          <w:color w:val="011A3C"/>
          <w:sz w:val="24"/>
          <w:szCs w:val="24"/>
          <w:lang w:val="en" w:eastAsia="en-AU"/>
        </w:rPr>
      </w:pPr>
      <w:r w:rsidRPr="00153A83">
        <w:rPr>
          <w:rFonts w:eastAsia="Segoe UI" w:cstheme="minorHAnsi"/>
          <w:color w:val="011A3C"/>
          <w:sz w:val="24"/>
          <w:szCs w:val="24"/>
          <w:lang w:val="en" w:eastAsia="en-AU"/>
        </w:rPr>
        <w:t>Cash: $</w:t>
      </w:r>
      <w:r w:rsidRPr="007859F1">
        <w:t xml:space="preserve"> </w:t>
      </w:r>
      <w:r w:rsidRPr="00153A83">
        <w:rPr>
          <w:rFonts w:eastAsia="Segoe UI" w:cstheme="minorHAnsi"/>
          <w:color w:val="011A3C"/>
          <w:sz w:val="24"/>
          <w:szCs w:val="24"/>
          <w:lang w:val="en" w:eastAsia="en-AU"/>
        </w:rPr>
        <w:t>3,246</w:t>
      </w:r>
    </w:p>
    <w:p w14:paraId="4153555E" w14:textId="77777777" w:rsidR="00C75EB1" w:rsidRDefault="00C75EB1" w:rsidP="00C75EB1">
      <w:pPr>
        <w:spacing w:before="100" w:beforeAutospacing="1" w:after="100" w:afterAutospacing="1"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Secondary schools receive a total of $130,422 made up of:</w:t>
      </w:r>
    </w:p>
    <w:p w14:paraId="20FC21D9" w14:textId="37249255" w:rsidR="00F16616" w:rsidRPr="00260C1D" w:rsidRDefault="00F16616" w:rsidP="00F16616">
      <w:pPr>
        <w:pStyle w:val="ListParagraph"/>
        <w:numPr>
          <w:ilvl w:val="0"/>
          <w:numId w:val="80"/>
        </w:num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Credit: </w:t>
      </w:r>
      <w:r>
        <w:rPr>
          <w:rFonts w:eastAsia="Segoe UI" w:cstheme="minorHAnsi"/>
          <w:color w:val="011A3C"/>
          <w:sz w:val="24"/>
          <w:szCs w:val="24"/>
          <w:lang w:val="en" w:eastAsia="en-AU"/>
        </w:rPr>
        <w:t>$</w:t>
      </w:r>
      <w:r w:rsidRPr="00CD0C22">
        <w:rPr>
          <w:rFonts w:eastAsia="Segoe UI" w:cstheme="minorHAnsi"/>
          <w:color w:val="011A3C"/>
          <w:sz w:val="24"/>
          <w:szCs w:val="24"/>
          <w:lang w:val="en" w:eastAsia="en-AU"/>
        </w:rPr>
        <w:t>131,974</w:t>
      </w:r>
    </w:p>
    <w:p w14:paraId="03AB3CA8" w14:textId="110E8AD8" w:rsidR="00F16616" w:rsidRPr="00260C1D" w:rsidRDefault="00F16616" w:rsidP="00F16616">
      <w:pPr>
        <w:pStyle w:val="ListParagraph"/>
        <w:numPr>
          <w:ilvl w:val="0"/>
          <w:numId w:val="80"/>
        </w:num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Cash: </w:t>
      </w:r>
      <w:r>
        <w:rPr>
          <w:rFonts w:eastAsia="Segoe UI" w:cstheme="minorHAnsi"/>
          <w:color w:val="011A3C"/>
          <w:sz w:val="24"/>
          <w:szCs w:val="24"/>
          <w:lang w:val="en" w:eastAsia="en-AU"/>
        </w:rPr>
        <w:t>$</w:t>
      </w:r>
      <w:r w:rsidRPr="00260C1D">
        <w:rPr>
          <w:rFonts w:eastAsia="Segoe UI" w:cstheme="minorHAnsi"/>
          <w:color w:val="011A3C"/>
          <w:sz w:val="24"/>
          <w:szCs w:val="24"/>
          <w:lang w:val="en" w:eastAsia="en-AU"/>
        </w:rPr>
        <w:t>1,6</w:t>
      </w:r>
      <w:r>
        <w:rPr>
          <w:rFonts w:eastAsia="Segoe UI" w:cstheme="minorHAnsi"/>
          <w:color w:val="011A3C"/>
          <w:sz w:val="24"/>
          <w:szCs w:val="24"/>
          <w:lang w:val="en" w:eastAsia="en-AU"/>
        </w:rPr>
        <w:t>86</w:t>
      </w:r>
    </w:p>
    <w:p w14:paraId="7A12725E" w14:textId="77777777" w:rsidR="009E615E" w:rsidRPr="00260C1D" w:rsidRDefault="009E615E" w:rsidP="003F76E5">
      <w:pPr>
        <w:spacing w:before="100" w:beforeAutospacing="1" w:after="100" w:afterAutospacing="1" w:line="240" w:lineRule="auto"/>
        <w:rPr>
          <w:rFonts w:eastAsia="Segoe UI" w:cstheme="minorHAnsi"/>
          <w:color w:val="011A3C"/>
          <w:sz w:val="24"/>
          <w:szCs w:val="24"/>
          <w:lang w:val="en" w:eastAsia="en-AU"/>
        </w:rPr>
      </w:pPr>
    </w:p>
    <w:p w14:paraId="437DFFEA" w14:textId="77777777" w:rsidR="005D5E2A" w:rsidRPr="00260C1D" w:rsidRDefault="005D5E2A">
      <w:pPr>
        <w:rPr>
          <w:rFonts w:eastAsia="Segoe UI" w:cstheme="minorHAnsi"/>
          <w:b/>
          <w:kern w:val="36"/>
          <w:sz w:val="48"/>
          <w:szCs w:val="48"/>
          <w:lang w:eastAsia="en-AU"/>
        </w:rPr>
      </w:pPr>
      <w:r w:rsidRPr="00260C1D">
        <w:rPr>
          <w:rFonts w:cstheme="minorHAnsi"/>
        </w:rPr>
        <w:br w:type="page"/>
      </w:r>
    </w:p>
    <w:p w14:paraId="3DD39C0E" w14:textId="75AE814B" w:rsidR="000E377B" w:rsidRPr="00260C1D" w:rsidRDefault="000E377B" w:rsidP="00532A33">
      <w:pPr>
        <w:pStyle w:val="Heading2"/>
      </w:pPr>
      <w:bookmarkStart w:id="99" w:name="_Hlk76723291"/>
      <w:bookmarkStart w:id="100" w:name="_Toc141965250"/>
      <w:bookmarkStart w:id="101" w:name="_Toc145339580"/>
      <w:bookmarkStart w:id="102" w:name="_Toc153791903"/>
      <w:bookmarkStart w:id="103" w:name="_Hlk112067924"/>
      <w:r w:rsidRPr="00260C1D">
        <w:lastRenderedPageBreak/>
        <w:t xml:space="preserve">Disability Inclusion Tier 2 School Level Funding </w:t>
      </w:r>
      <w:bookmarkEnd w:id="99"/>
      <w:r w:rsidRPr="00260C1D">
        <w:t>(Reference 137)</w:t>
      </w:r>
      <w:bookmarkEnd w:id="100"/>
      <w:bookmarkEnd w:id="101"/>
      <w:bookmarkEnd w:id="102"/>
    </w:p>
    <w:bookmarkEnd w:id="103"/>
    <w:p w14:paraId="7A16A2AB" w14:textId="137CC50B" w:rsidR="000E377B" w:rsidRPr="00260C1D" w:rsidRDefault="000E377B" w:rsidP="00801E6F">
      <w:pPr>
        <w:spacing w:before="120" w:after="120" w:line="360" w:lineRule="atLeast"/>
        <w:rPr>
          <w:rFonts w:eastAsia="Century Gothic" w:cstheme="minorHAnsi"/>
          <w:color w:val="9454C3"/>
          <w:sz w:val="24"/>
          <w:szCs w:val="24"/>
          <w:u w:val="single"/>
          <w:lang w:val="en-GB"/>
        </w:rPr>
      </w:pPr>
      <w:r w:rsidRPr="54961C12">
        <w:rPr>
          <w:rFonts w:eastAsia="Century Gothic"/>
          <w:color w:val="011A3C"/>
          <w:sz w:val="24"/>
          <w:szCs w:val="24"/>
          <w:lang w:val="en-GB"/>
        </w:rPr>
        <w:t>The Disability Inclusion reform package will introduce a new funding and support model for students with disability over a staged rollout between 2021 to 2025. Refer to:</w:t>
      </w:r>
      <w:r w:rsidRPr="54961C12">
        <w:rPr>
          <w:rFonts w:eastAsia="Century Gothic"/>
          <w:color w:val="011A3C"/>
          <w:lang w:val="en-GB"/>
        </w:rPr>
        <w:t xml:space="preserve"> </w:t>
      </w:r>
      <w:hyperlink r:id="rId75" w:history="1">
        <w:r w:rsidR="000B5B6E" w:rsidRPr="00B148A2">
          <w:rPr>
            <w:rStyle w:val="Hyperlink"/>
            <w:sz w:val="24"/>
            <w:lang w:val="en-GB"/>
          </w:rPr>
          <w:t>Disability Inclusion Funding and Support</w:t>
        </w:r>
      </w:hyperlink>
      <w:r w:rsidR="000B5B6E" w:rsidRPr="000B5B6E">
        <w:rPr>
          <w:rFonts w:eastAsia="Century Gothic"/>
          <w:color w:val="011A3C"/>
          <w:lang w:val="en-GB"/>
        </w:rPr>
        <w:t>.</w:t>
      </w:r>
      <w:r w:rsidR="000B5B6E">
        <w:rPr>
          <w:rFonts w:eastAsia="Century Gothic"/>
          <w:color w:val="011A3C"/>
          <w:lang w:val="en-GB"/>
        </w:rPr>
        <w:t xml:space="preserve"> </w:t>
      </w:r>
      <w:r w:rsidRPr="00260C1D">
        <w:rPr>
          <w:rFonts w:eastAsia="Century Gothic" w:cstheme="minorHAnsi"/>
          <w:sz w:val="24"/>
          <w:szCs w:val="24"/>
          <w:lang w:val="en-GB"/>
        </w:rPr>
        <w:fldChar w:fldCharType="begin"/>
      </w:r>
      <w:r w:rsidRPr="00260C1D">
        <w:rPr>
          <w:rFonts w:eastAsia="Arial" w:cstheme="minorHAnsi"/>
          <w:sz w:val="24"/>
          <w:szCs w:val="24"/>
          <w:lang w:val="en-GB"/>
        </w:rPr>
        <w:instrText xml:space="preserve"> HYPERLINK "https://www2.education.vic.gov.au/pal/disability-inclusion-funding-support/policy" </w:instrText>
      </w:r>
      <w:r w:rsidRPr="00260C1D">
        <w:rPr>
          <w:rFonts w:eastAsia="Century Gothic" w:cstheme="minorHAnsi"/>
          <w:sz w:val="24"/>
          <w:szCs w:val="24"/>
          <w:lang w:val="en-GB"/>
        </w:rPr>
      </w:r>
      <w:r w:rsidRPr="00260C1D">
        <w:rPr>
          <w:rFonts w:eastAsia="Century Gothic" w:cstheme="minorHAnsi"/>
          <w:sz w:val="24"/>
          <w:szCs w:val="24"/>
          <w:lang w:val="en-GB"/>
        </w:rPr>
        <w:fldChar w:fldCharType="separate"/>
      </w:r>
    </w:p>
    <w:p w14:paraId="516B754D" w14:textId="349FF88F" w:rsidR="000E377B" w:rsidRPr="00260C1D" w:rsidRDefault="000E377B" w:rsidP="004D307F">
      <w:pPr>
        <w:spacing w:before="120" w:after="120" w:line="360" w:lineRule="atLeast"/>
        <w:rPr>
          <w:rFonts w:eastAsia="Century Gothic" w:cstheme="minorHAnsi"/>
          <w:color w:val="011A3C"/>
          <w:sz w:val="24"/>
          <w:szCs w:val="24"/>
          <w:lang w:val="en-GB"/>
        </w:rPr>
      </w:pPr>
      <w:r w:rsidRPr="00260C1D">
        <w:rPr>
          <w:rFonts w:eastAsia="Century Gothic" w:cstheme="minorHAnsi"/>
          <w:sz w:val="24"/>
          <w:szCs w:val="24"/>
          <w:lang w:val="en-GB"/>
        </w:rPr>
        <w:fldChar w:fldCharType="end"/>
      </w:r>
      <w:r w:rsidRPr="00260C1D">
        <w:rPr>
          <w:rFonts w:eastAsia="Century Gothic" w:cstheme="minorHAnsi"/>
          <w:color w:val="011A3C"/>
          <w:sz w:val="24"/>
          <w:szCs w:val="24"/>
          <w:lang w:val="en-GB"/>
        </w:rPr>
        <w:t xml:space="preserve">Tier 2 school-level funding builds on the </w:t>
      </w:r>
      <w:hyperlink r:id="rId76" w:history="1">
        <w:r w:rsidRPr="00260C1D">
          <w:rPr>
            <w:rStyle w:val="Hyperlink"/>
            <w:rFonts w:eastAsia="Century Gothic" w:cstheme="minorHAnsi"/>
            <w:sz w:val="24"/>
            <w:szCs w:val="24"/>
            <w:lang w:val="en-GB"/>
          </w:rPr>
          <w:t>Core student learning allocation</w:t>
        </w:r>
      </w:hyperlink>
      <w:r w:rsidRPr="00260C1D">
        <w:rPr>
          <w:rFonts w:eastAsia="Century Gothic" w:cstheme="minorHAnsi"/>
          <w:color w:val="011A3C"/>
          <w:sz w:val="24"/>
          <w:szCs w:val="24"/>
          <w:lang w:val="en-GB"/>
        </w:rPr>
        <w:t xml:space="preserve"> funding by recognising that additional </w:t>
      </w:r>
      <w:r w:rsidR="00D524F6">
        <w:rPr>
          <w:rFonts w:eastAsia="Century Gothic" w:cstheme="minorHAnsi"/>
          <w:color w:val="011A3C"/>
          <w:sz w:val="24"/>
          <w:szCs w:val="24"/>
          <w:lang w:val="en-GB"/>
        </w:rPr>
        <w:t>resources</w:t>
      </w:r>
      <w:r w:rsidR="00D524F6" w:rsidRPr="00260C1D">
        <w:rPr>
          <w:rFonts w:eastAsia="Century Gothic" w:cstheme="minorHAnsi"/>
          <w:color w:val="011A3C"/>
          <w:sz w:val="24"/>
          <w:szCs w:val="24"/>
          <w:lang w:val="en-GB"/>
        </w:rPr>
        <w:t xml:space="preserve"> </w:t>
      </w:r>
      <w:r w:rsidRPr="00260C1D">
        <w:rPr>
          <w:rFonts w:eastAsia="Century Gothic" w:cstheme="minorHAnsi"/>
          <w:color w:val="011A3C"/>
          <w:sz w:val="24"/>
          <w:szCs w:val="24"/>
          <w:lang w:val="en-GB"/>
        </w:rPr>
        <w:t>will further strengthen school capacity (staff time and resources) and capability (staff skills and knowledge) to better meet the needs of students with disability. This also recognises that to meet the diverse needs of students with disability, increasing frequency and intensity of support can be required.</w:t>
      </w:r>
    </w:p>
    <w:p w14:paraId="227FFC7E" w14:textId="77777777" w:rsidR="000E377B" w:rsidRPr="00260C1D" w:rsidRDefault="000E377B" w:rsidP="004D307F">
      <w:pPr>
        <w:spacing w:before="120" w:after="120" w:line="360" w:lineRule="atLeast"/>
        <w:rPr>
          <w:rFonts w:eastAsia="Century Gothic" w:cstheme="minorHAnsi"/>
          <w:color w:val="011A3C"/>
          <w:sz w:val="24"/>
          <w:szCs w:val="24"/>
          <w:lang w:val="en-GB"/>
        </w:rPr>
      </w:pPr>
      <w:r w:rsidRPr="00260C1D">
        <w:rPr>
          <w:rFonts w:eastAsia="Century Gothic" w:cstheme="minorHAnsi"/>
          <w:color w:val="011A3C"/>
          <w:sz w:val="24"/>
          <w:szCs w:val="24"/>
          <w:lang w:val="en-GB"/>
        </w:rPr>
        <w:t>It is important to note that Tier 2 school level funding builds on the quality teaching and differentiated practice for all students, including students with disability delivered through Core student learning allocation funding.</w:t>
      </w:r>
    </w:p>
    <w:p w14:paraId="2306285F" w14:textId="780F5D50" w:rsidR="000E377B" w:rsidRPr="00260C1D" w:rsidRDefault="000E377B" w:rsidP="004D307F">
      <w:pPr>
        <w:spacing w:before="120" w:after="120" w:line="360" w:lineRule="atLeast"/>
        <w:rPr>
          <w:rFonts w:eastAsia="Century Gothic" w:cstheme="minorHAnsi"/>
          <w:color w:val="011A3C"/>
          <w:sz w:val="24"/>
          <w:szCs w:val="24"/>
          <w:lang w:val="en-GB"/>
        </w:rPr>
      </w:pPr>
      <w:r w:rsidRPr="00260C1D">
        <w:rPr>
          <w:rFonts w:eastAsia="Century Gothic" w:cstheme="minorHAnsi"/>
          <w:color w:val="011A3C"/>
          <w:sz w:val="24"/>
          <w:szCs w:val="24"/>
          <w:lang w:val="en-GB"/>
        </w:rPr>
        <w:t xml:space="preserve">Schools will use Tier 2 funding to develop more inclusive education environments, with flexibility to tailor support to their local context and needs of their student cohort. </w:t>
      </w:r>
      <w:r w:rsidRPr="00260C1D">
        <w:rPr>
          <w:rFonts w:eastAsia="Segoe UI" w:cstheme="minorHAnsi"/>
          <w:color w:val="011A3C"/>
          <w:sz w:val="24"/>
          <w:szCs w:val="24"/>
          <w:lang w:eastAsia="en-AU"/>
        </w:rPr>
        <w:t>Refer to the </w:t>
      </w:r>
      <w:hyperlink r:id="rId77" w:history="1">
        <w:r w:rsidRPr="00260C1D">
          <w:rPr>
            <w:rStyle w:val="Hyperlink"/>
            <w:rFonts w:cstheme="minorHAnsi"/>
            <w:sz w:val="24"/>
            <w:szCs w:val="24"/>
          </w:rPr>
          <w:t>Disability Inclusion Funding and Support Guidance tab</w:t>
        </w:r>
      </w:hyperlink>
      <w:r w:rsidRPr="00260C1D">
        <w:rPr>
          <w:rFonts w:eastAsia="Segoe UI" w:cstheme="minorHAnsi"/>
          <w:color w:val="011A3C"/>
          <w:sz w:val="24"/>
          <w:szCs w:val="24"/>
          <w:lang w:eastAsia="en-AU"/>
        </w:rPr>
        <w:t xml:space="preserve"> for </w:t>
      </w:r>
      <w:r w:rsidR="0013656A">
        <w:rPr>
          <w:rFonts w:eastAsia="Segoe UI" w:cstheme="minorHAnsi"/>
          <w:color w:val="011A3C"/>
          <w:sz w:val="24"/>
          <w:szCs w:val="24"/>
          <w:lang w:eastAsia="en-AU"/>
        </w:rPr>
        <w:t xml:space="preserve">advice on how to plan, implement and monitor </w:t>
      </w:r>
      <w:r w:rsidRPr="00260C1D">
        <w:rPr>
          <w:rFonts w:eastAsia="Segoe UI" w:cstheme="minorHAnsi"/>
          <w:color w:val="011A3C"/>
          <w:sz w:val="24"/>
          <w:szCs w:val="24"/>
          <w:lang w:eastAsia="en-AU"/>
        </w:rPr>
        <w:t>Tier 2 funding and support .</w:t>
      </w:r>
    </w:p>
    <w:p w14:paraId="3E4779A3" w14:textId="77777777" w:rsidR="000E377B" w:rsidRDefault="000E377B" w:rsidP="004D307F">
      <w:pPr>
        <w:spacing w:before="120" w:after="120" w:line="360" w:lineRule="atLeast"/>
        <w:rPr>
          <w:rFonts w:eastAsia="Century Gothic" w:cstheme="minorHAnsi"/>
          <w:color w:val="011A3C"/>
          <w:sz w:val="24"/>
          <w:szCs w:val="24"/>
          <w:lang w:val="en-GB"/>
        </w:rPr>
      </w:pPr>
      <w:r w:rsidRPr="00260C1D">
        <w:rPr>
          <w:rFonts w:eastAsia="Century Gothic" w:cstheme="minorHAnsi"/>
          <w:color w:val="011A3C"/>
          <w:sz w:val="24"/>
          <w:szCs w:val="24"/>
          <w:lang w:val="en-GB"/>
        </w:rPr>
        <w:t xml:space="preserve">Schools must make reasonable adjustments to ensure that students with disability can access and participate in education on the same basis as students without disability, regardless of the availability of additional funding. Refer to: </w:t>
      </w:r>
      <w:hyperlink r:id="rId78" w:history="1">
        <w:r w:rsidRPr="00260C1D">
          <w:rPr>
            <w:rStyle w:val="Hyperlink"/>
            <w:rFonts w:cstheme="minorHAnsi"/>
            <w:sz w:val="24"/>
            <w:szCs w:val="24"/>
          </w:rPr>
          <w:t>Students with Disability</w:t>
        </w:r>
      </w:hyperlink>
      <w:r w:rsidRPr="00260C1D">
        <w:rPr>
          <w:rFonts w:eastAsia="Century Gothic" w:cstheme="minorHAnsi"/>
          <w:color w:val="011A3C"/>
          <w:sz w:val="24"/>
          <w:szCs w:val="24"/>
          <w:lang w:val="en-GB"/>
        </w:rPr>
        <w:t>.</w:t>
      </w:r>
    </w:p>
    <w:p w14:paraId="4B0898ED" w14:textId="20DB731E" w:rsidR="000F1348" w:rsidRDefault="000F1348" w:rsidP="004D307F">
      <w:pPr>
        <w:spacing w:before="120" w:after="120" w:line="360" w:lineRule="atLeast"/>
        <w:rPr>
          <w:rFonts w:eastAsia="Century Gothic" w:cstheme="minorHAnsi"/>
          <w:color w:val="011A3C"/>
          <w:sz w:val="24"/>
          <w:szCs w:val="24"/>
          <w:lang w:val="en-GB"/>
        </w:rPr>
      </w:pPr>
      <w:r>
        <w:rPr>
          <w:rFonts w:eastAsia="Century Gothic" w:cstheme="minorHAnsi"/>
          <w:color w:val="011A3C"/>
          <w:sz w:val="24"/>
          <w:szCs w:val="24"/>
          <w:lang w:val="en-GB"/>
        </w:rPr>
        <w:t xml:space="preserve">All schools receiving Disability Tier 2 funding must plan expenditure </w:t>
      </w:r>
      <w:r w:rsidR="00C815D2">
        <w:rPr>
          <w:rFonts w:eastAsia="Century Gothic" w:cstheme="minorHAnsi"/>
          <w:color w:val="011A3C"/>
          <w:sz w:val="24"/>
          <w:szCs w:val="24"/>
          <w:lang w:val="en-GB"/>
        </w:rPr>
        <w:t>with</w:t>
      </w:r>
      <w:r w:rsidR="0041467F">
        <w:rPr>
          <w:rFonts w:eastAsia="Century Gothic" w:cstheme="minorHAnsi"/>
          <w:color w:val="011A3C"/>
          <w:sz w:val="24"/>
          <w:szCs w:val="24"/>
          <w:lang w:val="en-GB"/>
        </w:rPr>
        <w:t>in the</w:t>
      </w:r>
      <w:r w:rsidR="00C815D2">
        <w:rPr>
          <w:rFonts w:eastAsia="Century Gothic" w:cstheme="minorHAnsi"/>
          <w:color w:val="011A3C"/>
          <w:sz w:val="24"/>
          <w:szCs w:val="24"/>
          <w:lang w:val="en-GB"/>
        </w:rPr>
        <w:t xml:space="preserve"> school’s</w:t>
      </w:r>
      <w:r w:rsidR="0041467F">
        <w:rPr>
          <w:rFonts w:eastAsia="Century Gothic" w:cstheme="minorHAnsi"/>
          <w:color w:val="011A3C"/>
          <w:sz w:val="24"/>
          <w:szCs w:val="24"/>
          <w:lang w:val="en-GB"/>
        </w:rPr>
        <w:t xml:space="preserve"> Annual Implementation Plan</w:t>
      </w:r>
      <w:r w:rsidR="00357C79">
        <w:rPr>
          <w:rFonts w:eastAsia="Century Gothic" w:cstheme="minorHAnsi"/>
          <w:color w:val="011A3C"/>
          <w:sz w:val="24"/>
          <w:szCs w:val="24"/>
          <w:lang w:val="en-GB"/>
        </w:rPr>
        <w:t>, and document t</w:t>
      </w:r>
      <w:r w:rsidR="00886B9C">
        <w:rPr>
          <w:rFonts w:eastAsia="Century Gothic" w:cstheme="minorHAnsi"/>
          <w:color w:val="011A3C"/>
          <w:sz w:val="24"/>
          <w:szCs w:val="24"/>
          <w:lang w:val="en-GB"/>
        </w:rPr>
        <w:t>he plan in the Strategic Planning Online Tool (SPOT)</w:t>
      </w:r>
      <w:r w:rsidR="000B268C">
        <w:rPr>
          <w:rFonts w:eastAsia="Century Gothic" w:cstheme="minorHAnsi"/>
          <w:color w:val="011A3C"/>
          <w:sz w:val="24"/>
          <w:szCs w:val="24"/>
          <w:lang w:val="en-GB"/>
        </w:rPr>
        <w:t xml:space="preserve"> funding planner. Schools are required to report </w:t>
      </w:r>
      <w:r w:rsidR="0041075B">
        <w:rPr>
          <w:rFonts w:eastAsia="Century Gothic" w:cstheme="minorHAnsi"/>
          <w:color w:val="011A3C"/>
          <w:sz w:val="24"/>
          <w:szCs w:val="24"/>
          <w:lang w:val="en-GB"/>
        </w:rPr>
        <w:t xml:space="preserve">Tier 2 </w:t>
      </w:r>
      <w:r w:rsidR="000B268C">
        <w:rPr>
          <w:rFonts w:eastAsia="Century Gothic" w:cstheme="minorHAnsi"/>
          <w:color w:val="011A3C"/>
          <w:sz w:val="24"/>
          <w:szCs w:val="24"/>
          <w:lang w:val="en-GB"/>
        </w:rPr>
        <w:t xml:space="preserve">expenditure </w:t>
      </w:r>
      <w:r w:rsidR="00430EFC">
        <w:rPr>
          <w:rFonts w:eastAsia="Century Gothic" w:cstheme="minorHAnsi"/>
          <w:color w:val="011A3C"/>
          <w:sz w:val="24"/>
          <w:szCs w:val="24"/>
          <w:lang w:val="en-GB"/>
        </w:rPr>
        <w:t xml:space="preserve">using </w:t>
      </w:r>
      <w:proofErr w:type="spellStart"/>
      <w:r w:rsidR="00430EFC">
        <w:rPr>
          <w:rFonts w:eastAsia="Century Gothic" w:cstheme="minorHAnsi"/>
          <w:color w:val="011A3C"/>
          <w:sz w:val="24"/>
          <w:szCs w:val="24"/>
          <w:lang w:val="en-GB"/>
        </w:rPr>
        <w:t>eduPay</w:t>
      </w:r>
      <w:proofErr w:type="spellEnd"/>
      <w:r w:rsidR="00430EFC">
        <w:rPr>
          <w:rFonts w:eastAsia="Century Gothic" w:cstheme="minorHAnsi"/>
          <w:color w:val="011A3C"/>
          <w:sz w:val="24"/>
          <w:szCs w:val="24"/>
          <w:lang w:val="en-GB"/>
        </w:rPr>
        <w:t xml:space="preserve"> (for credit transactions) and CASES21 (for cash transa</w:t>
      </w:r>
      <w:r w:rsidR="007A45D0">
        <w:rPr>
          <w:rFonts w:eastAsia="Century Gothic" w:cstheme="minorHAnsi"/>
          <w:color w:val="011A3C"/>
          <w:sz w:val="24"/>
          <w:szCs w:val="24"/>
          <w:lang w:val="en-GB"/>
        </w:rPr>
        <w:t>c</w:t>
      </w:r>
      <w:r w:rsidR="00430EFC">
        <w:rPr>
          <w:rFonts w:eastAsia="Century Gothic" w:cstheme="minorHAnsi"/>
          <w:color w:val="011A3C"/>
          <w:sz w:val="24"/>
          <w:szCs w:val="24"/>
          <w:lang w:val="en-GB"/>
        </w:rPr>
        <w:t>tion</w:t>
      </w:r>
      <w:r w:rsidR="007A45D0">
        <w:rPr>
          <w:rFonts w:eastAsia="Century Gothic" w:cstheme="minorHAnsi"/>
          <w:color w:val="011A3C"/>
          <w:sz w:val="24"/>
          <w:szCs w:val="24"/>
          <w:lang w:val="en-GB"/>
        </w:rPr>
        <w:t>s)</w:t>
      </w:r>
      <w:r w:rsidR="005727B9">
        <w:rPr>
          <w:rFonts w:eastAsia="Century Gothic" w:cstheme="minorHAnsi"/>
          <w:color w:val="011A3C"/>
          <w:sz w:val="24"/>
          <w:szCs w:val="24"/>
          <w:lang w:val="en-GB"/>
        </w:rPr>
        <w:t>.</w:t>
      </w:r>
    </w:p>
    <w:p w14:paraId="7EB4285C" w14:textId="2FFA73BA" w:rsidR="00762AE2" w:rsidRDefault="00074BEE" w:rsidP="00095EA3">
      <w:pPr>
        <w:spacing w:before="120" w:after="240" w:line="360" w:lineRule="atLeast"/>
        <w:rPr>
          <w:rFonts w:eastAsia="Segoe UI" w:cstheme="minorHAnsi"/>
          <w:bCs/>
          <w:color w:val="011A3C"/>
          <w:sz w:val="24"/>
          <w:szCs w:val="24"/>
          <w:lang w:val="en" w:eastAsia="en-AU"/>
        </w:rPr>
      </w:pPr>
      <w:r w:rsidRPr="009B4DE1">
        <w:rPr>
          <w:rFonts w:eastAsia="Segoe UI" w:cstheme="minorHAnsi"/>
          <w:bCs/>
          <w:color w:val="011A3C"/>
          <w:sz w:val="24"/>
          <w:szCs w:val="24"/>
          <w:lang w:val="en" w:eastAsia="en-AU"/>
        </w:rPr>
        <w:t xml:space="preserve">Note: </w:t>
      </w:r>
      <w:r w:rsidR="009165BC" w:rsidRPr="00002266">
        <w:rPr>
          <w:rFonts w:eastAsia="Segoe UI" w:cstheme="minorHAnsi"/>
          <w:bCs/>
          <w:color w:val="011A3C"/>
          <w:sz w:val="24"/>
          <w:szCs w:val="24"/>
          <w:lang w:val="en" w:eastAsia="en-AU"/>
        </w:rPr>
        <w:t>Effective June 2023, the rollout of Tier 2 funding commenc</w:t>
      </w:r>
      <w:r w:rsidR="00F02A97">
        <w:rPr>
          <w:rFonts w:eastAsia="Segoe UI" w:cstheme="minorHAnsi"/>
          <w:bCs/>
          <w:color w:val="011A3C"/>
          <w:sz w:val="24"/>
          <w:szCs w:val="24"/>
          <w:lang w:val="en" w:eastAsia="en-AU"/>
        </w:rPr>
        <w:t>ed</w:t>
      </w:r>
      <w:r w:rsidR="009165BC" w:rsidRPr="00002266">
        <w:rPr>
          <w:rFonts w:eastAsia="Segoe UI" w:cstheme="minorHAnsi"/>
          <w:bCs/>
          <w:color w:val="011A3C"/>
          <w:sz w:val="24"/>
          <w:szCs w:val="24"/>
          <w:lang w:val="en" w:eastAsia="en-AU"/>
        </w:rPr>
        <w:t xml:space="preserve"> prior to the original schedule for Year 4 and 5 rollout schools. This</w:t>
      </w:r>
      <w:r w:rsidR="009165BC" w:rsidRPr="009165BC">
        <w:rPr>
          <w:rFonts w:eastAsia="Segoe UI" w:cstheme="minorHAnsi"/>
          <w:bCs/>
          <w:color w:val="011A3C"/>
          <w:sz w:val="24"/>
          <w:szCs w:val="24"/>
          <w:lang w:val="en" w:eastAsia="en-AU"/>
        </w:rPr>
        <w:t xml:space="preserve"> means that a half-year allocation </w:t>
      </w:r>
      <w:r w:rsidR="00066493">
        <w:rPr>
          <w:rFonts w:eastAsia="Segoe UI" w:cstheme="minorHAnsi"/>
          <w:bCs/>
          <w:color w:val="011A3C"/>
          <w:sz w:val="24"/>
          <w:szCs w:val="24"/>
          <w:lang w:val="en" w:eastAsia="en-AU"/>
        </w:rPr>
        <w:t>is</w:t>
      </w:r>
      <w:r w:rsidR="009165BC" w:rsidRPr="009165BC">
        <w:rPr>
          <w:rFonts w:eastAsia="Segoe UI" w:cstheme="minorHAnsi"/>
          <w:bCs/>
          <w:color w:val="011A3C"/>
          <w:sz w:val="24"/>
          <w:szCs w:val="24"/>
          <w:lang w:val="en" w:eastAsia="en-AU"/>
        </w:rPr>
        <w:t xml:space="preserve"> reflected in the </w:t>
      </w:r>
      <w:r w:rsidR="009331A5">
        <w:rPr>
          <w:rFonts w:eastAsia="Segoe UI" w:cstheme="minorHAnsi"/>
          <w:bCs/>
          <w:color w:val="011A3C"/>
          <w:sz w:val="24"/>
          <w:szCs w:val="24"/>
          <w:lang w:val="en" w:eastAsia="en-AU"/>
        </w:rPr>
        <w:t xml:space="preserve">2024 Indicative </w:t>
      </w:r>
      <w:r w:rsidR="009165BC" w:rsidRPr="009165BC">
        <w:rPr>
          <w:rFonts w:eastAsia="Segoe UI" w:cstheme="minorHAnsi"/>
          <w:bCs/>
          <w:color w:val="011A3C"/>
          <w:sz w:val="24"/>
          <w:szCs w:val="24"/>
          <w:lang w:val="en" w:eastAsia="en-AU"/>
        </w:rPr>
        <w:t xml:space="preserve">SRP </w:t>
      </w:r>
      <w:r w:rsidR="009331A5">
        <w:rPr>
          <w:rFonts w:eastAsia="Segoe UI" w:cstheme="minorHAnsi"/>
          <w:bCs/>
          <w:color w:val="011A3C"/>
          <w:sz w:val="24"/>
          <w:szCs w:val="24"/>
          <w:lang w:val="en" w:eastAsia="en-AU"/>
        </w:rPr>
        <w:t xml:space="preserve">for schools in </w:t>
      </w:r>
      <w:r w:rsidR="009165BC" w:rsidRPr="009165BC">
        <w:rPr>
          <w:rFonts w:eastAsia="Segoe UI" w:cstheme="minorHAnsi"/>
          <w:bCs/>
          <w:color w:val="011A3C"/>
          <w:sz w:val="24"/>
          <w:szCs w:val="24"/>
          <w:lang w:val="en" w:eastAsia="en-AU"/>
        </w:rPr>
        <w:t>Year 5</w:t>
      </w:r>
      <w:r w:rsidR="0023420A">
        <w:rPr>
          <w:rFonts w:eastAsia="Segoe UI" w:cstheme="minorHAnsi"/>
          <w:bCs/>
          <w:color w:val="011A3C"/>
          <w:sz w:val="24"/>
          <w:szCs w:val="24"/>
          <w:lang w:val="en" w:eastAsia="en-AU"/>
        </w:rPr>
        <w:t xml:space="preserve"> </w:t>
      </w:r>
      <w:r w:rsidR="009331A5">
        <w:rPr>
          <w:rFonts w:eastAsia="Segoe UI" w:cstheme="minorHAnsi"/>
          <w:bCs/>
          <w:color w:val="011A3C"/>
          <w:sz w:val="24"/>
          <w:szCs w:val="24"/>
          <w:lang w:val="en" w:eastAsia="en-AU"/>
        </w:rPr>
        <w:t>rollout areas:</w:t>
      </w:r>
    </w:p>
    <w:p w14:paraId="5EF483A7" w14:textId="609F3573" w:rsidR="00CC5DD8" w:rsidRPr="009B4DE1" w:rsidRDefault="00CC5DD8" w:rsidP="009B4DE1">
      <w:pPr>
        <w:numPr>
          <w:ilvl w:val="0"/>
          <w:numId w:val="162"/>
        </w:numPr>
        <w:spacing w:after="0" w:line="240" w:lineRule="auto"/>
        <w:textAlignment w:val="center"/>
        <w:rPr>
          <w:rFonts w:eastAsia="Segoe UI" w:cstheme="minorHAnsi"/>
          <w:bCs/>
          <w:color w:val="011A3C"/>
          <w:lang w:val="en"/>
        </w:rPr>
      </w:pPr>
      <w:r w:rsidRPr="009B4DE1">
        <w:rPr>
          <w:rFonts w:eastAsia="Segoe UI" w:cstheme="minorHAnsi"/>
          <w:bCs/>
          <w:color w:val="011A3C"/>
          <w:sz w:val="24"/>
          <w:szCs w:val="24"/>
          <w:lang w:val="en" w:eastAsia="en-AU"/>
        </w:rPr>
        <w:t>Hume Merri-bek, Outer Gippsland, Wimmera South West, and Inner Eastern Melbourne</w:t>
      </w:r>
      <w:r w:rsidR="0093638D">
        <w:rPr>
          <w:rFonts w:eastAsia="Segoe UI" w:cstheme="minorHAnsi"/>
          <w:bCs/>
          <w:color w:val="011A3C"/>
          <w:sz w:val="24"/>
          <w:szCs w:val="24"/>
          <w:lang w:val="en" w:eastAsia="en-AU"/>
        </w:rPr>
        <w:t>.</w:t>
      </w:r>
    </w:p>
    <w:p w14:paraId="6E4B8C20" w14:textId="656B788E" w:rsidR="001A3E0F" w:rsidRPr="00833928" w:rsidRDefault="001A3E0F" w:rsidP="00833928">
      <w:pPr>
        <w:spacing w:after="0" w:line="240" w:lineRule="auto"/>
        <w:ind w:left="720"/>
        <w:textAlignment w:val="center"/>
        <w:rPr>
          <w:rFonts w:ascii="Calibri" w:hAnsi="Calibri"/>
          <w:color w:val="011A3C"/>
        </w:rPr>
      </w:pPr>
    </w:p>
    <w:p w14:paraId="7057A51C" w14:textId="77777777" w:rsidR="000E377B" w:rsidRPr="00260C1D" w:rsidRDefault="000E377B" w:rsidP="004D307F">
      <w:pPr>
        <w:spacing w:before="100" w:beforeAutospacing="1" w:after="100" w:afterAutospacing="1" w:line="288" w:lineRule="atLeast"/>
        <w:outlineLvl w:val="3"/>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6D662000" w14:textId="77777777" w:rsidR="000E377B" w:rsidRPr="00260C1D" w:rsidRDefault="000E377B" w:rsidP="004D307F">
      <w:pPr>
        <w:spacing w:before="120" w:after="120" w:line="360" w:lineRule="atLeast"/>
        <w:rPr>
          <w:rFonts w:eastAsia="Century Gothic" w:cstheme="minorHAnsi"/>
          <w:color w:val="011A3C"/>
          <w:sz w:val="24"/>
          <w:szCs w:val="24"/>
          <w:lang w:val="en-GB"/>
        </w:rPr>
      </w:pPr>
      <w:r w:rsidRPr="00260C1D">
        <w:rPr>
          <w:rFonts w:eastAsia="Century Gothic" w:cstheme="minorHAnsi"/>
          <w:color w:val="011A3C"/>
          <w:sz w:val="24"/>
          <w:szCs w:val="24"/>
          <w:lang w:val="en-GB"/>
        </w:rPr>
        <w:t>The following school types are eligible for Tier 2 school-level funding:</w:t>
      </w:r>
    </w:p>
    <w:p w14:paraId="01E69185" w14:textId="77777777" w:rsidR="000E377B" w:rsidRPr="0082534A" w:rsidRDefault="000E377B" w:rsidP="00F56244">
      <w:pPr>
        <w:pStyle w:val="ListParagraph"/>
        <w:numPr>
          <w:ilvl w:val="0"/>
          <w:numId w:val="81"/>
        </w:numPr>
        <w:spacing w:before="120" w:after="120" w:line="360" w:lineRule="atLeast"/>
        <w:rPr>
          <w:rFonts w:eastAsia="Segoe UI" w:cstheme="minorHAnsi"/>
          <w:color w:val="011A3C"/>
          <w:sz w:val="24"/>
          <w:szCs w:val="24"/>
          <w:lang w:eastAsia="en-AU"/>
        </w:rPr>
      </w:pPr>
      <w:r w:rsidRPr="0082534A">
        <w:rPr>
          <w:rFonts w:eastAsia="Segoe UI" w:cstheme="minorHAnsi"/>
          <w:color w:val="011A3C"/>
          <w:sz w:val="24"/>
          <w:szCs w:val="24"/>
          <w:lang w:eastAsia="en-AU"/>
        </w:rPr>
        <w:t>Primary</w:t>
      </w:r>
    </w:p>
    <w:p w14:paraId="056955FD" w14:textId="77777777" w:rsidR="000E377B" w:rsidRPr="0082534A" w:rsidRDefault="000E377B" w:rsidP="00F56244">
      <w:pPr>
        <w:pStyle w:val="ListParagraph"/>
        <w:numPr>
          <w:ilvl w:val="0"/>
          <w:numId w:val="81"/>
        </w:numPr>
        <w:spacing w:before="120" w:after="120" w:line="360" w:lineRule="atLeast"/>
        <w:rPr>
          <w:rFonts w:eastAsia="Segoe UI" w:cstheme="minorHAnsi"/>
          <w:color w:val="011A3C"/>
          <w:sz w:val="24"/>
          <w:szCs w:val="24"/>
          <w:lang w:eastAsia="en-AU"/>
        </w:rPr>
      </w:pPr>
      <w:r w:rsidRPr="0082534A">
        <w:rPr>
          <w:rFonts w:eastAsia="Segoe UI" w:cstheme="minorHAnsi"/>
          <w:color w:val="011A3C"/>
          <w:sz w:val="24"/>
          <w:szCs w:val="24"/>
          <w:lang w:eastAsia="en-AU"/>
        </w:rPr>
        <w:t>Secondary</w:t>
      </w:r>
    </w:p>
    <w:p w14:paraId="35148702" w14:textId="77777777" w:rsidR="000E377B" w:rsidRPr="0082534A" w:rsidRDefault="000E377B" w:rsidP="00F56244">
      <w:pPr>
        <w:pStyle w:val="ListParagraph"/>
        <w:numPr>
          <w:ilvl w:val="0"/>
          <w:numId w:val="81"/>
        </w:numPr>
        <w:spacing w:before="120" w:after="120" w:line="360" w:lineRule="atLeast"/>
        <w:rPr>
          <w:rFonts w:eastAsia="Segoe UI" w:cstheme="minorHAnsi"/>
          <w:color w:val="011A3C"/>
          <w:sz w:val="24"/>
          <w:szCs w:val="24"/>
          <w:lang w:eastAsia="en-AU"/>
        </w:rPr>
      </w:pPr>
      <w:r w:rsidRPr="0082534A">
        <w:rPr>
          <w:rFonts w:eastAsia="Segoe UI" w:cstheme="minorHAnsi"/>
          <w:color w:val="011A3C"/>
          <w:sz w:val="24"/>
          <w:szCs w:val="24"/>
          <w:lang w:eastAsia="en-AU"/>
        </w:rPr>
        <w:t xml:space="preserve">Primary/Secondary Combined </w:t>
      </w:r>
    </w:p>
    <w:p w14:paraId="6F8C15C1" w14:textId="77777777" w:rsidR="000E377B" w:rsidRDefault="000E377B" w:rsidP="00F56244">
      <w:pPr>
        <w:pStyle w:val="ListParagraph"/>
        <w:numPr>
          <w:ilvl w:val="0"/>
          <w:numId w:val="81"/>
        </w:numPr>
        <w:spacing w:before="120" w:after="120" w:line="360" w:lineRule="atLeast"/>
        <w:rPr>
          <w:rFonts w:eastAsia="Segoe UI" w:cstheme="minorHAnsi"/>
          <w:color w:val="011A3C"/>
          <w:sz w:val="24"/>
          <w:szCs w:val="24"/>
          <w:lang w:eastAsia="en-AU"/>
        </w:rPr>
      </w:pPr>
      <w:r w:rsidRPr="0082534A">
        <w:rPr>
          <w:rFonts w:eastAsia="Segoe UI" w:cstheme="minorHAnsi"/>
          <w:color w:val="011A3C"/>
          <w:sz w:val="24"/>
          <w:szCs w:val="24"/>
          <w:lang w:eastAsia="en-AU"/>
        </w:rPr>
        <w:t xml:space="preserve">Specialist </w:t>
      </w:r>
    </w:p>
    <w:p w14:paraId="729E9F82" w14:textId="1F95E1B6" w:rsidR="00FB365B" w:rsidRPr="0082534A" w:rsidRDefault="00FB365B" w:rsidP="00F56244">
      <w:pPr>
        <w:pStyle w:val="ListParagraph"/>
        <w:numPr>
          <w:ilvl w:val="0"/>
          <w:numId w:val="81"/>
        </w:numPr>
        <w:spacing w:before="120" w:after="120" w:line="360" w:lineRule="atLeast"/>
        <w:rPr>
          <w:rFonts w:eastAsia="Segoe UI" w:cstheme="minorHAnsi"/>
          <w:color w:val="011A3C"/>
          <w:sz w:val="24"/>
          <w:szCs w:val="24"/>
          <w:lang w:eastAsia="en-AU"/>
        </w:rPr>
      </w:pPr>
      <w:r>
        <w:rPr>
          <w:rFonts w:eastAsia="Segoe UI" w:cstheme="minorHAnsi"/>
          <w:color w:val="011A3C"/>
          <w:sz w:val="24"/>
          <w:szCs w:val="24"/>
          <w:lang w:eastAsia="en-AU"/>
        </w:rPr>
        <w:t>Language</w:t>
      </w:r>
    </w:p>
    <w:p w14:paraId="6C2B8D5A" w14:textId="6D3CBEB9" w:rsidR="000E377B" w:rsidRPr="00260C1D" w:rsidRDefault="000E377B" w:rsidP="004D307F">
      <w:pPr>
        <w:spacing w:before="120" w:after="120" w:line="360" w:lineRule="atLeast"/>
        <w:rPr>
          <w:rFonts w:eastAsia="Century Gothic" w:cstheme="minorHAnsi"/>
          <w:color w:val="011A3C"/>
          <w:sz w:val="24"/>
          <w:szCs w:val="24"/>
          <w:lang w:val="en-GB"/>
        </w:rPr>
      </w:pPr>
      <w:r w:rsidRPr="00260C1D">
        <w:rPr>
          <w:rFonts w:eastAsia="Century Gothic" w:cstheme="minorHAnsi"/>
          <w:color w:val="011A3C"/>
          <w:sz w:val="24"/>
          <w:szCs w:val="24"/>
          <w:lang w:val="en-GB"/>
        </w:rPr>
        <w:t xml:space="preserve">Funding is allocated as </w:t>
      </w:r>
      <w:r w:rsidR="0045353E" w:rsidRPr="002F7EB1">
        <w:rPr>
          <w:rFonts w:eastAsia="Century Gothic" w:cstheme="minorHAnsi"/>
          <w:color w:val="011A3C"/>
          <w:sz w:val="24"/>
          <w:szCs w:val="24"/>
          <w:lang w:val="en-GB"/>
        </w:rPr>
        <w:t xml:space="preserve">approximately </w:t>
      </w:r>
      <w:r w:rsidR="00FB365B">
        <w:rPr>
          <w:rFonts w:eastAsia="Century Gothic" w:cstheme="minorHAnsi"/>
          <w:color w:val="011A3C"/>
          <w:sz w:val="24"/>
          <w:szCs w:val="24"/>
          <w:lang w:val="en-GB"/>
        </w:rPr>
        <w:t xml:space="preserve">90% </w:t>
      </w:r>
      <w:r w:rsidRPr="00260C1D">
        <w:rPr>
          <w:rFonts w:eastAsia="Century Gothic" w:cstheme="minorHAnsi"/>
          <w:color w:val="011A3C"/>
          <w:sz w:val="24"/>
          <w:szCs w:val="24"/>
          <w:lang w:val="en-GB"/>
        </w:rPr>
        <w:t>credit and</w:t>
      </w:r>
      <w:r w:rsidR="00FB365B">
        <w:rPr>
          <w:rFonts w:eastAsia="Century Gothic" w:cstheme="minorHAnsi"/>
          <w:color w:val="011A3C"/>
          <w:sz w:val="24"/>
          <w:szCs w:val="24"/>
          <w:lang w:val="en-GB"/>
        </w:rPr>
        <w:t xml:space="preserve"> 10%</w:t>
      </w:r>
      <w:r w:rsidRPr="00260C1D">
        <w:rPr>
          <w:rFonts w:eastAsia="Century Gothic" w:cstheme="minorHAnsi"/>
          <w:color w:val="011A3C"/>
          <w:sz w:val="24"/>
          <w:szCs w:val="24"/>
          <w:lang w:val="en-GB"/>
        </w:rPr>
        <w:t xml:space="preserve"> cash </w:t>
      </w:r>
      <w:r w:rsidR="00257564">
        <w:rPr>
          <w:rFonts w:eastAsia="Century Gothic" w:cstheme="minorHAnsi"/>
          <w:color w:val="011A3C"/>
          <w:sz w:val="24"/>
          <w:szCs w:val="24"/>
          <w:lang w:val="en-GB"/>
        </w:rPr>
        <w:t>funding</w:t>
      </w:r>
      <w:r w:rsidRPr="00260C1D">
        <w:rPr>
          <w:rFonts w:eastAsia="Century Gothic" w:cstheme="minorHAnsi"/>
          <w:color w:val="011A3C"/>
          <w:sz w:val="24"/>
          <w:szCs w:val="24"/>
          <w:lang w:val="en-GB"/>
        </w:rPr>
        <w:t>.</w:t>
      </w:r>
    </w:p>
    <w:p w14:paraId="0306D3D3" w14:textId="77777777" w:rsidR="00CB044F" w:rsidRDefault="00CB044F" w:rsidP="009B4DE1">
      <w:pPr>
        <w:rPr>
          <w:lang w:val="en" w:eastAsia="en-AU"/>
        </w:rPr>
      </w:pPr>
    </w:p>
    <w:p w14:paraId="26EEF36E" w14:textId="158DFBF0" w:rsidR="000E377B" w:rsidRPr="00260C1D" w:rsidRDefault="000E377B" w:rsidP="004D307F">
      <w:pPr>
        <w:spacing w:before="100" w:beforeAutospacing="1" w:after="100" w:afterAutospacing="1" w:line="288" w:lineRule="atLeast"/>
        <w:outlineLvl w:val="3"/>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lastRenderedPageBreak/>
        <w:t>Tier 2 school-level formula</w:t>
      </w:r>
    </w:p>
    <w:p w14:paraId="37FD831A" w14:textId="77777777" w:rsidR="000E377B" w:rsidRPr="00260C1D" w:rsidRDefault="000E377B" w:rsidP="004D307F">
      <w:pPr>
        <w:spacing w:before="120" w:after="120" w:line="360" w:lineRule="atLeast"/>
        <w:rPr>
          <w:rFonts w:eastAsia="Century Gothic" w:cstheme="minorHAnsi"/>
          <w:color w:val="011A3C"/>
          <w:sz w:val="24"/>
          <w:szCs w:val="24"/>
          <w:lang w:val="en-GB"/>
        </w:rPr>
      </w:pPr>
      <w:r w:rsidRPr="00260C1D">
        <w:rPr>
          <w:rFonts w:eastAsia="Century Gothic" w:cstheme="minorHAnsi"/>
          <w:color w:val="011A3C"/>
          <w:sz w:val="24"/>
          <w:szCs w:val="24"/>
          <w:lang w:val="en-GB"/>
        </w:rPr>
        <w:t>Tier 2 funding is calculated using a formula, which is comprised of two parts:</w:t>
      </w:r>
    </w:p>
    <w:p w14:paraId="139B4282" w14:textId="77777777" w:rsidR="000E377B" w:rsidRPr="0082534A" w:rsidRDefault="000E377B" w:rsidP="00F56244">
      <w:pPr>
        <w:pStyle w:val="ListParagraph"/>
        <w:numPr>
          <w:ilvl w:val="0"/>
          <w:numId w:val="82"/>
        </w:numPr>
        <w:spacing w:before="120" w:after="120" w:line="360" w:lineRule="atLeast"/>
        <w:jc w:val="both"/>
        <w:rPr>
          <w:rFonts w:eastAsia="Century Gothic" w:cstheme="minorHAnsi"/>
          <w:color w:val="011A3C"/>
          <w:sz w:val="24"/>
        </w:rPr>
      </w:pPr>
      <w:r w:rsidRPr="0082534A">
        <w:rPr>
          <w:rFonts w:eastAsia="Century Gothic" w:cstheme="minorHAnsi"/>
          <w:color w:val="011A3C"/>
          <w:sz w:val="24"/>
        </w:rPr>
        <w:t xml:space="preserve">Part 1: a </w:t>
      </w:r>
      <w:r w:rsidRPr="0082534A">
        <w:rPr>
          <w:rFonts w:eastAsia="Century Gothic" w:cstheme="minorHAnsi"/>
          <w:b/>
          <w:color w:val="011A3C"/>
          <w:sz w:val="24"/>
        </w:rPr>
        <w:t>base</w:t>
      </w:r>
      <w:r w:rsidRPr="0082534A">
        <w:rPr>
          <w:rFonts w:eastAsia="Century Gothic" w:cstheme="minorHAnsi"/>
          <w:color w:val="011A3C"/>
          <w:sz w:val="24"/>
        </w:rPr>
        <w:t xml:space="preserve"> funding component, which ensures all schools have a basic level of resources required to enhance overall school-level capacity to provide inclusive education and engage in new Disability Inclusion processes.</w:t>
      </w:r>
    </w:p>
    <w:p w14:paraId="46532255" w14:textId="77777777" w:rsidR="000E377B" w:rsidRPr="0082534A" w:rsidRDefault="000E377B" w:rsidP="00F56244">
      <w:pPr>
        <w:pStyle w:val="ListParagraph"/>
        <w:numPr>
          <w:ilvl w:val="0"/>
          <w:numId w:val="82"/>
        </w:numPr>
        <w:spacing w:before="120" w:after="120" w:line="360" w:lineRule="atLeast"/>
        <w:jc w:val="both"/>
        <w:rPr>
          <w:rFonts w:eastAsia="Century Gothic" w:cstheme="minorHAnsi"/>
          <w:color w:val="011A3C"/>
          <w:sz w:val="24"/>
        </w:rPr>
      </w:pPr>
      <w:r w:rsidRPr="0082534A">
        <w:rPr>
          <w:rFonts w:eastAsia="Century Gothic" w:cstheme="minorHAnsi"/>
          <w:color w:val="011A3C"/>
          <w:sz w:val="24"/>
        </w:rPr>
        <w:t xml:space="preserve">Part 2: a </w:t>
      </w:r>
      <w:r w:rsidRPr="0082534A">
        <w:rPr>
          <w:rFonts w:eastAsia="Century Gothic" w:cstheme="minorHAnsi"/>
          <w:b/>
          <w:color w:val="011A3C"/>
          <w:sz w:val="24"/>
        </w:rPr>
        <w:t>variable</w:t>
      </w:r>
      <w:r w:rsidRPr="0082534A">
        <w:rPr>
          <w:rFonts w:eastAsia="Century Gothic" w:cstheme="minorHAnsi"/>
          <w:color w:val="011A3C"/>
          <w:sz w:val="24"/>
        </w:rPr>
        <w:t xml:space="preserve"> funding component, which builds on the base component to provide additional resources calculated based on the school’s characteristics, to support schools to further enhance capacity and strengthen adjustments for students with disability. This means schools will have resources to continue to build school capacity in line with their unique school attributes. Funding in this component varies across schools based on the estimated prevalence of need for adjustment at a school level.</w:t>
      </w:r>
    </w:p>
    <w:p w14:paraId="7E58FE0D" w14:textId="77777777" w:rsidR="000E377B" w:rsidRPr="00260C1D" w:rsidRDefault="000E377B" w:rsidP="004D307F">
      <w:pPr>
        <w:spacing w:before="120" w:after="120" w:line="360" w:lineRule="atLeast"/>
        <w:outlineLvl w:val="2"/>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Part 1: Base funding component</w:t>
      </w:r>
    </w:p>
    <w:p w14:paraId="369F2D54" w14:textId="77777777" w:rsidR="00400982" w:rsidRPr="00260C1D" w:rsidRDefault="00400982" w:rsidP="004D307F">
      <w:pPr>
        <w:spacing w:before="120" w:after="120" w:line="360" w:lineRule="atLeast"/>
        <w:rPr>
          <w:rFonts w:eastAsia="Century Gothic" w:cstheme="minorHAnsi"/>
          <w:color w:val="011A3C"/>
          <w:sz w:val="24"/>
          <w:szCs w:val="24"/>
          <w:lang w:val="en-GB" w:eastAsia="en-AU"/>
        </w:rPr>
      </w:pPr>
      <w:r w:rsidRPr="00260C1D">
        <w:rPr>
          <w:rFonts w:eastAsia="Century Gothic" w:cstheme="minorHAnsi"/>
          <w:color w:val="011A3C"/>
          <w:sz w:val="24"/>
          <w:szCs w:val="24"/>
          <w:lang w:val="en-GB" w:eastAsia="en-AU"/>
        </w:rPr>
        <w:t>This component allocates each school a ‘base amount’ based on enrolments that increases linearly up to 100 enrolments, as outlined below:</w:t>
      </w:r>
    </w:p>
    <w:p w14:paraId="139AC9A8" w14:textId="6746136C" w:rsidR="00400982" w:rsidRPr="0082534A" w:rsidRDefault="00400982" w:rsidP="00F56244">
      <w:pPr>
        <w:pStyle w:val="ListParagraph"/>
        <w:numPr>
          <w:ilvl w:val="0"/>
          <w:numId w:val="83"/>
        </w:numPr>
        <w:spacing w:before="120" w:after="120" w:line="360" w:lineRule="atLeast"/>
        <w:rPr>
          <w:rFonts w:eastAsia="Century Gothic" w:cstheme="minorHAnsi"/>
          <w:color w:val="011A3C"/>
          <w:sz w:val="24"/>
          <w:szCs w:val="24"/>
          <w:lang w:val="en-GB" w:eastAsia="en-AU"/>
        </w:rPr>
      </w:pPr>
      <w:r w:rsidRPr="0082534A">
        <w:rPr>
          <w:rFonts w:eastAsia="Century Gothic" w:cstheme="minorHAnsi"/>
          <w:color w:val="011A3C"/>
          <w:sz w:val="24"/>
          <w:szCs w:val="24"/>
          <w:lang w:val="en-GB" w:eastAsia="en-AU"/>
        </w:rPr>
        <w:t>schools with 5 students or less, the base amount is $5,</w:t>
      </w:r>
      <w:r w:rsidR="004D449D" w:rsidRPr="004D449D">
        <w:rPr>
          <w:rFonts w:eastAsia="Century Gothic" w:cstheme="minorHAnsi"/>
          <w:color w:val="011A3C"/>
          <w:sz w:val="24"/>
          <w:szCs w:val="24"/>
          <w:lang w:val="en-GB" w:eastAsia="en-AU"/>
        </w:rPr>
        <w:t>265.71</w:t>
      </w:r>
    </w:p>
    <w:p w14:paraId="3436F937" w14:textId="0997DE73" w:rsidR="00400982" w:rsidRPr="002F7EB1" w:rsidRDefault="00400982" w:rsidP="00F56244">
      <w:pPr>
        <w:pStyle w:val="ListParagraph"/>
        <w:numPr>
          <w:ilvl w:val="0"/>
          <w:numId w:val="83"/>
        </w:numPr>
        <w:spacing w:before="120" w:after="120" w:line="360" w:lineRule="atLeast"/>
        <w:rPr>
          <w:rFonts w:eastAsia="Century Gothic" w:cstheme="minorHAnsi"/>
          <w:color w:val="011A3C"/>
          <w:sz w:val="24"/>
          <w:szCs w:val="24"/>
          <w:lang w:val="en-GB" w:eastAsia="en-AU"/>
        </w:rPr>
      </w:pPr>
      <w:r w:rsidRPr="0082534A">
        <w:rPr>
          <w:rFonts w:eastAsia="Century Gothic" w:cstheme="minorHAnsi"/>
          <w:color w:val="011A3C"/>
          <w:sz w:val="24"/>
          <w:szCs w:val="24"/>
          <w:lang w:val="en-GB" w:eastAsia="en-AU"/>
        </w:rPr>
        <w:t>schools with between 6 and 99 enrolments, the base amount is $5,</w:t>
      </w:r>
      <w:r w:rsidR="004D449D" w:rsidRPr="004D449D">
        <w:rPr>
          <w:rFonts w:eastAsia="Century Gothic" w:cstheme="minorHAnsi"/>
          <w:color w:val="011A3C"/>
          <w:sz w:val="24"/>
          <w:szCs w:val="24"/>
          <w:lang w:val="en-GB" w:eastAsia="en-AU"/>
        </w:rPr>
        <w:t>265.71</w:t>
      </w:r>
      <w:r w:rsidR="004D449D">
        <w:rPr>
          <w:rFonts w:eastAsia="Century Gothic" w:cstheme="minorHAnsi"/>
          <w:color w:val="011A3C"/>
          <w:sz w:val="24"/>
          <w:szCs w:val="24"/>
          <w:lang w:val="en-GB" w:eastAsia="en-AU"/>
        </w:rPr>
        <w:t xml:space="preserve"> </w:t>
      </w:r>
      <w:r w:rsidRPr="0082534A">
        <w:rPr>
          <w:rFonts w:eastAsia="Century Gothic" w:cstheme="minorHAnsi"/>
          <w:color w:val="011A3C"/>
          <w:sz w:val="24"/>
          <w:szCs w:val="24"/>
          <w:lang w:val="en-GB" w:eastAsia="en-AU"/>
        </w:rPr>
        <w:t xml:space="preserve">+ (number </w:t>
      </w:r>
      <w:r w:rsidRPr="002F7EB1">
        <w:rPr>
          <w:rFonts w:eastAsia="Century Gothic" w:cstheme="minorHAnsi"/>
          <w:color w:val="011A3C"/>
          <w:sz w:val="24"/>
          <w:szCs w:val="24"/>
          <w:lang w:val="en-GB" w:eastAsia="en-AU"/>
        </w:rPr>
        <w:t>enrolments − 5) × $</w:t>
      </w:r>
      <w:r w:rsidR="00DD0470" w:rsidRPr="00DD0470">
        <w:rPr>
          <w:rFonts w:eastAsia="Century Gothic" w:cstheme="minorHAnsi"/>
          <w:color w:val="011A3C"/>
          <w:sz w:val="24"/>
          <w:szCs w:val="24"/>
          <w:lang w:val="en-GB" w:eastAsia="en-AU"/>
        </w:rPr>
        <w:t>277.</w:t>
      </w:r>
      <w:r w:rsidR="004D449D">
        <w:rPr>
          <w:rFonts w:eastAsia="Century Gothic" w:cstheme="minorHAnsi"/>
          <w:color w:val="011A3C"/>
          <w:sz w:val="24"/>
          <w:szCs w:val="24"/>
          <w:lang w:val="en-GB" w:eastAsia="en-AU"/>
        </w:rPr>
        <w:t>1</w:t>
      </w:r>
      <w:r w:rsidR="00DD0470" w:rsidRPr="00DD0470">
        <w:rPr>
          <w:rFonts w:eastAsia="Century Gothic" w:cstheme="minorHAnsi"/>
          <w:color w:val="011A3C"/>
          <w:sz w:val="24"/>
          <w:szCs w:val="24"/>
          <w:lang w:val="en-GB" w:eastAsia="en-AU"/>
        </w:rPr>
        <w:t>4</w:t>
      </w:r>
    </w:p>
    <w:p w14:paraId="3C037BE3" w14:textId="2DB43ED3" w:rsidR="00400982" w:rsidRPr="002F7EB1" w:rsidRDefault="00400982" w:rsidP="00F56244">
      <w:pPr>
        <w:pStyle w:val="ListParagraph"/>
        <w:numPr>
          <w:ilvl w:val="0"/>
          <w:numId w:val="83"/>
        </w:numPr>
        <w:spacing w:before="120" w:after="120" w:line="360" w:lineRule="atLeast"/>
        <w:rPr>
          <w:rFonts w:eastAsia="Century Gothic" w:cstheme="minorHAnsi"/>
          <w:color w:val="011A3C"/>
          <w:sz w:val="24"/>
          <w:szCs w:val="24"/>
          <w:lang w:val="en-GB" w:eastAsia="en-AU"/>
        </w:rPr>
      </w:pPr>
      <w:r w:rsidRPr="002F7EB1">
        <w:rPr>
          <w:rFonts w:eastAsia="Century Gothic" w:cstheme="minorHAnsi"/>
          <w:color w:val="011A3C"/>
          <w:sz w:val="24"/>
          <w:szCs w:val="24"/>
          <w:lang w:val="en-GB" w:eastAsia="en-AU"/>
        </w:rPr>
        <w:t xml:space="preserve">schools with 100 students or more, the base amount is capped at a maximum of </w:t>
      </w:r>
      <w:r w:rsidR="00532168" w:rsidRPr="00532168">
        <w:rPr>
          <w:rFonts w:eastAsia="Century Gothic" w:cstheme="minorHAnsi"/>
          <w:color w:val="011A3C"/>
          <w:sz w:val="24"/>
          <w:szCs w:val="24"/>
          <w:lang w:val="en-GB" w:eastAsia="en-AU"/>
        </w:rPr>
        <w:t>$31,594.27</w:t>
      </w:r>
    </w:p>
    <w:p w14:paraId="0A1DA5B6" w14:textId="77777777" w:rsidR="000E377B" w:rsidRPr="002F7EB1" w:rsidRDefault="000E377B" w:rsidP="004D307F">
      <w:pPr>
        <w:spacing w:before="120" w:after="120" w:line="360" w:lineRule="atLeast"/>
        <w:outlineLvl w:val="2"/>
        <w:rPr>
          <w:rFonts w:eastAsia="Segoe UI" w:cstheme="minorHAnsi"/>
          <w:b/>
          <w:color w:val="011A3C"/>
          <w:sz w:val="24"/>
          <w:szCs w:val="24"/>
          <w:lang w:val="en" w:eastAsia="en-AU"/>
        </w:rPr>
      </w:pPr>
      <w:r w:rsidRPr="002F7EB1">
        <w:rPr>
          <w:rFonts w:eastAsia="Segoe UI" w:cstheme="minorHAnsi"/>
          <w:b/>
          <w:color w:val="011A3C"/>
          <w:sz w:val="24"/>
          <w:szCs w:val="24"/>
          <w:lang w:val="en" w:eastAsia="en-AU"/>
        </w:rPr>
        <w:t>Part 2: Variable funding component</w:t>
      </w:r>
    </w:p>
    <w:p w14:paraId="2E6AF0D0" w14:textId="77777777" w:rsidR="000E377B" w:rsidRPr="002F7EB1" w:rsidRDefault="000E377B" w:rsidP="004D307F">
      <w:pPr>
        <w:spacing w:before="120" w:after="120" w:line="360" w:lineRule="atLeast"/>
        <w:rPr>
          <w:rFonts w:eastAsia="Century Gothic" w:cstheme="minorHAnsi"/>
          <w:color w:val="011A3C"/>
          <w:sz w:val="24"/>
          <w:szCs w:val="24"/>
          <w:lang w:val="en-GB" w:eastAsia="en-AU"/>
        </w:rPr>
      </w:pPr>
      <w:r w:rsidRPr="002F7EB1">
        <w:rPr>
          <w:rFonts w:eastAsia="Century Gothic" w:cstheme="minorHAnsi"/>
          <w:color w:val="011A3C"/>
          <w:sz w:val="24"/>
          <w:szCs w:val="24"/>
          <w:lang w:val="en-GB" w:eastAsia="en-AU"/>
        </w:rPr>
        <w:t>The variable funding component takes the characteristics of students in a school and uses these measures to calculate an allocation of funding. This component is calculated based on:</w:t>
      </w:r>
    </w:p>
    <w:p w14:paraId="57A53028" w14:textId="77777777" w:rsidR="000E377B" w:rsidRPr="002F7EB1" w:rsidRDefault="000E377B" w:rsidP="00F56244">
      <w:pPr>
        <w:numPr>
          <w:ilvl w:val="0"/>
          <w:numId w:val="84"/>
        </w:numPr>
        <w:spacing w:before="120" w:after="120" w:line="360" w:lineRule="atLeast"/>
        <w:contextualSpacing/>
        <w:rPr>
          <w:rFonts w:eastAsia="Century Gothic" w:cstheme="minorHAnsi"/>
          <w:color w:val="011A3C"/>
          <w:sz w:val="24"/>
          <w:lang w:eastAsia="en-AU"/>
        </w:rPr>
      </w:pPr>
      <w:r w:rsidRPr="002F7EB1">
        <w:rPr>
          <w:rFonts w:eastAsia="Century Gothic" w:cstheme="minorHAnsi"/>
          <w:color w:val="011A3C"/>
          <w:sz w:val="24"/>
          <w:lang w:eastAsia="en-AU"/>
        </w:rPr>
        <w:t>An index, calculated using statistical weights based on:</w:t>
      </w:r>
    </w:p>
    <w:p w14:paraId="77354B24" w14:textId="77777777" w:rsidR="000E377B" w:rsidRPr="002F7EB1" w:rsidRDefault="000E377B" w:rsidP="00F56244">
      <w:pPr>
        <w:numPr>
          <w:ilvl w:val="1"/>
          <w:numId w:val="84"/>
        </w:numPr>
        <w:spacing w:before="120" w:after="120" w:line="360" w:lineRule="atLeast"/>
        <w:contextualSpacing/>
        <w:rPr>
          <w:rFonts w:eastAsia="Century Gothic" w:cstheme="minorHAnsi"/>
          <w:color w:val="011A3C"/>
          <w:sz w:val="24"/>
          <w:lang w:eastAsia="en-AU"/>
        </w:rPr>
      </w:pPr>
      <w:r w:rsidRPr="002F7EB1">
        <w:rPr>
          <w:rFonts w:eastAsia="Century Gothic" w:cstheme="minorHAnsi"/>
          <w:color w:val="011A3C"/>
          <w:sz w:val="24"/>
          <w:lang w:eastAsia="en-AU"/>
        </w:rPr>
        <w:t>Student Family Education (SFE) – which is an indicator of socio-educational disadvantage</w:t>
      </w:r>
    </w:p>
    <w:p w14:paraId="52909166" w14:textId="77777777" w:rsidR="000E377B" w:rsidRPr="002F7EB1" w:rsidRDefault="000E377B" w:rsidP="00F56244">
      <w:pPr>
        <w:numPr>
          <w:ilvl w:val="1"/>
          <w:numId w:val="84"/>
        </w:numPr>
        <w:spacing w:before="120" w:after="120" w:line="360" w:lineRule="atLeast"/>
        <w:contextualSpacing/>
        <w:rPr>
          <w:rFonts w:eastAsia="Century Gothic" w:cstheme="minorHAnsi"/>
          <w:color w:val="011A3C"/>
          <w:sz w:val="24"/>
          <w:lang w:eastAsia="en-AU"/>
        </w:rPr>
      </w:pPr>
      <w:r w:rsidRPr="002F7EB1">
        <w:rPr>
          <w:rFonts w:eastAsia="Century Gothic" w:cstheme="minorHAnsi"/>
          <w:color w:val="011A3C"/>
          <w:sz w:val="24"/>
          <w:lang w:eastAsia="en-AU"/>
        </w:rPr>
        <w:t>School type (primary)</w:t>
      </w:r>
    </w:p>
    <w:p w14:paraId="0344E67A" w14:textId="607761B6" w:rsidR="00B75275" w:rsidRPr="002F7EB1" w:rsidRDefault="001B7C06" w:rsidP="00F56244">
      <w:pPr>
        <w:numPr>
          <w:ilvl w:val="1"/>
          <w:numId w:val="84"/>
        </w:numPr>
        <w:spacing w:before="120" w:after="120" w:line="360" w:lineRule="atLeast"/>
        <w:contextualSpacing/>
        <w:rPr>
          <w:rFonts w:eastAsia="Century Gothic" w:cstheme="minorHAnsi"/>
          <w:color w:val="011A3C"/>
          <w:sz w:val="24"/>
          <w:lang w:eastAsia="en-AU"/>
        </w:rPr>
      </w:pPr>
      <w:r>
        <w:rPr>
          <w:rFonts w:eastAsia="Century Gothic" w:cstheme="minorHAnsi"/>
          <w:color w:val="011A3C"/>
          <w:sz w:val="24"/>
          <w:lang w:eastAsia="en-AU"/>
        </w:rPr>
        <w:t>Base (note that this is only applied to the first 100 enrolments in the school)</w:t>
      </w:r>
    </w:p>
    <w:p w14:paraId="5F1954D4" w14:textId="34146F92" w:rsidR="000E377B" w:rsidRPr="002F7EB1" w:rsidRDefault="007B1D64" w:rsidP="00F56244">
      <w:pPr>
        <w:numPr>
          <w:ilvl w:val="0"/>
          <w:numId w:val="84"/>
        </w:numPr>
        <w:spacing w:before="120" w:after="120" w:line="360" w:lineRule="atLeast"/>
        <w:contextualSpacing/>
        <w:rPr>
          <w:rFonts w:eastAsia="Century Gothic" w:cstheme="minorHAnsi"/>
          <w:color w:val="011A3C"/>
          <w:sz w:val="24"/>
          <w:lang w:eastAsia="en-AU"/>
        </w:rPr>
      </w:pPr>
      <w:r w:rsidRPr="002F7EB1">
        <w:rPr>
          <w:rFonts w:eastAsia="Century Gothic" w:cstheme="minorHAnsi"/>
          <w:color w:val="011A3C"/>
          <w:sz w:val="24"/>
          <w:lang w:eastAsia="en-AU"/>
        </w:rPr>
        <w:t>N</w:t>
      </w:r>
      <w:r w:rsidR="000E377B" w:rsidRPr="002F7EB1">
        <w:rPr>
          <w:rFonts w:eastAsia="Century Gothic" w:cstheme="minorHAnsi"/>
          <w:color w:val="011A3C"/>
          <w:sz w:val="24"/>
          <w:lang w:eastAsia="en-AU"/>
        </w:rPr>
        <w:t>umber of enrolled students</w:t>
      </w:r>
    </w:p>
    <w:p w14:paraId="69D827CC" w14:textId="08E17FA6" w:rsidR="000E377B" w:rsidRPr="002F7EB1" w:rsidRDefault="007B1D64" w:rsidP="00F56244">
      <w:pPr>
        <w:numPr>
          <w:ilvl w:val="0"/>
          <w:numId w:val="84"/>
        </w:numPr>
        <w:spacing w:before="120" w:after="120" w:line="360" w:lineRule="atLeast"/>
        <w:contextualSpacing/>
        <w:rPr>
          <w:rFonts w:eastAsia="Century Gothic" w:cstheme="minorHAnsi"/>
          <w:color w:val="011A3C"/>
          <w:sz w:val="24"/>
          <w:lang w:eastAsia="en-AU"/>
        </w:rPr>
      </w:pPr>
      <w:r w:rsidRPr="002F7EB1">
        <w:rPr>
          <w:rFonts w:eastAsia="Century Gothic" w:cstheme="minorHAnsi"/>
          <w:color w:val="011A3C"/>
          <w:sz w:val="24"/>
          <w:lang w:eastAsia="en-AU"/>
        </w:rPr>
        <w:t>A</w:t>
      </w:r>
      <w:r w:rsidR="000E377B" w:rsidRPr="002F7EB1">
        <w:rPr>
          <w:rFonts w:eastAsia="Century Gothic" w:cstheme="minorHAnsi"/>
          <w:color w:val="011A3C"/>
          <w:sz w:val="24"/>
          <w:lang w:eastAsia="en-AU"/>
        </w:rPr>
        <w:t xml:space="preserve"> variable funding rate</w:t>
      </w:r>
    </w:p>
    <w:p w14:paraId="247BB4B2" w14:textId="77777777" w:rsidR="000E377B" w:rsidRPr="002F7EB1" w:rsidRDefault="000E377B" w:rsidP="004D307F">
      <w:pPr>
        <w:spacing w:before="120" w:after="120" w:line="360" w:lineRule="atLeast"/>
        <w:rPr>
          <w:rFonts w:eastAsia="Century Gothic" w:cstheme="minorHAnsi"/>
          <w:color w:val="011A3C"/>
          <w:sz w:val="24"/>
          <w:szCs w:val="24"/>
          <w:lang w:val="en-GB"/>
        </w:rPr>
      </w:pPr>
      <w:r w:rsidRPr="002F7EB1">
        <w:rPr>
          <w:rFonts w:eastAsia="Century Gothic" w:cstheme="minorHAnsi"/>
          <w:color w:val="011A3C"/>
          <w:sz w:val="24"/>
          <w:szCs w:val="24"/>
          <w:lang w:val="en-GB"/>
        </w:rPr>
        <w:t>The index value is multiplied by the number of enrolments in the school and the variable funding rate to calculate the school-level funding amount.</w:t>
      </w:r>
    </w:p>
    <w:p w14:paraId="38CFE69C" w14:textId="77777777" w:rsidR="000E377B" w:rsidRPr="002F7EB1" w:rsidRDefault="000E377B" w:rsidP="004D307F">
      <w:pPr>
        <w:spacing w:before="100" w:beforeAutospacing="1" w:after="100" w:afterAutospacing="1" w:line="360" w:lineRule="atLeast"/>
        <w:outlineLvl w:val="2"/>
        <w:rPr>
          <w:rFonts w:eastAsia="Segoe UI" w:cstheme="minorHAnsi"/>
          <w:b/>
          <w:color w:val="011A3C"/>
          <w:sz w:val="24"/>
          <w:szCs w:val="24"/>
          <w:lang w:val="en" w:eastAsia="en-AU"/>
        </w:rPr>
      </w:pPr>
      <w:r w:rsidRPr="002F7EB1">
        <w:rPr>
          <w:rFonts w:eastAsia="Segoe UI" w:cstheme="minorHAnsi"/>
          <w:b/>
          <w:color w:val="011A3C"/>
          <w:sz w:val="24"/>
          <w:szCs w:val="24"/>
          <w:lang w:val="en" w:eastAsia="en-AU"/>
        </w:rPr>
        <w:t>Index Calculation</w:t>
      </w:r>
    </w:p>
    <w:p w14:paraId="1ACEAF43" w14:textId="77777777" w:rsidR="000E377B" w:rsidRPr="002F7EB1" w:rsidRDefault="000E377B" w:rsidP="004D307F">
      <w:pPr>
        <w:spacing w:before="120" w:after="120" w:line="360" w:lineRule="atLeast"/>
        <w:rPr>
          <w:rFonts w:eastAsia="Century Gothic" w:cstheme="minorHAnsi"/>
          <w:color w:val="011A3C"/>
          <w:sz w:val="24"/>
          <w:szCs w:val="24"/>
          <w:lang w:val="en-GB"/>
        </w:rPr>
      </w:pPr>
      <w:r w:rsidRPr="002F7EB1">
        <w:rPr>
          <w:rFonts w:eastAsia="Century Gothic" w:cstheme="minorHAnsi"/>
          <w:color w:val="011A3C"/>
          <w:sz w:val="24"/>
          <w:szCs w:val="24"/>
          <w:lang w:val="en-GB"/>
        </w:rPr>
        <w:t>The index is calculated using the weights for the index categories outlined in Table 1 below. The weights are used directly within the funding formula.</w:t>
      </w:r>
    </w:p>
    <w:p w14:paraId="062666D9" w14:textId="77777777" w:rsidR="000E377B" w:rsidRPr="002F7EB1" w:rsidRDefault="000E377B" w:rsidP="004D307F">
      <w:pPr>
        <w:spacing w:before="120" w:after="120" w:line="360" w:lineRule="atLeast"/>
        <w:rPr>
          <w:rFonts w:eastAsia="Century Gothic" w:cstheme="minorHAnsi"/>
          <w:color w:val="011A3C"/>
          <w:sz w:val="24"/>
          <w:szCs w:val="24"/>
          <w:lang w:val="en-GB"/>
        </w:rPr>
      </w:pPr>
      <w:r w:rsidRPr="002F7EB1">
        <w:rPr>
          <w:rFonts w:eastAsia="Century Gothic" w:cstheme="minorHAnsi"/>
          <w:color w:val="011A3C"/>
          <w:sz w:val="24"/>
          <w:szCs w:val="24"/>
          <w:lang w:val="en-GB"/>
        </w:rPr>
        <w:t xml:space="preserve">For SFE, the weight is multiplied by the share of students in each SFE category (SFE 1 – SFE 7). </w:t>
      </w:r>
    </w:p>
    <w:p w14:paraId="0A444D94" w14:textId="77777777" w:rsidR="000E377B" w:rsidRPr="002F7EB1" w:rsidRDefault="000E377B" w:rsidP="004D307F">
      <w:pPr>
        <w:spacing w:before="120" w:after="120" w:line="360" w:lineRule="atLeast"/>
        <w:rPr>
          <w:rFonts w:eastAsia="Century Gothic" w:cstheme="minorHAnsi"/>
          <w:color w:val="011A3C"/>
          <w:sz w:val="24"/>
          <w:szCs w:val="24"/>
          <w:lang w:val="en-GB"/>
        </w:rPr>
      </w:pPr>
      <w:r w:rsidRPr="002F7EB1">
        <w:rPr>
          <w:rFonts w:eastAsia="Century Gothic" w:cstheme="minorHAnsi"/>
          <w:color w:val="011A3C"/>
          <w:sz w:val="24"/>
          <w:szCs w:val="24"/>
          <w:lang w:val="en-GB"/>
        </w:rPr>
        <w:t>Weights result in the allocation of relatively more funding to schools with those attributes.</w:t>
      </w:r>
    </w:p>
    <w:p w14:paraId="5A150C88" w14:textId="5B381D16" w:rsidR="00AF025A" w:rsidRPr="002F7EB1" w:rsidRDefault="000E377B" w:rsidP="004D307F">
      <w:pPr>
        <w:spacing w:before="120" w:after="120" w:line="360" w:lineRule="atLeast"/>
        <w:rPr>
          <w:rFonts w:eastAsia="Century Gothic" w:cstheme="minorHAnsi"/>
          <w:color w:val="011A3C"/>
          <w:sz w:val="24"/>
          <w:szCs w:val="24"/>
          <w:lang w:val="en-GB"/>
        </w:rPr>
      </w:pPr>
      <w:r w:rsidRPr="002F7EB1">
        <w:rPr>
          <w:rFonts w:eastAsia="Century Gothic" w:cstheme="minorHAnsi"/>
          <w:color w:val="011A3C"/>
          <w:sz w:val="24"/>
          <w:szCs w:val="24"/>
          <w:lang w:val="en-GB"/>
        </w:rPr>
        <w:t>Each school</w:t>
      </w:r>
      <w:r w:rsidR="00995B3B" w:rsidRPr="002F7EB1">
        <w:rPr>
          <w:rFonts w:eastAsia="Century Gothic" w:cstheme="minorHAnsi"/>
          <w:color w:val="011A3C"/>
          <w:sz w:val="24"/>
          <w:szCs w:val="24"/>
          <w:lang w:val="en-GB"/>
        </w:rPr>
        <w:t>’</w:t>
      </w:r>
      <w:r w:rsidRPr="002F7EB1">
        <w:rPr>
          <w:rFonts w:eastAsia="Century Gothic" w:cstheme="minorHAnsi"/>
          <w:color w:val="011A3C"/>
          <w:sz w:val="24"/>
          <w:szCs w:val="24"/>
          <w:lang w:val="en-GB"/>
        </w:rPr>
        <w:t>s index value is updated each year based on the latest available data.</w:t>
      </w:r>
    </w:p>
    <w:p w14:paraId="15F7334C" w14:textId="3CA36167" w:rsidR="000E377B" w:rsidRPr="002F7EB1" w:rsidRDefault="000E377B" w:rsidP="004D307F">
      <w:pPr>
        <w:spacing w:before="120" w:after="200" w:line="360" w:lineRule="atLeast"/>
        <w:rPr>
          <w:rFonts w:eastAsia="Century Gothic" w:cstheme="minorHAnsi"/>
          <w:i/>
          <w:color w:val="011A3C"/>
          <w:sz w:val="24"/>
          <w:szCs w:val="24"/>
        </w:rPr>
      </w:pPr>
      <w:r w:rsidRPr="002F7EB1">
        <w:rPr>
          <w:rFonts w:eastAsia="Century Gothic" w:cstheme="minorHAnsi"/>
          <w:i/>
          <w:color w:val="011A3C"/>
          <w:sz w:val="24"/>
          <w:szCs w:val="24"/>
          <w:lang w:val="en-GB"/>
        </w:rPr>
        <w:lastRenderedPageBreak/>
        <w:t xml:space="preserve">Table </w:t>
      </w:r>
      <w:r w:rsidRPr="002F7EB1">
        <w:rPr>
          <w:rFonts w:eastAsia="Century Gothic" w:cstheme="minorHAnsi"/>
          <w:i/>
          <w:color w:val="011A3C"/>
          <w:sz w:val="24"/>
          <w:szCs w:val="24"/>
          <w:lang w:val="en-GB"/>
        </w:rPr>
        <w:fldChar w:fldCharType="begin"/>
      </w:r>
      <w:r w:rsidRPr="002F7EB1">
        <w:rPr>
          <w:rFonts w:eastAsia="Century Gothic" w:cstheme="minorHAnsi"/>
          <w:i/>
          <w:color w:val="011A3C"/>
          <w:sz w:val="24"/>
          <w:szCs w:val="24"/>
          <w:lang w:val="en-GB"/>
        </w:rPr>
        <w:instrText xml:space="preserve"> SEQ Table \* ARABIC </w:instrText>
      </w:r>
      <w:r w:rsidRPr="002F7EB1">
        <w:rPr>
          <w:rFonts w:eastAsia="Century Gothic" w:cstheme="minorHAnsi"/>
          <w:i/>
          <w:color w:val="011A3C"/>
          <w:sz w:val="24"/>
          <w:szCs w:val="24"/>
          <w:lang w:val="en-GB"/>
        </w:rPr>
        <w:fldChar w:fldCharType="separate"/>
      </w:r>
      <w:r w:rsidR="00B82F7D" w:rsidRPr="002F7EB1">
        <w:rPr>
          <w:rFonts w:eastAsia="Century Gothic" w:cstheme="minorHAnsi"/>
          <w:i/>
          <w:color w:val="011A3C"/>
          <w:sz w:val="24"/>
          <w:szCs w:val="24"/>
          <w:lang w:val="en-GB"/>
        </w:rPr>
        <w:t>1</w:t>
      </w:r>
      <w:r w:rsidRPr="002F7EB1">
        <w:rPr>
          <w:rFonts w:eastAsia="Century Gothic" w:cstheme="minorHAnsi"/>
          <w:i/>
          <w:color w:val="011A3C"/>
          <w:sz w:val="24"/>
          <w:szCs w:val="24"/>
          <w:lang w:val="en-GB"/>
        </w:rPr>
        <w:fldChar w:fldCharType="end"/>
      </w:r>
      <w:r w:rsidRPr="002F7EB1">
        <w:rPr>
          <w:rFonts w:eastAsia="Century Gothic" w:cstheme="minorHAnsi"/>
          <w:i/>
          <w:color w:val="011A3C"/>
          <w:sz w:val="24"/>
          <w:szCs w:val="24"/>
        </w:rPr>
        <w:t>: Index categories and weightings</w:t>
      </w:r>
    </w:p>
    <w:tbl>
      <w:tblPr>
        <w:tblW w:w="9275" w:type="dxa"/>
        <w:tblCellMar>
          <w:left w:w="0" w:type="dxa"/>
          <w:right w:w="0" w:type="dxa"/>
        </w:tblCellMar>
        <w:tblLook w:val="0600" w:firstRow="0" w:lastRow="0" w:firstColumn="0" w:lastColumn="0" w:noHBand="1" w:noVBand="1"/>
      </w:tblPr>
      <w:tblGrid>
        <w:gridCol w:w="6792"/>
        <w:gridCol w:w="2483"/>
      </w:tblGrid>
      <w:tr w:rsidR="000E377B" w:rsidRPr="002F7EB1" w14:paraId="26313DD9"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4777B6F6" w14:textId="77777777" w:rsidR="000E377B" w:rsidRPr="002F7EB1" w:rsidRDefault="000E377B" w:rsidP="004D307F">
            <w:pPr>
              <w:spacing w:before="120" w:after="0" w:line="360" w:lineRule="atLeast"/>
              <w:rPr>
                <w:rFonts w:eastAsia="Century Gothic" w:cstheme="minorHAnsi"/>
                <w:color w:val="011A3C"/>
                <w:sz w:val="24"/>
                <w:szCs w:val="24"/>
                <w:lang w:val="en-GB"/>
              </w:rPr>
            </w:pPr>
            <w:r w:rsidRPr="002F7EB1">
              <w:rPr>
                <w:rFonts w:eastAsia="Century Gothic" w:cstheme="minorHAnsi"/>
                <w:b/>
                <w:color w:val="011A3C"/>
                <w:sz w:val="24"/>
                <w:szCs w:val="24"/>
                <w:lang w:val="en-GB"/>
              </w:rPr>
              <w:t>Index categories</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56B2D8BA" w14:textId="77777777" w:rsidR="000E377B" w:rsidRPr="002F7EB1" w:rsidRDefault="000E377B" w:rsidP="004D307F">
            <w:pPr>
              <w:spacing w:before="120" w:after="0" w:line="360" w:lineRule="atLeast"/>
              <w:rPr>
                <w:rFonts w:eastAsia="Century Gothic" w:cstheme="minorHAnsi"/>
                <w:color w:val="011A3C"/>
                <w:sz w:val="24"/>
                <w:szCs w:val="24"/>
                <w:lang w:val="en-GB"/>
              </w:rPr>
            </w:pPr>
            <w:r w:rsidRPr="002F7EB1">
              <w:rPr>
                <w:rFonts w:eastAsia="Century Gothic" w:cstheme="minorHAnsi"/>
                <w:b/>
                <w:color w:val="011A3C"/>
                <w:sz w:val="24"/>
                <w:szCs w:val="24"/>
                <w:lang w:val="en-GB"/>
              </w:rPr>
              <w:t>Weighting </w:t>
            </w:r>
          </w:p>
        </w:tc>
      </w:tr>
      <w:tr w:rsidR="000E377B" w:rsidRPr="002F7EB1" w14:paraId="4CC43C4F" w14:textId="77777777" w:rsidTr="00C55926">
        <w:trPr>
          <w:trHeight w:val="19"/>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4A1E8559" w14:textId="77777777" w:rsidR="000E377B" w:rsidRPr="002F7EB1" w:rsidRDefault="000E377B" w:rsidP="004D307F">
            <w:pPr>
              <w:spacing w:before="120" w:after="0" w:line="360" w:lineRule="atLeast"/>
              <w:rPr>
                <w:rFonts w:eastAsia="Century Gothic" w:cstheme="minorHAnsi"/>
                <w:color w:val="011A3C"/>
                <w:sz w:val="24"/>
                <w:szCs w:val="24"/>
                <w:lang w:val="en-GB"/>
              </w:rPr>
            </w:pPr>
            <w:r w:rsidRPr="002F7EB1">
              <w:rPr>
                <w:rFonts w:eastAsia="Century Gothic" w:cstheme="minorHAnsi"/>
                <w:color w:val="011A3C"/>
                <w:sz w:val="24"/>
                <w:szCs w:val="24"/>
                <w:lang w:val="en-GB"/>
              </w:rPr>
              <w:t>SFE 1,2 (Year 9 or below or Year 10 or equivalent)</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0FEE872B" w14:textId="77777777" w:rsidR="000E377B" w:rsidRPr="002F7EB1" w:rsidRDefault="000E377B" w:rsidP="004D307F">
            <w:pPr>
              <w:spacing w:before="120" w:after="0" w:line="360" w:lineRule="atLeast"/>
              <w:rPr>
                <w:rFonts w:eastAsia="Century Gothic" w:cstheme="minorHAnsi"/>
                <w:color w:val="011A3C"/>
                <w:sz w:val="24"/>
                <w:szCs w:val="24"/>
                <w:lang w:val="en-GB"/>
              </w:rPr>
            </w:pPr>
            <w:r w:rsidRPr="002F7EB1">
              <w:rPr>
                <w:rFonts w:eastAsia="Century Gothic" w:cstheme="minorHAnsi"/>
                <w:color w:val="011A3C"/>
                <w:sz w:val="24"/>
                <w:szCs w:val="24"/>
                <w:lang w:val="en-GB"/>
              </w:rPr>
              <w:t>0.1800</w:t>
            </w:r>
          </w:p>
        </w:tc>
      </w:tr>
      <w:tr w:rsidR="000E377B" w:rsidRPr="002F7EB1" w14:paraId="05C7C525"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1F4A8BAD" w14:textId="77777777" w:rsidR="000E377B" w:rsidRPr="002F7EB1" w:rsidRDefault="000E377B" w:rsidP="004D307F">
            <w:pPr>
              <w:spacing w:before="120" w:after="0" w:line="360" w:lineRule="atLeast"/>
              <w:rPr>
                <w:rFonts w:eastAsia="Century Gothic" w:cstheme="minorHAnsi"/>
                <w:color w:val="011A3C"/>
                <w:sz w:val="24"/>
                <w:szCs w:val="24"/>
                <w:lang w:val="en-GB"/>
              </w:rPr>
            </w:pPr>
            <w:r w:rsidRPr="002F7EB1">
              <w:rPr>
                <w:rFonts w:eastAsia="Century Gothic" w:cstheme="minorHAnsi"/>
                <w:color w:val="011A3C"/>
                <w:sz w:val="24"/>
                <w:szCs w:val="24"/>
                <w:lang w:val="en-GB"/>
              </w:rPr>
              <w:t>SFE 3,4 (Year 11 or equivalent or Year 12 or equivalent)</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09DD31AF" w14:textId="77777777" w:rsidR="000E377B" w:rsidRPr="002F7EB1" w:rsidRDefault="000E377B" w:rsidP="004D307F">
            <w:pPr>
              <w:spacing w:before="120" w:after="0" w:line="360" w:lineRule="atLeast"/>
              <w:rPr>
                <w:rFonts w:eastAsia="Century Gothic" w:cstheme="minorHAnsi"/>
                <w:color w:val="011A3C"/>
                <w:sz w:val="24"/>
                <w:szCs w:val="24"/>
                <w:lang w:val="en-GB"/>
              </w:rPr>
            </w:pPr>
            <w:r w:rsidRPr="002F7EB1">
              <w:rPr>
                <w:rFonts w:eastAsia="Century Gothic" w:cstheme="minorHAnsi"/>
                <w:color w:val="011A3C"/>
                <w:sz w:val="24"/>
                <w:szCs w:val="24"/>
                <w:lang w:val="en-GB"/>
              </w:rPr>
              <w:t>0.1158</w:t>
            </w:r>
          </w:p>
        </w:tc>
      </w:tr>
      <w:tr w:rsidR="000E377B" w:rsidRPr="002F7EB1" w14:paraId="594363DD"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5BE2C341" w14:textId="77777777" w:rsidR="000E377B" w:rsidRPr="002F7EB1" w:rsidRDefault="000E377B" w:rsidP="004D307F">
            <w:pPr>
              <w:spacing w:before="120" w:after="0" w:line="360" w:lineRule="atLeast"/>
              <w:rPr>
                <w:rFonts w:eastAsia="Century Gothic" w:cstheme="minorHAnsi"/>
                <w:color w:val="011A3C"/>
                <w:sz w:val="24"/>
                <w:szCs w:val="24"/>
                <w:lang w:val="en-GB"/>
              </w:rPr>
            </w:pPr>
            <w:r w:rsidRPr="002F7EB1">
              <w:rPr>
                <w:rFonts w:eastAsia="Century Gothic" w:cstheme="minorHAnsi"/>
                <w:color w:val="011A3C"/>
                <w:sz w:val="24"/>
                <w:szCs w:val="24"/>
                <w:lang w:val="en-GB"/>
              </w:rPr>
              <w:t>SFE 5 (Certificate I to IV)</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256971E7" w14:textId="77777777" w:rsidR="000E377B" w:rsidRPr="002F7EB1" w:rsidRDefault="000E377B" w:rsidP="004D307F">
            <w:pPr>
              <w:spacing w:before="120" w:after="0" w:line="360" w:lineRule="atLeast"/>
              <w:rPr>
                <w:rFonts w:eastAsia="Century Gothic" w:cstheme="minorHAnsi"/>
                <w:color w:val="011A3C"/>
                <w:sz w:val="24"/>
                <w:szCs w:val="24"/>
                <w:lang w:val="en-GB"/>
              </w:rPr>
            </w:pPr>
            <w:r w:rsidRPr="002F7EB1">
              <w:rPr>
                <w:rFonts w:eastAsia="Century Gothic" w:cstheme="minorHAnsi"/>
                <w:color w:val="011A3C"/>
                <w:sz w:val="24"/>
                <w:szCs w:val="24"/>
                <w:lang w:val="en-GB"/>
              </w:rPr>
              <w:t>0.1127</w:t>
            </w:r>
          </w:p>
        </w:tc>
      </w:tr>
      <w:tr w:rsidR="000E377B" w:rsidRPr="002F7EB1" w14:paraId="303EDA60"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095AF0ED" w14:textId="77777777" w:rsidR="000E377B" w:rsidRPr="002F7EB1" w:rsidRDefault="000E377B" w:rsidP="004D307F">
            <w:pPr>
              <w:spacing w:before="120" w:after="0" w:line="360" w:lineRule="atLeast"/>
              <w:rPr>
                <w:rFonts w:eastAsia="Century Gothic" w:cstheme="minorHAnsi"/>
                <w:color w:val="011A3C"/>
                <w:sz w:val="24"/>
                <w:szCs w:val="24"/>
                <w:lang w:val="en-GB"/>
              </w:rPr>
            </w:pPr>
            <w:r w:rsidRPr="002F7EB1">
              <w:rPr>
                <w:rFonts w:eastAsia="Century Gothic" w:cstheme="minorHAnsi"/>
                <w:color w:val="011A3C"/>
                <w:sz w:val="24"/>
                <w:szCs w:val="24"/>
                <w:lang w:val="en-GB"/>
              </w:rPr>
              <w:t>SFE 6,7</w:t>
            </w:r>
            <w:r w:rsidRPr="002F7EB1">
              <w:rPr>
                <w:rFonts w:eastAsia="Century Gothic" w:cstheme="minorHAnsi"/>
                <w:b/>
                <w:color w:val="011A3C"/>
                <w:sz w:val="24"/>
                <w:szCs w:val="24"/>
                <w:lang w:val="en-GB"/>
              </w:rPr>
              <w:t xml:space="preserve"> </w:t>
            </w:r>
            <w:r w:rsidRPr="002F7EB1">
              <w:rPr>
                <w:rFonts w:eastAsia="Century Gothic" w:cstheme="minorHAnsi"/>
                <w:color w:val="011A3C"/>
                <w:sz w:val="24"/>
                <w:szCs w:val="24"/>
                <w:lang w:val="en-GB"/>
              </w:rPr>
              <w:t>(Diploma or above)</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00D96D32" w14:textId="77777777" w:rsidR="000E377B" w:rsidRPr="002F7EB1" w:rsidRDefault="000E377B" w:rsidP="004D307F">
            <w:pPr>
              <w:spacing w:before="120" w:after="0" w:line="360" w:lineRule="atLeast"/>
              <w:rPr>
                <w:rFonts w:eastAsia="Century Gothic" w:cstheme="minorHAnsi"/>
                <w:color w:val="011A3C"/>
                <w:sz w:val="24"/>
                <w:szCs w:val="24"/>
                <w:lang w:val="en-GB"/>
              </w:rPr>
            </w:pPr>
            <w:r w:rsidRPr="002F7EB1">
              <w:rPr>
                <w:rFonts w:eastAsia="Century Gothic" w:cstheme="minorHAnsi"/>
                <w:color w:val="011A3C"/>
                <w:sz w:val="24"/>
                <w:szCs w:val="24"/>
                <w:lang w:val="en-GB"/>
              </w:rPr>
              <w:t>0.0117</w:t>
            </w:r>
          </w:p>
        </w:tc>
      </w:tr>
      <w:tr w:rsidR="000E377B" w:rsidRPr="002F7EB1" w14:paraId="413657A5"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764C6C17" w14:textId="76DADEA5" w:rsidR="000E377B" w:rsidRPr="002F7EB1" w:rsidRDefault="00DE3686" w:rsidP="004D307F">
            <w:pPr>
              <w:spacing w:before="120" w:after="0" w:line="360" w:lineRule="atLeast"/>
              <w:rPr>
                <w:rFonts w:eastAsia="Century Gothic" w:cstheme="minorHAnsi"/>
                <w:color w:val="011A3C"/>
                <w:sz w:val="24"/>
                <w:szCs w:val="24"/>
                <w:lang w:val="en-GB"/>
              </w:rPr>
            </w:pPr>
            <w:r w:rsidRPr="002F7EB1">
              <w:rPr>
                <w:rFonts w:eastAsia="Century Gothic" w:cstheme="minorHAnsi"/>
                <w:color w:val="011A3C"/>
                <w:sz w:val="24"/>
                <w:szCs w:val="24"/>
                <w:lang w:val="en-GB"/>
              </w:rPr>
              <w:t>Base</w:t>
            </w:r>
            <w:r w:rsidR="00A97D6C">
              <w:rPr>
                <w:rFonts w:eastAsia="Century Gothic" w:cstheme="minorHAnsi"/>
                <w:color w:val="011A3C"/>
                <w:sz w:val="24"/>
                <w:szCs w:val="24"/>
                <w:lang w:val="en-GB"/>
              </w:rPr>
              <w:t xml:space="preserve"> </w:t>
            </w:r>
            <w:r w:rsidR="005733D8">
              <w:rPr>
                <w:rFonts w:eastAsia="Century Gothic" w:cstheme="minorHAnsi"/>
                <w:color w:val="011A3C"/>
                <w:sz w:val="24"/>
                <w:szCs w:val="24"/>
                <w:lang w:val="en-GB"/>
              </w:rPr>
              <w:t>(applies to the first 100 students only)</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6CDBA42E" w14:textId="77777777" w:rsidR="000E377B" w:rsidRPr="002F7EB1" w:rsidRDefault="000E377B" w:rsidP="004D307F">
            <w:pPr>
              <w:spacing w:before="120" w:after="0" w:line="360" w:lineRule="atLeast"/>
              <w:rPr>
                <w:rFonts w:eastAsia="Century Gothic" w:cstheme="minorHAnsi"/>
                <w:color w:val="011A3C"/>
                <w:sz w:val="24"/>
                <w:szCs w:val="24"/>
                <w:lang w:val="en-GB"/>
              </w:rPr>
            </w:pPr>
            <w:r w:rsidRPr="002F7EB1">
              <w:rPr>
                <w:rFonts w:eastAsia="Century Gothic" w:cstheme="minorHAnsi"/>
                <w:color w:val="011A3C"/>
                <w:sz w:val="24"/>
                <w:szCs w:val="24"/>
                <w:lang w:val="en-GB"/>
              </w:rPr>
              <w:t>0.0202</w:t>
            </w:r>
          </w:p>
        </w:tc>
      </w:tr>
      <w:tr w:rsidR="000E377B" w:rsidRPr="002F7EB1" w14:paraId="017DB809"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5CCD342D" w14:textId="77777777" w:rsidR="000E377B" w:rsidRPr="002F7EB1" w:rsidRDefault="000E377B" w:rsidP="004D307F">
            <w:pPr>
              <w:spacing w:before="120" w:after="0" w:line="360" w:lineRule="atLeast"/>
              <w:rPr>
                <w:rFonts w:eastAsia="Century Gothic" w:cstheme="minorHAnsi"/>
                <w:color w:val="011A3C"/>
                <w:sz w:val="24"/>
                <w:szCs w:val="24"/>
                <w:lang w:val="en-GB"/>
              </w:rPr>
            </w:pPr>
            <w:r w:rsidRPr="002F7EB1">
              <w:rPr>
                <w:rFonts w:eastAsia="Century Gothic" w:cstheme="minorHAnsi"/>
                <w:color w:val="011A3C"/>
                <w:sz w:val="24"/>
                <w:szCs w:val="24"/>
                <w:lang w:val="en-GB"/>
              </w:rPr>
              <w:t>Primary school</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47577704" w14:textId="77777777" w:rsidR="000E377B" w:rsidRPr="002F7EB1" w:rsidRDefault="000E377B" w:rsidP="004D307F">
            <w:pPr>
              <w:spacing w:before="120" w:after="0" w:line="360" w:lineRule="atLeast"/>
              <w:rPr>
                <w:rFonts w:eastAsia="Century Gothic" w:cstheme="minorHAnsi"/>
                <w:color w:val="011A3C"/>
                <w:sz w:val="24"/>
                <w:szCs w:val="24"/>
                <w:lang w:val="en-GB"/>
              </w:rPr>
            </w:pPr>
            <w:r w:rsidRPr="002F7EB1">
              <w:rPr>
                <w:rFonts w:eastAsia="Century Gothic" w:cstheme="minorHAnsi"/>
                <w:color w:val="011A3C"/>
                <w:sz w:val="24"/>
                <w:szCs w:val="24"/>
                <w:lang w:val="en-GB"/>
              </w:rPr>
              <w:t>0.0348</w:t>
            </w:r>
          </w:p>
        </w:tc>
      </w:tr>
    </w:tbl>
    <w:p w14:paraId="4BE68A8C" w14:textId="77777777" w:rsidR="000E377B" w:rsidRPr="00833928" w:rsidRDefault="000E377B" w:rsidP="00833928">
      <w:pPr>
        <w:spacing w:before="100" w:beforeAutospacing="1" w:after="100" w:afterAutospacing="1" w:line="360" w:lineRule="atLeast"/>
        <w:outlineLvl w:val="2"/>
        <w:rPr>
          <w:b/>
          <w:color w:val="011A3C"/>
          <w:sz w:val="28"/>
          <w:lang w:val="en"/>
        </w:rPr>
      </w:pPr>
      <w:r w:rsidRPr="00833928">
        <w:rPr>
          <w:b/>
          <w:color w:val="011A3C"/>
          <w:sz w:val="28"/>
          <w:lang w:val="en"/>
        </w:rPr>
        <w:t>Tier 2 school-level funding calculation</w:t>
      </w:r>
    </w:p>
    <w:p w14:paraId="665E00E3" w14:textId="77777777" w:rsidR="000E377B" w:rsidRPr="00260C1D" w:rsidRDefault="000E377B" w:rsidP="004D307F">
      <w:pPr>
        <w:spacing w:before="120" w:after="120" w:line="360" w:lineRule="atLeast"/>
        <w:rPr>
          <w:rFonts w:eastAsia="Century Gothic" w:cstheme="minorHAnsi"/>
          <w:color w:val="011A3C"/>
          <w:sz w:val="24"/>
          <w:szCs w:val="24"/>
          <w:lang w:val="en-GB"/>
        </w:rPr>
      </w:pPr>
      <w:r w:rsidRPr="00260C1D">
        <w:rPr>
          <w:rFonts w:eastAsia="Century Gothic" w:cstheme="minorHAnsi"/>
          <w:color w:val="011A3C"/>
          <w:sz w:val="24"/>
          <w:szCs w:val="24"/>
          <w:lang w:val="en-GB"/>
        </w:rPr>
        <w:t xml:space="preserve">Total Tier 2 school-level funding is calculated as: </w:t>
      </w:r>
    </w:p>
    <w:p w14:paraId="3F54F11C" w14:textId="581C0F57" w:rsidR="000E377B" w:rsidRPr="0082534A" w:rsidRDefault="0091018E" w:rsidP="00F56244">
      <w:pPr>
        <w:pStyle w:val="ListParagraph"/>
        <w:numPr>
          <w:ilvl w:val="0"/>
          <w:numId w:val="85"/>
        </w:numPr>
        <w:spacing w:before="120" w:after="120" w:line="360" w:lineRule="atLeast"/>
        <w:rPr>
          <w:rFonts w:eastAsia="Century Gothic" w:cstheme="minorHAnsi"/>
          <w:color w:val="011A3C"/>
          <w:sz w:val="24"/>
        </w:rPr>
      </w:pPr>
      <w:r>
        <w:rPr>
          <w:rFonts w:eastAsia="Century Gothic" w:cstheme="minorHAnsi"/>
          <w:color w:val="011A3C"/>
          <w:sz w:val="24"/>
        </w:rPr>
        <w:t>b</w:t>
      </w:r>
      <w:r w:rsidR="000E377B" w:rsidRPr="0082534A">
        <w:rPr>
          <w:rFonts w:eastAsia="Century Gothic" w:cstheme="minorHAnsi"/>
          <w:color w:val="011A3C"/>
          <w:sz w:val="24"/>
        </w:rPr>
        <w:t>ase funding component + (Index</w:t>
      </w:r>
      <w:r w:rsidR="00E655E4">
        <w:rPr>
          <w:rFonts w:eastAsia="Century Gothic" w:cstheme="minorHAnsi"/>
          <w:color w:val="011A3C"/>
          <w:sz w:val="24"/>
        </w:rPr>
        <w:t xml:space="preserve"> × </w:t>
      </w:r>
      <w:r w:rsidR="000E377B" w:rsidRPr="0082534A">
        <w:rPr>
          <w:rFonts w:eastAsia="Century Gothic" w:cstheme="minorHAnsi"/>
          <w:color w:val="011A3C"/>
          <w:sz w:val="24"/>
        </w:rPr>
        <w:t>Enrolments</w:t>
      </w:r>
      <w:r w:rsidR="00E655E4">
        <w:rPr>
          <w:rFonts w:eastAsia="Century Gothic" w:cstheme="minorHAnsi"/>
          <w:color w:val="011A3C"/>
          <w:sz w:val="24"/>
        </w:rPr>
        <w:t xml:space="preserve"> × </w:t>
      </w:r>
      <w:r w:rsidR="000E377B" w:rsidRPr="0082534A">
        <w:rPr>
          <w:rFonts w:eastAsia="Century Gothic" w:cstheme="minorHAnsi"/>
          <w:color w:val="011A3C"/>
          <w:sz w:val="24"/>
        </w:rPr>
        <w:t>Variable Funding Rate)</w:t>
      </w:r>
    </w:p>
    <w:p w14:paraId="7C166755" w14:textId="022954B3" w:rsidR="00FB365B" w:rsidRPr="00095EA3" w:rsidRDefault="0091018E" w:rsidP="00FB365B">
      <w:pPr>
        <w:pStyle w:val="ListParagraph"/>
        <w:numPr>
          <w:ilvl w:val="0"/>
          <w:numId w:val="85"/>
        </w:numPr>
        <w:spacing w:before="120" w:after="240" w:line="360" w:lineRule="atLeast"/>
        <w:rPr>
          <w:rFonts w:eastAsia="Segoe UI" w:cstheme="minorHAnsi"/>
          <w:b/>
          <w:color w:val="011A3C"/>
          <w:sz w:val="24"/>
          <w:szCs w:val="24"/>
          <w:lang w:val="en" w:eastAsia="en-AU"/>
        </w:rPr>
      </w:pPr>
      <w:r>
        <w:rPr>
          <w:rFonts w:eastAsia="Century Gothic" w:cstheme="minorHAnsi"/>
          <w:color w:val="011A3C"/>
          <w:sz w:val="24"/>
        </w:rPr>
        <w:t>w</w:t>
      </w:r>
      <w:r w:rsidR="000E377B" w:rsidRPr="0082534A">
        <w:rPr>
          <w:rFonts w:eastAsia="Century Gothic" w:cstheme="minorHAnsi"/>
          <w:color w:val="011A3C"/>
          <w:sz w:val="24"/>
        </w:rPr>
        <w:t xml:space="preserve">here: the variable funding rate for </w:t>
      </w:r>
      <w:r w:rsidR="00633C1E" w:rsidRPr="0082534A">
        <w:rPr>
          <w:rFonts w:eastAsia="Century Gothic" w:cstheme="minorHAnsi"/>
          <w:color w:val="011A3C"/>
          <w:sz w:val="24"/>
        </w:rPr>
        <w:t>202</w:t>
      </w:r>
      <w:r w:rsidR="00633C1E">
        <w:rPr>
          <w:rFonts w:eastAsia="Century Gothic" w:cstheme="minorHAnsi"/>
          <w:color w:val="011A3C"/>
          <w:sz w:val="24"/>
        </w:rPr>
        <w:t>4</w:t>
      </w:r>
      <w:r w:rsidR="00633C1E" w:rsidRPr="0082534A">
        <w:rPr>
          <w:rFonts w:eastAsia="Century Gothic" w:cstheme="minorHAnsi"/>
          <w:color w:val="011A3C"/>
          <w:sz w:val="24"/>
        </w:rPr>
        <w:t xml:space="preserve"> </w:t>
      </w:r>
      <w:r w:rsidR="000E377B" w:rsidRPr="0082534A">
        <w:rPr>
          <w:rFonts w:eastAsia="Century Gothic" w:cstheme="minorHAnsi"/>
          <w:color w:val="011A3C"/>
          <w:sz w:val="24"/>
        </w:rPr>
        <w:t>is $</w:t>
      </w:r>
      <w:r w:rsidR="00650A72" w:rsidRPr="0082534A">
        <w:rPr>
          <w:rFonts w:eastAsia="Century Gothic" w:cstheme="minorHAnsi"/>
          <w:color w:val="011A3C"/>
          <w:sz w:val="24"/>
        </w:rPr>
        <w:t>4</w:t>
      </w:r>
      <w:r w:rsidR="00244A7D" w:rsidRPr="0082534A">
        <w:rPr>
          <w:rFonts w:eastAsia="Century Gothic" w:cstheme="minorHAnsi"/>
          <w:color w:val="011A3C"/>
          <w:sz w:val="24"/>
        </w:rPr>
        <w:t>,</w:t>
      </w:r>
      <w:r w:rsidR="004F7CFC" w:rsidRPr="004F7CFC">
        <w:rPr>
          <w:rFonts w:eastAsia="Century Gothic" w:cstheme="minorHAnsi"/>
          <w:color w:val="011A3C"/>
          <w:sz w:val="24"/>
        </w:rPr>
        <w:t xml:space="preserve">656.34 </w:t>
      </w:r>
      <w:r w:rsidR="002924F8">
        <w:rPr>
          <w:rFonts w:eastAsia="Century Gothic" w:cstheme="minorHAnsi"/>
          <w:color w:val="011A3C"/>
          <w:sz w:val="24"/>
        </w:rPr>
        <w:t xml:space="preserve">(credit: </w:t>
      </w:r>
      <w:r w:rsidR="007B7DEA">
        <w:rPr>
          <w:rFonts w:eastAsia="Century Gothic" w:cstheme="minorHAnsi"/>
          <w:color w:val="011A3C"/>
          <w:sz w:val="24"/>
        </w:rPr>
        <w:t>89</w:t>
      </w:r>
      <w:r w:rsidR="002924F8">
        <w:rPr>
          <w:rFonts w:eastAsia="Century Gothic" w:cstheme="minorHAnsi"/>
          <w:color w:val="011A3C"/>
          <w:sz w:val="24"/>
        </w:rPr>
        <w:t>.</w:t>
      </w:r>
      <w:r w:rsidR="007D565E">
        <w:rPr>
          <w:rFonts w:eastAsia="Century Gothic" w:cstheme="minorHAnsi"/>
          <w:color w:val="011A3C"/>
          <w:sz w:val="24"/>
        </w:rPr>
        <w:t>7</w:t>
      </w:r>
      <w:r w:rsidR="002924F8">
        <w:rPr>
          <w:rFonts w:eastAsia="Century Gothic" w:cstheme="minorHAnsi"/>
          <w:color w:val="011A3C"/>
          <w:sz w:val="24"/>
        </w:rPr>
        <w:t xml:space="preserve">%, cash: </w:t>
      </w:r>
      <w:r w:rsidR="007B7DEA">
        <w:rPr>
          <w:rFonts w:eastAsia="Century Gothic" w:cstheme="minorHAnsi"/>
          <w:color w:val="011A3C"/>
          <w:sz w:val="24"/>
        </w:rPr>
        <w:t>10</w:t>
      </w:r>
      <w:r w:rsidR="002924F8">
        <w:rPr>
          <w:rFonts w:eastAsia="Century Gothic" w:cstheme="minorHAnsi"/>
          <w:color w:val="011A3C"/>
          <w:sz w:val="24"/>
        </w:rPr>
        <w:t>.</w:t>
      </w:r>
      <w:r w:rsidR="007D565E">
        <w:rPr>
          <w:rFonts w:eastAsia="Century Gothic" w:cstheme="minorHAnsi"/>
          <w:color w:val="011A3C"/>
          <w:sz w:val="24"/>
        </w:rPr>
        <w:t>3</w:t>
      </w:r>
      <w:r w:rsidR="002924F8">
        <w:rPr>
          <w:rFonts w:eastAsia="Century Gothic" w:cstheme="minorHAnsi"/>
          <w:color w:val="011A3C"/>
          <w:sz w:val="24"/>
        </w:rPr>
        <w:t>%)</w:t>
      </w:r>
      <w:r w:rsidR="000E377B" w:rsidRPr="0082534A">
        <w:rPr>
          <w:rFonts w:eastAsia="Century Gothic" w:cstheme="minorHAnsi"/>
          <w:color w:val="011A3C"/>
          <w:sz w:val="24"/>
        </w:rPr>
        <w:t xml:space="preserve">. </w:t>
      </w:r>
    </w:p>
    <w:p w14:paraId="59857CEE" w14:textId="77460A26" w:rsidR="0082268C" w:rsidRPr="009B4DE1" w:rsidRDefault="005A1325" w:rsidP="009B4DE1">
      <w:pPr>
        <w:spacing w:before="120" w:after="240" w:line="360" w:lineRule="atLeast"/>
        <w:ind w:left="360"/>
        <w:rPr>
          <w:rFonts w:eastAsia="Segoe UI" w:cstheme="minorHAnsi"/>
          <w:b/>
          <w:color w:val="011A3C"/>
          <w:sz w:val="24"/>
          <w:szCs w:val="24"/>
          <w:lang w:val="en" w:eastAsia="en-AU"/>
        </w:rPr>
      </w:pPr>
      <w:r>
        <w:rPr>
          <w:rFonts w:eastAsia="Segoe UI" w:cstheme="minorHAnsi"/>
          <w:b/>
          <w:color w:val="011A3C"/>
          <w:sz w:val="24"/>
          <w:szCs w:val="24"/>
          <w:lang w:val="en" w:eastAsia="en-AU"/>
        </w:rPr>
        <w:t xml:space="preserve">A tool to calculate your school’s Tier 2 funding is available on </w:t>
      </w:r>
      <w:hyperlink r:id="rId79" w:history="1">
        <w:r w:rsidRPr="00557674">
          <w:rPr>
            <w:rStyle w:val="Hyperlink"/>
            <w:rFonts w:eastAsia="Segoe UI" w:cstheme="minorHAnsi"/>
            <w:b/>
            <w:sz w:val="24"/>
            <w:szCs w:val="24"/>
            <w:lang w:val="en" w:eastAsia="en-AU"/>
          </w:rPr>
          <w:t>PAL</w:t>
        </w:r>
      </w:hyperlink>
      <w:r>
        <w:rPr>
          <w:rFonts w:eastAsia="Segoe UI" w:cstheme="minorHAnsi"/>
          <w:b/>
          <w:color w:val="011A3C"/>
          <w:sz w:val="24"/>
          <w:szCs w:val="24"/>
          <w:lang w:val="en" w:eastAsia="en-AU"/>
        </w:rPr>
        <w:t>.</w:t>
      </w:r>
    </w:p>
    <w:p w14:paraId="3576A4E2" w14:textId="498F9B10" w:rsidR="000E377B" w:rsidRPr="00260C1D" w:rsidRDefault="000E377B" w:rsidP="004D307F">
      <w:pPr>
        <w:spacing w:before="120" w:after="0" w:line="360" w:lineRule="atLeast"/>
        <w:outlineLvl w:val="2"/>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Example of Tier 2 school-level funding calculation for a school</w:t>
      </w:r>
    </w:p>
    <w:p w14:paraId="23A04460" w14:textId="77777777" w:rsidR="000E377B" w:rsidRPr="00260C1D" w:rsidRDefault="000E377B" w:rsidP="004D307F">
      <w:pPr>
        <w:spacing w:before="120" w:after="120" w:line="360" w:lineRule="atLeast"/>
        <w:rPr>
          <w:rFonts w:eastAsia="Century Gothic" w:cstheme="minorHAnsi"/>
          <w:color w:val="011A3C"/>
          <w:sz w:val="24"/>
          <w:szCs w:val="24"/>
          <w:lang w:val="en-GB"/>
        </w:rPr>
      </w:pPr>
      <w:r w:rsidRPr="00260C1D">
        <w:rPr>
          <w:rFonts w:eastAsia="Century Gothic" w:cstheme="minorHAnsi"/>
          <w:color w:val="011A3C"/>
          <w:sz w:val="24"/>
          <w:szCs w:val="24"/>
          <w:lang w:val="en-GB"/>
        </w:rPr>
        <w:t xml:space="preserve">Consider a </w:t>
      </w:r>
      <w:r w:rsidRPr="00260C1D">
        <w:rPr>
          <w:rFonts w:eastAsia="Century Gothic" w:cstheme="minorHAnsi"/>
          <w:color w:val="011A3C"/>
          <w:sz w:val="24"/>
          <w:szCs w:val="24"/>
          <w:u w:val="single"/>
          <w:lang w:val="en-GB"/>
        </w:rPr>
        <w:t>primary</w:t>
      </w:r>
      <w:r w:rsidRPr="00260C1D">
        <w:rPr>
          <w:rFonts w:eastAsia="Century Gothic" w:cstheme="minorHAnsi"/>
          <w:color w:val="011A3C"/>
          <w:sz w:val="24"/>
          <w:szCs w:val="24"/>
          <w:lang w:val="en-GB"/>
        </w:rPr>
        <w:t xml:space="preserve"> school with </w:t>
      </w:r>
      <w:r w:rsidRPr="00260C1D">
        <w:rPr>
          <w:rFonts w:eastAsia="Century Gothic" w:cstheme="minorHAnsi"/>
          <w:color w:val="011A3C"/>
          <w:sz w:val="24"/>
          <w:szCs w:val="24"/>
          <w:u w:val="single"/>
          <w:lang w:val="en-GB"/>
        </w:rPr>
        <w:t>90 enrolments</w:t>
      </w:r>
      <w:r w:rsidRPr="00260C1D">
        <w:rPr>
          <w:rFonts w:eastAsia="Century Gothic" w:cstheme="minorHAnsi"/>
          <w:color w:val="011A3C"/>
          <w:sz w:val="24"/>
          <w:szCs w:val="24"/>
          <w:lang w:val="en-GB"/>
        </w:rPr>
        <w:t xml:space="preserve"> and the following </w:t>
      </w:r>
      <w:r w:rsidRPr="00260C1D">
        <w:rPr>
          <w:rFonts w:eastAsia="Century Gothic" w:cstheme="minorHAnsi"/>
          <w:color w:val="011A3C"/>
          <w:sz w:val="24"/>
          <w:szCs w:val="24"/>
          <w:u w:val="single"/>
          <w:lang w:val="en-GB"/>
        </w:rPr>
        <w:t>SFE</w:t>
      </w:r>
      <w:r w:rsidRPr="00260C1D">
        <w:rPr>
          <w:rFonts w:eastAsia="Century Gothic" w:cstheme="minorHAnsi"/>
          <w:color w:val="011A3C"/>
          <w:sz w:val="24"/>
          <w:szCs w:val="24"/>
          <w:lang w:val="en-GB"/>
        </w:rPr>
        <w:t xml:space="preserve"> distribution: 15% of enrolments are in SFE 1 and SFE 2 category; 15% of enrolments are in SFE 3 and SFE 4 category; 25% of enrolments are in SFE 5 category; 45% of enrolments are in SFE 6 and SFE 7 category. </w:t>
      </w:r>
    </w:p>
    <w:p w14:paraId="02C85325" w14:textId="77777777" w:rsidR="000E377B" w:rsidRPr="00260C1D" w:rsidRDefault="000E377B" w:rsidP="004D307F">
      <w:pPr>
        <w:spacing w:before="120" w:after="120" w:line="360" w:lineRule="atLeast"/>
        <w:rPr>
          <w:rFonts w:eastAsia="Century Gothic" w:cstheme="minorHAnsi"/>
          <w:b/>
          <w:color w:val="011A3C"/>
          <w:sz w:val="24"/>
          <w:szCs w:val="24"/>
          <w:lang w:val="en-GB"/>
        </w:rPr>
      </w:pPr>
      <w:r w:rsidRPr="00260C1D">
        <w:rPr>
          <w:rFonts w:eastAsia="Century Gothic" w:cstheme="minorHAnsi"/>
          <w:b/>
          <w:color w:val="011A3C"/>
          <w:sz w:val="24"/>
          <w:szCs w:val="24"/>
          <w:lang w:val="en-GB"/>
        </w:rPr>
        <w:t>Base calculation</w:t>
      </w:r>
    </w:p>
    <w:p w14:paraId="5A2A5AD4" w14:textId="77777777" w:rsidR="000E377B" w:rsidRPr="00260C1D" w:rsidRDefault="000E377B" w:rsidP="004D307F">
      <w:pPr>
        <w:spacing w:before="120" w:after="120" w:line="360" w:lineRule="atLeast"/>
        <w:rPr>
          <w:rFonts w:eastAsia="Century Gothic" w:cstheme="minorHAnsi"/>
          <w:color w:val="011A3C"/>
          <w:sz w:val="24"/>
          <w:szCs w:val="24"/>
          <w:lang w:val="en-GB"/>
        </w:rPr>
      </w:pPr>
      <w:r w:rsidRPr="00260C1D">
        <w:rPr>
          <w:rFonts w:eastAsia="Century Gothic" w:cstheme="minorHAnsi"/>
          <w:color w:val="011A3C"/>
          <w:sz w:val="24"/>
          <w:szCs w:val="24"/>
          <w:lang w:val="en-GB"/>
        </w:rPr>
        <w:t>The base would be calculated as:</w:t>
      </w:r>
    </w:p>
    <w:p w14:paraId="3E56AEC5" w14:textId="173F5689" w:rsidR="00ED2F0A" w:rsidRPr="00260C1D" w:rsidRDefault="00AF0754" w:rsidP="004D307F">
      <w:pPr>
        <w:pStyle w:val="NormalWeb"/>
        <w:spacing w:before="120" w:beforeAutospacing="0" w:line="360" w:lineRule="atLeast"/>
        <w:rPr>
          <w:rFonts w:asciiTheme="minorHAnsi" w:hAnsiTheme="minorHAnsi" w:cstheme="minorHAnsi"/>
          <w:color w:val="011A3C"/>
        </w:rPr>
      </w:pPr>
      <w:r w:rsidRPr="00AF0754">
        <w:rPr>
          <w:rFonts w:asciiTheme="minorHAnsi" w:hAnsiTheme="minorHAnsi" w:cstheme="minorHAnsi"/>
          <w:color w:val="011A3C"/>
        </w:rPr>
        <w:t xml:space="preserve">$5,265.71 </w:t>
      </w:r>
      <w:r w:rsidR="00ED2F0A" w:rsidRPr="00260C1D">
        <w:rPr>
          <w:rFonts w:asciiTheme="minorHAnsi" w:hAnsiTheme="minorHAnsi" w:cstheme="minorHAnsi"/>
          <w:color w:val="011A3C"/>
        </w:rPr>
        <w:t>+ (90 − 5 enrolments = 85 enrolments) × $</w:t>
      </w:r>
      <w:r w:rsidR="006C02F3" w:rsidRPr="006C02F3">
        <w:rPr>
          <w:rFonts w:asciiTheme="minorHAnsi" w:hAnsiTheme="minorHAnsi" w:cstheme="minorHAnsi"/>
          <w:color w:val="011A3C"/>
        </w:rPr>
        <w:t>277.</w:t>
      </w:r>
      <w:r w:rsidR="00DA5B3E">
        <w:rPr>
          <w:rFonts w:asciiTheme="minorHAnsi" w:hAnsiTheme="minorHAnsi" w:cstheme="minorHAnsi"/>
          <w:color w:val="011A3C"/>
        </w:rPr>
        <w:t>1</w:t>
      </w:r>
      <w:r w:rsidR="006C02F3" w:rsidRPr="006C02F3">
        <w:rPr>
          <w:rFonts w:asciiTheme="minorHAnsi" w:hAnsiTheme="minorHAnsi" w:cstheme="minorHAnsi"/>
          <w:color w:val="011A3C"/>
        </w:rPr>
        <w:t>4</w:t>
      </w:r>
      <w:r w:rsidR="006C02F3">
        <w:rPr>
          <w:rFonts w:asciiTheme="minorHAnsi" w:hAnsiTheme="minorHAnsi" w:cstheme="minorHAnsi"/>
          <w:color w:val="011A3C"/>
        </w:rPr>
        <w:t xml:space="preserve"> </w:t>
      </w:r>
      <w:r w:rsidR="00ED2F0A" w:rsidRPr="00260C1D">
        <w:rPr>
          <w:rFonts w:asciiTheme="minorHAnsi" w:hAnsiTheme="minorHAnsi" w:cstheme="minorHAnsi"/>
          <w:color w:val="011A3C"/>
        </w:rPr>
        <w:t>= $</w:t>
      </w:r>
      <w:r w:rsidR="00851DD6" w:rsidRPr="00851DD6">
        <w:rPr>
          <w:rFonts w:asciiTheme="minorHAnsi" w:hAnsiTheme="minorHAnsi" w:cstheme="minorHAnsi"/>
          <w:color w:val="011A3C"/>
        </w:rPr>
        <w:t xml:space="preserve">28,822.84 </w:t>
      </w:r>
    </w:p>
    <w:p w14:paraId="58A5EB7A" w14:textId="77777777" w:rsidR="000E377B" w:rsidRPr="00260C1D" w:rsidRDefault="000E377B" w:rsidP="004D307F">
      <w:pPr>
        <w:spacing w:before="120" w:after="120" w:line="360" w:lineRule="atLeast"/>
        <w:rPr>
          <w:rFonts w:eastAsia="Century Gothic" w:cstheme="minorHAnsi"/>
          <w:b/>
          <w:color w:val="011A3C"/>
          <w:sz w:val="24"/>
          <w:szCs w:val="24"/>
          <w:lang w:val="en-GB"/>
        </w:rPr>
      </w:pPr>
      <w:r w:rsidRPr="00260C1D">
        <w:rPr>
          <w:rFonts w:eastAsia="Century Gothic" w:cstheme="minorHAnsi"/>
          <w:b/>
          <w:color w:val="011A3C"/>
          <w:sz w:val="24"/>
          <w:szCs w:val="24"/>
          <w:lang w:val="en-GB"/>
        </w:rPr>
        <w:t>Index calculation</w:t>
      </w:r>
    </w:p>
    <w:p w14:paraId="70478A5F" w14:textId="77777777" w:rsidR="000E377B" w:rsidRPr="00260C1D" w:rsidRDefault="000E377B" w:rsidP="004D307F">
      <w:pPr>
        <w:spacing w:before="120" w:after="120" w:line="360" w:lineRule="atLeast"/>
        <w:rPr>
          <w:rFonts w:eastAsia="Century Gothic" w:cstheme="minorHAnsi"/>
          <w:color w:val="011A3C"/>
          <w:sz w:val="24"/>
          <w:szCs w:val="24"/>
          <w:lang w:val="en-GB"/>
        </w:rPr>
      </w:pPr>
      <w:r w:rsidRPr="00260C1D">
        <w:rPr>
          <w:rFonts w:eastAsia="Century Gothic" w:cstheme="minorHAnsi"/>
          <w:color w:val="011A3C"/>
          <w:sz w:val="24"/>
          <w:szCs w:val="24"/>
          <w:lang w:val="en-GB"/>
        </w:rPr>
        <w:t xml:space="preserve">The index would be calculated as: </w:t>
      </w:r>
    </w:p>
    <w:p w14:paraId="21692E3A" w14:textId="3E929509" w:rsidR="00AF025A" w:rsidRPr="00260C1D" w:rsidRDefault="000E377B" w:rsidP="004D307F">
      <w:pPr>
        <w:spacing w:before="120" w:after="120" w:line="360" w:lineRule="atLeast"/>
        <w:rPr>
          <w:rFonts w:eastAsia="Century Gothic" w:cstheme="minorHAnsi"/>
          <w:b/>
          <w:color w:val="011A3C"/>
          <w:sz w:val="24"/>
          <w:szCs w:val="24"/>
          <w:lang w:val="en-GB"/>
        </w:rPr>
      </w:pPr>
      <w:r w:rsidRPr="00260C1D">
        <w:rPr>
          <w:rFonts w:eastAsia="Century Gothic" w:cstheme="minorHAnsi"/>
          <w:color w:val="011A3C"/>
          <w:sz w:val="24"/>
          <w:szCs w:val="24"/>
          <w:lang w:val="en-GB"/>
        </w:rPr>
        <w:t>(15%</w:t>
      </w:r>
      <w:r w:rsidR="00E655E4">
        <w:rPr>
          <w:rFonts w:eastAsia="Century Gothic" w:cstheme="minorHAnsi"/>
          <w:color w:val="011A3C"/>
          <w:sz w:val="24"/>
          <w:szCs w:val="24"/>
          <w:lang w:val="en-GB"/>
        </w:rPr>
        <w:t xml:space="preserve"> × </w:t>
      </w:r>
      <w:r w:rsidRPr="00260C1D">
        <w:rPr>
          <w:rFonts w:eastAsia="Century Gothic" w:cstheme="minorHAnsi"/>
          <w:color w:val="011A3C"/>
          <w:sz w:val="24"/>
          <w:szCs w:val="24"/>
          <w:lang w:val="en-GB"/>
        </w:rPr>
        <w:t>0.1800) + (15%</w:t>
      </w:r>
      <w:r w:rsidR="00E655E4">
        <w:rPr>
          <w:rFonts w:eastAsia="Century Gothic" w:cstheme="minorHAnsi"/>
          <w:color w:val="011A3C"/>
          <w:sz w:val="24"/>
          <w:szCs w:val="24"/>
          <w:lang w:val="en-GB"/>
        </w:rPr>
        <w:t xml:space="preserve"> × </w:t>
      </w:r>
      <w:r w:rsidRPr="00260C1D">
        <w:rPr>
          <w:rFonts w:eastAsia="Century Gothic" w:cstheme="minorHAnsi"/>
          <w:color w:val="011A3C"/>
          <w:sz w:val="24"/>
          <w:szCs w:val="24"/>
          <w:lang w:val="en-GB"/>
        </w:rPr>
        <w:t>0.1158) + (25%</w:t>
      </w:r>
      <w:r w:rsidR="00E655E4">
        <w:rPr>
          <w:rFonts w:eastAsia="Century Gothic" w:cstheme="minorHAnsi"/>
          <w:color w:val="011A3C"/>
          <w:sz w:val="24"/>
          <w:szCs w:val="24"/>
          <w:lang w:val="en-GB"/>
        </w:rPr>
        <w:t xml:space="preserve"> × </w:t>
      </w:r>
      <w:r w:rsidRPr="00260C1D">
        <w:rPr>
          <w:rFonts w:eastAsia="Century Gothic" w:cstheme="minorHAnsi"/>
          <w:color w:val="011A3C"/>
          <w:sz w:val="24"/>
          <w:szCs w:val="24"/>
          <w:lang w:val="en-GB"/>
        </w:rPr>
        <w:t>0.1127) + (45%</w:t>
      </w:r>
      <w:r w:rsidR="00E655E4">
        <w:rPr>
          <w:rFonts w:eastAsia="Century Gothic" w:cstheme="minorHAnsi"/>
          <w:color w:val="011A3C"/>
          <w:sz w:val="24"/>
          <w:szCs w:val="24"/>
          <w:lang w:val="en-GB"/>
        </w:rPr>
        <w:t xml:space="preserve"> × </w:t>
      </w:r>
      <w:r w:rsidRPr="00260C1D">
        <w:rPr>
          <w:rFonts w:eastAsia="Century Gothic" w:cstheme="minorHAnsi"/>
          <w:color w:val="011A3C"/>
          <w:sz w:val="24"/>
          <w:szCs w:val="24"/>
          <w:lang w:val="en-GB"/>
        </w:rPr>
        <w:t>0.0117) + (1</w:t>
      </w:r>
      <w:r w:rsidR="00E655E4">
        <w:rPr>
          <w:rFonts w:eastAsia="Century Gothic" w:cstheme="minorHAnsi"/>
          <w:color w:val="011A3C"/>
          <w:sz w:val="24"/>
          <w:szCs w:val="24"/>
          <w:lang w:val="en-GB"/>
        </w:rPr>
        <w:t xml:space="preserve"> × </w:t>
      </w:r>
      <w:r w:rsidRPr="00260C1D">
        <w:rPr>
          <w:rFonts w:eastAsia="Century Gothic" w:cstheme="minorHAnsi"/>
          <w:color w:val="011A3C"/>
          <w:sz w:val="24"/>
          <w:szCs w:val="24"/>
          <w:lang w:val="en-GB"/>
        </w:rPr>
        <w:t>0.0202) + (1</w:t>
      </w:r>
      <w:r w:rsidR="00E655E4">
        <w:rPr>
          <w:rFonts w:eastAsia="Century Gothic" w:cstheme="minorHAnsi"/>
          <w:color w:val="011A3C"/>
          <w:sz w:val="24"/>
          <w:szCs w:val="24"/>
          <w:lang w:val="en-GB"/>
        </w:rPr>
        <w:t xml:space="preserve"> × </w:t>
      </w:r>
      <w:r w:rsidRPr="00260C1D">
        <w:rPr>
          <w:rFonts w:eastAsia="Century Gothic" w:cstheme="minorHAnsi"/>
          <w:color w:val="011A3C"/>
          <w:sz w:val="24"/>
          <w:szCs w:val="24"/>
          <w:lang w:val="en-GB"/>
        </w:rPr>
        <w:t xml:space="preserve">0.0348) = </w:t>
      </w:r>
      <w:r w:rsidRPr="00260C1D">
        <w:rPr>
          <w:rFonts w:eastAsia="Century Gothic" w:cstheme="minorHAnsi"/>
          <w:b/>
          <w:color w:val="011A3C"/>
          <w:sz w:val="24"/>
          <w:szCs w:val="24"/>
          <w:lang w:val="en-GB"/>
        </w:rPr>
        <w:t>0.1328</w:t>
      </w:r>
    </w:p>
    <w:p w14:paraId="6EC01BB0" w14:textId="77777777" w:rsidR="000E377B" w:rsidRPr="00260C1D" w:rsidRDefault="000E377B" w:rsidP="004D307F">
      <w:pPr>
        <w:spacing w:before="120" w:after="120" w:line="360" w:lineRule="atLeast"/>
        <w:rPr>
          <w:rFonts w:eastAsia="Century Gothic" w:cstheme="minorHAnsi"/>
          <w:b/>
          <w:color w:val="011A3C"/>
          <w:sz w:val="24"/>
          <w:szCs w:val="24"/>
          <w:lang w:val="en-GB"/>
        </w:rPr>
      </w:pPr>
      <w:r w:rsidRPr="00260C1D">
        <w:rPr>
          <w:rFonts w:eastAsia="Century Gothic" w:cstheme="minorHAnsi"/>
          <w:b/>
          <w:color w:val="011A3C"/>
          <w:sz w:val="24"/>
          <w:szCs w:val="24"/>
          <w:lang w:val="en-GB"/>
        </w:rPr>
        <w:t>Total annual school allocation</w:t>
      </w:r>
    </w:p>
    <w:p w14:paraId="5AF33236" w14:textId="77777777" w:rsidR="000E377B" w:rsidRPr="00260C1D" w:rsidRDefault="000E377B" w:rsidP="004D307F">
      <w:pPr>
        <w:spacing w:before="120" w:after="120" w:line="360" w:lineRule="atLeast"/>
        <w:rPr>
          <w:rFonts w:eastAsia="Century Gothic" w:cstheme="minorHAnsi"/>
          <w:color w:val="011A3C"/>
          <w:sz w:val="24"/>
          <w:szCs w:val="24"/>
          <w:lang w:val="en-GB"/>
        </w:rPr>
      </w:pPr>
      <w:r w:rsidRPr="00260C1D">
        <w:rPr>
          <w:rFonts w:eastAsia="Century Gothic" w:cstheme="minorHAnsi"/>
          <w:color w:val="011A3C"/>
          <w:sz w:val="24"/>
          <w:szCs w:val="24"/>
          <w:lang w:val="en-GB"/>
        </w:rPr>
        <w:t xml:space="preserve">Total Tier 2 funding for the example school would be: </w:t>
      </w:r>
    </w:p>
    <w:p w14:paraId="3828D044" w14:textId="7F8FE545" w:rsidR="00197041" w:rsidRPr="00B148A2" w:rsidRDefault="00633C1E" w:rsidP="00197041">
      <w:pPr>
        <w:pStyle w:val="NormalWeb"/>
        <w:spacing w:before="120" w:beforeAutospacing="0" w:line="360" w:lineRule="atLeast"/>
        <w:rPr>
          <w:color w:val="011A3C"/>
          <w:sz w:val="20"/>
          <w:lang w:val="en"/>
        </w:rPr>
      </w:pPr>
      <w:r w:rsidRPr="00DE2D1E">
        <w:rPr>
          <w:rFonts w:asciiTheme="minorHAnsi" w:hAnsiTheme="minorHAnsi" w:cstheme="minorHAnsi"/>
          <w:color w:val="011A3C"/>
        </w:rPr>
        <w:t>$</w:t>
      </w:r>
      <w:r w:rsidR="00112672" w:rsidRPr="00112672">
        <w:rPr>
          <w:rFonts w:asciiTheme="minorHAnsi" w:hAnsiTheme="minorHAnsi" w:cstheme="minorHAnsi"/>
          <w:color w:val="011A3C"/>
        </w:rPr>
        <w:t xml:space="preserve">28,822.84 </w:t>
      </w:r>
      <w:r w:rsidR="00ED2F0A" w:rsidRPr="54961C12">
        <w:rPr>
          <w:rFonts w:asciiTheme="minorHAnsi" w:hAnsiTheme="minorHAnsi" w:cstheme="minorBidi"/>
          <w:color w:val="011A3C"/>
        </w:rPr>
        <w:t xml:space="preserve">+ (0.1328 × 90 × </w:t>
      </w:r>
      <w:r w:rsidRPr="00633C1E">
        <w:rPr>
          <w:rFonts w:asciiTheme="minorHAnsi" w:hAnsiTheme="minorHAnsi" w:cstheme="minorBidi"/>
          <w:color w:val="011A3C"/>
        </w:rPr>
        <w:t>$4,</w:t>
      </w:r>
      <w:r w:rsidR="00DF596A" w:rsidRPr="00DF596A">
        <w:rPr>
          <w:rFonts w:asciiTheme="minorHAnsi" w:hAnsiTheme="minorHAnsi" w:cstheme="minorBidi"/>
          <w:color w:val="011A3C"/>
        </w:rPr>
        <w:t>656.34</w:t>
      </w:r>
      <w:r w:rsidR="00ED2F0A" w:rsidRPr="54961C12">
        <w:rPr>
          <w:rFonts w:asciiTheme="minorHAnsi" w:hAnsiTheme="minorHAnsi" w:cstheme="minorBidi"/>
          <w:color w:val="011A3C"/>
        </w:rPr>
        <w:t>) =</w:t>
      </w:r>
      <w:r w:rsidR="00066493" w:rsidRPr="00066493">
        <w:rPr>
          <w:rFonts w:asciiTheme="minorHAnsi" w:hAnsiTheme="minorHAnsi" w:cstheme="minorBidi"/>
          <w:color w:val="011A3C"/>
        </w:rPr>
        <w:t xml:space="preserve"> </w:t>
      </w:r>
      <w:r w:rsidR="00DF596A" w:rsidRPr="00DF596A">
        <w:rPr>
          <w:rFonts w:asciiTheme="minorHAnsi" w:hAnsiTheme="minorHAnsi" w:cstheme="minorBidi"/>
          <w:color w:val="011A3C"/>
        </w:rPr>
        <w:t xml:space="preserve">$84,475.39 </w:t>
      </w:r>
    </w:p>
    <w:p w14:paraId="3BB9A787" w14:textId="6FB14175" w:rsidR="00AD6B17" w:rsidRPr="00260C1D" w:rsidRDefault="00AD6B17" w:rsidP="00532A33">
      <w:pPr>
        <w:pStyle w:val="Heading2"/>
      </w:pPr>
      <w:bookmarkStart w:id="104" w:name="_Toc141965251"/>
      <w:bookmarkStart w:id="105" w:name="_Toc145339581"/>
      <w:bookmarkStart w:id="106" w:name="_Toc153791904"/>
      <w:r w:rsidRPr="00260C1D">
        <w:lastRenderedPageBreak/>
        <w:t xml:space="preserve">Disability Inclusion Tier 3 student-level funding (Reference </w:t>
      </w:r>
      <w:r w:rsidR="00DF6FB6" w:rsidRPr="00260C1D">
        <w:t>138</w:t>
      </w:r>
      <w:r w:rsidRPr="00260C1D">
        <w:t>)</w:t>
      </w:r>
      <w:bookmarkEnd w:id="104"/>
      <w:bookmarkEnd w:id="105"/>
      <w:bookmarkEnd w:id="106"/>
      <w:r w:rsidRPr="00260C1D">
        <w:t> </w:t>
      </w:r>
    </w:p>
    <w:p w14:paraId="5C5CC700" w14:textId="77777777"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The Disability Inclusion reform package introduces a new funding and support model for students with disability over a staged rollout between 2021 to 2025. Refer to: </w:t>
      </w:r>
      <w:hyperlink r:id="rId80" w:history="1">
        <w:r w:rsidRPr="00260C1D">
          <w:rPr>
            <w:rStyle w:val="Hyperlink"/>
            <w:rFonts w:cstheme="minorHAnsi"/>
            <w:color w:val="1855BF"/>
            <w:sz w:val="24"/>
            <w:szCs w:val="24"/>
          </w:rPr>
          <w:t>Disability Inclusion Funding and Support</w:t>
        </w:r>
      </w:hyperlink>
      <w:r w:rsidRPr="00260C1D">
        <w:rPr>
          <w:rFonts w:eastAsia="Segoe UI" w:cstheme="minorHAnsi"/>
          <w:color w:val="011A3C"/>
          <w:sz w:val="24"/>
          <w:szCs w:val="24"/>
          <w:lang w:eastAsia="en-AU"/>
        </w:rPr>
        <w:t>.</w:t>
      </w:r>
    </w:p>
    <w:p w14:paraId="6E4B267C" w14:textId="77777777"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 xml:space="preserve">Tier 3 individual-level funding builds on the </w:t>
      </w:r>
      <w:hyperlink r:id="rId81" w:history="1">
        <w:r w:rsidRPr="00260C1D">
          <w:rPr>
            <w:rStyle w:val="Hyperlink"/>
            <w:rFonts w:cstheme="minorHAnsi"/>
            <w:color w:val="1855BF"/>
            <w:sz w:val="24"/>
            <w:szCs w:val="24"/>
          </w:rPr>
          <w:t>core student learning allocation</w:t>
        </w:r>
      </w:hyperlink>
      <w:r w:rsidRPr="00260C1D">
        <w:rPr>
          <w:rFonts w:eastAsia="Segoe UI" w:cstheme="minorHAnsi"/>
          <w:color w:val="011A3C"/>
          <w:sz w:val="24"/>
          <w:szCs w:val="24"/>
          <w:lang w:eastAsia="en-AU"/>
        </w:rPr>
        <w:t xml:space="preserve"> and </w:t>
      </w:r>
      <w:hyperlink r:id="rId82" w:history="1">
        <w:r w:rsidRPr="00260C1D">
          <w:rPr>
            <w:rStyle w:val="Hyperlink"/>
            <w:rFonts w:cstheme="minorHAnsi"/>
            <w:sz w:val="24"/>
            <w:szCs w:val="24"/>
          </w:rPr>
          <w:t>Tier 2</w:t>
        </w:r>
      </w:hyperlink>
      <w:r w:rsidRPr="00260C1D">
        <w:rPr>
          <w:rFonts w:eastAsia="Segoe UI" w:cstheme="minorHAnsi"/>
          <w:color w:val="011A3C"/>
          <w:sz w:val="24"/>
          <w:szCs w:val="24"/>
          <w:lang w:eastAsia="en-AU"/>
        </w:rPr>
        <w:t xml:space="preserve"> funding, providing individualised funding to support students with high and complex needs relating to their disability. Through the Disability Inclusion reform rollout period, the Tier 3 student-level funding will gradually replace the existing individualised disability funding provided through the </w:t>
      </w:r>
      <w:hyperlink r:id="rId83" w:history="1">
        <w:r w:rsidRPr="00614B09">
          <w:rPr>
            <w:rStyle w:val="Hyperlink"/>
            <w:rFonts w:cstheme="minorHAnsi"/>
            <w:color w:val="1855BF"/>
            <w:sz w:val="24"/>
            <w:szCs w:val="24"/>
          </w:rPr>
          <w:t>Program for Students with Disabilities</w:t>
        </w:r>
      </w:hyperlink>
      <w:r w:rsidRPr="00260C1D">
        <w:rPr>
          <w:rFonts w:eastAsia="Segoe UI" w:cstheme="minorHAnsi"/>
          <w:color w:val="011A3C"/>
          <w:sz w:val="24"/>
          <w:szCs w:val="24"/>
          <w:lang w:eastAsia="en-AU"/>
        </w:rPr>
        <w:t>.</w:t>
      </w:r>
    </w:p>
    <w:p w14:paraId="54105AEE" w14:textId="0AB2B3FE"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Tier 3 allocations are based on</w:t>
      </w:r>
      <w:r w:rsidRPr="00260C1D">
        <w:rPr>
          <w:rFonts w:cstheme="minorHAnsi"/>
        </w:rPr>
        <w:t xml:space="preserve"> </w:t>
      </w:r>
      <w:r w:rsidRPr="00260C1D">
        <w:rPr>
          <w:rFonts w:eastAsia="Segoe UI" w:cstheme="minorHAnsi"/>
          <w:color w:val="011A3C"/>
          <w:sz w:val="24"/>
          <w:szCs w:val="24"/>
          <w:lang w:eastAsia="en-AU"/>
        </w:rPr>
        <w:t xml:space="preserve">the strengths and needs of students with disabilities and the associated levels of adjustment captured in the </w:t>
      </w:r>
      <w:r w:rsidRPr="00260C1D">
        <w:rPr>
          <w:rFonts w:cstheme="minorHAnsi"/>
          <w:sz w:val="24"/>
          <w:szCs w:val="24"/>
        </w:rPr>
        <w:t>Disability Inclusion Profile</w:t>
      </w:r>
      <w:r w:rsidRPr="00260C1D">
        <w:rPr>
          <w:rFonts w:eastAsia="Segoe UI" w:cstheme="minorHAnsi"/>
          <w:color w:val="011A3C"/>
          <w:sz w:val="24"/>
          <w:szCs w:val="24"/>
          <w:lang w:eastAsia="en-AU"/>
        </w:rPr>
        <w:t xml:space="preserve"> (the Profile). The Profile record levels of adjustment against 31 educational activities, across 6 domains. Refer to: </w:t>
      </w:r>
      <w:hyperlink r:id="rId84" w:history="1">
        <w:r w:rsidRPr="00614B09">
          <w:rPr>
            <w:rStyle w:val="Hyperlink"/>
            <w:rFonts w:cstheme="minorHAnsi"/>
            <w:color w:val="1855BF"/>
            <w:sz w:val="24"/>
            <w:szCs w:val="24"/>
          </w:rPr>
          <w:t>Disability Inclusion Profile</w:t>
        </w:r>
      </w:hyperlink>
      <w:r w:rsidRPr="00260C1D">
        <w:rPr>
          <w:rFonts w:eastAsia="Segoe UI" w:cstheme="minorHAnsi"/>
          <w:color w:val="011A3C"/>
          <w:sz w:val="24"/>
          <w:szCs w:val="24"/>
          <w:lang w:eastAsia="en-AU"/>
        </w:rPr>
        <w:t xml:space="preserve">. </w:t>
      </w:r>
    </w:p>
    <w:p w14:paraId="4D62A2BF" w14:textId="77777777" w:rsidR="00532A33" w:rsidRDefault="00532A33" w:rsidP="004D307F">
      <w:pPr>
        <w:spacing w:before="100" w:beforeAutospacing="1" w:after="100" w:afterAutospacing="1" w:line="288" w:lineRule="atLeast"/>
        <w:outlineLvl w:val="3"/>
        <w:rPr>
          <w:rFonts w:eastAsia="Segoe UI" w:cstheme="minorHAnsi"/>
          <w:b/>
          <w:color w:val="011A3C"/>
          <w:sz w:val="27"/>
          <w:szCs w:val="27"/>
          <w:lang w:val="en" w:eastAsia="en-AU"/>
        </w:rPr>
      </w:pPr>
    </w:p>
    <w:p w14:paraId="127D4E48" w14:textId="08E17C1A" w:rsidR="00AD6B17" w:rsidRPr="00260C1D" w:rsidRDefault="00AD6B17" w:rsidP="004D307F">
      <w:pPr>
        <w:spacing w:before="100" w:beforeAutospacing="1" w:after="100" w:afterAutospacing="1" w:line="288" w:lineRule="atLeast"/>
        <w:outlineLvl w:val="3"/>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6C30D042" w14:textId="77777777"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The following school types are eligible for Tier 3 funding:</w:t>
      </w:r>
    </w:p>
    <w:p w14:paraId="27B26558" w14:textId="5D29DE16" w:rsidR="00AD6B17" w:rsidRPr="0082534A" w:rsidRDefault="00AD6B17" w:rsidP="00F56244">
      <w:pPr>
        <w:pStyle w:val="ListParagraph"/>
        <w:numPr>
          <w:ilvl w:val="0"/>
          <w:numId w:val="86"/>
        </w:numPr>
        <w:spacing w:before="100" w:beforeAutospacing="1" w:after="100" w:afterAutospacing="1" w:line="360" w:lineRule="atLeast"/>
        <w:rPr>
          <w:rFonts w:eastAsia="Segoe UI" w:cstheme="minorHAnsi"/>
          <w:color w:val="011A3C"/>
          <w:sz w:val="24"/>
          <w:szCs w:val="24"/>
          <w:lang w:eastAsia="en-AU"/>
        </w:rPr>
      </w:pPr>
      <w:r w:rsidRPr="0082534A">
        <w:rPr>
          <w:rFonts w:eastAsia="Segoe UI" w:cstheme="minorHAnsi"/>
          <w:color w:val="011A3C"/>
          <w:sz w:val="24"/>
          <w:szCs w:val="24"/>
          <w:lang w:eastAsia="en-AU"/>
        </w:rPr>
        <w:t xml:space="preserve">Primary (excluding </w:t>
      </w:r>
      <w:r w:rsidR="00AC2E56" w:rsidRPr="0082534A">
        <w:rPr>
          <w:rFonts w:eastAsia="Segoe UI" w:cstheme="minorHAnsi"/>
          <w:color w:val="011A3C"/>
          <w:sz w:val="24"/>
          <w:szCs w:val="24"/>
          <w:lang w:eastAsia="en-AU"/>
        </w:rPr>
        <w:t>d</w:t>
      </w:r>
      <w:r w:rsidRPr="0082534A">
        <w:rPr>
          <w:rFonts w:eastAsia="Segoe UI" w:cstheme="minorHAnsi"/>
          <w:color w:val="011A3C"/>
          <w:sz w:val="24"/>
          <w:szCs w:val="24"/>
          <w:lang w:eastAsia="en-AU"/>
        </w:rPr>
        <w:t>eaf facilities)</w:t>
      </w:r>
    </w:p>
    <w:p w14:paraId="01E6B411" w14:textId="77777777" w:rsidR="00AD6B17" w:rsidRPr="0082534A" w:rsidRDefault="00AD6B17" w:rsidP="00F56244">
      <w:pPr>
        <w:pStyle w:val="ListParagraph"/>
        <w:numPr>
          <w:ilvl w:val="0"/>
          <w:numId w:val="86"/>
        </w:numPr>
        <w:spacing w:before="100" w:beforeAutospacing="1" w:after="100" w:afterAutospacing="1" w:line="360" w:lineRule="atLeast"/>
        <w:rPr>
          <w:rFonts w:eastAsia="Segoe UI" w:cstheme="minorHAnsi"/>
          <w:color w:val="011A3C"/>
          <w:sz w:val="24"/>
          <w:szCs w:val="24"/>
          <w:lang w:eastAsia="en-AU"/>
        </w:rPr>
      </w:pPr>
      <w:r w:rsidRPr="0082534A">
        <w:rPr>
          <w:rFonts w:eastAsia="Segoe UI" w:cstheme="minorHAnsi"/>
          <w:color w:val="011A3C"/>
          <w:sz w:val="24"/>
          <w:szCs w:val="24"/>
          <w:lang w:eastAsia="en-AU"/>
        </w:rPr>
        <w:t>Secondary</w:t>
      </w:r>
    </w:p>
    <w:p w14:paraId="0A96B484" w14:textId="77777777" w:rsidR="00AD6B17" w:rsidRPr="0082534A" w:rsidRDefault="00AD6B17" w:rsidP="00F56244">
      <w:pPr>
        <w:pStyle w:val="ListParagraph"/>
        <w:numPr>
          <w:ilvl w:val="0"/>
          <w:numId w:val="86"/>
        </w:numPr>
        <w:spacing w:before="100" w:beforeAutospacing="1" w:after="100" w:afterAutospacing="1" w:line="360" w:lineRule="atLeast"/>
        <w:rPr>
          <w:rFonts w:eastAsia="Segoe UI" w:cstheme="minorHAnsi"/>
          <w:color w:val="011A3C"/>
          <w:sz w:val="24"/>
          <w:szCs w:val="24"/>
          <w:lang w:eastAsia="en-AU"/>
        </w:rPr>
      </w:pPr>
      <w:r w:rsidRPr="0082534A">
        <w:rPr>
          <w:rFonts w:eastAsia="Segoe UI" w:cstheme="minorHAnsi"/>
          <w:color w:val="011A3C"/>
          <w:sz w:val="24"/>
          <w:szCs w:val="24"/>
          <w:lang w:eastAsia="en-AU"/>
        </w:rPr>
        <w:t>Primary/Secondary Combined</w:t>
      </w:r>
    </w:p>
    <w:p w14:paraId="5297D23E" w14:textId="77777777" w:rsidR="00AD6B17" w:rsidRPr="0082534A" w:rsidRDefault="00AD6B17" w:rsidP="00F56244">
      <w:pPr>
        <w:pStyle w:val="ListParagraph"/>
        <w:numPr>
          <w:ilvl w:val="0"/>
          <w:numId w:val="86"/>
        </w:numPr>
        <w:spacing w:before="100" w:beforeAutospacing="1" w:after="100" w:afterAutospacing="1" w:line="360" w:lineRule="atLeast"/>
        <w:rPr>
          <w:rFonts w:eastAsia="Segoe UI" w:cstheme="minorHAnsi"/>
          <w:color w:val="011A3C"/>
          <w:sz w:val="24"/>
          <w:szCs w:val="24"/>
          <w:lang w:eastAsia="en-AU"/>
        </w:rPr>
      </w:pPr>
      <w:r w:rsidRPr="0082534A">
        <w:rPr>
          <w:rFonts w:eastAsia="Segoe UI" w:cstheme="minorHAnsi"/>
          <w:color w:val="011A3C"/>
          <w:sz w:val="24"/>
          <w:szCs w:val="24"/>
          <w:lang w:eastAsia="en-AU"/>
        </w:rPr>
        <w:t>Specialist</w:t>
      </w:r>
    </w:p>
    <w:p w14:paraId="25697E64" w14:textId="77777777"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A student is considered eligible for Tier 3 dependent meeting two criteria summarised as follows:</w:t>
      </w:r>
    </w:p>
    <w:p w14:paraId="5B227FC5" w14:textId="77777777" w:rsidR="00AD6B17" w:rsidRPr="00260C1D" w:rsidRDefault="00AD6B17" w:rsidP="00F56244">
      <w:pPr>
        <w:pStyle w:val="ListParagraph"/>
        <w:numPr>
          <w:ilvl w:val="0"/>
          <w:numId w:val="34"/>
        </w:num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Evidence of disability or functional need as determined by (at least one of):</w:t>
      </w:r>
    </w:p>
    <w:p w14:paraId="558C804E" w14:textId="03C7DC1C" w:rsidR="00AD6B17" w:rsidRPr="00260C1D" w:rsidRDefault="00DC7536" w:rsidP="00F56244">
      <w:pPr>
        <w:pStyle w:val="ListParagraph"/>
        <w:numPr>
          <w:ilvl w:val="1"/>
          <w:numId w:val="34"/>
        </w:numPr>
        <w:spacing w:before="100" w:beforeAutospacing="1" w:after="100" w:afterAutospacing="1" w:line="360" w:lineRule="atLeast"/>
        <w:rPr>
          <w:rFonts w:eastAsia="Segoe UI" w:cstheme="minorHAnsi"/>
          <w:color w:val="011A3C"/>
          <w:sz w:val="24"/>
          <w:szCs w:val="24"/>
          <w:lang w:eastAsia="en-AU"/>
        </w:rPr>
      </w:pPr>
      <w:r>
        <w:rPr>
          <w:rFonts w:eastAsia="Segoe UI" w:cstheme="minorHAnsi"/>
          <w:color w:val="011A3C"/>
          <w:sz w:val="24"/>
          <w:szCs w:val="24"/>
          <w:lang w:eastAsia="en-AU"/>
        </w:rPr>
        <w:t>M</w:t>
      </w:r>
      <w:r w:rsidR="00AD6B17" w:rsidRPr="00260C1D">
        <w:rPr>
          <w:rFonts w:eastAsia="Segoe UI" w:cstheme="minorHAnsi"/>
          <w:color w:val="011A3C"/>
          <w:sz w:val="24"/>
          <w:szCs w:val="24"/>
          <w:lang w:eastAsia="en-AU"/>
        </w:rPr>
        <w:t>easured functional capacity limit (Vineland Composite score of 70 or below)</w:t>
      </w:r>
    </w:p>
    <w:p w14:paraId="0A232514" w14:textId="2553C6B6" w:rsidR="00AD6B17" w:rsidRPr="00260C1D" w:rsidRDefault="00DC7536" w:rsidP="00F56244">
      <w:pPr>
        <w:pStyle w:val="ListParagraph"/>
        <w:numPr>
          <w:ilvl w:val="1"/>
          <w:numId w:val="34"/>
        </w:numPr>
        <w:spacing w:before="100" w:beforeAutospacing="1" w:after="100" w:afterAutospacing="1" w:line="360" w:lineRule="atLeast"/>
        <w:rPr>
          <w:rFonts w:eastAsia="Segoe UI" w:cstheme="minorHAnsi"/>
          <w:color w:val="011A3C"/>
          <w:sz w:val="24"/>
          <w:szCs w:val="24"/>
          <w:lang w:eastAsia="en-AU"/>
        </w:rPr>
      </w:pPr>
      <w:r>
        <w:rPr>
          <w:rFonts w:eastAsia="Segoe UI" w:cstheme="minorHAnsi"/>
          <w:color w:val="011A3C"/>
          <w:sz w:val="24"/>
          <w:szCs w:val="24"/>
          <w:lang w:eastAsia="en-AU"/>
        </w:rPr>
        <w:t>E</w:t>
      </w:r>
      <w:r w:rsidR="00AD6B17" w:rsidRPr="00260C1D">
        <w:rPr>
          <w:rFonts w:eastAsia="Segoe UI" w:cstheme="minorHAnsi"/>
          <w:color w:val="011A3C"/>
          <w:sz w:val="24"/>
          <w:szCs w:val="24"/>
          <w:lang w:eastAsia="en-AU"/>
        </w:rPr>
        <w:t xml:space="preserve">vidence of a diagnosed condition </w:t>
      </w:r>
    </w:p>
    <w:p w14:paraId="01522398" w14:textId="19FAF1DC" w:rsidR="00AD6B17" w:rsidRPr="00260C1D" w:rsidRDefault="00DC7536" w:rsidP="00F56244">
      <w:pPr>
        <w:pStyle w:val="ListParagraph"/>
        <w:numPr>
          <w:ilvl w:val="1"/>
          <w:numId w:val="34"/>
        </w:numPr>
        <w:spacing w:before="100" w:beforeAutospacing="1" w:after="100" w:afterAutospacing="1" w:line="360" w:lineRule="atLeast"/>
        <w:rPr>
          <w:rFonts w:eastAsia="Segoe UI" w:cstheme="minorHAnsi"/>
          <w:color w:val="011A3C"/>
          <w:sz w:val="24"/>
          <w:szCs w:val="24"/>
          <w:lang w:eastAsia="en-AU"/>
        </w:rPr>
      </w:pPr>
      <w:r>
        <w:rPr>
          <w:rFonts w:eastAsia="Segoe UI" w:cstheme="minorHAnsi"/>
          <w:color w:val="011A3C"/>
          <w:sz w:val="24"/>
          <w:szCs w:val="24"/>
          <w:lang w:eastAsia="en-AU"/>
        </w:rPr>
        <w:t>E</w:t>
      </w:r>
      <w:r w:rsidR="00AD6B17" w:rsidRPr="00260C1D">
        <w:rPr>
          <w:rFonts w:eastAsia="Segoe UI" w:cstheme="minorHAnsi"/>
          <w:color w:val="011A3C"/>
          <w:sz w:val="24"/>
          <w:szCs w:val="24"/>
          <w:lang w:eastAsia="en-AU"/>
        </w:rPr>
        <w:t>nhanced moderation pathway</w:t>
      </w:r>
    </w:p>
    <w:p w14:paraId="472C41F4" w14:textId="77777777" w:rsidR="00AD6B17" w:rsidRPr="00260C1D" w:rsidRDefault="00AD6B17" w:rsidP="00F56244">
      <w:pPr>
        <w:pStyle w:val="ListParagraph"/>
        <w:numPr>
          <w:ilvl w:val="0"/>
          <w:numId w:val="34"/>
        </w:num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Profile-related (at least one of):</w:t>
      </w:r>
    </w:p>
    <w:p w14:paraId="07EB0F47" w14:textId="4B1D522C" w:rsidR="00AD6B17" w:rsidRPr="00260C1D" w:rsidRDefault="00DC7536" w:rsidP="00F56244">
      <w:pPr>
        <w:pStyle w:val="ListParagraph"/>
        <w:numPr>
          <w:ilvl w:val="1"/>
          <w:numId w:val="34"/>
        </w:numPr>
        <w:spacing w:before="100" w:beforeAutospacing="1" w:after="100" w:afterAutospacing="1" w:line="360" w:lineRule="atLeast"/>
        <w:rPr>
          <w:rFonts w:eastAsia="Segoe UI" w:cstheme="minorHAnsi"/>
          <w:color w:val="011A3C"/>
          <w:sz w:val="24"/>
          <w:szCs w:val="24"/>
          <w:lang w:eastAsia="en-AU"/>
        </w:rPr>
      </w:pPr>
      <w:r>
        <w:rPr>
          <w:rFonts w:eastAsia="Segoe UI" w:cstheme="minorHAnsi"/>
          <w:color w:val="011A3C"/>
          <w:sz w:val="24"/>
          <w:szCs w:val="24"/>
          <w:lang w:eastAsia="en-AU"/>
        </w:rPr>
        <w:t>G</w:t>
      </w:r>
      <w:r w:rsidR="000C1ED7" w:rsidRPr="00260C1D">
        <w:rPr>
          <w:rFonts w:eastAsia="Segoe UI" w:cstheme="minorHAnsi"/>
          <w:color w:val="011A3C"/>
          <w:sz w:val="24"/>
          <w:szCs w:val="24"/>
          <w:lang w:eastAsia="en-AU"/>
        </w:rPr>
        <w:t>reater than or equal to</w:t>
      </w:r>
      <w:r w:rsidR="00AD6B17" w:rsidRPr="00260C1D">
        <w:rPr>
          <w:rFonts w:eastAsia="Segoe UI" w:cstheme="minorHAnsi"/>
          <w:color w:val="011A3C"/>
          <w:sz w:val="24"/>
          <w:szCs w:val="24"/>
          <w:lang w:eastAsia="en-AU"/>
        </w:rPr>
        <w:t xml:space="preserve"> 8 educational activities requiring Substantial or higher adjustment </w:t>
      </w:r>
    </w:p>
    <w:p w14:paraId="5FB5C95E" w14:textId="3EE6463D" w:rsidR="00AD6B17" w:rsidRPr="00260C1D" w:rsidRDefault="00DC7536" w:rsidP="00F56244">
      <w:pPr>
        <w:pStyle w:val="ListParagraph"/>
        <w:numPr>
          <w:ilvl w:val="1"/>
          <w:numId w:val="34"/>
        </w:numPr>
        <w:spacing w:before="100" w:beforeAutospacing="1" w:after="100" w:afterAutospacing="1" w:line="360" w:lineRule="atLeast"/>
        <w:rPr>
          <w:rFonts w:eastAsia="Segoe UI" w:cstheme="minorHAnsi"/>
          <w:color w:val="011A3C"/>
          <w:sz w:val="24"/>
          <w:szCs w:val="24"/>
          <w:lang w:eastAsia="en-AU"/>
        </w:rPr>
      </w:pPr>
      <w:r>
        <w:rPr>
          <w:rFonts w:eastAsia="Segoe UI" w:cstheme="minorHAnsi"/>
          <w:color w:val="011A3C"/>
          <w:sz w:val="24"/>
          <w:szCs w:val="24"/>
          <w:lang w:eastAsia="en-AU"/>
        </w:rPr>
        <w:t>G</w:t>
      </w:r>
      <w:r w:rsidR="000C1ED7" w:rsidRPr="00260C1D">
        <w:rPr>
          <w:rFonts w:eastAsia="Segoe UI" w:cstheme="minorHAnsi"/>
          <w:color w:val="011A3C"/>
          <w:sz w:val="24"/>
          <w:szCs w:val="24"/>
          <w:lang w:eastAsia="en-AU"/>
        </w:rPr>
        <w:t>reater than or equal to</w:t>
      </w:r>
      <w:r w:rsidR="00AD6B17" w:rsidRPr="00260C1D">
        <w:rPr>
          <w:rFonts w:eastAsia="Segoe UI" w:cstheme="minorHAnsi"/>
          <w:color w:val="011A3C"/>
          <w:sz w:val="24"/>
          <w:szCs w:val="24"/>
          <w:lang w:eastAsia="en-AU"/>
        </w:rPr>
        <w:t xml:space="preserve"> 3 educational activities requiring Extensive adjustment</w:t>
      </w:r>
    </w:p>
    <w:p w14:paraId="4913575D" w14:textId="53F5B797"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 xml:space="preserve">For more information on Tier 3 eligibility refer to: </w:t>
      </w:r>
      <w:hyperlink r:id="rId85" w:history="1">
        <w:r w:rsidRPr="00614B09">
          <w:rPr>
            <w:rStyle w:val="Hyperlink"/>
            <w:rFonts w:cstheme="minorHAnsi"/>
            <w:color w:val="1855BF"/>
            <w:sz w:val="24"/>
            <w:szCs w:val="24"/>
          </w:rPr>
          <w:t>Disability Inclusion Funding and Support</w:t>
        </w:r>
      </w:hyperlink>
      <w:r w:rsidRPr="00260C1D">
        <w:rPr>
          <w:rFonts w:eastAsia="Segoe UI" w:cstheme="minorHAnsi"/>
          <w:color w:val="011A3C"/>
          <w:sz w:val="24"/>
          <w:szCs w:val="24"/>
          <w:lang w:eastAsia="en-AU"/>
        </w:rPr>
        <w:t>.</w:t>
      </w:r>
    </w:p>
    <w:p w14:paraId="060B5485" w14:textId="77777777" w:rsidR="00AD6B17" w:rsidRPr="00260C1D" w:rsidRDefault="00AD6B17" w:rsidP="004D307F">
      <w:pPr>
        <w:spacing w:before="100" w:beforeAutospacing="1" w:after="100" w:afterAutospacing="1" w:line="288" w:lineRule="atLeast"/>
        <w:outlineLvl w:val="3"/>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Tier 3 calculation</w:t>
      </w:r>
    </w:p>
    <w:p w14:paraId="7BB61B99" w14:textId="77777777"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Tier 3 funding is calculated using the following formula:</w:t>
      </w:r>
    </w:p>
    <w:p w14:paraId="144DC002" w14:textId="546CCB58"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 xml:space="preserve">Tier 3 funding </w:t>
      </w:r>
      <w:r w:rsidRPr="00260C1D">
        <w:rPr>
          <w:rFonts w:eastAsia="Segoe UI" w:cstheme="minorHAnsi"/>
          <w:color w:val="011A3C"/>
          <w:sz w:val="24"/>
          <w:szCs w:val="24"/>
          <w:lang w:eastAsia="en-AU"/>
        </w:rPr>
        <w:tab/>
        <w:t xml:space="preserve">= </w:t>
      </w:r>
      <w:r w:rsidR="00DC7536">
        <w:rPr>
          <w:rFonts w:eastAsia="Segoe UI" w:cstheme="minorHAnsi"/>
          <w:color w:val="011A3C"/>
          <w:sz w:val="24"/>
          <w:szCs w:val="24"/>
          <w:lang w:eastAsia="en-AU"/>
        </w:rPr>
        <w:t>W</w:t>
      </w:r>
      <w:r w:rsidRPr="00260C1D">
        <w:rPr>
          <w:rFonts w:eastAsia="Segoe UI" w:cstheme="minorHAnsi"/>
          <w:color w:val="011A3C"/>
          <w:sz w:val="24"/>
          <w:szCs w:val="24"/>
          <w:lang w:eastAsia="en-AU"/>
        </w:rPr>
        <w:t xml:space="preserve">eighted score </w:t>
      </w:r>
      <w:r w:rsidR="003457D4" w:rsidRPr="00260C1D">
        <w:rPr>
          <w:rFonts w:eastAsia="Segoe UI" w:cstheme="minorHAnsi"/>
          <w:color w:val="011A3C"/>
          <w:sz w:val="24"/>
          <w:szCs w:val="24"/>
          <w:lang w:eastAsia="en-AU"/>
        </w:rPr>
        <w:t>×</w:t>
      </w:r>
      <w:r w:rsidRPr="00260C1D">
        <w:rPr>
          <w:rFonts w:eastAsia="Segoe UI" w:cstheme="minorHAnsi"/>
          <w:color w:val="011A3C"/>
          <w:sz w:val="24"/>
          <w:szCs w:val="24"/>
          <w:lang w:eastAsia="en-AU"/>
        </w:rPr>
        <w:t xml:space="preserve"> </w:t>
      </w:r>
      <w:r w:rsidR="00DC7536">
        <w:rPr>
          <w:rFonts w:eastAsia="Segoe UI" w:cstheme="minorHAnsi"/>
          <w:color w:val="011A3C"/>
          <w:sz w:val="24"/>
          <w:szCs w:val="24"/>
          <w:lang w:eastAsia="en-AU"/>
        </w:rPr>
        <w:t>F</w:t>
      </w:r>
      <w:r w:rsidRPr="00260C1D">
        <w:rPr>
          <w:rFonts w:eastAsia="Segoe UI" w:cstheme="minorHAnsi"/>
          <w:color w:val="011A3C"/>
          <w:sz w:val="24"/>
          <w:szCs w:val="24"/>
          <w:lang w:eastAsia="en-AU"/>
        </w:rPr>
        <w:t xml:space="preserve">unding rate </w:t>
      </w:r>
    </w:p>
    <w:p w14:paraId="05CBD749" w14:textId="77777777" w:rsidR="00AD6B17" w:rsidRPr="00260C1D" w:rsidRDefault="00AD6B17" w:rsidP="004D307F">
      <w:pPr>
        <w:spacing w:before="120" w:after="120" w:line="360" w:lineRule="atLeast"/>
        <w:rPr>
          <w:rFonts w:eastAsia="Century Gothic" w:cstheme="minorHAnsi"/>
          <w:b/>
          <w:color w:val="011A3C"/>
          <w:sz w:val="24"/>
          <w:szCs w:val="24"/>
          <w:lang w:val="en-GB"/>
        </w:rPr>
      </w:pPr>
      <w:r w:rsidRPr="00260C1D">
        <w:rPr>
          <w:rFonts w:eastAsia="Century Gothic" w:cstheme="minorHAnsi"/>
          <w:b/>
          <w:color w:val="011A3C"/>
          <w:sz w:val="24"/>
          <w:szCs w:val="24"/>
          <w:lang w:val="en-GB"/>
        </w:rPr>
        <w:lastRenderedPageBreak/>
        <w:t>Weighted score</w:t>
      </w:r>
    </w:p>
    <w:p w14:paraId="780EB4BA" w14:textId="77777777"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 xml:space="preserve">The weighted score is calculated using a student’s Profile. The Profile records levels of adjustment against 31 educational activities, across 6 domains. The levels of adjustment are given a numerical score ranging from 0 (Present Environment of Supports) to 4 (Extensive Adjustments). </w:t>
      </w:r>
    </w:p>
    <w:p w14:paraId="67384006" w14:textId="77777777"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 xml:space="preserve">These unweighted scores are then weighted according to their domain and standardised. Weightings balance funding requirements across domains. For example, activities in the Self-care Domain will be weighted differently compared to those in the Learning and Applying Knowledge Domain. </w:t>
      </w:r>
    </w:p>
    <w:p w14:paraId="73FD1B24" w14:textId="77777777" w:rsidR="00AD6B17" w:rsidRPr="00260C1D" w:rsidRDefault="00AD6B17" w:rsidP="004D307F">
      <w:pPr>
        <w:spacing w:before="120" w:after="120" w:line="360" w:lineRule="atLeast"/>
        <w:rPr>
          <w:rFonts w:eastAsia="Century Gothic" w:cstheme="minorHAnsi"/>
          <w:b/>
          <w:color w:val="011A3C"/>
          <w:sz w:val="24"/>
          <w:szCs w:val="24"/>
          <w:lang w:val="en-GB"/>
        </w:rPr>
      </w:pPr>
      <w:r w:rsidRPr="00260C1D">
        <w:rPr>
          <w:rFonts w:eastAsia="Century Gothic" w:cstheme="minorHAnsi"/>
          <w:b/>
          <w:color w:val="011A3C"/>
          <w:sz w:val="24"/>
          <w:szCs w:val="24"/>
          <w:lang w:val="en-GB"/>
        </w:rPr>
        <w:t>Funding rate</w:t>
      </w:r>
    </w:p>
    <w:p w14:paraId="500722AC" w14:textId="7764CBA8"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 xml:space="preserve">A </w:t>
      </w:r>
      <w:r w:rsidR="00100EEF" w:rsidRPr="00260C1D">
        <w:rPr>
          <w:rFonts w:eastAsia="Segoe UI" w:cstheme="minorHAnsi"/>
          <w:color w:val="011A3C"/>
          <w:sz w:val="24"/>
          <w:szCs w:val="24"/>
          <w:lang w:eastAsia="en-AU"/>
        </w:rPr>
        <w:t xml:space="preserve">funding </w:t>
      </w:r>
      <w:r w:rsidRPr="00260C1D">
        <w:rPr>
          <w:rFonts w:eastAsia="Segoe UI" w:cstheme="minorHAnsi"/>
          <w:color w:val="011A3C"/>
          <w:sz w:val="24"/>
          <w:szCs w:val="24"/>
          <w:lang w:eastAsia="en-AU"/>
        </w:rPr>
        <w:t>rate of $</w:t>
      </w:r>
      <w:r w:rsidR="008826D0" w:rsidRPr="008826D0">
        <w:rPr>
          <w:rFonts w:eastAsia="Segoe UI" w:cstheme="minorHAnsi"/>
          <w:color w:val="011A3C"/>
          <w:sz w:val="24"/>
          <w:szCs w:val="24"/>
          <w:lang w:eastAsia="en-AU"/>
        </w:rPr>
        <w:t>695.54</w:t>
      </w:r>
      <w:r w:rsidR="008826D0">
        <w:rPr>
          <w:rFonts w:eastAsia="Segoe UI" w:cstheme="minorHAnsi"/>
          <w:color w:val="011A3C"/>
          <w:sz w:val="24"/>
          <w:szCs w:val="24"/>
          <w:lang w:eastAsia="en-AU"/>
        </w:rPr>
        <w:t xml:space="preserve"> </w:t>
      </w:r>
      <w:r w:rsidRPr="00260C1D">
        <w:rPr>
          <w:rFonts w:eastAsia="Segoe UI" w:cstheme="minorHAnsi"/>
          <w:color w:val="011A3C"/>
          <w:sz w:val="24"/>
          <w:szCs w:val="24"/>
          <w:lang w:eastAsia="en-AU"/>
        </w:rPr>
        <w:t xml:space="preserve">applies in </w:t>
      </w:r>
      <w:r w:rsidR="00011BD2" w:rsidRPr="00260C1D">
        <w:rPr>
          <w:rFonts w:eastAsia="Segoe UI" w:cstheme="minorHAnsi"/>
          <w:color w:val="011A3C"/>
          <w:sz w:val="24"/>
          <w:szCs w:val="24"/>
          <w:lang w:eastAsia="en-AU"/>
        </w:rPr>
        <w:t>202</w:t>
      </w:r>
      <w:r w:rsidR="00011BD2">
        <w:rPr>
          <w:rFonts w:eastAsia="Segoe UI" w:cstheme="minorHAnsi"/>
          <w:color w:val="011A3C"/>
          <w:sz w:val="24"/>
          <w:szCs w:val="24"/>
          <w:lang w:eastAsia="en-AU"/>
        </w:rPr>
        <w:t>4</w:t>
      </w:r>
      <w:r w:rsidRPr="00260C1D">
        <w:rPr>
          <w:rFonts w:eastAsia="Segoe UI" w:cstheme="minorHAnsi"/>
          <w:color w:val="011A3C"/>
          <w:sz w:val="24"/>
          <w:szCs w:val="24"/>
          <w:lang w:eastAsia="en-AU"/>
        </w:rPr>
        <w:t>.</w:t>
      </w:r>
    </w:p>
    <w:p w14:paraId="3CC9FE38" w14:textId="77777777" w:rsidR="00AD6B17" w:rsidRPr="00260C1D" w:rsidRDefault="00AD6B17" w:rsidP="004D307F">
      <w:pPr>
        <w:spacing w:before="120" w:after="120" w:line="360" w:lineRule="atLeast"/>
        <w:rPr>
          <w:rFonts w:eastAsia="Century Gothic" w:cstheme="minorHAnsi"/>
          <w:b/>
          <w:color w:val="011A3C"/>
          <w:sz w:val="24"/>
          <w:szCs w:val="24"/>
          <w:lang w:val="en-GB"/>
        </w:rPr>
      </w:pPr>
      <w:r w:rsidRPr="00260C1D">
        <w:rPr>
          <w:rFonts w:eastAsia="Century Gothic" w:cstheme="minorHAnsi"/>
          <w:b/>
          <w:color w:val="011A3C"/>
          <w:sz w:val="24"/>
          <w:szCs w:val="24"/>
          <w:lang w:val="en-GB"/>
        </w:rPr>
        <w:t>Annual allocation</w:t>
      </w:r>
    </w:p>
    <w:p w14:paraId="7773E15A" w14:textId="61D8EACE"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Annual allocation</w:t>
      </w:r>
      <w:r w:rsidR="00E2043C">
        <w:rPr>
          <w:rFonts w:eastAsia="Segoe UI" w:cstheme="minorHAnsi"/>
          <w:color w:val="011A3C"/>
          <w:sz w:val="24"/>
          <w:szCs w:val="24"/>
          <w:lang w:eastAsia="en-AU"/>
        </w:rPr>
        <w:t xml:space="preserve"> </w:t>
      </w:r>
      <w:r w:rsidRPr="00260C1D">
        <w:rPr>
          <w:rFonts w:eastAsia="Segoe UI" w:cstheme="minorHAnsi"/>
          <w:color w:val="011A3C"/>
          <w:sz w:val="24"/>
          <w:szCs w:val="24"/>
          <w:lang w:eastAsia="en-AU"/>
        </w:rPr>
        <w:t xml:space="preserve">= Tier 3 funding </w:t>
      </w:r>
      <w:r w:rsidR="00AE1ECA">
        <w:rPr>
          <w:rFonts w:eastAsia="Segoe UI" w:cstheme="minorHAnsi"/>
          <w:color w:val="011A3C"/>
          <w:sz w:val="24"/>
          <w:szCs w:val="24"/>
          <w:lang w:eastAsia="en-AU"/>
        </w:rPr>
        <w:t>×</w:t>
      </w:r>
      <w:r w:rsidRPr="00260C1D">
        <w:rPr>
          <w:rFonts w:eastAsia="Segoe UI" w:cstheme="minorHAnsi"/>
          <w:color w:val="011A3C"/>
          <w:sz w:val="24"/>
          <w:szCs w:val="24"/>
          <w:lang w:eastAsia="en-AU"/>
        </w:rPr>
        <w:t xml:space="preserve"> </w:t>
      </w:r>
      <w:r w:rsidR="00E2043C">
        <w:rPr>
          <w:rFonts w:eastAsia="Segoe UI" w:cstheme="minorHAnsi"/>
          <w:color w:val="011A3C"/>
          <w:sz w:val="24"/>
          <w:szCs w:val="24"/>
          <w:lang w:eastAsia="en-AU"/>
        </w:rPr>
        <w:t>E</w:t>
      </w:r>
      <w:r w:rsidRPr="00260C1D">
        <w:rPr>
          <w:rFonts w:eastAsia="Segoe UI" w:cstheme="minorHAnsi"/>
          <w:color w:val="011A3C"/>
          <w:sz w:val="24"/>
          <w:szCs w:val="24"/>
          <w:lang w:eastAsia="en-AU"/>
        </w:rPr>
        <w:t xml:space="preserve">nrolment time fraction </w:t>
      </w:r>
      <w:r w:rsidR="00AE1ECA">
        <w:rPr>
          <w:rFonts w:eastAsia="Segoe UI" w:cstheme="minorHAnsi"/>
          <w:color w:val="011A3C"/>
          <w:sz w:val="24"/>
          <w:szCs w:val="24"/>
          <w:lang w:eastAsia="en-AU"/>
        </w:rPr>
        <w:t>×</w:t>
      </w:r>
      <w:r w:rsidRPr="00260C1D">
        <w:rPr>
          <w:rFonts w:eastAsia="Segoe UI" w:cstheme="minorHAnsi"/>
          <w:color w:val="011A3C"/>
          <w:sz w:val="24"/>
          <w:szCs w:val="24"/>
          <w:lang w:eastAsia="en-AU"/>
        </w:rPr>
        <w:t xml:space="preserve"> </w:t>
      </w:r>
      <w:r w:rsidR="00E2043C">
        <w:rPr>
          <w:rFonts w:eastAsia="Segoe UI" w:cstheme="minorHAnsi"/>
          <w:color w:val="011A3C"/>
          <w:sz w:val="24"/>
          <w:szCs w:val="24"/>
          <w:lang w:eastAsia="en-AU"/>
        </w:rPr>
        <w:t>P</w:t>
      </w:r>
      <w:r w:rsidRPr="00260C1D">
        <w:rPr>
          <w:rFonts w:eastAsia="Segoe UI" w:cstheme="minorHAnsi"/>
          <w:color w:val="011A3C"/>
          <w:sz w:val="24"/>
          <w:szCs w:val="24"/>
          <w:lang w:eastAsia="en-AU"/>
        </w:rPr>
        <w:t>ortion of the year funding is active</w:t>
      </w:r>
    </w:p>
    <w:p w14:paraId="197CD0A6" w14:textId="59B4D280"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The annual allocation factors in the student’s enrolment time fraction at the school and the portion of the year for which the Profile is active. For example, a Profile with an associated Tier 3 funding start date of Term 2 would be active for 3 terms (0.75) of the year, then typically active for the whole year (4 terms = 1) in the following years.</w:t>
      </w:r>
    </w:p>
    <w:p w14:paraId="01C166AF" w14:textId="77777777" w:rsidR="00532A33" w:rsidRDefault="00532A33" w:rsidP="004D307F">
      <w:pPr>
        <w:spacing w:before="100" w:beforeAutospacing="1" w:after="100" w:afterAutospacing="1" w:line="288" w:lineRule="atLeast"/>
        <w:outlineLvl w:val="3"/>
        <w:rPr>
          <w:rFonts w:eastAsia="Segoe UI" w:cstheme="minorHAnsi"/>
          <w:b/>
          <w:color w:val="011A3C"/>
          <w:sz w:val="27"/>
          <w:szCs w:val="27"/>
          <w:lang w:val="en" w:eastAsia="en-AU"/>
        </w:rPr>
      </w:pPr>
    </w:p>
    <w:p w14:paraId="645D3EFA" w14:textId="386B26EF" w:rsidR="00AD6B17" w:rsidRPr="00260C1D" w:rsidRDefault="00AD6B17" w:rsidP="004D307F">
      <w:pPr>
        <w:spacing w:before="100" w:beforeAutospacing="1" w:after="100" w:afterAutospacing="1" w:line="288" w:lineRule="atLeast"/>
        <w:outlineLvl w:val="3"/>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Example of Tier 3 student-level funding calculation</w:t>
      </w:r>
    </w:p>
    <w:p w14:paraId="6845F261" w14:textId="77777777"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A student with disability undertakes a Profile process. The Profile record levels of adjustment against 31 educational activities, across 6 domains. The student’s Profile shows the student receives an ‘extensive’ level of adjustment against educational activities in the Communication and Self-care domains.</w:t>
      </w:r>
    </w:p>
    <w:p w14:paraId="5E707337" w14:textId="6ACEFF30"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There is evidence of the student having a functional need as indicated by the Vineland and the Profile contains 5 Extensive and 7 Substantial levels of adjustment, meaning the student meets the Tier 3 student-level funding eligibility criteria. The Profile is finalised with a Tier 3 funding start date of Term 2</w:t>
      </w:r>
      <w:r w:rsidR="00120BCB">
        <w:rPr>
          <w:rFonts w:eastAsia="Segoe UI" w:cstheme="minorHAnsi"/>
          <w:color w:val="011A3C"/>
          <w:sz w:val="24"/>
          <w:szCs w:val="24"/>
          <w:lang w:eastAsia="en-AU"/>
        </w:rPr>
        <w:t>.</w:t>
      </w:r>
    </w:p>
    <w:p w14:paraId="1B00E81D" w14:textId="77777777" w:rsidR="00AD6B17" w:rsidRPr="00260C1D" w:rsidRDefault="00AD6B17" w:rsidP="004D307F">
      <w:pPr>
        <w:spacing w:before="120" w:after="120" w:line="360" w:lineRule="atLeast"/>
        <w:rPr>
          <w:rFonts w:eastAsia="Century Gothic" w:cstheme="minorHAnsi"/>
          <w:b/>
          <w:color w:val="011A3C"/>
          <w:sz w:val="24"/>
          <w:szCs w:val="24"/>
          <w:lang w:val="en-GB"/>
        </w:rPr>
      </w:pPr>
      <w:r w:rsidRPr="00260C1D">
        <w:rPr>
          <w:rFonts w:eastAsia="Century Gothic" w:cstheme="minorHAnsi"/>
          <w:b/>
          <w:color w:val="011A3C"/>
          <w:sz w:val="24"/>
          <w:szCs w:val="24"/>
          <w:lang w:val="en-GB"/>
        </w:rPr>
        <w:t>Weighted score calculation</w:t>
      </w:r>
    </w:p>
    <w:p w14:paraId="0CD55FEE" w14:textId="07B7EF4F" w:rsidR="00AD6B17" w:rsidRPr="009B4DE1" w:rsidRDefault="00AD6B17" w:rsidP="00833928">
      <w:pPr>
        <w:rPr>
          <w:rFonts w:eastAsia="Segoe UI" w:cstheme="minorHAnsi"/>
          <w:color w:val="011A3C"/>
          <w:sz w:val="24"/>
          <w:szCs w:val="24"/>
          <w:lang w:eastAsia="en-AU"/>
        </w:rPr>
      </w:pPr>
      <w:r w:rsidRPr="009B4DE1">
        <w:rPr>
          <w:rFonts w:eastAsia="Segoe UI" w:cstheme="minorHAnsi"/>
          <w:color w:val="011A3C"/>
          <w:sz w:val="24"/>
          <w:szCs w:val="24"/>
          <w:lang w:eastAsia="en-AU"/>
        </w:rPr>
        <w:t xml:space="preserve">The student’s levels of adjustment across the 31 educational activities </w:t>
      </w:r>
      <w:r w:rsidR="00120BCB" w:rsidRPr="009B4DE1">
        <w:rPr>
          <w:rFonts w:eastAsia="Segoe UI" w:cstheme="minorHAnsi"/>
          <w:color w:val="011A3C"/>
          <w:sz w:val="24"/>
          <w:szCs w:val="24"/>
          <w:lang w:eastAsia="en-AU"/>
        </w:rPr>
        <w:t xml:space="preserve">are </w:t>
      </w:r>
      <w:r w:rsidRPr="009B4DE1">
        <w:rPr>
          <w:rFonts w:eastAsia="Segoe UI" w:cstheme="minorHAnsi"/>
          <w:color w:val="011A3C"/>
          <w:sz w:val="24"/>
          <w:szCs w:val="24"/>
          <w:lang w:eastAsia="en-AU"/>
        </w:rPr>
        <w:t>transformed into scores between 0</w:t>
      </w:r>
      <w:r w:rsidR="003457D4" w:rsidRPr="009B4DE1">
        <w:rPr>
          <w:rFonts w:eastAsia="Segoe UI" w:cstheme="minorHAnsi"/>
          <w:color w:val="011A3C"/>
          <w:sz w:val="24"/>
          <w:szCs w:val="24"/>
          <w:lang w:eastAsia="en-AU"/>
        </w:rPr>
        <w:t xml:space="preserve"> to </w:t>
      </w:r>
      <w:r w:rsidRPr="009B4DE1">
        <w:rPr>
          <w:rFonts w:eastAsia="Segoe UI" w:cstheme="minorHAnsi"/>
          <w:color w:val="011A3C"/>
          <w:sz w:val="24"/>
          <w:szCs w:val="24"/>
          <w:lang w:eastAsia="en-AU"/>
        </w:rPr>
        <w:t>4 and are weighted based on their domain and standardised to produce a total weighted score of 47.25.</w:t>
      </w:r>
    </w:p>
    <w:p w14:paraId="70CDD432" w14:textId="77777777" w:rsidR="00AD6B17" w:rsidRPr="00260C1D" w:rsidRDefault="00AD6B17" w:rsidP="004D307F">
      <w:pPr>
        <w:spacing w:before="120" w:after="120" w:line="360" w:lineRule="atLeast"/>
        <w:rPr>
          <w:rFonts w:eastAsia="Century Gothic" w:cstheme="minorHAnsi"/>
          <w:b/>
          <w:color w:val="011A3C"/>
          <w:sz w:val="24"/>
          <w:szCs w:val="24"/>
          <w:lang w:val="en-GB"/>
        </w:rPr>
      </w:pPr>
      <w:r w:rsidRPr="00260C1D">
        <w:rPr>
          <w:rFonts w:eastAsia="Century Gothic" w:cstheme="minorHAnsi"/>
          <w:b/>
          <w:color w:val="011A3C"/>
          <w:sz w:val="24"/>
          <w:szCs w:val="24"/>
          <w:lang w:val="en-GB"/>
        </w:rPr>
        <w:t>Allocation calculation</w:t>
      </w:r>
    </w:p>
    <w:p w14:paraId="23527ED9" w14:textId="77777777"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The allocation would be calculated as:</w:t>
      </w:r>
    </w:p>
    <w:p w14:paraId="2ED907E6" w14:textId="33E7D847"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lastRenderedPageBreak/>
        <w:t>Tier 3 funding</w:t>
      </w:r>
      <w:r w:rsidRPr="00260C1D">
        <w:rPr>
          <w:rFonts w:eastAsia="Segoe UI" w:cstheme="minorHAnsi"/>
          <w:color w:val="011A3C"/>
          <w:sz w:val="24"/>
          <w:szCs w:val="24"/>
          <w:lang w:eastAsia="en-AU"/>
        </w:rPr>
        <w:tab/>
        <w:t xml:space="preserve">= </w:t>
      </w:r>
      <w:r w:rsidR="00120BCB">
        <w:rPr>
          <w:rFonts w:eastAsia="Segoe UI" w:cstheme="minorHAnsi"/>
          <w:color w:val="011A3C"/>
          <w:sz w:val="24"/>
          <w:szCs w:val="24"/>
          <w:lang w:eastAsia="en-AU"/>
        </w:rPr>
        <w:t>W</w:t>
      </w:r>
      <w:r w:rsidRPr="00260C1D">
        <w:rPr>
          <w:rFonts w:eastAsia="Segoe UI" w:cstheme="minorHAnsi"/>
          <w:color w:val="011A3C"/>
          <w:sz w:val="24"/>
          <w:szCs w:val="24"/>
          <w:lang w:eastAsia="en-AU"/>
        </w:rPr>
        <w:t>eighted score</w:t>
      </w:r>
      <w:r w:rsidR="00120BCB">
        <w:rPr>
          <w:rFonts w:eastAsia="Segoe UI" w:cstheme="minorHAnsi"/>
          <w:color w:val="011A3C"/>
          <w:sz w:val="24"/>
          <w:szCs w:val="24"/>
          <w:lang w:eastAsia="en-AU"/>
        </w:rPr>
        <w:t xml:space="preserve"> </w:t>
      </w:r>
      <w:r w:rsidR="003457D4" w:rsidRPr="00260C1D">
        <w:rPr>
          <w:rFonts w:eastAsia="Segoe UI" w:cstheme="minorHAnsi"/>
          <w:color w:val="011A3C"/>
          <w:sz w:val="24"/>
          <w:szCs w:val="24"/>
          <w:lang w:eastAsia="en-AU"/>
        </w:rPr>
        <w:t>×</w:t>
      </w:r>
      <w:r w:rsidR="00120BCB">
        <w:rPr>
          <w:rFonts w:eastAsia="Segoe UI" w:cstheme="minorHAnsi"/>
          <w:color w:val="011A3C"/>
          <w:sz w:val="24"/>
          <w:szCs w:val="24"/>
          <w:lang w:eastAsia="en-AU"/>
        </w:rPr>
        <w:t xml:space="preserve"> F</w:t>
      </w:r>
      <w:r w:rsidRPr="00260C1D">
        <w:rPr>
          <w:rFonts w:eastAsia="Segoe UI" w:cstheme="minorHAnsi"/>
          <w:color w:val="011A3C"/>
          <w:sz w:val="24"/>
          <w:szCs w:val="24"/>
          <w:lang w:eastAsia="en-AU"/>
        </w:rPr>
        <w:t>unding rate</w:t>
      </w:r>
    </w:p>
    <w:p w14:paraId="5710DDD1" w14:textId="051A2904"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ab/>
      </w:r>
      <w:r w:rsidRPr="00260C1D">
        <w:rPr>
          <w:rFonts w:eastAsia="Segoe UI" w:cstheme="minorHAnsi"/>
          <w:color w:val="011A3C"/>
          <w:sz w:val="24"/>
          <w:szCs w:val="24"/>
          <w:lang w:eastAsia="en-AU"/>
        </w:rPr>
        <w:tab/>
        <w:t>= 47.25</w:t>
      </w:r>
      <w:r w:rsidR="00120BCB">
        <w:rPr>
          <w:rFonts w:eastAsia="Segoe UI" w:cstheme="minorHAnsi"/>
          <w:color w:val="011A3C"/>
          <w:sz w:val="24"/>
          <w:szCs w:val="24"/>
          <w:lang w:eastAsia="en-AU"/>
        </w:rPr>
        <w:t xml:space="preserve"> </w:t>
      </w:r>
      <w:r w:rsidR="003457D4" w:rsidRPr="00260C1D">
        <w:rPr>
          <w:rFonts w:eastAsia="Segoe UI" w:cstheme="minorHAnsi"/>
          <w:color w:val="011A3C"/>
          <w:sz w:val="24"/>
          <w:szCs w:val="24"/>
          <w:lang w:eastAsia="en-AU"/>
        </w:rPr>
        <w:t>×</w:t>
      </w:r>
      <w:r w:rsidR="00120BCB">
        <w:rPr>
          <w:rFonts w:eastAsia="Segoe UI" w:cstheme="minorHAnsi"/>
          <w:color w:val="011A3C"/>
          <w:sz w:val="24"/>
          <w:szCs w:val="24"/>
          <w:lang w:eastAsia="en-AU"/>
        </w:rPr>
        <w:t xml:space="preserve"> </w:t>
      </w:r>
      <w:r w:rsidRPr="00260C1D">
        <w:rPr>
          <w:rFonts w:eastAsia="Segoe UI" w:cstheme="minorHAnsi"/>
          <w:color w:val="011A3C"/>
          <w:sz w:val="24"/>
          <w:szCs w:val="24"/>
          <w:lang w:eastAsia="en-AU"/>
        </w:rPr>
        <w:t>$</w:t>
      </w:r>
      <w:r w:rsidR="008826D0" w:rsidRPr="008826D0">
        <w:rPr>
          <w:rFonts w:eastAsia="Segoe UI" w:cstheme="minorHAnsi"/>
          <w:color w:val="011A3C"/>
          <w:sz w:val="24"/>
          <w:szCs w:val="24"/>
          <w:lang w:eastAsia="en-AU"/>
        </w:rPr>
        <w:t>695.54</w:t>
      </w:r>
    </w:p>
    <w:p w14:paraId="3D1A7DE8" w14:textId="68FEFA47"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ab/>
      </w:r>
      <w:r w:rsidRPr="00260C1D">
        <w:rPr>
          <w:rFonts w:eastAsia="Segoe UI" w:cstheme="minorHAnsi"/>
          <w:color w:val="011A3C"/>
          <w:sz w:val="24"/>
          <w:szCs w:val="24"/>
          <w:lang w:eastAsia="en-AU"/>
        </w:rPr>
        <w:tab/>
        <w:t>= $</w:t>
      </w:r>
      <w:r w:rsidR="00FE6407" w:rsidRPr="00260C1D">
        <w:rPr>
          <w:rFonts w:eastAsia="Segoe UI" w:cstheme="minorHAnsi"/>
          <w:color w:val="011A3C"/>
          <w:sz w:val="24"/>
          <w:szCs w:val="24"/>
          <w:lang w:eastAsia="en-AU"/>
        </w:rPr>
        <w:t>32</w:t>
      </w:r>
      <w:r w:rsidR="00215953" w:rsidRPr="00260C1D">
        <w:rPr>
          <w:rFonts w:eastAsia="Segoe UI" w:cstheme="minorHAnsi"/>
          <w:color w:val="011A3C"/>
          <w:sz w:val="24"/>
          <w:szCs w:val="24"/>
          <w:lang w:eastAsia="en-AU"/>
        </w:rPr>
        <w:t>,</w:t>
      </w:r>
      <w:r w:rsidR="003F4905" w:rsidRPr="003F4905">
        <w:rPr>
          <w:rFonts w:eastAsia="Segoe UI" w:cstheme="minorHAnsi"/>
          <w:color w:val="011A3C"/>
          <w:sz w:val="24"/>
          <w:szCs w:val="24"/>
          <w:lang w:eastAsia="en-AU"/>
        </w:rPr>
        <w:t xml:space="preserve">864.27 </w:t>
      </w:r>
    </w:p>
    <w:p w14:paraId="3C5D0519" w14:textId="77777777"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The allocation that the student attracts for the year is determined as follows:</w:t>
      </w:r>
    </w:p>
    <w:p w14:paraId="32D4DC2B" w14:textId="3E5110E5"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Annual allocation</w:t>
      </w:r>
      <w:r w:rsidR="00120BCB">
        <w:rPr>
          <w:rFonts w:eastAsia="Segoe UI" w:cstheme="minorHAnsi"/>
          <w:color w:val="011A3C"/>
          <w:sz w:val="24"/>
          <w:szCs w:val="24"/>
          <w:lang w:eastAsia="en-AU"/>
        </w:rPr>
        <w:t xml:space="preserve"> </w:t>
      </w:r>
      <w:r w:rsidR="00120BCB">
        <w:rPr>
          <w:rFonts w:eastAsia="Segoe UI" w:cstheme="minorHAnsi"/>
          <w:color w:val="011A3C"/>
          <w:sz w:val="24"/>
          <w:szCs w:val="24"/>
          <w:lang w:eastAsia="en-AU"/>
        </w:rPr>
        <w:tab/>
      </w:r>
      <w:r w:rsidRPr="00260C1D">
        <w:rPr>
          <w:rFonts w:eastAsia="Segoe UI" w:cstheme="minorHAnsi"/>
          <w:color w:val="011A3C"/>
          <w:sz w:val="24"/>
          <w:szCs w:val="24"/>
          <w:lang w:eastAsia="en-AU"/>
        </w:rPr>
        <w:t xml:space="preserve">= </w:t>
      </w:r>
      <w:r w:rsidR="00120BCB">
        <w:rPr>
          <w:rFonts w:eastAsia="Segoe UI" w:cstheme="minorHAnsi"/>
          <w:color w:val="011A3C"/>
          <w:sz w:val="24"/>
          <w:szCs w:val="24"/>
          <w:lang w:eastAsia="en-AU"/>
        </w:rPr>
        <w:t>A</w:t>
      </w:r>
      <w:r w:rsidRPr="00260C1D">
        <w:rPr>
          <w:rFonts w:eastAsia="Segoe UI" w:cstheme="minorHAnsi"/>
          <w:color w:val="011A3C"/>
          <w:sz w:val="24"/>
          <w:szCs w:val="24"/>
          <w:lang w:eastAsia="en-AU"/>
        </w:rPr>
        <w:t xml:space="preserve">nnual rate </w:t>
      </w:r>
      <w:r w:rsidR="003457D4" w:rsidRPr="00260C1D">
        <w:rPr>
          <w:rFonts w:eastAsia="Segoe UI" w:cstheme="minorHAnsi"/>
          <w:color w:val="011A3C"/>
          <w:sz w:val="24"/>
          <w:szCs w:val="24"/>
          <w:lang w:eastAsia="en-AU"/>
        </w:rPr>
        <w:t>×</w:t>
      </w:r>
      <w:r w:rsidRPr="00260C1D">
        <w:rPr>
          <w:rFonts w:eastAsia="Segoe UI" w:cstheme="minorHAnsi"/>
          <w:color w:val="011A3C"/>
          <w:sz w:val="24"/>
          <w:szCs w:val="24"/>
          <w:lang w:eastAsia="en-AU"/>
        </w:rPr>
        <w:t xml:space="preserve"> </w:t>
      </w:r>
      <w:r w:rsidR="00120BCB">
        <w:rPr>
          <w:rFonts w:eastAsia="Segoe UI" w:cstheme="minorHAnsi"/>
          <w:color w:val="011A3C"/>
          <w:sz w:val="24"/>
          <w:szCs w:val="24"/>
          <w:lang w:eastAsia="en-AU"/>
        </w:rPr>
        <w:t>E</w:t>
      </w:r>
      <w:r w:rsidRPr="00260C1D">
        <w:rPr>
          <w:rFonts w:eastAsia="Segoe UI" w:cstheme="minorHAnsi"/>
          <w:color w:val="011A3C"/>
          <w:sz w:val="24"/>
          <w:szCs w:val="24"/>
          <w:lang w:eastAsia="en-AU"/>
        </w:rPr>
        <w:t xml:space="preserve">nrolment time fraction </w:t>
      </w:r>
      <w:r w:rsidR="003457D4" w:rsidRPr="00260C1D">
        <w:rPr>
          <w:rFonts w:eastAsia="Segoe UI" w:cstheme="minorHAnsi"/>
          <w:color w:val="011A3C"/>
          <w:sz w:val="24"/>
          <w:szCs w:val="24"/>
          <w:lang w:eastAsia="en-AU"/>
        </w:rPr>
        <w:t>×</w:t>
      </w:r>
      <w:r w:rsidRPr="00260C1D">
        <w:rPr>
          <w:rFonts w:eastAsia="Segoe UI" w:cstheme="minorHAnsi"/>
          <w:color w:val="011A3C"/>
          <w:sz w:val="24"/>
          <w:szCs w:val="24"/>
          <w:lang w:eastAsia="en-AU"/>
        </w:rPr>
        <w:t xml:space="preserve"> </w:t>
      </w:r>
      <w:r w:rsidR="00120BCB">
        <w:rPr>
          <w:rFonts w:eastAsia="Segoe UI" w:cstheme="minorHAnsi"/>
          <w:color w:val="011A3C"/>
          <w:sz w:val="24"/>
          <w:szCs w:val="24"/>
          <w:lang w:eastAsia="en-AU"/>
        </w:rPr>
        <w:t>P</w:t>
      </w:r>
      <w:r w:rsidRPr="00260C1D">
        <w:rPr>
          <w:rFonts w:eastAsia="Segoe UI" w:cstheme="minorHAnsi"/>
          <w:color w:val="011A3C"/>
          <w:sz w:val="24"/>
          <w:szCs w:val="24"/>
          <w:lang w:eastAsia="en-AU"/>
        </w:rPr>
        <w:t>ortion of the year funding is active</w:t>
      </w:r>
    </w:p>
    <w:p w14:paraId="2B0F21BC" w14:textId="3C1B79C6"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ab/>
      </w:r>
      <w:r w:rsidRPr="00260C1D">
        <w:rPr>
          <w:rFonts w:eastAsia="Segoe UI" w:cstheme="minorHAnsi"/>
          <w:color w:val="011A3C"/>
          <w:sz w:val="24"/>
          <w:szCs w:val="24"/>
          <w:lang w:eastAsia="en-AU"/>
        </w:rPr>
        <w:tab/>
      </w:r>
      <w:r w:rsidR="00120BCB">
        <w:rPr>
          <w:rFonts w:eastAsia="Segoe UI" w:cstheme="minorHAnsi"/>
          <w:color w:val="011A3C"/>
          <w:sz w:val="24"/>
          <w:szCs w:val="24"/>
          <w:lang w:eastAsia="en-AU"/>
        </w:rPr>
        <w:tab/>
      </w:r>
      <w:r w:rsidRPr="00260C1D">
        <w:rPr>
          <w:rFonts w:eastAsia="Segoe UI" w:cstheme="minorHAnsi"/>
          <w:color w:val="011A3C"/>
          <w:sz w:val="24"/>
          <w:szCs w:val="24"/>
          <w:lang w:eastAsia="en-AU"/>
        </w:rPr>
        <w:t>= $</w:t>
      </w:r>
      <w:r w:rsidR="00FE6407" w:rsidRPr="00260C1D">
        <w:rPr>
          <w:rFonts w:eastAsia="Segoe UI" w:cstheme="minorHAnsi"/>
          <w:color w:val="011A3C"/>
          <w:sz w:val="24"/>
          <w:szCs w:val="24"/>
          <w:lang w:eastAsia="en-AU"/>
        </w:rPr>
        <w:t>32</w:t>
      </w:r>
      <w:r w:rsidR="00215953" w:rsidRPr="00260C1D">
        <w:rPr>
          <w:rFonts w:eastAsia="Segoe UI" w:cstheme="minorHAnsi"/>
          <w:color w:val="011A3C"/>
          <w:sz w:val="24"/>
          <w:szCs w:val="24"/>
          <w:lang w:eastAsia="en-AU"/>
        </w:rPr>
        <w:t>,</w:t>
      </w:r>
      <w:r w:rsidR="003F4905" w:rsidRPr="003F4905">
        <w:rPr>
          <w:rFonts w:eastAsia="Segoe UI" w:cstheme="minorHAnsi"/>
          <w:color w:val="011A3C"/>
          <w:sz w:val="24"/>
          <w:szCs w:val="24"/>
          <w:lang w:eastAsia="en-AU"/>
        </w:rPr>
        <w:t xml:space="preserve">864.27 </w:t>
      </w:r>
      <w:r w:rsidR="003457D4" w:rsidRPr="00260C1D">
        <w:rPr>
          <w:rFonts w:eastAsia="Segoe UI" w:cstheme="minorHAnsi"/>
          <w:color w:val="011A3C"/>
          <w:sz w:val="24"/>
          <w:szCs w:val="24"/>
          <w:lang w:eastAsia="en-AU"/>
        </w:rPr>
        <w:t>×</w:t>
      </w:r>
      <w:r w:rsidRPr="00260C1D">
        <w:rPr>
          <w:rFonts w:eastAsia="Segoe UI" w:cstheme="minorHAnsi"/>
          <w:color w:val="011A3C"/>
          <w:sz w:val="24"/>
          <w:szCs w:val="24"/>
          <w:lang w:eastAsia="en-AU"/>
        </w:rPr>
        <w:t xml:space="preserve"> 1 </w:t>
      </w:r>
      <w:r w:rsidR="003457D4" w:rsidRPr="00260C1D">
        <w:rPr>
          <w:rFonts w:eastAsia="Segoe UI" w:cstheme="minorHAnsi"/>
          <w:color w:val="011A3C"/>
          <w:sz w:val="24"/>
          <w:szCs w:val="24"/>
          <w:lang w:eastAsia="en-AU"/>
        </w:rPr>
        <w:t>×</w:t>
      </w:r>
      <w:r w:rsidRPr="00260C1D">
        <w:rPr>
          <w:rFonts w:eastAsia="Segoe UI" w:cstheme="minorHAnsi"/>
          <w:color w:val="011A3C"/>
          <w:sz w:val="24"/>
          <w:szCs w:val="24"/>
          <w:lang w:eastAsia="en-AU"/>
        </w:rPr>
        <w:t xml:space="preserve"> 0.75</w:t>
      </w:r>
    </w:p>
    <w:p w14:paraId="7E8DE10A" w14:textId="051B6A10"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ab/>
      </w:r>
      <w:r w:rsidRPr="00260C1D">
        <w:rPr>
          <w:rFonts w:eastAsia="Segoe UI" w:cstheme="minorHAnsi"/>
          <w:color w:val="011A3C"/>
          <w:sz w:val="24"/>
          <w:szCs w:val="24"/>
          <w:lang w:eastAsia="en-AU"/>
        </w:rPr>
        <w:tab/>
      </w:r>
      <w:r w:rsidRPr="00260C1D">
        <w:rPr>
          <w:rFonts w:eastAsia="Segoe UI" w:cstheme="minorHAnsi"/>
          <w:color w:val="011A3C"/>
          <w:sz w:val="24"/>
          <w:szCs w:val="24"/>
          <w:lang w:eastAsia="en-AU"/>
        </w:rPr>
        <w:tab/>
        <w:t>= $</w:t>
      </w:r>
      <w:r w:rsidR="002F4CBD" w:rsidRPr="00260C1D">
        <w:rPr>
          <w:rFonts w:eastAsia="Segoe UI" w:cstheme="minorHAnsi"/>
          <w:color w:val="011A3C"/>
          <w:sz w:val="24"/>
          <w:szCs w:val="24"/>
          <w:lang w:eastAsia="en-AU"/>
        </w:rPr>
        <w:t>24</w:t>
      </w:r>
      <w:r w:rsidR="00215953" w:rsidRPr="00260C1D">
        <w:rPr>
          <w:rFonts w:eastAsia="Segoe UI" w:cstheme="minorHAnsi"/>
          <w:color w:val="011A3C"/>
          <w:sz w:val="24"/>
          <w:szCs w:val="24"/>
          <w:lang w:eastAsia="en-AU"/>
        </w:rPr>
        <w:t>,</w:t>
      </w:r>
      <w:r w:rsidR="009343AB" w:rsidRPr="009343AB">
        <w:rPr>
          <w:rFonts w:eastAsia="Segoe UI" w:cstheme="minorHAnsi"/>
          <w:color w:val="011A3C"/>
          <w:sz w:val="24"/>
          <w:szCs w:val="24"/>
          <w:lang w:eastAsia="en-AU"/>
        </w:rPr>
        <w:t xml:space="preserve">648.20 </w:t>
      </w:r>
    </w:p>
    <w:p w14:paraId="129CA62E" w14:textId="02B3864C"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The Student Support Group (SSG) is notified by the school contact of the Tier 3 funding via the School Resource Notification, which provides an indication of the annual rate. The allocation is then typically reflected in the school’s budget at the end of the term.</w:t>
      </w:r>
    </w:p>
    <w:p w14:paraId="79C5EAD9" w14:textId="77777777" w:rsidR="00532A33" w:rsidRDefault="00532A33" w:rsidP="004D307F">
      <w:pPr>
        <w:spacing w:before="100" w:beforeAutospacing="1" w:after="100" w:afterAutospacing="1" w:line="288" w:lineRule="atLeast"/>
        <w:outlineLvl w:val="3"/>
        <w:rPr>
          <w:rFonts w:eastAsia="Segoe UI" w:cstheme="minorHAnsi"/>
          <w:b/>
          <w:color w:val="011A3C"/>
          <w:sz w:val="27"/>
          <w:szCs w:val="27"/>
          <w:lang w:val="en" w:eastAsia="en-AU"/>
        </w:rPr>
      </w:pPr>
    </w:p>
    <w:p w14:paraId="1E9FF6E6" w14:textId="2A82DF86" w:rsidR="00AD6B17" w:rsidRPr="00260C1D" w:rsidRDefault="00AD6B17" w:rsidP="004D307F">
      <w:pPr>
        <w:spacing w:before="100" w:beforeAutospacing="1" w:after="100" w:afterAutospacing="1" w:line="288" w:lineRule="atLeast"/>
        <w:outlineLvl w:val="3"/>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Enrolment, budget and reporting information</w:t>
      </w:r>
    </w:p>
    <w:p w14:paraId="79CF9444" w14:textId="77777777"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Tier 3 funding allocations are made according to Profiles completed prior to budget-critical dates early in each term.</w:t>
      </w:r>
    </w:p>
    <w:p w14:paraId="2B77F62E" w14:textId="558A73C1"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The Indicative Student Resource Package (SRP) is based on Profile and enrolment information as at Term 3</w:t>
      </w:r>
      <w:r w:rsidR="00120BCB">
        <w:rPr>
          <w:rFonts w:eastAsia="Segoe UI" w:cstheme="minorHAnsi"/>
          <w:color w:val="011A3C"/>
          <w:sz w:val="24"/>
          <w:szCs w:val="24"/>
          <w:lang w:eastAsia="en-AU"/>
        </w:rPr>
        <w:t xml:space="preserve"> of</w:t>
      </w:r>
      <w:r w:rsidRPr="00260C1D">
        <w:rPr>
          <w:rFonts w:eastAsia="Segoe UI" w:cstheme="minorHAnsi"/>
          <w:color w:val="011A3C"/>
          <w:sz w:val="24"/>
          <w:szCs w:val="24"/>
          <w:lang w:eastAsia="en-AU"/>
        </w:rPr>
        <w:t xml:space="preserve"> the year prior. Allocations are updated in the Confirmed SRP, capturing enrolment and application changes that occur between Term 3</w:t>
      </w:r>
      <w:r w:rsidR="00120BCB">
        <w:rPr>
          <w:rFonts w:eastAsia="Segoe UI" w:cstheme="minorHAnsi"/>
          <w:color w:val="011A3C"/>
          <w:sz w:val="24"/>
          <w:szCs w:val="24"/>
          <w:lang w:eastAsia="en-AU"/>
        </w:rPr>
        <w:t xml:space="preserve"> of the prior year</w:t>
      </w:r>
      <w:r w:rsidRPr="00260C1D">
        <w:rPr>
          <w:rFonts w:eastAsia="Segoe UI" w:cstheme="minorHAnsi"/>
          <w:color w:val="011A3C"/>
          <w:sz w:val="24"/>
          <w:szCs w:val="24"/>
          <w:lang w:eastAsia="en-AU"/>
        </w:rPr>
        <w:t xml:space="preserve"> and Term 1</w:t>
      </w:r>
      <w:r w:rsidR="00120BCB">
        <w:rPr>
          <w:rFonts w:eastAsia="Segoe UI" w:cstheme="minorHAnsi"/>
          <w:color w:val="011A3C"/>
          <w:sz w:val="24"/>
          <w:szCs w:val="24"/>
          <w:lang w:eastAsia="en-AU"/>
        </w:rPr>
        <w:t xml:space="preserve"> of the current year</w:t>
      </w:r>
      <w:r w:rsidRPr="00260C1D">
        <w:rPr>
          <w:rFonts w:eastAsia="Segoe UI" w:cstheme="minorHAnsi"/>
          <w:color w:val="011A3C"/>
          <w:sz w:val="24"/>
          <w:szCs w:val="24"/>
          <w:lang w:eastAsia="en-AU"/>
        </w:rPr>
        <w:t>.</w:t>
      </w:r>
    </w:p>
    <w:p w14:paraId="342C17C1" w14:textId="07C0A615"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 xml:space="preserve">Where enrolment details are not correct in CASES21 prior to budget critical dates each term, Tier 3 student-level funding cannot be guaranteed. Enrolment details for new or current students must be promptly uploaded </w:t>
      </w:r>
      <w:r w:rsidR="00F74135">
        <w:rPr>
          <w:rFonts w:eastAsia="Segoe UI" w:cstheme="minorHAnsi"/>
          <w:color w:val="011A3C"/>
          <w:sz w:val="24"/>
          <w:szCs w:val="24"/>
          <w:lang w:eastAsia="en-AU"/>
        </w:rPr>
        <w:t>to</w:t>
      </w:r>
      <w:r w:rsidR="00F74135" w:rsidRPr="00260C1D">
        <w:rPr>
          <w:rFonts w:eastAsia="Segoe UI" w:cstheme="minorHAnsi"/>
          <w:color w:val="011A3C"/>
          <w:sz w:val="24"/>
          <w:szCs w:val="24"/>
          <w:lang w:eastAsia="en-AU"/>
        </w:rPr>
        <w:t xml:space="preserve"> </w:t>
      </w:r>
      <w:r w:rsidRPr="00260C1D">
        <w:rPr>
          <w:rFonts w:eastAsia="Segoe UI" w:cstheme="minorHAnsi"/>
          <w:color w:val="011A3C"/>
          <w:sz w:val="24"/>
          <w:szCs w:val="24"/>
          <w:lang w:eastAsia="en-AU"/>
        </w:rPr>
        <w:t xml:space="preserve">CASES21. </w:t>
      </w:r>
    </w:p>
    <w:p w14:paraId="1A98272D" w14:textId="77777777"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Where a student transfers during the school year, resources remaining for the year will be adjusted and made available to the new school from the commencement of the next school term. The SRP is revised at the end of each term to capture these changes.</w:t>
      </w:r>
    </w:p>
    <w:p w14:paraId="5A239794" w14:textId="77777777"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Schools should make local arrangements to transfer resources for enrolment changes occurring during term.</w:t>
      </w:r>
    </w:p>
    <w:p w14:paraId="227AE561" w14:textId="21BE7167" w:rsidR="00AD6B17" w:rsidRPr="00260C1D" w:rsidRDefault="00AD6B17" w:rsidP="004D307F">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 xml:space="preserve">Where agreement has been reached that a student is enrolled and attends two schools, the allocation will be provided on a pro-rata basis </w:t>
      </w:r>
      <w:r w:rsidR="001A47F8">
        <w:rPr>
          <w:rFonts w:eastAsia="Segoe UI" w:cstheme="minorHAnsi"/>
          <w:color w:val="011A3C"/>
          <w:sz w:val="24"/>
          <w:szCs w:val="24"/>
          <w:lang w:eastAsia="en-AU"/>
        </w:rPr>
        <w:t xml:space="preserve">that is </w:t>
      </w:r>
      <w:r w:rsidRPr="00260C1D">
        <w:rPr>
          <w:rFonts w:eastAsia="Segoe UI" w:cstheme="minorHAnsi"/>
          <w:color w:val="011A3C"/>
          <w:sz w:val="24"/>
          <w:szCs w:val="24"/>
          <w:lang w:eastAsia="en-AU"/>
        </w:rPr>
        <w:t>consistent with the enrolment details contained in CASES21.</w:t>
      </w:r>
    </w:p>
    <w:p w14:paraId="537513F6" w14:textId="7B1E17D6" w:rsidR="00DA517B" w:rsidRPr="00260C1D" w:rsidRDefault="00AD6B17" w:rsidP="009B4DE1">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lastRenderedPageBreak/>
        <w:t>Schools are provided with School Resource Notifications</w:t>
      </w:r>
      <w:r w:rsidR="001A47F8">
        <w:rPr>
          <w:rFonts w:eastAsia="Segoe UI" w:cstheme="minorHAnsi"/>
          <w:color w:val="011A3C"/>
          <w:sz w:val="24"/>
          <w:szCs w:val="24"/>
          <w:lang w:eastAsia="en-AU"/>
        </w:rPr>
        <w:t xml:space="preserve"> that</w:t>
      </w:r>
      <w:r w:rsidRPr="00260C1D">
        <w:rPr>
          <w:rFonts w:eastAsia="Segoe UI" w:cstheme="minorHAnsi"/>
          <w:color w:val="011A3C"/>
          <w:sz w:val="24"/>
          <w:szCs w:val="24"/>
          <w:lang w:eastAsia="en-AU"/>
        </w:rPr>
        <w:t xml:space="preserve"> provid</w:t>
      </w:r>
      <w:r w:rsidR="001A47F8">
        <w:rPr>
          <w:rFonts w:eastAsia="Segoe UI" w:cstheme="minorHAnsi"/>
          <w:color w:val="011A3C"/>
          <w:sz w:val="24"/>
          <w:szCs w:val="24"/>
          <w:lang w:eastAsia="en-AU"/>
        </w:rPr>
        <w:t>e</w:t>
      </w:r>
      <w:r w:rsidRPr="00260C1D">
        <w:rPr>
          <w:rFonts w:eastAsia="Segoe UI" w:cstheme="minorHAnsi"/>
          <w:color w:val="011A3C"/>
          <w:sz w:val="24"/>
          <w:szCs w:val="24"/>
          <w:lang w:eastAsia="en-AU"/>
        </w:rPr>
        <w:t xml:space="preserve"> an indication of a student’s annual rate at </w:t>
      </w:r>
      <w:r w:rsidR="001A47F8">
        <w:rPr>
          <w:rFonts w:eastAsia="Segoe UI" w:cstheme="minorHAnsi"/>
          <w:color w:val="011A3C"/>
          <w:sz w:val="24"/>
          <w:szCs w:val="24"/>
          <w:lang w:eastAsia="en-AU"/>
        </w:rPr>
        <w:t xml:space="preserve">the </w:t>
      </w:r>
      <w:r w:rsidRPr="00260C1D">
        <w:rPr>
          <w:rFonts w:eastAsia="Segoe UI" w:cstheme="minorHAnsi"/>
          <w:color w:val="011A3C"/>
          <w:sz w:val="24"/>
          <w:szCs w:val="24"/>
          <w:lang w:eastAsia="en-AU"/>
        </w:rPr>
        <w:t>finalisation of their Disability Inclusion Profile. Accurate allocation information is provided to schools through termly Tier 3 student-level funding allocation reports. Allocation detail</w:t>
      </w:r>
      <w:r w:rsidR="001A47F8">
        <w:rPr>
          <w:rFonts w:eastAsia="Segoe UI" w:cstheme="minorHAnsi"/>
          <w:color w:val="011A3C"/>
          <w:sz w:val="24"/>
          <w:szCs w:val="24"/>
          <w:lang w:eastAsia="en-AU"/>
        </w:rPr>
        <w:t>s</w:t>
      </w:r>
      <w:r w:rsidRPr="00260C1D">
        <w:rPr>
          <w:rFonts w:eastAsia="Segoe UI" w:cstheme="minorHAnsi"/>
          <w:color w:val="011A3C"/>
          <w:sz w:val="24"/>
          <w:szCs w:val="24"/>
          <w:lang w:eastAsia="en-AU"/>
        </w:rPr>
        <w:t xml:space="preserve"> in these reports should be reviewed against School Resource Notifications and students’ CASES</w:t>
      </w:r>
      <w:r w:rsidR="001A47F8">
        <w:rPr>
          <w:rFonts w:eastAsia="Segoe UI" w:cstheme="minorHAnsi"/>
          <w:color w:val="011A3C"/>
          <w:sz w:val="24"/>
          <w:szCs w:val="24"/>
          <w:lang w:eastAsia="en-AU"/>
        </w:rPr>
        <w:t>21</w:t>
      </w:r>
      <w:r w:rsidRPr="00260C1D">
        <w:rPr>
          <w:rFonts w:eastAsia="Segoe UI" w:cstheme="minorHAnsi"/>
          <w:color w:val="011A3C"/>
          <w:sz w:val="24"/>
          <w:szCs w:val="24"/>
          <w:lang w:eastAsia="en-AU"/>
        </w:rPr>
        <w:t xml:space="preserve"> enrolment information</w:t>
      </w:r>
      <w:r w:rsidR="001A47F8">
        <w:rPr>
          <w:rFonts w:eastAsia="Segoe UI" w:cstheme="minorHAnsi"/>
          <w:color w:val="011A3C"/>
          <w:sz w:val="24"/>
          <w:szCs w:val="24"/>
          <w:lang w:eastAsia="en-AU"/>
        </w:rPr>
        <w:t>. A</w:t>
      </w:r>
      <w:r w:rsidRPr="00260C1D">
        <w:rPr>
          <w:rFonts w:eastAsia="Segoe UI" w:cstheme="minorHAnsi"/>
          <w:color w:val="011A3C"/>
          <w:sz w:val="24"/>
          <w:szCs w:val="24"/>
          <w:lang w:eastAsia="en-AU"/>
        </w:rPr>
        <w:t xml:space="preserve">ny queries </w:t>
      </w:r>
      <w:r w:rsidR="001A47F8">
        <w:rPr>
          <w:rFonts w:eastAsia="Segoe UI" w:cstheme="minorHAnsi"/>
          <w:color w:val="011A3C"/>
          <w:sz w:val="24"/>
          <w:szCs w:val="24"/>
          <w:lang w:eastAsia="en-AU"/>
        </w:rPr>
        <w:t xml:space="preserve">can </w:t>
      </w:r>
      <w:r w:rsidR="00ED29D8">
        <w:rPr>
          <w:rFonts w:eastAsia="Segoe UI" w:cstheme="minorHAnsi"/>
          <w:color w:val="011A3C"/>
          <w:sz w:val="24"/>
          <w:szCs w:val="24"/>
          <w:lang w:eastAsia="en-AU"/>
        </w:rPr>
        <w:t xml:space="preserve">be </w:t>
      </w:r>
      <w:r w:rsidRPr="00260C1D">
        <w:rPr>
          <w:rFonts w:eastAsia="Segoe UI" w:cstheme="minorHAnsi"/>
          <w:color w:val="011A3C"/>
          <w:sz w:val="24"/>
          <w:szCs w:val="24"/>
          <w:lang w:eastAsia="en-AU"/>
        </w:rPr>
        <w:t xml:space="preserve">raised through an email to the </w:t>
      </w:r>
      <w:hyperlink r:id="rId86" w:history="1">
        <w:r w:rsidRPr="00614B09">
          <w:rPr>
            <w:rStyle w:val="Hyperlink"/>
            <w:rFonts w:cstheme="minorHAnsi"/>
            <w:color w:val="1855BF"/>
            <w:sz w:val="24"/>
            <w:szCs w:val="24"/>
          </w:rPr>
          <w:t>Disability Inclusion Outcomes mailbox</w:t>
        </w:r>
      </w:hyperlink>
      <w:r w:rsidRPr="00260C1D">
        <w:rPr>
          <w:rFonts w:eastAsia="Segoe UI" w:cstheme="minorHAnsi"/>
          <w:color w:val="011A3C"/>
          <w:sz w:val="24"/>
          <w:szCs w:val="24"/>
          <w:lang w:eastAsia="en-AU"/>
        </w:rPr>
        <w:t>. Reconciliation requests can be logged via the DET Service Gateway and will only be considered on a one-term basis. Requests for budget adjustments cannot be considered beyond the previous term.</w:t>
      </w:r>
    </w:p>
    <w:p w14:paraId="3E127721" w14:textId="77777777" w:rsidR="00532A33" w:rsidRDefault="00532A33" w:rsidP="00532A33">
      <w:pPr>
        <w:pStyle w:val="Heading2"/>
      </w:pPr>
      <w:bookmarkStart w:id="107" w:name="_Toc141965252"/>
      <w:r>
        <w:br w:type="page"/>
      </w:r>
    </w:p>
    <w:p w14:paraId="4E8FABEC" w14:textId="76372EFC" w:rsidR="00DA517B" w:rsidRPr="00260C1D" w:rsidRDefault="00DA517B" w:rsidP="00532A33">
      <w:pPr>
        <w:pStyle w:val="Heading2"/>
      </w:pPr>
      <w:bookmarkStart w:id="108" w:name="_Toc145339582"/>
      <w:bookmarkStart w:id="109" w:name="_Toc153791905"/>
      <w:r w:rsidRPr="00260C1D">
        <w:lastRenderedPageBreak/>
        <w:t>Disability Inclusion Transition Funding (Reference 140)</w:t>
      </w:r>
      <w:bookmarkEnd w:id="107"/>
      <w:bookmarkEnd w:id="108"/>
      <w:bookmarkEnd w:id="109"/>
    </w:p>
    <w:p w14:paraId="79B080D5" w14:textId="77777777" w:rsidR="00DA517B" w:rsidRPr="00260C1D" w:rsidRDefault="00DA517B" w:rsidP="00DA517B">
      <w:pPr>
        <w:spacing w:before="100" w:beforeAutospacing="1" w:after="100" w:afterAutospacing="1" w:line="240" w:lineRule="auto"/>
        <w:rPr>
          <w:rFonts w:eastAsia="Times New Roman" w:cstheme="minorHAnsi"/>
          <w:color w:val="011A3C"/>
          <w:sz w:val="24"/>
          <w:szCs w:val="24"/>
          <w:lang w:eastAsia="en-AU"/>
        </w:rPr>
      </w:pPr>
      <w:r w:rsidRPr="00260C1D">
        <w:rPr>
          <w:rFonts w:eastAsia="Times New Roman" w:cstheme="minorHAnsi"/>
          <w:color w:val="011A3C"/>
          <w:sz w:val="24"/>
          <w:szCs w:val="24"/>
          <w:lang w:eastAsia="en-AU"/>
        </w:rPr>
        <w:t>The Disability Inclusion reform package introduces a new funding and support model for students with disability over a staged rollout between 2021 to 2025. Refer to: </w:t>
      </w:r>
      <w:hyperlink r:id="rId87" w:history="1">
        <w:r w:rsidRPr="00260C1D">
          <w:rPr>
            <w:rStyle w:val="Hyperlink"/>
            <w:rFonts w:cstheme="minorHAnsi"/>
            <w:color w:val="1855BF"/>
            <w:sz w:val="24"/>
            <w:szCs w:val="24"/>
          </w:rPr>
          <w:t>Disability Inclusion Funding and Support</w:t>
        </w:r>
      </w:hyperlink>
      <w:r w:rsidRPr="00260C1D">
        <w:rPr>
          <w:rFonts w:eastAsia="Times New Roman" w:cstheme="minorHAnsi"/>
          <w:color w:val="011A3C"/>
          <w:sz w:val="24"/>
          <w:szCs w:val="24"/>
          <w:lang w:eastAsia="en-AU"/>
        </w:rPr>
        <w:t>.</w:t>
      </w:r>
    </w:p>
    <w:p w14:paraId="034B5E19" w14:textId="77777777" w:rsidR="00DA517B" w:rsidRPr="00260C1D" w:rsidRDefault="00DA517B" w:rsidP="00DA517B">
      <w:pPr>
        <w:spacing w:before="100" w:beforeAutospacing="1" w:after="100" w:afterAutospacing="1" w:line="240" w:lineRule="auto"/>
        <w:rPr>
          <w:rFonts w:eastAsia="Times New Roman" w:cstheme="minorHAnsi"/>
          <w:color w:val="011A3C"/>
          <w:sz w:val="24"/>
          <w:szCs w:val="24"/>
          <w:lang w:eastAsia="en-AU"/>
        </w:rPr>
      </w:pPr>
      <w:r w:rsidRPr="00260C1D">
        <w:rPr>
          <w:rFonts w:eastAsia="Times New Roman" w:cstheme="minorHAnsi"/>
          <w:color w:val="011A3C"/>
          <w:sz w:val="24"/>
          <w:szCs w:val="24"/>
          <w:lang w:eastAsia="en-AU"/>
        </w:rPr>
        <w:t xml:space="preserve">Disability Inclusion Transition Funding provides schools with funding continuity for students moving from Program for Students with Disabilities (PSD) Level funding to the new individualised disability funding model, </w:t>
      </w:r>
      <w:hyperlink r:id="rId88" w:history="1">
        <w:r w:rsidRPr="00614B09">
          <w:rPr>
            <w:rStyle w:val="Hyperlink"/>
            <w:rFonts w:cstheme="minorHAnsi"/>
            <w:color w:val="1855BF"/>
            <w:sz w:val="24"/>
            <w:szCs w:val="24"/>
          </w:rPr>
          <w:t>Disability Inclusion Tier 3 Student-Level Funding</w:t>
        </w:r>
      </w:hyperlink>
      <w:r w:rsidRPr="00260C1D">
        <w:rPr>
          <w:rFonts w:eastAsia="Times New Roman" w:cstheme="minorHAnsi"/>
          <w:color w:val="011A3C"/>
          <w:sz w:val="24"/>
          <w:szCs w:val="24"/>
          <w:lang w:eastAsia="en-AU"/>
        </w:rPr>
        <w:t xml:space="preserve">. </w:t>
      </w:r>
    </w:p>
    <w:p w14:paraId="3E24716B" w14:textId="77777777" w:rsidR="00DA517B" w:rsidRPr="00260C1D" w:rsidRDefault="00DA517B" w:rsidP="00DA517B">
      <w:pPr>
        <w:spacing w:before="100" w:beforeAutospacing="1" w:after="100" w:afterAutospacing="1" w:line="288" w:lineRule="atLeast"/>
        <w:outlineLvl w:val="2"/>
        <w:rPr>
          <w:rFonts w:cstheme="minorHAnsi"/>
          <w:b/>
          <w:color w:val="011A3C"/>
          <w:sz w:val="24"/>
          <w:szCs w:val="24"/>
          <w:lang w:val="en" w:eastAsia="en-AU"/>
        </w:rPr>
      </w:pPr>
      <w:r w:rsidRPr="00260C1D">
        <w:rPr>
          <w:rFonts w:cstheme="minorHAnsi"/>
          <w:b/>
          <w:color w:val="011A3C"/>
          <w:sz w:val="24"/>
          <w:szCs w:val="24"/>
          <w:lang w:val="en" w:eastAsia="en-AU"/>
        </w:rPr>
        <w:t>Eligibility</w:t>
      </w:r>
    </w:p>
    <w:p w14:paraId="171FD9FC" w14:textId="77777777" w:rsidR="00DA517B" w:rsidRPr="00260C1D" w:rsidRDefault="00DA517B" w:rsidP="002558B6">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Schools receive a Disability Inclusion Transition Funding allocation for students meeting the applicable eligibility requirements. Eligibility requirements vary dependent on the student’s PSD Level.</w:t>
      </w:r>
    </w:p>
    <w:p w14:paraId="3BFA504B" w14:textId="77777777" w:rsidR="00DA517B" w:rsidRPr="00614B09" w:rsidRDefault="00DA517B" w:rsidP="00614B09">
      <w:pPr>
        <w:spacing w:before="100" w:beforeAutospacing="1" w:after="100" w:afterAutospacing="1"/>
        <w:rPr>
          <w:rFonts w:eastAsia="Times New Roman" w:cstheme="minorHAnsi"/>
          <w:i/>
          <w:color w:val="011A3C"/>
          <w:sz w:val="24"/>
          <w:szCs w:val="24"/>
          <w:lang w:val="en-US" w:eastAsia="en-AU"/>
        </w:rPr>
      </w:pPr>
      <w:r w:rsidRPr="00614B09">
        <w:rPr>
          <w:rFonts w:eastAsia="Times New Roman" w:cstheme="minorHAnsi"/>
          <w:i/>
          <w:color w:val="011A3C"/>
          <w:sz w:val="24"/>
          <w:szCs w:val="24"/>
          <w:lang w:val="en-US" w:eastAsia="en-AU"/>
        </w:rPr>
        <w:t>PSD Levels 5 and 6</w:t>
      </w:r>
    </w:p>
    <w:p w14:paraId="0CE72C7C" w14:textId="77777777" w:rsidR="00DA517B" w:rsidRPr="00260C1D" w:rsidRDefault="00DA517B" w:rsidP="002558B6">
      <w:pPr>
        <w:spacing w:before="100" w:beforeAutospacing="1" w:after="100" w:afterAutospacing="1" w:line="360" w:lineRule="atLeast"/>
        <w:rPr>
          <w:rFonts w:eastAsia="Segoe UI" w:cstheme="minorHAnsi"/>
          <w:color w:val="011A3C"/>
          <w:sz w:val="24"/>
          <w:szCs w:val="24"/>
          <w:lang w:eastAsia="en-AU"/>
        </w:rPr>
      </w:pPr>
      <w:r w:rsidRPr="00260C1D">
        <w:rPr>
          <w:rFonts w:eastAsia="Segoe UI" w:cstheme="minorHAnsi"/>
          <w:color w:val="011A3C"/>
          <w:sz w:val="24"/>
          <w:szCs w:val="24"/>
          <w:lang w:eastAsia="en-AU"/>
        </w:rPr>
        <w:t>Disability Inclusion Transition Funding is provided to schools for eligible students in this cohort until they complete their schooling.</w:t>
      </w:r>
    </w:p>
    <w:p w14:paraId="1BA23F5B" w14:textId="77777777" w:rsidR="00DA517B" w:rsidRPr="00260C1D" w:rsidRDefault="00DA517B" w:rsidP="00DA517B">
      <w:pPr>
        <w:spacing w:before="100" w:beforeAutospacing="1" w:after="100" w:afterAutospacing="1"/>
        <w:rPr>
          <w:rFonts w:eastAsia="Times New Roman" w:cstheme="minorHAnsi"/>
          <w:color w:val="011A3C"/>
          <w:sz w:val="24"/>
          <w:szCs w:val="24"/>
          <w:lang w:val="en-US" w:eastAsia="en-AU"/>
        </w:rPr>
      </w:pPr>
      <w:r w:rsidRPr="00260C1D">
        <w:rPr>
          <w:rFonts w:eastAsia="Times New Roman" w:cstheme="minorHAnsi"/>
          <w:color w:val="011A3C"/>
          <w:sz w:val="24"/>
          <w:szCs w:val="24"/>
          <w:lang w:val="en-US" w:eastAsia="en-AU"/>
        </w:rPr>
        <w:t>For this cohort, eligibility is achieved when the following criterion is met:</w:t>
      </w:r>
    </w:p>
    <w:p w14:paraId="3A654347" w14:textId="77777777" w:rsidR="00DA517B" w:rsidRPr="00260C1D" w:rsidRDefault="00DA517B" w:rsidP="00F56244">
      <w:pPr>
        <w:numPr>
          <w:ilvl w:val="0"/>
          <w:numId w:val="49"/>
        </w:numPr>
        <w:spacing w:before="100" w:beforeAutospacing="1" w:after="100" w:afterAutospacing="1" w:line="256" w:lineRule="auto"/>
        <w:rPr>
          <w:rFonts w:eastAsia="Times New Roman" w:cstheme="minorHAnsi"/>
          <w:color w:val="011A3C"/>
          <w:sz w:val="24"/>
          <w:szCs w:val="24"/>
          <w:lang w:val="en-US" w:eastAsia="en-AU"/>
        </w:rPr>
      </w:pPr>
      <w:r w:rsidRPr="00260C1D">
        <w:rPr>
          <w:rFonts w:eastAsia="Times New Roman" w:cstheme="minorHAnsi"/>
          <w:color w:val="011A3C"/>
          <w:sz w:val="24"/>
          <w:szCs w:val="24"/>
          <w:lang w:val="en-US" w:eastAsia="en-AU"/>
        </w:rPr>
        <w:t>The student’s PSD Level funding rate &gt; Tier 3 funding rate</w:t>
      </w:r>
    </w:p>
    <w:p w14:paraId="59D2BDA1" w14:textId="77777777" w:rsidR="00DA517B" w:rsidRPr="00260C1D" w:rsidRDefault="00DA517B" w:rsidP="00DA517B">
      <w:pPr>
        <w:spacing w:before="100" w:beforeAutospacing="1" w:after="100" w:afterAutospacing="1"/>
        <w:rPr>
          <w:rFonts w:eastAsia="Times New Roman" w:cstheme="minorHAnsi"/>
          <w:i/>
          <w:color w:val="011A3C"/>
          <w:sz w:val="24"/>
          <w:szCs w:val="24"/>
          <w:lang w:val="en-US" w:eastAsia="en-AU"/>
        </w:rPr>
      </w:pPr>
      <w:r w:rsidRPr="00260C1D">
        <w:rPr>
          <w:rFonts w:eastAsia="Times New Roman" w:cstheme="minorHAnsi"/>
          <w:i/>
          <w:color w:val="011A3C"/>
          <w:sz w:val="24"/>
          <w:szCs w:val="24"/>
          <w:lang w:val="en-US" w:eastAsia="en-AU"/>
        </w:rPr>
        <w:t>PSD Levels 1-4</w:t>
      </w:r>
    </w:p>
    <w:p w14:paraId="04C1A43B" w14:textId="77777777" w:rsidR="00DA517B" w:rsidRPr="00260C1D" w:rsidRDefault="00DA517B" w:rsidP="00DA517B">
      <w:pPr>
        <w:spacing w:before="100" w:beforeAutospacing="1" w:after="100" w:afterAutospacing="1"/>
        <w:rPr>
          <w:rFonts w:eastAsia="Times New Roman" w:cstheme="minorHAnsi"/>
          <w:color w:val="011A3C"/>
          <w:sz w:val="24"/>
          <w:szCs w:val="24"/>
          <w:lang w:val="en-US" w:eastAsia="en-AU"/>
        </w:rPr>
      </w:pPr>
      <w:r w:rsidRPr="00260C1D">
        <w:rPr>
          <w:rFonts w:eastAsia="Times New Roman" w:cstheme="minorHAnsi"/>
          <w:color w:val="011A3C"/>
          <w:sz w:val="24"/>
          <w:szCs w:val="24"/>
          <w:lang w:val="en-US" w:eastAsia="en-AU"/>
        </w:rPr>
        <w:t>Disability Inclusion Transition Funding is provided to schools for eligible students in this cohort until the end of 2024.</w:t>
      </w:r>
    </w:p>
    <w:p w14:paraId="13C61DA3" w14:textId="77777777" w:rsidR="00DA517B" w:rsidRPr="00260C1D" w:rsidRDefault="00DA517B" w:rsidP="00DA517B">
      <w:pPr>
        <w:spacing w:before="100" w:beforeAutospacing="1" w:after="100" w:afterAutospacing="1"/>
        <w:rPr>
          <w:rFonts w:eastAsia="Times New Roman" w:cstheme="minorHAnsi"/>
          <w:color w:val="011A3C"/>
          <w:sz w:val="24"/>
          <w:szCs w:val="24"/>
          <w:lang w:val="en-US" w:eastAsia="en-AU"/>
        </w:rPr>
      </w:pPr>
      <w:r w:rsidRPr="00260C1D">
        <w:rPr>
          <w:rFonts w:eastAsia="Times New Roman" w:cstheme="minorHAnsi"/>
          <w:color w:val="011A3C"/>
          <w:sz w:val="24"/>
          <w:szCs w:val="24"/>
          <w:lang w:val="en-US" w:eastAsia="en-AU"/>
        </w:rPr>
        <w:t>For this cohort, eligibility is achieved when the following criteria are met:</w:t>
      </w:r>
    </w:p>
    <w:p w14:paraId="326BC484" w14:textId="77777777" w:rsidR="00DA517B" w:rsidRPr="00260C1D" w:rsidRDefault="00DA517B" w:rsidP="00F56244">
      <w:pPr>
        <w:numPr>
          <w:ilvl w:val="0"/>
          <w:numId w:val="50"/>
        </w:numPr>
        <w:spacing w:before="100" w:beforeAutospacing="1" w:after="100" w:afterAutospacing="1" w:line="256" w:lineRule="auto"/>
        <w:rPr>
          <w:rFonts w:eastAsia="Times New Roman" w:cstheme="minorHAnsi"/>
          <w:color w:val="011A3C"/>
          <w:sz w:val="24"/>
          <w:szCs w:val="24"/>
          <w:lang w:val="en-US" w:eastAsia="en-AU"/>
        </w:rPr>
      </w:pPr>
      <w:r w:rsidRPr="00260C1D">
        <w:rPr>
          <w:rFonts w:eastAsia="Times New Roman" w:cstheme="minorHAnsi"/>
          <w:color w:val="011A3C"/>
          <w:sz w:val="24"/>
          <w:szCs w:val="24"/>
          <w:lang w:val="en-US" w:eastAsia="en-AU"/>
        </w:rPr>
        <w:t>The student’s PSD Level funding rate &gt; Tier 3 funding rate</w:t>
      </w:r>
    </w:p>
    <w:p w14:paraId="6B5ECEAC" w14:textId="77777777" w:rsidR="00DA517B" w:rsidRPr="00260C1D" w:rsidRDefault="00DA517B" w:rsidP="00DA517B">
      <w:pPr>
        <w:pStyle w:val="ListParagraph"/>
        <w:spacing w:before="100" w:beforeAutospacing="1" w:after="100" w:afterAutospacing="1"/>
        <w:ind w:left="1440"/>
        <w:rPr>
          <w:rFonts w:eastAsia="Times New Roman" w:cstheme="minorHAnsi"/>
          <w:color w:val="011A3C"/>
          <w:sz w:val="24"/>
          <w:szCs w:val="24"/>
          <w:lang w:val="en-US" w:eastAsia="en-AU"/>
        </w:rPr>
      </w:pPr>
      <w:r w:rsidRPr="00260C1D">
        <w:rPr>
          <w:rFonts w:eastAsia="Times New Roman" w:cstheme="minorHAnsi"/>
          <w:color w:val="011A3C"/>
          <w:sz w:val="24"/>
          <w:szCs w:val="24"/>
          <w:lang w:val="en-US" w:eastAsia="en-AU"/>
        </w:rPr>
        <w:t>and</w:t>
      </w:r>
    </w:p>
    <w:p w14:paraId="3474FCB9" w14:textId="072CD3C6" w:rsidR="00DA517B" w:rsidRPr="00260C1D" w:rsidRDefault="00DA517B" w:rsidP="00F56244">
      <w:pPr>
        <w:numPr>
          <w:ilvl w:val="0"/>
          <w:numId w:val="50"/>
        </w:numPr>
        <w:spacing w:before="100" w:beforeAutospacing="1" w:after="100" w:afterAutospacing="1" w:line="256" w:lineRule="auto"/>
        <w:rPr>
          <w:rFonts w:eastAsia="Times New Roman" w:cstheme="minorHAnsi"/>
          <w:color w:val="011A3C"/>
          <w:sz w:val="24"/>
          <w:szCs w:val="24"/>
          <w:lang w:val="en-US" w:eastAsia="en-AU"/>
        </w:rPr>
      </w:pPr>
      <w:r w:rsidRPr="00260C1D">
        <w:rPr>
          <w:rFonts w:eastAsia="Times New Roman" w:cstheme="minorHAnsi"/>
          <w:color w:val="011A3C"/>
          <w:sz w:val="24"/>
          <w:szCs w:val="24"/>
          <w:lang w:val="en-US" w:eastAsia="en-AU"/>
        </w:rPr>
        <w:t>The student’s PSD Level funding eligibility is active, or ceased less than 1 year ago</w:t>
      </w:r>
    </w:p>
    <w:p w14:paraId="07101D2D" w14:textId="77777777" w:rsidR="00DA517B" w:rsidRPr="00260C1D" w:rsidRDefault="00DA517B" w:rsidP="00DA517B">
      <w:pPr>
        <w:spacing w:before="100" w:beforeAutospacing="1" w:after="100" w:afterAutospacing="1" w:line="288" w:lineRule="atLeast"/>
        <w:outlineLvl w:val="2"/>
        <w:rPr>
          <w:rFonts w:cstheme="minorHAnsi"/>
          <w:b/>
          <w:color w:val="011A3C"/>
          <w:sz w:val="24"/>
          <w:szCs w:val="24"/>
          <w:lang w:val="en" w:eastAsia="en-AU"/>
        </w:rPr>
      </w:pPr>
      <w:r w:rsidRPr="00260C1D">
        <w:rPr>
          <w:rFonts w:cstheme="minorHAnsi"/>
          <w:b/>
          <w:color w:val="011A3C"/>
          <w:sz w:val="24"/>
          <w:szCs w:val="24"/>
          <w:lang w:val="en" w:eastAsia="en-AU"/>
        </w:rPr>
        <w:t>Calculation</w:t>
      </w:r>
    </w:p>
    <w:p w14:paraId="697C7207" w14:textId="5DC4F59F" w:rsidR="00DA517B" w:rsidRPr="00260C1D" w:rsidRDefault="00DA517B" w:rsidP="002558B6">
      <w:pPr>
        <w:spacing w:before="100" w:beforeAutospacing="1" w:after="100" w:afterAutospacing="1" w:line="240" w:lineRule="auto"/>
        <w:rPr>
          <w:rFonts w:cstheme="minorHAnsi"/>
          <w:sz w:val="24"/>
          <w:szCs w:val="24"/>
        </w:rPr>
      </w:pPr>
      <w:r w:rsidRPr="00260C1D">
        <w:rPr>
          <w:rFonts w:eastAsia="Times New Roman" w:cstheme="minorHAnsi"/>
          <w:color w:val="011A3C"/>
          <w:sz w:val="24"/>
          <w:szCs w:val="24"/>
          <w:lang w:eastAsia="en-AU"/>
        </w:rPr>
        <w:t>Disability Inclusion Transition Funding = PSD Level funding rate – Tier 3 funding rate</w:t>
      </w:r>
    </w:p>
    <w:p w14:paraId="662F61C3" w14:textId="77777777" w:rsidR="00DA517B" w:rsidRPr="00260C1D" w:rsidRDefault="00DA517B" w:rsidP="00DA517B">
      <w:pPr>
        <w:spacing w:before="100" w:beforeAutospacing="1" w:after="100" w:afterAutospacing="1" w:line="288" w:lineRule="atLeast"/>
        <w:outlineLvl w:val="2"/>
        <w:rPr>
          <w:rFonts w:cstheme="minorHAnsi"/>
          <w:b/>
          <w:color w:val="011A3C"/>
          <w:sz w:val="24"/>
          <w:szCs w:val="24"/>
          <w:lang w:val="en" w:eastAsia="en-AU"/>
        </w:rPr>
      </w:pPr>
      <w:r w:rsidRPr="00260C1D">
        <w:rPr>
          <w:rFonts w:cstheme="minorHAnsi"/>
          <w:b/>
          <w:color w:val="011A3C"/>
          <w:sz w:val="24"/>
          <w:szCs w:val="24"/>
          <w:lang w:val="en" w:eastAsia="en-AU"/>
        </w:rPr>
        <w:t>Examples of Disability Inclusion Transition Funding</w:t>
      </w:r>
    </w:p>
    <w:p w14:paraId="42C67345" w14:textId="77777777" w:rsidR="00DA517B" w:rsidRPr="00260C1D" w:rsidRDefault="00DA517B" w:rsidP="00DA517B">
      <w:pPr>
        <w:rPr>
          <w:rFonts w:eastAsia="Times New Roman" w:cstheme="minorHAnsi"/>
          <w:i/>
          <w:color w:val="011A3C"/>
          <w:sz w:val="24"/>
          <w:szCs w:val="24"/>
          <w:lang w:val="en-US" w:eastAsia="en-AU"/>
        </w:rPr>
      </w:pPr>
      <w:r w:rsidRPr="00260C1D">
        <w:rPr>
          <w:rFonts w:eastAsia="Times New Roman" w:cstheme="minorHAnsi"/>
          <w:i/>
          <w:color w:val="011A3C"/>
          <w:sz w:val="24"/>
          <w:szCs w:val="24"/>
          <w:lang w:val="en-US" w:eastAsia="en-AU"/>
        </w:rPr>
        <w:t>Example 1 – PSD Level 5 and 6</w:t>
      </w:r>
    </w:p>
    <w:p w14:paraId="5240FA74" w14:textId="04B024F0" w:rsidR="00DA517B" w:rsidRPr="00260C1D" w:rsidRDefault="00DA517B" w:rsidP="00DA517B">
      <w:pPr>
        <w:rPr>
          <w:rFonts w:eastAsia="Times New Roman" w:cstheme="minorHAnsi"/>
          <w:color w:val="011A3C"/>
          <w:sz w:val="24"/>
          <w:szCs w:val="24"/>
          <w:lang w:val="en-US" w:eastAsia="en-AU"/>
        </w:rPr>
      </w:pPr>
      <w:r w:rsidRPr="00260C1D">
        <w:rPr>
          <w:rFonts w:eastAsia="Times New Roman" w:cstheme="minorHAnsi"/>
          <w:color w:val="011A3C"/>
          <w:sz w:val="24"/>
          <w:szCs w:val="24"/>
          <w:lang w:val="en-US" w:eastAsia="en-AU"/>
        </w:rPr>
        <w:t>A Year 3 student attending a Pri</w:t>
      </w:r>
      <w:r w:rsidR="00325BDD">
        <w:rPr>
          <w:rFonts w:eastAsia="Times New Roman" w:cstheme="minorHAnsi"/>
          <w:color w:val="011A3C"/>
          <w:sz w:val="24"/>
          <w:szCs w:val="24"/>
          <w:lang w:val="en-US" w:eastAsia="en-AU"/>
        </w:rPr>
        <w:t>mary</w:t>
      </w:r>
      <w:r w:rsidRPr="00260C1D">
        <w:rPr>
          <w:rFonts w:eastAsia="Times New Roman" w:cstheme="minorHAnsi"/>
          <w:color w:val="011A3C"/>
          <w:sz w:val="24"/>
          <w:szCs w:val="24"/>
          <w:lang w:val="en-US" w:eastAsia="en-AU"/>
        </w:rPr>
        <w:t>/Sec</w:t>
      </w:r>
      <w:r w:rsidR="00325BDD">
        <w:rPr>
          <w:rFonts w:eastAsia="Times New Roman" w:cstheme="minorHAnsi"/>
          <w:color w:val="011A3C"/>
          <w:sz w:val="24"/>
          <w:szCs w:val="24"/>
          <w:lang w:val="en-US" w:eastAsia="en-AU"/>
        </w:rPr>
        <w:t>ondary</w:t>
      </w:r>
      <w:r w:rsidRPr="00260C1D">
        <w:rPr>
          <w:rFonts w:eastAsia="Times New Roman" w:cstheme="minorHAnsi"/>
          <w:color w:val="011A3C"/>
          <w:sz w:val="24"/>
          <w:szCs w:val="24"/>
          <w:lang w:val="en-US" w:eastAsia="en-AU"/>
        </w:rPr>
        <w:t xml:space="preserve"> school in a Disability Inclusion rollout area in </w:t>
      </w:r>
      <w:r w:rsidR="009D2CF1" w:rsidRPr="00260C1D">
        <w:rPr>
          <w:rFonts w:eastAsia="Times New Roman" w:cstheme="minorHAnsi"/>
          <w:color w:val="011A3C"/>
          <w:sz w:val="24"/>
          <w:szCs w:val="24"/>
          <w:lang w:val="en-US" w:eastAsia="en-AU"/>
        </w:rPr>
        <w:t>202</w:t>
      </w:r>
      <w:r w:rsidR="009D2CF1">
        <w:rPr>
          <w:rFonts w:eastAsia="Times New Roman" w:cstheme="minorHAnsi"/>
          <w:color w:val="011A3C"/>
          <w:sz w:val="24"/>
          <w:szCs w:val="24"/>
          <w:lang w:val="en-US" w:eastAsia="en-AU"/>
        </w:rPr>
        <w:t>4</w:t>
      </w:r>
      <w:r w:rsidR="009D2CF1" w:rsidRPr="00260C1D">
        <w:rPr>
          <w:rFonts w:eastAsia="Times New Roman" w:cstheme="minorHAnsi"/>
          <w:color w:val="011A3C"/>
          <w:sz w:val="24"/>
          <w:szCs w:val="24"/>
          <w:lang w:val="en-US" w:eastAsia="en-AU"/>
        </w:rPr>
        <w:t xml:space="preserve"> </w:t>
      </w:r>
      <w:r w:rsidRPr="00260C1D">
        <w:rPr>
          <w:rFonts w:eastAsia="Times New Roman" w:cstheme="minorHAnsi"/>
          <w:color w:val="011A3C"/>
          <w:sz w:val="24"/>
          <w:szCs w:val="24"/>
          <w:lang w:val="en-US" w:eastAsia="en-AU"/>
        </w:rPr>
        <w:t>is PSD Level 5 funded. This student’s PSD funding is not subject to review. A Disability Inclusion Profile is completed for the student and results in a Tier 3 funding rate of $51,000.</w:t>
      </w:r>
    </w:p>
    <w:p w14:paraId="054F8A51" w14:textId="4CEC68B7" w:rsidR="00DA517B" w:rsidRPr="00720A0F" w:rsidRDefault="00DA517B" w:rsidP="00DA517B">
      <w:pPr>
        <w:rPr>
          <w:rFonts w:eastAsia="Times New Roman" w:cstheme="minorHAnsi"/>
          <w:color w:val="011A3C"/>
          <w:sz w:val="24"/>
          <w:szCs w:val="24"/>
          <w:lang w:val="en-US" w:eastAsia="en-AU"/>
        </w:rPr>
      </w:pPr>
      <w:r w:rsidRPr="00260C1D">
        <w:rPr>
          <w:rFonts w:eastAsia="Times New Roman" w:cstheme="minorHAnsi"/>
          <w:color w:val="011A3C"/>
          <w:sz w:val="24"/>
          <w:szCs w:val="24"/>
          <w:lang w:val="en-US" w:eastAsia="en-AU"/>
        </w:rPr>
        <w:lastRenderedPageBreak/>
        <w:t xml:space="preserve">The student meets the Disability Inclusion Transition Funding eligibility criteria for their cohort. </w:t>
      </w:r>
      <w:r w:rsidR="00897300">
        <w:rPr>
          <w:rFonts w:eastAsia="Times New Roman" w:cstheme="minorHAnsi"/>
          <w:color w:val="011A3C"/>
          <w:sz w:val="24"/>
          <w:szCs w:val="24"/>
          <w:lang w:val="en-US" w:eastAsia="en-AU"/>
        </w:rPr>
        <w:t>The PSD Level 5 funding rate is $</w:t>
      </w:r>
      <w:r w:rsidR="002D5ED8" w:rsidRPr="002D5ED8">
        <w:rPr>
          <w:rFonts w:eastAsia="Times New Roman" w:cstheme="minorHAnsi"/>
          <w:color w:val="011A3C"/>
          <w:sz w:val="24"/>
          <w:szCs w:val="24"/>
          <w:lang w:val="en-US" w:eastAsia="en-AU"/>
        </w:rPr>
        <w:t>54,144</w:t>
      </w:r>
      <w:r w:rsidR="00897300">
        <w:rPr>
          <w:rFonts w:eastAsia="Times New Roman" w:cstheme="minorHAnsi"/>
          <w:color w:val="011A3C"/>
          <w:sz w:val="24"/>
          <w:szCs w:val="24"/>
          <w:lang w:val="en-US" w:eastAsia="en-AU"/>
        </w:rPr>
        <w:t xml:space="preserve"> in 202</w:t>
      </w:r>
      <w:r w:rsidR="002D5ED8">
        <w:rPr>
          <w:rFonts w:eastAsia="Times New Roman" w:cstheme="minorHAnsi"/>
          <w:color w:val="011A3C"/>
          <w:sz w:val="24"/>
          <w:szCs w:val="24"/>
          <w:lang w:val="en-US" w:eastAsia="en-AU"/>
        </w:rPr>
        <w:t>4</w:t>
      </w:r>
      <w:r w:rsidR="00897300">
        <w:rPr>
          <w:rFonts w:eastAsia="Times New Roman" w:cstheme="minorHAnsi"/>
          <w:color w:val="011A3C"/>
          <w:sz w:val="24"/>
          <w:szCs w:val="24"/>
          <w:lang w:val="en-US" w:eastAsia="en-AU"/>
        </w:rPr>
        <w:t xml:space="preserve">. </w:t>
      </w:r>
      <w:r w:rsidRPr="00260C1D">
        <w:rPr>
          <w:rFonts w:eastAsia="Times New Roman" w:cstheme="minorHAnsi"/>
          <w:color w:val="011A3C"/>
          <w:sz w:val="24"/>
          <w:szCs w:val="24"/>
          <w:lang w:val="en-US" w:eastAsia="en-AU"/>
        </w:rPr>
        <w:t>The school is provided with a Tier 3 allocation at a rate of $51,000 and a Disability Inclusion Transition Funding allocation at a rate of $</w:t>
      </w:r>
      <w:r w:rsidR="0099260A">
        <w:rPr>
          <w:rFonts w:eastAsia="Times New Roman" w:cstheme="minorHAnsi"/>
          <w:color w:val="011A3C"/>
          <w:sz w:val="24"/>
          <w:szCs w:val="24"/>
          <w:lang w:val="en-US" w:eastAsia="en-AU"/>
        </w:rPr>
        <w:t>3</w:t>
      </w:r>
      <w:r w:rsidRPr="00260C1D">
        <w:rPr>
          <w:rFonts w:eastAsia="Times New Roman" w:cstheme="minorHAnsi"/>
          <w:color w:val="011A3C"/>
          <w:sz w:val="24"/>
          <w:szCs w:val="24"/>
          <w:lang w:val="en-US" w:eastAsia="en-AU"/>
        </w:rPr>
        <w:t>,</w:t>
      </w:r>
      <w:r w:rsidR="0099260A">
        <w:rPr>
          <w:rFonts w:eastAsia="Times New Roman" w:cstheme="minorHAnsi"/>
          <w:color w:val="011A3C"/>
          <w:sz w:val="24"/>
          <w:szCs w:val="24"/>
          <w:lang w:val="en-US" w:eastAsia="en-AU"/>
        </w:rPr>
        <w:t>144</w:t>
      </w:r>
      <w:r w:rsidR="0099260A" w:rsidRPr="00260C1D">
        <w:rPr>
          <w:rFonts w:eastAsia="Times New Roman" w:cstheme="minorHAnsi"/>
          <w:color w:val="011A3C"/>
          <w:sz w:val="24"/>
          <w:szCs w:val="24"/>
          <w:lang w:val="en-US" w:eastAsia="en-AU"/>
        </w:rPr>
        <w:t xml:space="preserve"> </w:t>
      </w:r>
      <w:r w:rsidRPr="00260C1D">
        <w:rPr>
          <w:rFonts w:eastAsia="Times New Roman" w:cstheme="minorHAnsi"/>
          <w:color w:val="011A3C"/>
          <w:sz w:val="24"/>
          <w:szCs w:val="24"/>
          <w:lang w:val="en-US" w:eastAsia="en-AU"/>
        </w:rPr>
        <w:t xml:space="preserve">in </w:t>
      </w:r>
      <w:r w:rsidR="0099260A" w:rsidRPr="00260C1D">
        <w:rPr>
          <w:rFonts w:eastAsia="Times New Roman" w:cstheme="minorHAnsi"/>
          <w:color w:val="011A3C"/>
          <w:sz w:val="24"/>
          <w:szCs w:val="24"/>
          <w:lang w:val="en-US" w:eastAsia="en-AU"/>
        </w:rPr>
        <w:t>202</w:t>
      </w:r>
      <w:r w:rsidR="0099260A">
        <w:rPr>
          <w:rFonts w:eastAsia="Times New Roman" w:cstheme="minorHAnsi"/>
          <w:color w:val="011A3C"/>
          <w:sz w:val="24"/>
          <w:szCs w:val="24"/>
          <w:lang w:val="en-US" w:eastAsia="en-AU"/>
        </w:rPr>
        <w:t>4</w:t>
      </w:r>
      <w:r w:rsidRPr="00260C1D">
        <w:rPr>
          <w:rFonts w:eastAsia="Times New Roman" w:cstheme="minorHAnsi"/>
          <w:color w:val="011A3C"/>
          <w:sz w:val="24"/>
          <w:szCs w:val="24"/>
          <w:lang w:val="en-US" w:eastAsia="en-AU"/>
        </w:rPr>
        <w:t xml:space="preserve">. The student maintains their enrolment at the school in </w:t>
      </w:r>
      <w:r w:rsidR="009D2CF1" w:rsidRPr="00260C1D">
        <w:rPr>
          <w:rFonts w:eastAsia="Times New Roman" w:cstheme="minorHAnsi"/>
          <w:color w:val="011A3C"/>
          <w:sz w:val="24"/>
          <w:szCs w:val="24"/>
          <w:lang w:val="en-US" w:eastAsia="en-AU"/>
        </w:rPr>
        <w:t>202</w:t>
      </w:r>
      <w:r w:rsidR="009D2CF1">
        <w:rPr>
          <w:rFonts w:eastAsia="Times New Roman" w:cstheme="minorHAnsi"/>
          <w:color w:val="011A3C"/>
          <w:sz w:val="24"/>
          <w:szCs w:val="24"/>
          <w:lang w:val="en-US" w:eastAsia="en-AU"/>
        </w:rPr>
        <w:t>5</w:t>
      </w:r>
      <w:r w:rsidR="009D2CF1" w:rsidRPr="00260C1D">
        <w:rPr>
          <w:rFonts w:eastAsia="Times New Roman" w:cstheme="minorHAnsi"/>
          <w:color w:val="011A3C"/>
          <w:sz w:val="24"/>
          <w:szCs w:val="24"/>
          <w:lang w:val="en-US" w:eastAsia="en-AU"/>
        </w:rPr>
        <w:t xml:space="preserve"> </w:t>
      </w:r>
      <w:r w:rsidRPr="00260C1D">
        <w:rPr>
          <w:rFonts w:eastAsia="Times New Roman" w:cstheme="minorHAnsi"/>
          <w:color w:val="011A3C"/>
          <w:sz w:val="24"/>
          <w:szCs w:val="24"/>
          <w:lang w:val="en-US" w:eastAsia="en-AU"/>
        </w:rPr>
        <w:t>and beyond, and the school continues to receive Disability Inclusion Transition Funding in addition to the Tier 3 funding.</w:t>
      </w:r>
    </w:p>
    <w:p w14:paraId="5779FA06" w14:textId="77777777" w:rsidR="00DA517B" w:rsidRPr="00260C1D" w:rsidRDefault="00DA517B" w:rsidP="00DA517B">
      <w:pPr>
        <w:rPr>
          <w:rFonts w:eastAsia="Times New Roman" w:cstheme="minorHAnsi"/>
          <w:i/>
          <w:color w:val="011A3C"/>
          <w:sz w:val="24"/>
          <w:szCs w:val="24"/>
          <w:lang w:val="en-US" w:eastAsia="en-AU"/>
        </w:rPr>
      </w:pPr>
      <w:r w:rsidRPr="00260C1D">
        <w:rPr>
          <w:rFonts w:eastAsia="Times New Roman" w:cstheme="minorHAnsi"/>
          <w:i/>
          <w:color w:val="011A3C"/>
          <w:sz w:val="24"/>
          <w:szCs w:val="24"/>
          <w:lang w:val="en-US" w:eastAsia="en-AU"/>
        </w:rPr>
        <w:t>Example 2 – PSD Level 1-4, Disability Inclusion Profile prior to PSD review year</w:t>
      </w:r>
    </w:p>
    <w:p w14:paraId="7D79A5A6" w14:textId="782E20D9" w:rsidR="00DA517B" w:rsidRPr="00260C1D" w:rsidRDefault="00DA517B" w:rsidP="00DA517B">
      <w:pPr>
        <w:rPr>
          <w:rFonts w:eastAsia="Times New Roman" w:cstheme="minorHAnsi"/>
          <w:color w:val="011A3C"/>
          <w:sz w:val="24"/>
          <w:szCs w:val="24"/>
          <w:lang w:val="en-US" w:eastAsia="en-AU"/>
        </w:rPr>
      </w:pPr>
      <w:r w:rsidRPr="00260C1D">
        <w:rPr>
          <w:rFonts w:eastAsia="Times New Roman" w:cstheme="minorHAnsi"/>
          <w:color w:val="011A3C"/>
          <w:sz w:val="24"/>
          <w:szCs w:val="24"/>
          <w:lang w:val="en-US" w:eastAsia="en-AU"/>
        </w:rPr>
        <w:t xml:space="preserve">A Year 5-age equivalent student attending a Specialist school in a Disability Inclusion rollout area in </w:t>
      </w:r>
      <w:r w:rsidR="00816C6F" w:rsidRPr="00260C1D">
        <w:rPr>
          <w:rFonts w:eastAsia="Times New Roman" w:cstheme="minorHAnsi"/>
          <w:color w:val="011A3C"/>
          <w:sz w:val="24"/>
          <w:szCs w:val="24"/>
          <w:lang w:val="en-US" w:eastAsia="en-AU"/>
        </w:rPr>
        <w:t>202</w:t>
      </w:r>
      <w:r w:rsidR="00816C6F">
        <w:rPr>
          <w:rFonts w:eastAsia="Times New Roman" w:cstheme="minorHAnsi"/>
          <w:color w:val="011A3C"/>
          <w:sz w:val="24"/>
          <w:szCs w:val="24"/>
          <w:lang w:val="en-US" w:eastAsia="en-AU"/>
        </w:rPr>
        <w:t>4</w:t>
      </w:r>
      <w:r w:rsidR="00816C6F" w:rsidRPr="00260C1D">
        <w:rPr>
          <w:rFonts w:eastAsia="Times New Roman" w:cstheme="minorHAnsi"/>
          <w:color w:val="011A3C"/>
          <w:sz w:val="24"/>
          <w:szCs w:val="24"/>
          <w:lang w:val="en-US" w:eastAsia="en-AU"/>
        </w:rPr>
        <w:t xml:space="preserve"> </w:t>
      </w:r>
      <w:r w:rsidRPr="00260C1D">
        <w:rPr>
          <w:rFonts w:eastAsia="Times New Roman" w:cstheme="minorHAnsi"/>
          <w:color w:val="011A3C"/>
          <w:sz w:val="24"/>
          <w:szCs w:val="24"/>
          <w:lang w:val="en-US" w:eastAsia="en-AU"/>
        </w:rPr>
        <w:t xml:space="preserve">is PSD Level 3 funded. This student’s PSD funding is due for review in </w:t>
      </w:r>
      <w:r w:rsidR="00816C6F" w:rsidRPr="00260C1D">
        <w:rPr>
          <w:rFonts w:eastAsia="Times New Roman" w:cstheme="minorHAnsi"/>
          <w:color w:val="011A3C"/>
          <w:sz w:val="24"/>
          <w:szCs w:val="24"/>
          <w:lang w:val="en-US" w:eastAsia="en-AU"/>
        </w:rPr>
        <w:t>202</w:t>
      </w:r>
      <w:r w:rsidR="00816C6F">
        <w:rPr>
          <w:rFonts w:eastAsia="Times New Roman" w:cstheme="minorHAnsi"/>
          <w:color w:val="011A3C"/>
          <w:sz w:val="24"/>
          <w:szCs w:val="24"/>
          <w:lang w:val="en-US" w:eastAsia="en-AU"/>
        </w:rPr>
        <w:t>5</w:t>
      </w:r>
      <w:r w:rsidRPr="00260C1D">
        <w:rPr>
          <w:rFonts w:eastAsia="Times New Roman" w:cstheme="minorHAnsi"/>
          <w:color w:val="011A3C"/>
          <w:sz w:val="24"/>
          <w:szCs w:val="24"/>
          <w:lang w:val="en-US" w:eastAsia="en-AU"/>
        </w:rPr>
        <w:t>. A Disability Inclusion Profile is completed for the student and results in a Tier 3 funding rate of $27,500.</w:t>
      </w:r>
    </w:p>
    <w:p w14:paraId="01E14328" w14:textId="7FEE5C46" w:rsidR="00DA517B" w:rsidRPr="00260C1D" w:rsidRDefault="00DA517B" w:rsidP="00DA517B">
      <w:pPr>
        <w:rPr>
          <w:rFonts w:eastAsia="Times New Roman" w:cstheme="minorHAnsi"/>
          <w:color w:val="011A3C"/>
          <w:sz w:val="24"/>
          <w:szCs w:val="24"/>
          <w:lang w:val="en-US" w:eastAsia="en-AU"/>
        </w:rPr>
      </w:pPr>
      <w:r w:rsidRPr="00260C1D">
        <w:rPr>
          <w:rFonts w:eastAsia="Times New Roman" w:cstheme="minorHAnsi"/>
          <w:color w:val="011A3C"/>
          <w:sz w:val="24"/>
          <w:szCs w:val="24"/>
          <w:lang w:val="en-US" w:eastAsia="en-AU"/>
        </w:rPr>
        <w:t xml:space="preserve">The student meets both aspects of the Disability Inclusion Transition Funding eligibility criteria for their cohort. </w:t>
      </w:r>
      <w:r w:rsidR="00897300">
        <w:rPr>
          <w:rFonts w:eastAsia="Times New Roman" w:cstheme="minorHAnsi"/>
          <w:color w:val="011A3C"/>
          <w:sz w:val="24"/>
          <w:szCs w:val="24"/>
          <w:lang w:val="en-US" w:eastAsia="en-AU"/>
        </w:rPr>
        <w:t>The PSD Level 3 funding rate is $</w:t>
      </w:r>
      <w:r w:rsidR="00982AFC" w:rsidRPr="00982AFC">
        <w:rPr>
          <w:rFonts w:eastAsia="Times New Roman" w:cstheme="minorHAnsi"/>
          <w:color w:val="011A3C"/>
          <w:sz w:val="24"/>
          <w:szCs w:val="24"/>
          <w:lang w:val="en-US" w:eastAsia="en-AU"/>
        </w:rPr>
        <w:t xml:space="preserve">31,355 </w:t>
      </w:r>
      <w:r w:rsidR="00897300">
        <w:rPr>
          <w:rFonts w:eastAsia="Times New Roman" w:cstheme="minorHAnsi"/>
          <w:color w:val="011A3C"/>
          <w:sz w:val="24"/>
          <w:szCs w:val="24"/>
          <w:lang w:val="en-US" w:eastAsia="en-AU"/>
        </w:rPr>
        <w:t xml:space="preserve">in </w:t>
      </w:r>
      <w:r w:rsidR="00982AFC">
        <w:rPr>
          <w:rFonts w:eastAsia="Times New Roman" w:cstheme="minorHAnsi"/>
          <w:color w:val="011A3C"/>
          <w:sz w:val="24"/>
          <w:szCs w:val="24"/>
          <w:lang w:val="en-US" w:eastAsia="en-AU"/>
        </w:rPr>
        <w:t>2024</w:t>
      </w:r>
      <w:r w:rsidR="00897300">
        <w:rPr>
          <w:rFonts w:eastAsia="Times New Roman" w:cstheme="minorHAnsi"/>
          <w:color w:val="011A3C"/>
          <w:sz w:val="24"/>
          <w:szCs w:val="24"/>
          <w:lang w:val="en-US" w:eastAsia="en-AU"/>
        </w:rPr>
        <w:t xml:space="preserve">. </w:t>
      </w:r>
      <w:r w:rsidRPr="00260C1D">
        <w:rPr>
          <w:rFonts w:eastAsia="Times New Roman" w:cstheme="minorHAnsi"/>
          <w:color w:val="011A3C"/>
          <w:sz w:val="24"/>
          <w:szCs w:val="24"/>
          <w:lang w:val="en-US" w:eastAsia="en-AU"/>
        </w:rPr>
        <w:t xml:space="preserve">The school is provided with a Tier 3 allocation at a rate of $27,500 and a Disability Inclusion Transition Funding allocation at a rate of </w:t>
      </w:r>
      <w:r w:rsidR="005F5224" w:rsidRPr="005F5224">
        <w:rPr>
          <w:rFonts w:eastAsia="Times New Roman" w:cstheme="minorHAnsi"/>
          <w:color w:val="011A3C"/>
          <w:sz w:val="24"/>
          <w:szCs w:val="24"/>
          <w:lang w:val="en-US" w:eastAsia="en-AU"/>
        </w:rPr>
        <w:t xml:space="preserve"> $3,855 </w:t>
      </w:r>
      <w:r w:rsidRPr="00260C1D">
        <w:rPr>
          <w:rFonts w:eastAsia="Times New Roman" w:cstheme="minorHAnsi"/>
          <w:color w:val="011A3C"/>
          <w:sz w:val="24"/>
          <w:szCs w:val="24"/>
          <w:lang w:val="en-US" w:eastAsia="en-AU"/>
        </w:rPr>
        <w:t xml:space="preserve">in </w:t>
      </w:r>
      <w:r w:rsidR="005F5224" w:rsidRPr="00260C1D">
        <w:rPr>
          <w:rFonts w:eastAsia="Times New Roman" w:cstheme="minorHAnsi"/>
          <w:color w:val="011A3C"/>
          <w:sz w:val="24"/>
          <w:szCs w:val="24"/>
          <w:lang w:val="en-US" w:eastAsia="en-AU"/>
        </w:rPr>
        <w:t>202</w:t>
      </w:r>
      <w:r w:rsidR="005F5224">
        <w:rPr>
          <w:rFonts w:eastAsia="Times New Roman" w:cstheme="minorHAnsi"/>
          <w:color w:val="011A3C"/>
          <w:sz w:val="24"/>
          <w:szCs w:val="24"/>
          <w:lang w:val="en-US" w:eastAsia="en-AU"/>
        </w:rPr>
        <w:t>4</w:t>
      </w:r>
      <w:r w:rsidRPr="00260C1D">
        <w:rPr>
          <w:rFonts w:eastAsia="Times New Roman" w:cstheme="minorHAnsi"/>
          <w:color w:val="011A3C"/>
          <w:sz w:val="24"/>
          <w:szCs w:val="24"/>
          <w:lang w:val="en-US" w:eastAsia="en-AU"/>
        </w:rPr>
        <w:t xml:space="preserve">. </w:t>
      </w:r>
      <w:r w:rsidR="005F5224">
        <w:rPr>
          <w:rFonts w:eastAsia="Times New Roman" w:cstheme="minorHAnsi"/>
          <w:color w:val="011A3C"/>
          <w:sz w:val="24"/>
          <w:szCs w:val="24"/>
          <w:lang w:val="en-US" w:eastAsia="en-AU"/>
        </w:rPr>
        <w:t>At this stage for students in this scenario, Disability Inclusion Transition Funding is not endorsed beyond 2024</w:t>
      </w:r>
      <w:r w:rsidRPr="00260C1D">
        <w:rPr>
          <w:rFonts w:eastAsia="Times New Roman" w:cstheme="minorHAnsi"/>
          <w:color w:val="011A3C"/>
          <w:sz w:val="24"/>
          <w:szCs w:val="24"/>
          <w:lang w:val="en-US" w:eastAsia="en-AU"/>
        </w:rPr>
        <w:t>.</w:t>
      </w:r>
    </w:p>
    <w:p w14:paraId="39DA12D3" w14:textId="77777777" w:rsidR="00DA517B" w:rsidRPr="00260C1D" w:rsidRDefault="00DA517B" w:rsidP="00DA517B">
      <w:pPr>
        <w:rPr>
          <w:rFonts w:eastAsia="Times New Roman" w:cstheme="minorHAnsi"/>
          <w:i/>
          <w:color w:val="011A3C"/>
          <w:sz w:val="24"/>
          <w:szCs w:val="24"/>
          <w:lang w:val="en-US" w:eastAsia="en-AU"/>
        </w:rPr>
      </w:pPr>
      <w:r w:rsidRPr="00260C1D">
        <w:rPr>
          <w:rFonts w:eastAsia="Times New Roman" w:cstheme="minorHAnsi"/>
          <w:i/>
          <w:color w:val="011A3C"/>
          <w:sz w:val="24"/>
          <w:szCs w:val="24"/>
          <w:lang w:val="en-US" w:eastAsia="en-AU"/>
        </w:rPr>
        <w:t>Example 3 – PSD Level 1-4, Disability Inclusion Profile after PSD review year</w:t>
      </w:r>
    </w:p>
    <w:p w14:paraId="7E10F275" w14:textId="1885445A" w:rsidR="00DA517B" w:rsidRPr="00260C1D" w:rsidRDefault="00DA517B" w:rsidP="00DA517B">
      <w:pPr>
        <w:rPr>
          <w:rFonts w:eastAsia="Times New Roman" w:cstheme="minorHAnsi"/>
          <w:color w:val="011A3C"/>
          <w:sz w:val="24"/>
          <w:szCs w:val="24"/>
          <w:lang w:val="en-US" w:eastAsia="en-AU"/>
        </w:rPr>
      </w:pPr>
      <w:r w:rsidRPr="00260C1D">
        <w:rPr>
          <w:rFonts w:eastAsia="Times New Roman" w:cstheme="minorHAnsi"/>
          <w:color w:val="011A3C"/>
          <w:sz w:val="24"/>
          <w:szCs w:val="24"/>
          <w:lang w:val="en-US" w:eastAsia="en-AU"/>
        </w:rPr>
        <w:t xml:space="preserve">A Year 6 student attending a Primary school in a Disability Inclusion rollout area in </w:t>
      </w:r>
      <w:r w:rsidR="005F5224" w:rsidRPr="00260C1D">
        <w:rPr>
          <w:rFonts w:eastAsia="Times New Roman" w:cstheme="minorHAnsi"/>
          <w:color w:val="011A3C"/>
          <w:sz w:val="24"/>
          <w:szCs w:val="24"/>
          <w:lang w:val="en-US" w:eastAsia="en-AU"/>
        </w:rPr>
        <w:t>202</w:t>
      </w:r>
      <w:r w:rsidR="005F5224">
        <w:rPr>
          <w:rFonts w:eastAsia="Times New Roman" w:cstheme="minorHAnsi"/>
          <w:color w:val="011A3C"/>
          <w:sz w:val="24"/>
          <w:szCs w:val="24"/>
          <w:lang w:val="en-US" w:eastAsia="en-AU"/>
        </w:rPr>
        <w:t>3</w:t>
      </w:r>
      <w:r w:rsidR="005F5224" w:rsidRPr="00260C1D">
        <w:rPr>
          <w:rFonts w:eastAsia="Times New Roman" w:cstheme="minorHAnsi"/>
          <w:color w:val="011A3C"/>
          <w:sz w:val="24"/>
          <w:szCs w:val="24"/>
          <w:lang w:val="en-US" w:eastAsia="en-AU"/>
        </w:rPr>
        <w:t xml:space="preserve"> </w:t>
      </w:r>
      <w:r w:rsidRPr="00260C1D">
        <w:rPr>
          <w:rFonts w:eastAsia="Times New Roman" w:cstheme="minorHAnsi"/>
          <w:color w:val="011A3C"/>
          <w:sz w:val="24"/>
          <w:szCs w:val="24"/>
          <w:lang w:val="en-US" w:eastAsia="en-AU"/>
        </w:rPr>
        <w:t xml:space="preserve">is PSD Level 2 funded. This student’s PSD funding is due for review in </w:t>
      </w:r>
      <w:r w:rsidR="005F5224" w:rsidRPr="00260C1D">
        <w:rPr>
          <w:rFonts w:eastAsia="Times New Roman" w:cstheme="minorHAnsi"/>
          <w:color w:val="011A3C"/>
          <w:sz w:val="24"/>
          <w:szCs w:val="24"/>
          <w:lang w:val="en-US" w:eastAsia="en-AU"/>
        </w:rPr>
        <w:t>202</w:t>
      </w:r>
      <w:r w:rsidR="005F5224">
        <w:rPr>
          <w:rFonts w:eastAsia="Times New Roman" w:cstheme="minorHAnsi"/>
          <w:color w:val="011A3C"/>
          <w:sz w:val="24"/>
          <w:szCs w:val="24"/>
          <w:lang w:val="en-US" w:eastAsia="en-AU"/>
        </w:rPr>
        <w:t>3</w:t>
      </w:r>
      <w:r w:rsidRPr="00260C1D">
        <w:rPr>
          <w:rFonts w:eastAsia="Times New Roman" w:cstheme="minorHAnsi"/>
          <w:color w:val="011A3C"/>
          <w:sz w:val="24"/>
          <w:szCs w:val="24"/>
          <w:lang w:val="en-US" w:eastAsia="en-AU"/>
        </w:rPr>
        <w:t xml:space="preserve">. The student is moving to a Secondary school in the same area in </w:t>
      </w:r>
      <w:r w:rsidR="005F5224" w:rsidRPr="00260C1D">
        <w:rPr>
          <w:rFonts w:eastAsia="Times New Roman" w:cstheme="minorHAnsi"/>
          <w:color w:val="011A3C"/>
          <w:sz w:val="24"/>
          <w:szCs w:val="24"/>
          <w:lang w:val="en-US" w:eastAsia="en-AU"/>
        </w:rPr>
        <w:t>202</w:t>
      </w:r>
      <w:r w:rsidR="005F5224">
        <w:rPr>
          <w:rFonts w:eastAsia="Times New Roman" w:cstheme="minorHAnsi"/>
          <w:color w:val="011A3C"/>
          <w:sz w:val="24"/>
          <w:szCs w:val="24"/>
          <w:lang w:val="en-US" w:eastAsia="en-AU"/>
        </w:rPr>
        <w:t>4</w:t>
      </w:r>
      <w:r w:rsidR="005F5224" w:rsidRPr="00260C1D">
        <w:rPr>
          <w:rFonts w:eastAsia="Times New Roman" w:cstheme="minorHAnsi"/>
          <w:color w:val="011A3C"/>
          <w:sz w:val="24"/>
          <w:szCs w:val="24"/>
          <w:lang w:val="en-US" w:eastAsia="en-AU"/>
        </w:rPr>
        <w:t xml:space="preserve"> </w:t>
      </w:r>
      <w:r w:rsidRPr="00260C1D">
        <w:rPr>
          <w:rFonts w:eastAsia="Times New Roman" w:cstheme="minorHAnsi"/>
          <w:color w:val="011A3C"/>
          <w:sz w:val="24"/>
          <w:szCs w:val="24"/>
          <w:lang w:val="en-US" w:eastAsia="en-AU"/>
        </w:rPr>
        <w:t xml:space="preserve">and therefore does not complete a PSD Review nor Disability Inclusion Profile in </w:t>
      </w:r>
      <w:r w:rsidR="005F5224" w:rsidRPr="00260C1D">
        <w:rPr>
          <w:rFonts w:eastAsia="Times New Roman" w:cstheme="minorHAnsi"/>
          <w:color w:val="011A3C"/>
          <w:sz w:val="24"/>
          <w:szCs w:val="24"/>
          <w:lang w:val="en-US" w:eastAsia="en-AU"/>
        </w:rPr>
        <w:t>202</w:t>
      </w:r>
      <w:r w:rsidR="005F5224">
        <w:rPr>
          <w:rFonts w:eastAsia="Times New Roman" w:cstheme="minorHAnsi"/>
          <w:color w:val="011A3C"/>
          <w:sz w:val="24"/>
          <w:szCs w:val="24"/>
          <w:lang w:val="en-US" w:eastAsia="en-AU"/>
        </w:rPr>
        <w:t>3</w:t>
      </w:r>
      <w:r w:rsidRPr="00260C1D">
        <w:rPr>
          <w:rFonts w:eastAsia="Times New Roman" w:cstheme="minorHAnsi"/>
          <w:color w:val="011A3C"/>
          <w:sz w:val="24"/>
          <w:szCs w:val="24"/>
          <w:lang w:val="en-US" w:eastAsia="en-AU"/>
        </w:rPr>
        <w:t>.</w:t>
      </w:r>
    </w:p>
    <w:p w14:paraId="08F7890D" w14:textId="59C89098" w:rsidR="00DA517B" w:rsidRPr="00260C1D" w:rsidRDefault="00DA517B" w:rsidP="00DA517B">
      <w:pPr>
        <w:rPr>
          <w:rFonts w:eastAsia="Times New Roman" w:cstheme="minorHAnsi"/>
          <w:color w:val="011A3C"/>
          <w:sz w:val="24"/>
          <w:szCs w:val="24"/>
          <w:lang w:val="en-US" w:eastAsia="en-AU"/>
        </w:rPr>
      </w:pPr>
      <w:r w:rsidRPr="00260C1D">
        <w:rPr>
          <w:rFonts w:eastAsia="Times New Roman" w:cstheme="minorHAnsi"/>
          <w:color w:val="011A3C"/>
          <w:sz w:val="24"/>
          <w:szCs w:val="24"/>
          <w:lang w:val="en-US" w:eastAsia="en-AU"/>
        </w:rPr>
        <w:t xml:space="preserve">The student technically meets both aspects of the Disability Inclusion Transition Funding eligibility criteria for their cohort from the beginning of </w:t>
      </w:r>
      <w:r w:rsidR="005F5224" w:rsidRPr="00260C1D">
        <w:rPr>
          <w:rFonts w:eastAsia="Times New Roman" w:cstheme="minorHAnsi"/>
          <w:color w:val="011A3C"/>
          <w:sz w:val="24"/>
          <w:szCs w:val="24"/>
          <w:lang w:val="en-US" w:eastAsia="en-AU"/>
        </w:rPr>
        <w:t>202</w:t>
      </w:r>
      <w:r w:rsidR="005F5224">
        <w:rPr>
          <w:rFonts w:eastAsia="Times New Roman" w:cstheme="minorHAnsi"/>
          <w:color w:val="011A3C"/>
          <w:sz w:val="24"/>
          <w:szCs w:val="24"/>
          <w:lang w:val="en-US" w:eastAsia="en-AU"/>
        </w:rPr>
        <w:t>4</w:t>
      </w:r>
      <w:r w:rsidRPr="00260C1D">
        <w:rPr>
          <w:rFonts w:eastAsia="Times New Roman" w:cstheme="minorHAnsi"/>
          <w:color w:val="011A3C"/>
          <w:sz w:val="24"/>
          <w:szCs w:val="24"/>
          <w:lang w:val="en-US" w:eastAsia="en-AU"/>
        </w:rPr>
        <w:t xml:space="preserve">. </w:t>
      </w:r>
      <w:r w:rsidR="009A4944">
        <w:rPr>
          <w:rFonts w:eastAsia="Times New Roman" w:cstheme="minorHAnsi"/>
          <w:color w:val="011A3C"/>
          <w:sz w:val="24"/>
          <w:szCs w:val="24"/>
          <w:lang w:val="en-US" w:eastAsia="en-AU"/>
        </w:rPr>
        <w:t>The PSD Level 2 funding rate is $19,</w:t>
      </w:r>
      <w:r w:rsidR="007E0F4F" w:rsidRPr="007E0F4F">
        <w:rPr>
          <w:rFonts w:eastAsia="Times New Roman" w:cstheme="minorHAnsi"/>
          <w:color w:val="011A3C"/>
          <w:sz w:val="24"/>
          <w:szCs w:val="24"/>
          <w:lang w:val="en-US" w:eastAsia="en-AU"/>
        </w:rPr>
        <w:t>863</w:t>
      </w:r>
      <w:r w:rsidR="002D60AF">
        <w:rPr>
          <w:rFonts w:eastAsia="Times New Roman" w:cstheme="minorHAnsi"/>
          <w:color w:val="011A3C"/>
          <w:sz w:val="24"/>
          <w:szCs w:val="24"/>
          <w:lang w:val="en-US" w:eastAsia="en-AU"/>
        </w:rPr>
        <w:t xml:space="preserve"> </w:t>
      </w:r>
      <w:r w:rsidR="009A4944">
        <w:rPr>
          <w:rFonts w:eastAsia="Times New Roman" w:cstheme="minorHAnsi"/>
          <w:color w:val="011A3C"/>
          <w:sz w:val="24"/>
          <w:szCs w:val="24"/>
          <w:lang w:val="en-US" w:eastAsia="en-AU"/>
        </w:rPr>
        <w:t xml:space="preserve">in </w:t>
      </w:r>
      <w:r w:rsidR="007E0F4F">
        <w:rPr>
          <w:rFonts w:eastAsia="Times New Roman" w:cstheme="minorHAnsi"/>
          <w:color w:val="011A3C"/>
          <w:sz w:val="24"/>
          <w:szCs w:val="24"/>
          <w:lang w:val="en-US" w:eastAsia="en-AU"/>
        </w:rPr>
        <w:t>2024</w:t>
      </w:r>
      <w:r w:rsidR="009A4944">
        <w:rPr>
          <w:rFonts w:eastAsia="Times New Roman" w:cstheme="minorHAnsi"/>
          <w:color w:val="011A3C"/>
          <w:sz w:val="24"/>
          <w:szCs w:val="24"/>
          <w:lang w:val="en-US" w:eastAsia="en-AU"/>
        </w:rPr>
        <w:t xml:space="preserve">. </w:t>
      </w:r>
      <w:r w:rsidRPr="00260C1D">
        <w:rPr>
          <w:rFonts w:eastAsia="Times New Roman" w:cstheme="minorHAnsi"/>
          <w:color w:val="011A3C"/>
          <w:sz w:val="24"/>
          <w:szCs w:val="24"/>
          <w:lang w:val="en-US" w:eastAsia="en-AU"/>
        </w:rPr>
        <w:t xml:space="preserve">The Secondary school is provided with a Disability Inclusion Transition Funding allocation at the PSD Level 2 rate in the </w:t>
      </w:r>
      <w:r w:rsidR="002D60AF" w:rsidRPr="00260C1D">
        <w:rPr>
          <w:rFonts w:eastAsia="Times New Roman" w:cstheme="minorHAnsi"/>
          <w:color w:val="011A3C"/>
          <w:sz w:val="24"/>
          <w:szCs w:val="24"/>
          <w:lang w:val="en-US" w:eastAsia="en-AU"/>
        </w:rPr>
        <w:t>202</w:t>
      </w:r>
      <w:r w:rsidR="002D60AF">
        <w:rPr>
          <w:rFonts w:eastAsia="Times New Roman" w:cstheme="minorHAnsi"/>
          <w:color w:val="011A3C"/>
          <w:sz w:val="24"/>
          <w:szCs w:val="24"/>
          <w:lang w:val="en-US" w:eastAsia="en-AU"/>
        </w:rPr>
        <w:t>4</w:t>
      </w:r>
      <w:r w:rsidR="002D60AF" w:rsidRPr="00260C1D">
        <w:rPr>
          <w:rFonts w:eastAsia="Times New Roman" w:cstheme="minorHAnsi"/>
          <w:color w:val="011A3C"/>
          <w:sz w:val="24"/>
          <w:szCs w:val="24"/>
          <w:lang w:val="en-US" w:eastAsia="en-AU"/>
        </w:rPr>
        <w:t xml:space="preserve"> </w:t>
      </w:r>
      <w:r w:rsidRPr="00260C1D">
        <w:rPr>
          <w:rFonts w:eastAsia="Times New Roman" w:cstheme="minorHAnsi"/>
          <w:color w:val="011A3C"/>
          <w:sz w:val="24"/>
          <w:szCs w:val="24"/>
          <w:lang w:val="en-US" w:eastAsia="en-AU"/>
        </w:rPr>
        <w:t xml:space="preserve">Confirmed SRP. The school initiates the Disability Inclusion Profile process in Term 2, </w:t>
      </w:r>
      <w:r w:rsidR="002D60AF">
        <w:rPr>
          <w:rFonts w:eastAsia="Times New Roman" w:cstheme="minorHAnsi"/>
          <w:color w:val="011A3C"/>
          <w:sz w:val="24"/>
          <w:szCs w:val="24"/>
          <w:lang w:val="en-US" w:eastAsia="en-AU"/>
        </w:rPr>
        <w:t>2024</w:t>
      </w:r>
      <w:r w:rsidRPr="00260C1D">
        <w:rPr>
          <w:rFonts w:eastAsia="Times New Roman" w:cstheme="minorHAnsi"/>
          <w:color w:val="011A3C"/>
          <w:sz w:val="24"/>
          <w:szCs w:val="24"/>
          <w:lang w:val="en-US" w:eastAsia="en-AU"/>
        </w:rPr>
        <w:t xml:space="preserve"> which is completed in early Term 3 and results in a Tier 3 allocation at a rate of $15,000. The budget update at the end of Term 3 </w:t>
      </w:r>
      <w:r w:rsidR="003027AB" w:rsidRPr="00260C1D">
        <w:rPr>
          <w:rFonts w:eastAsia="Times New Roman" w:cstheme="minorHAnsi"/>
          <w:color w:val="011A3C"/>
          <w:sz w:val="24"/>
          <w:szCs w:val="24"/>
          <w:lang w:val="en-US" w:eastAsia="en-AU"/>
        </w:rPr>
        <w:t>202</w:t>
      </w:r>
      <w:r w:rsidR="003027AB">
        <w:rPr>
          <w:rFonts w:eastAsia="Times New Roman" w:cstheme="minorHAnsi"/>
          <w:color w:val="011A3C"/>
          <w:sz w:val="24"/>
          <w:szCs w:val="24"/>
          <w:lang w:val="en-US" w:eastAsia="en-AU"/>
        </w:rPr>
        <w:t>4</w:t>
      </w:r>
      <w:r w:rsidRPr="00260C1D">
        <w:rPr>
          <w:rFonts w:eastAsia="Times New Roman" w:cstheme="minorHAnsi"/>
          <w:color w:val="011A3C"/>
          <w:sz w:val="24"/>
          <w:szCs w:val="24"/>
          <w:lang w:val="en-US" w:eastAsia="en-AU"/>
        </w:rPr>
        <w:t xml:space="preserve"> reflects the Tier 3 allocation and the Disability Inclusion Transition Funding allocation is updated to reflect the difference of $4,</w:t>
      </w:r>
      <w:r w:rsidR="00DC0630" w:rsidRPr="00DC0630">
        <w:rPr>
          <w:rFonts w:eastAsia="Times New Roman" w:cstheme="minorHAnsi"/>
          <w:color w:val="011A3C"/>
          <w:sz w:val="24"/>
          <w:szCs w:val="24"/>
          <w:lang w:val="en-US" w:eastAsia="en-AU"/>
        </w:rPr>
        <w:t>863</w:t>
      </w:r>
      <w:r w:rsidR="00DC0630">
        <w:rPr>
          <w:rFonts w:eastAsia="Times New Roman" w:cstheme="minorHAnsi"/>
          <w:color w:val="011A3C"/>
          <w:sz w:val="24"/>
          <w:szCs w:val="24"/>
          <w:lang w:val="en-US" w:eastAsia="en-AU"/>
        </w:rPr>
        <w:t xml:space="preserve"> and applies only until the end of 2024.</w:t>
      </w:r>
    </w:p>
    <w:p w14:paraId="1B51789D" w14:textId="77777777" w:rsidR="00DA517B" w:rsidRPr="00260C1D" w:rsidRDefault="00DA517B" w:rsidP="002558B6">
      <w:pPr>
        <w:spacing w:before="100" w:beforeAutospacing="1" w:after="100" w:afterAutospacing="1" w:line="288" w:lineRule="atLeast"/>
        <w:outlineLvl w:val="2"/>
        <w:rPr>
          <w:rFonts w:cstheme="minorHAnsi"/>
          <w:b/>
          <w:color w:val="011A3C"/>
          <w:sz w:val="24"/>
          <w:szCs w:val="24"/>
          <w:lang w:val="en" w:eastAsia="en-AU"/>
        </w:rPr>
      </w:pPr>
      <w:r w:rsidRPr="00260C1D">
        <w:rPr>
          <w:rFonts w:cstheme="minorHAnsi"/>
          <w:b/>
          <w:color w:val="011A3C"/>
          <w:sz w:val="24"/>
          <w:szCs w:val="24"/>
          <w:lang w:val="en" w:eastAsia="en-AU"/>
        </w:rPr>
        <w:t>Enrolment, budget and reporting information</w:t>
      </w:r>
    </w:p>
    <w:p w14:paraId="1F8CDE0D" w14:textId="53F53C23" w:rsidR="00DA517B" w:rsidRPr="00260C1D" w:rsidRDefault="00DA517B" w:rsidP="00DA517B">
      <w:pPr>
        <w:spacing w:before="100" w:beforeAutospacing="1" w:after="100" w:afterAutospacing="1" w:line="240" w:lineRule="auto"/>
        <w:rPr>
          <w:rFonts w:eastAsia="Times New Roman" w:cstheme="minorHAnsi"/>
          <w:color w:val="011A3C"/>
          <w:sz w:val="24"/>
          <w:szCs w:val="24"/>
          <w:lang w:eastAsia="en-AU"/>
        </w:rPr>
      </w:pPr>
      <w:r w:rsidRPr="00260C1D">
        <w:rPr>
          <w:rFonts w:eastAsia="Times New Roman" w:cstheme="minorHAnsi"/>
          <w:color w:val="011A3C"/>
          <w:sz w:val="24"/>
          <w:szCs w:val="24"/>
          <w:lang w:eastAsia="en-AU"/>
        </w:rPr>
        <w:t>Disability Inclusion Transition Funding allocations are made according to Disability Inclusion Profiles completed prior to budget-critical dates early in each term</w:t>
      </w:r>
      <w:r w:rsidR="00406876">
        <w:rPr>
          <w:rFonts w:eastAsia="Times New Roman" w:cstheme="minorHAnsi"/>
          <w:color w:val="011A3C"/>
          <w:sz w:val="24"/>
          <w:szCs w:val="24"/>
          <w:lang w:eastAsia="en-AU"/>
        </w:rPr>
        <w:t xml:space="preserve"> or </w:t>
      </w:r>
      <w:r w:rsidR="00396246">
        <w:rPr>
          <w:rFonts w:eastAsia="Times New Roman" w:cstheme="minorHAnsi"/>
          <w:color w:val="011A3C"/>
          <w:sz w:val="24"/>
          <w:szCs w:val="24"/>
          <w:lang w:eastAsia="en-AU"/>
        </w:rPr>
        <w:t xml:space="preserve">at </w:t>
      </w:r>
      <w:r w:rsidR="005C095A">
        <w:rPr>
          <w:rFonts w:eastAsia="Times New Roman" w:cstheme="minorHAnsi"/>
          <w:color w:val="011A3C"/>
          <w:sz w:val="24"/>
          <w:szCs w:val="24"/>
          <w:lang w:eastAsia="en-AU"/>
        </w:rPr>
        <w:t>c</w:t>
      </w:r>
      <w:r w:rsidR="00406876">
        <w:rPr>
          <w:rFonts w:eastAsia="Times New Roman" w:cstheme="minorHAnsi"/>
          <w:color w:val="011A3C"/>
          <w:sz w:val="24"/>
          <w:szCs w:val="24"/>
          <w:lang w:eastAsia="en-AU"/>
        </w:rPr>
        <w:t xml:space="preserve">onfirmed SRP for students </w:t>
      </w:r>
      <w:r w:rsidR="00396246">
        <w:rPr>
          <w:rFonts w:eastAsia="Times New Roman" w:cstheme="minorHAnsi"/>
          <w:color w:val="011A3C"/>
          <w:sz w:val="24"/>
          <w:szCs w:val="24"/>
          <w:lang w:eastAsia="en-AU"/>
        </w:rPr>
        <w:t xml:space="preserve">without a complete Profile </w:t>
      </w:r>
      <w:r w:rsidR="00406876">
        <w:rPr>
          <w:rFonts w:eastAsia="Times New Roman" w:cstheme="minorHAnsi"/>
          <w:color w:val="011A3C"/>
          <w:sz w:val="24"/>
          <w:szCs w:val="24"/>
          <w:lang w:eastAsia="en-AU"/>
        </w:rPr>
        <w:t>whose PSD funding ceased in the prior year</w:t>
      </w:r>
      <w:r w:rsidR="00EB52EC">
        <w:rPr>
          <w:rFonts w:eastAsia="Times New Roman" w:cstheme="minorHAnsi"/>
          <w:color w:val="011A3C"/>
          <w:sz w:val="24"/>
          <w:szCs w:val="24"/>
          <w:lang w:eastAsia="en-AU"/>
        </w:rPr>
        <w:t xml:space="preserve"> and who were attending a school in the rollout at this point</w:t>
      </w:r>
      <w:r w:rsidRPr="00260C1D">
        <w:rPr>
          <w:rFonts w:eastAsia="Times New Roman" w:cstheme="minorHAnsi"/>
          <w:color w:val="011A3C"/>
          <w:sz w:val="24"/>
          <w:szCs w:val="24"/>
          <w:lang w:eastAsia="en-AU"/>
        </w:rPr>
        <w:t>.</w:t>
      </w:r>
    </w:p>
    <w:p w14:paraId="7A2F6958" w14:textId="77777777" w:rsidR="00DA517B" w:rsidRPr="00260C1D" w:rsidRDefault="00DA517B" w:rsidP="00DA517B">
      <w:pPr>
        <w:spacing w:before="100" w:beforeAutospacing="1" w:after="100" w:afterAutospacing="1" w:line="240" w:lineRule="auto"/>
        <w:rPr>
          <w:rFonts w:eastAsia="Times New Roman" w:cstheme="minorHAnsi"/>
          <w:color w:val="011A3C"/>
          <w:sz w:val="24"/>
          <w:szCs w:val="24"/>
          <w:lang w:eastAsia="en-AU"/>
        </w:rPr>
      </w:pPr>
      <w:r w:rsidRPr="00260C1D">
        <w:rPr>
          <w:rFonts w:eastAsia="Times New Roman" w:cstheme="minorHAnsi"/>
          <w:color w:val="011A3C"/>
          <w:sz w:val="24"/>
          <w:szCs w:val="24"/>
          <w:lang w:eastAsia="en-AU"/>
        </w:rPr>
        <w:t xml:space="preserve">Where enrolment details are not correct in CASES21 prior to budget critical dates each term, Disability Inclusion Transition Funding cannot be guaranteed. Enrolment details for new or current students must be promptly reflected in CASES21. </w:t>
      </w:r>
    </w:p>
    <w:p w14:paraId="07E93FE5" w14:textId="77777777" w:rsidR="00DA517B" w:rsidRPr="00260C1D" w:rsidRDefault="00DA517B" w:rsidP="00DA517B">
      <w:pPr>
        <w:spacing w:before="100" w:beforeAutospacing="1" w:after="100" w:afterAutospacing="1" w:line="240" w:lineRule="auto"/>
        <w:rPr>
          <w:rFonts w:eastAsia="Times New Roman" w:cstheme="minorHAnsi"/>
          <w:color w:val="011A3C"/>
          <w:sz w:val="24"/>
          <w:szCs w:val="24"/>
          <w:lang w:eastAsia="en-AU"/>
        </w:rPr>
      </w:pPr>
      <w:r w:rsidRPr="00260C1D">
        <w:rPr>
          <w:rFonts w:eastAsia="Times New Roman" w:cstheme="minorHAnsi"/>
          <w:color w:val="011A3C"/>
          <w:sz w:val="24"/>
          <w:szCs w:val="24"/>
          <w:lang w:eastAsia="en-AU"/>
        </w:rPr>
        <w:t>Where a student transfers during the school year, resources remaining for the year will be adjusted and made available to the new school from the commencement of the next school term. The SRP is revised at the end of each term to capture these changes.</w:t>
      </w:r>
    </w:p>
    <w:p w14:paraId="1A44EF76" w14:textId="04B3A11E" w:rsidR="00DA517B" w:rsidRPr="00260C1D" w:rsidRDefault="00DA517B" w:rsidP="00DA517B">
      <w:pPr>
        <w:spacing w:before="100" w:beforeAutospacing="1" w:after="100" w:afterAutospacing="1" w:line="240" w:lineRule="auto"/>
        <w:rPr>
          <w:rFonts w:eastAsia="Times New Roman" w:cstheme="minorHAnsi"/>
          <w:color w:val="011A3C"/>
          <w:sz w:val="24"/>
          <w:szCs w:val="24"/>
          <w:lang w:eastAsia="en-AU"/>
        </w:rPr>
      </w:pPr>
      <w:r w:rsidRPr="00260C1D">
        <w:rPr>
          <w:rFonts w:eastAsia="Times New Roman" w:cstheme="minorHAnsi"/>
          <w:color w:val="011A3C"/>
          <w:sz w:val="24"/>
          <w:szCs w:val="24"/>
          <w:lang w:eastAsia="en-AU"/>
        </w:rPr>
        <w:t>Schools should make local arrangements to transfer resources for enrolment changes occurring during term</w:t>
      </w:r>
      <w:r w:rsidR="00E615BF">
        <w:rPr>
          <w:rFonts w:eastAsia="Times New Roman" w:cstheme="minorHAnsi"/>
          <w:color w:val="011A3C"/>
          <w:sz w:val="24"/>
          <w:szCs w:val="24"/>
          <w:lang w:eastAsia="en-AU"/>
        </w:rPr>
        <w:t>s</w:t>
      </w:r>
      <w:r w:rsidRPr="00260C1D">
        <w:rPr>
          <w:rFonts w:eastAsia="Times New Roman" w:cstheme="minorHAnsi"/>
          <w:color w:val="011A3C"/>
          <w:sz w:val="24"/>
          <w:szCs w:val="24"/>
          <w:lang w:eastAsia="en-AU"/>
        </w:rPr>
        <w:t>.</w:t>
      </w:r>
    </w:p>
    <w:p w14:paraId="61A34F57" w14:textId="51AF88AF" w:rsidR="00DA517B" w:rsidRPr="00260C1D" w:rsidRDefault="00DA517B" w:rsidP="00DA517B">
      <w:pPr>
        <w:spacing w:before="100" w:beforeAutospacing="1" w:after="100" w:afterAutospacing="1" w:line="240" w:lineRule="auto"/>
        <w:rPr>
          <w:rFonts w:eastAsia="Times New Roman" w:cstheme="minorHAnsi"/>
          <w:color w:val="011A3C"/>
          <w:sz w:val="24"/>
          <w:szCs w:val="24"/>
          <w:lang w:eastAsia="en-AU"/>
        </w:rPr>
      </w:pPr>
      <w:r w:rsidRPr="00260C1D">
        <w:rPr>
          <w:rFonts w:eastAsia="Times New Roman" w:cstheme="minorHAnsi"/>
          <w:color w:val="011A3C"/>
          <w:sz w:val="24"/>
          <w:szCs w:val="24"/>
          <w:lang w:eastAsia="en-AU"/>
        </w:rPr>
        <w:lastRenderedPageBreak/>
        <w:t xml:space="preserve">Where agreement has been reached that a student is enrolled and attends two schools, the allocation will be provided on a pro-rata basis </w:t>
      </w:r>
      <w:r w:rsidR="00CC7C14">
        <w:rPr>
          <w:rFonts w:eastAsia="Times New Roman" w:cstheme="minorHAnsi"/>
          <w:color w:val="011A3C"/>
          <w:sz w:val="24"/>
          <w:szCs w:val="24"/>
          <w:lang w:eastAsia="en-AU"/>
        </w:rPr>
        <w:t xml:space="preserve">that is </w:t>
      </w:r>
      <w:r w:rsidRPr="00260C1D">
        <w:rPr>
          <w:rFonts w:eastAsia="Times New Roman" w:cstheme="minorHAnsi"/>
          <w:color w:val="011A3C"/>
          <w:sz w:val="24"/>
          <w:szCs w:val="24"/>
          <w:lang w:eastAsia="en-AU"/>
        </w:rPr>
        <w:t>consistent with the enrolment details contained in CASES21.</w:t>
      </w:r>
    </w:p>
    <w:p w14:paraId="5127B5C4" w14:textId="7E6006DC" w:rsidR="00DA517B" w:rsidRPr="00260C1D" w:rsidRDefault="00DA517B" w:rsidP="00DA517B">
      <w:pPr>
        <w:spacing w:before="100" w:beforeAutospacing="1" w:after="100" w:afterAutospacing="1" w:line="240" w:lineRule="auto"/>
        <w:rPr>
          <w:rFonts w:eastAsia="Times New Roman" w:cstheme="minorHAnsi"/>
          <w:color w:val="011A3C"/>
          <w:sz w:val="24"/>
          <w:szCs w:val="24"/>
          <w:lang w:eastAsia="en-AU"/>
        </w:rPr>
      </w:pPr>
      <w:r w:rsidRPr="00260C1D">
        <w:rPr>
          <w:rFonts w:eastAsia="Times New Roman" w:cstheme="minorHAnsi"/>
          <w:color w:val="011A3C"/>
          <w:sz w:val="24"/>
          <w:szCs w:val="24"/>
          <w:lang w:eastAsia="en-AU"/>
        </w:rPr>
        <w:t>Schools are provided with School Resource Notifications</w:t>
      </w:r>
      <w:r w:rsidR="00CC7C14">
        <w:rPr>
          <w:rFonts w:eastAsia="Times New Roman" w:cstheme="minorHAnsi"/>
          <w:color w:val="011A3C"/>
          <w:sz w:val="24"/>
          <w:szCs w:val="24"/>
          <w:lang w:eastAsia="en-AU"/>
        </w:rPr>
        <w:t xml:space="preserve"> that</w:t>
      </w:r>
      <w:r w:rsidRPr="00260C1D">
        <w:rPr>
          <w:rFonts w:eastAsia="Times New Roman" w:cstheme="minorHAnsi"/>
          <w:color w:val="011A3C"/>
          <w:sz w:val="24"/>
          <w:szCs w:val="24"/>
          <w:lang w:eastAsia="en-AU"/>
        </w:rPr>
        <w:t xml:space="preserve"> provid</w:t>
      </w:r>
      <w:r w:rsidR="00CC7C14">
        <w:rPr>
          <w:rFonts w:eastAsia="Times New Roman" w:cstheme="minorHAnsi"/>
          <w:color w:val="011A3C"/>
          <w:sz w:val="24"/>
          <w:szCs w:val="24"/>
          <w:lang w:eastAsia="en-AU"/>
        </w:rPr>
        <w:t>e</w:t>
      </w:r>
      <w:r w:rsidRPr="00260C1D">
        <w:rPr>
          <w:rFonts w:eastAsia="Times New Roman" w:cstheme="minorHAnsi"/>
          <w:color w:val="011A3C"/>
          <w:sz w:val="24"/>
          <w:szCs w:val="24"/>
          <w:lang w:eastAsia="en-AU"/>
        </w:rPr>
        <w:t xml:space="preserve"> an indication of a student’s annual funding rate at </w:t>
      </w:r>
      <w:r w:rsidR="00CC7C14">
        <w:rPr>
          <w:rFonts w:eastAsia="Times New Roman" w:cstheme="minorHAnsi"/>
          <w:color w:val="011A3C"/>
          <w:sz w:val="24"/>
          <w:szCs w:val="24"/>
          <w:lang w:eastAsia="en-AU"/>
        </w:rPr>
        <w:t xml:space="preserve">the </w:t>
      </w:r>
      <w:r w:rsidRPr="00260C1D">
        <w:rPr>
          <w:rFonts w:eastAsia="Times New Roman" w:cstheme="minorHAnsi"/>
          <w:color w:val="011A3C"/>
          <w:sz w:val="24"/>
          <w:szCs w:val="24"/>
          <w:lang w:eastAsia="en-AU"/>
        </w:rPr>
        <w:t>finalisation of their Disability Inclusion Profile. Disability Inclusion Transition Funding information will be provided in the School Resource Notification where applicable.</w:t>
      </w:r>
    </w:p>
    <w:p w14:paraId="7B74EF06" w14:textId="177E1812" w:rsidR="00DA517B" w:rsidRPr="00260C1D" w:rsidRDefault="00DA517B" w:rsidP="00DA517B">
      <w:pPr>
        <w:spacing w:before="100" w:beforeAutospacing="1" w:after="100" w:afterAutospacing="1" w:line="240" w:lineRule="auto"/>
        <w:rPr>
          <w:rFonts w:eastAsia="Times New Roman" w:cstheme="minorHAnsi"/>
          <w:color w:val="011A3C"/>
          <w:sz w:val="24"/>
          <w:szCs w:val="24"/>
          <w:lang w:eastAsia="en-AU"/>
        </w:rPr>
      </w:pPr>
      <w:r w:rsidRPr="00260C1D">
        <w:rPr>
          <w:rFonts w:eastAsia="Times New Roman" w:cstheme="minorHAnsi"/>
          <w:color w:val="011A3C"/>
          <w:sz w:val="24"/>
          <w:szCs w:val="24"/>
          <w:lang w:eastAsia="en-AU"/>
        </w:rPr>
        <w:t>Accurate allocation information is provided to schools through termly Disability Inclusion Tier 3 and Disability Inclusion Transition Funding allocation reports. Allocation detail</w:t>
      </w:r>
      <w:r w:rsidR="00511A3F">
        <w:rPr>
          <w:rFonts w:eastAsia="Times New Roman" w:cstheme="minorHAnsi"/>
          <w:color w:val="011A3C"/>
          <w:sz w:val="24"/>
          <w:szCs w:val="24"/>
          <w:lang w:eastAsia="en-AU"/>
        </w:rPr>
        <w:t>s</w:t>
      </w:r>
      <w:r w:rsidRPr="00260C1D">
        <w:rPr>
          <w:rFonts w:eastAsia="Times New Roman" w:cstheme="minorHAnsi"/>
          <w:color w:val="011A3C"/>
          <w:sz w:val="24"/>
          <w:szCs w:val="24"/>
          <w:lang w:eastAsia="en-AU"/>
        </w:rPr>
        <w:t xml:space="preserve"> in these reports should be reviewed against School Resource Notifications and students’ CASES</w:t>
      </w:r>
      <w:r w:rsidR="00511A3F">
        <w:rPr>
          <w:rFonts w:eastAsia="Times New Roman" w:cstheme="minorHAnsi"/>
          <w:color w:val="011A3C"/>
          <w:sz w:val="24"/>
          <w:szCs w:val="24"/>
          <w:lang w:eastAsia="en-AU"/>
        </w:rPr>
        <w:t>21</w:t>
      </w:r>
      <w:r w:rsidRPr="00260C1D">
        <w:rPr>
          <w:rFonts w:eastAsia="Times New Roman" w:cstheme="minorHAnsi"/>
          <w:color w:val="011A3C"/>
          <w:sz w:val="24"/>
          <w:szCs w:val="24"/>
          <w:lang w:eastAsia="en-AU"/>
        </w:rPr>
        <w:t xml:space="preserve"> enrolment information</w:t>
      </w:r>
      <w:r w:rsidR="00511A3F">
        <w:rPr>
          <w:rFonts w:eastAsia="Times New Roman" w:cstheme="minorHAnsi"/>
          <w:color w:val="011A3C"/>
          <w:sz w:val="24"/>
          <w:szCs w:val="24"/>
          <w:lang w:eastAsia="en-AU"/>
        </w:rPr>
        <w:t>.</w:t>
      </w:r>
      <w:r w:rsidRPr="00260C1D">
        <w:rPr>
          <w:rFonts w:eastAsia="Times New Roman" w:cstheme="minorHAnsi"/>
          <w:color w:val="011A3C"/>
          <w:sz w:val="24"/>
          <w:szCs w:val="24"/>
          <w:lang w:eastAsia="en-AU"/>
        </w:rPr>
        <w:t xml:space="preserve"> </w:t>
      </w:r>
      <w:r w:rsidR="00511A3F">
        <w:rPr>
          <w:rFonts w:eastAsia="Times New Roman" w:cstheme="minorHAnsi"/>
          <w:color w:val="011A3C"/>
          <w:sz w:val="24"/>
          <w:szCs w:val="24"/>
          <w:lang w:eastAsia="en-AU"/>
        </w:rPr>
        <w:t>A</w:t>
      </w:r>
      <w:r w:rsidRPr="00260C1D">
        <w:rPr>
          <w:rFonts w:eastAsia="Times New Roman" w:cstheme="minorHAnsi"/>
          <w:color w:val="011A3C"/>
          <w:sz w:val="24"/>
          <w:szCs w:val="24"/>
          <w:lang w:eastAsia="en-AU"/>
        </w:rPr>
        <w:t xml:space="preserve">ny queries </w:t>
      </w:r>
      <w:r w:rsidR="00511A3F">
        <w:rPr>
          <w:rFonts w:eastAsia="Times New Roman" w:cstheme="minorHAnsi"/>
          <w:color w:val="011A3C"/>
          <w:sz w:val="24"/>
          <w:szCs w:val="24"/>
          <w:lang w:eastAsia="en-AU"/>
        </w:rPr>
        <w:t xml:space="preserve">can be </w:t>
      </w:r>
      <w:r w:rsidRPr="00260C1D">
        <w:rPr>
          <w:rFonts w:eastAsia="Times New Roman" w:cstheme="minorHAnsi"/>
          <w:color w:val="011A3C"/>
          <w:sz w:val="24"/>
          <w:szCs w:val="24"/>
          <w:lang w:eastAsia="en-AU"/>
        </w:rPr>
        <w:t xml:space="preserve">raised through an email to the </w:t>
      </w:r>
      <w:hyperlink r:id="rId89" w:history="1">
        <w:r w:rsidRPr="00260C1D">
          <w:rPr>
            <w:rStyle w:val="Hyperlink"/>
            <w:rFonts w:cstheme="minorHAnsi"/>
            <w:sz w:val="24"/>
            <w:szCs w:val="24"/>
          </w:rPr>
          <w:t>Disability Inclusion Outcomes mailbox</w:t>
        </w:r>
      </w:hyperlink>
      <w:r w:rsidRPr="00260C1D">
        <w:rPr>
          <w:rFonts w:eastAsia="Times New Roman" w:cstheme="minorHAnsi"/>
          <w:color w:val="011A3C"/>
          <w:sz w:val="24"/>
          <w:szCs w:val="24"/>
          <w:lang w:eastAsia="en-AU"/>
        </w:rPr>
        <w:t>. Reconciliation requests can be logged via the DET Service Gateway and will only be considered on a one-term basis. Requests for budget adjustments cannot be considered beyond the previous term.</w:t>
      </w:r>
    </w:p>
    <w:p w14:paraId="724D256D" w14:textId="4D8070D2" w:rsidR="007B0EF6" w:rsidRPr="00260C1D" w:rsidRDefault="007B0EF6" w:rsidP="00C16001">
      <w:pPr>
        <w:spacing w:before="100" w:beforeAutospacing="1" w:after="100" w:afterAutospacing="1" w:line="360" w:lineRule="atLeast"/>
        <w:rPr>
          <w:rFonts w:eastAsia="Segoe UI" w:cstheme="minorHAnsi"/>
          <w:color w:val="011A3C"/>
          <w:sz w:val="24"/>
          <w:szCs w:val="24"/>
          <w:lang w:eastAsia="en-AU"/>
        </w:rPr>
      </w:pPr>
      <w:r w:rsidRPr="00260C1D">
        <w:rPr>
          <w:rFonts w:cstheme="minorHAnsi"/>
        </w:rPr>
        <w:br w:type="page"/>
      </w:r>
    </w:p>
    <w:p w14:paraId="71655CB5" w14:textId="77F0D10D" w:rsidR="00ED4312" w:rsidRPr="00260C1D" w:rsidRDefault="00ED4312" w:rsidP="003D144A">
      <w:pPr>
        <w:pStyle w:val="Heading1"/>
      </w:pPr>
      <w:bookmarkStart w:id="110" w:name="_Toc141965253"/>
      <w:bookmarkStart w:id="111" w:name="_Toc145339583"/>
      <w:bookmarkStart w:id="112" w:name="_Toc153791906"/>
      <w:r w:rsidRPr="00260C1D">
        <w:lastRenderedPageBreak/>
        <w:t>School Infrastructure</w:t>
      </w:r>
      <w:bookmarkEnd w:id="110"/>
      <w:bookmarkEnd w:id="111"/>
      <w:bookmarkEnd w:id="112"/>
      <w:r w:rsidRPr="00260C1D">
        <w:t xml:space="preserve"> </w:t>
      </w:r>
    </w:p>
    <w:p w14:paraId="19C0FD4F" w14:textId="77777777" w:rsidR="00ED4312" w:rsidRPr="00260C1D" w:rsidRDefault="00ED4312" w:rsidP="004D307F">
      <w:pPr>
        <w:spacing w:before="100" w:beforeAutospacing="1" w:after="100" w:afterAutospacing="1" w:line="312" w:lineRule="atLeast"/>
        <w:outlineLvl w:val="1"/>
        <w:rPr>
          <w:rFonts w:eastAsia="Segoe UI" w:cstheme="minorHAnsi"/>
          <w:b/>
          <w:sz w:val="36"/>
          <w:szCs w:val="36"/>
          <w:lang w:val="en"/>
        </w:rPr>
      </w:pPr>
      <w:r w:rsidRPr="00260C1D">
        <w:rPr>
          <w:rFonts w:eastAsia="Segoe UI" w:cstheme="minorHAnsi"/>
          <w:sz w:val="36"/>
          <w:szCs w:val="36"/>
          <w:lang w:val="en" w:eastAsia="en-AU"/>
        </w:rPr>
        <w:t>Policy</w:t>
      </w:r>
    </w:p>
    <w:p w14:paraId="1BC26F35" w14:textId="372A5B5D" w:rsidR="00ED4312" w:rsidRPr="00260C1D" w:rsidRDefault="00ED4312" w:rsidP="00ED4312">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 xml:space="preserve">This policy provides information about how funding is allocated to schools through the Student Resource Package </w:t>
      </w:r>
      <w:r w:rsidR="00010EF6">
        <w:rPr>
          <w:rFonts w:asciiTheme="minorHAnsi" w:hAnsiTheme="minorHAnsi" w:cstheme="minorHAnsi"/>
          <w:color w:val="011A3C"/>
          <w:lang w:val="en"/>
        </w:rPr>
        <w:t xml:space="preserve">(SRP) </w:t>
      </w:r>
      <w:r w:rsidRPr="00260C1D">
        <w:rPr>
          <w:rFonts w:asciiTheme="minorHAnsi" w:hAnsiTheme="minorHAnsi" w:cstheme="minorHAnsi"/>
          <w:color w:val="011A3C"/>
          <w:lang w:val="en"/>
        </w:rPr>
        <w:t>for school infrastructure.</w:t>
      </w:r>
    </w:p>
    <w:p w14:paraId="0D30FDE1" w14:textId="77777777" w:rsidR="00ED4312" w:rsidRPr="00260C1D" w:rsidRDefault="00ED4312" w:rsidP="004D307F">
      <w:pPr>
        <w:spacing w:before="100" w:beforeAutospacing="1" w:after="100" w:afterAutospacing="1" w:line="312" w:lineRule="atLeast"/>
        <w:outlineLvl w:val="1"/>
        <w:rPr>
          <w:rFonts w:eastAsia="Segoe UI" w:cstheme="minorHAnsi"/>
          <w:sz w:val="36"/>
          <w:szCs w:val="36"/>
          <w:lang w:val="en"/>
        </w:rPr>
      </w:pPr>
      <w:r w:rsidRPr="00260C1D">
        <w:rPr>
          <w:rFonts w:eastAsia="Segoe UI" w:cstheme="minorHAnsi"/>
          <w:sz w:val="36"/>
          <w:szCs w:val="36"/>
          <w:lang w:val="en" w:eastAsia="en-AU"/>
        </w:rPr>
        <w:t>Details</w:t>
      </w:r>
    </w:p>
    <w:p w14:paraId="2B884801" w14:textId="5B6E255B" w:rsidR="00ED4312" w:rsidRPr="00260C1D" w:rsidRDefault="00ED4312" w:rsidP="00ED4312">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‘School</w:t>
      </w:r>
      <w:r w:rsidR="00010EF6">
        <w:rPr>
          <w:rFonts w:asciiTheme="minorHAnsi" w:hAnsiTheme="minorHAnsi" w:cstheme="minorHAnsi"/>
          <w:color w:val="011A3C"/>
          <w:lang w:val="en"/>
        </w:rPr>
        <w:t>-</w:t>
      </w:r>
      <w:r w:rsidRPr="00260C1D">
        <w:rPr>
          <w:rFonts w:asciiTheme="minorHAnsi" w:hAnsiTheme="minorHAnsi" w:cstheme="minorHAnsi"/>
          <w:color w:val="011A3C"/>
          <w:lang w:val="en"/>
        </w:rPr>
        <w:t xml:space="preserve">based funding’ is one of three categories of funding provided for by the Student Resource Package (SRP). Funding for ‘school infrastructure’ is one type of school-based funding provided to schools. The other type of </w:t>
      </w:r>
      <w:r w:rsidR="00AF025A" w:rsidRPr="00260C1D">
        <w:rPr>
          <w:rFonts w:asciiTheme="minorHAnsi" w:hAnsiTheme="minorHAnsi" w:cstheme="minorHAnsi"/>
          <w:color w:val="011A3C"/>
          <w:lang w:val="en"/>
        </w:rPr>
        <w:t>school-based</w:t>
      </w:r>
      <w:r w:rsidRPr="00260C1D">
        <w:rPr>
          <w:rFonts w:asciiTheme="minorHAnsi" w:hAnsiTheme="minorHAnsi" w:cstheme="minorHAnsi"/>
          <w:color w:val="011A3C"/>
          <w:lang w:val="en"/>
        </w:rPr>
        <w:t xml:space="preserve"> funding is funding for School Specific Programs.</w:t>
      </w:r>
    </w:p>
    <w:p w14:paraId="263F08BC" w14:textId="1087F21C" w:rsidR="00ED4312" w:rsidRPr="00260C1D" w:rsidRDefault="00ED4312" w:rsidP="00ED4312">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 xml:space="preserve">The school infrastructure component provides funding for school facilities and programs specific to individual schools. The </w:t>
      </w:r>
      <w:r w:rsidR="009C379F" w:rsidRPr="00260C1D">
        <w:rPr>
          <w:rFonts w:asciiTheme="minorHAnsi" w:hAnsiTheme="minorHAnsi" w:cstheme="minorHAnsi"/>
          <w:color w:val="011A3C"/>
          <w:lang w:val="en"/>
        </w:rPr>
        <w:t xml:space="preserve">infrastructure </w:t>
      </w:r>
      <w:r w:rsidR="00D97AC3" w:rsidRPr="00260C1D">
        <w:rPr>
          <w:rFonts w:asciiTheme="minorHAnsi" w:hAnsiTheme="minorHAnsi" w:cstheme="minorHAnsi"/>
          <w:color w:val="011A3C"/>
          <w:lang w:val="en"/>
        </w:rPr>
        <w:t>section provides</w:t>
      </w:r>
      <w:r w:rsidRPr="00260C1D">
        <w:rPr>
          <w:rFonts w:asciiTheme="minorHAnsi" w:hAnsiTheme="minorHAnsi" w:cstheme="minorHAnsi"/>
          <w:color w:val="011A3C"/>
          <w:lang w:val="en"/>
        </w:rPr>
        <w:t xml:space="preserve"> information about the following specific types of infrastructure funding:</w:t>
      </w:r>
    </w:p>
    <w:p w14:paraId="5B3EDAE1" w14:textId="77777777" w:rsidR="00ED4312" w:rsidRPr="00614B09" w:rsidRDefault="00ED4312" w:rsidP="00F56244">
      <w:pPr>
        <w:pStyle w:val="ListParagraph"/>
        <w:numPr>
          <w:ilvl w:val="0"/>
          <w:numId w:val="87"/>
        </w:numPr>
        <w:spacing w:before="100" w:beforeAutospacing="1" w:after="100" w:afterAutospacing="1" w:line="360" w:lineRule="atLeast"/>
        <w:rPr>
          <w:rFonts w:cstheme="minorHAnsi"/>
          <w:color w:val="011A3C"/>
          <w:sz w:val="24"/>
          <w:szCs w:val="24"/>
          <w:lang w:val="en"/>
        </w:rPr>
      </w:pPr>
      <w:r w:rsidRPr="00614B09">
        <w:rPr>
          <w:rFonts w:cstheme="minorHAnsi"/>
          <w:color w:val="011A3C"/>
          <w:sz w:val="24"/>
          <w:szCs w:val="24"/>
          <w:lang w:val="en"/>
        </w:rPr>
        <w:t>Contract cleaning</w:t>
      </w:r>
    </w:p>
    <w:p w14:paraId="155FC7A0" w14:textId="77777777" w:rsidR="00ED4312" w:rsidRPr="00614B09" w:rsidRDefault="00ED4312" w:rsidP="00F56244">
      <w:pPr>
        <w:pStyle w:val="ListParagraph"/>
        <w:numPr>
          <w:ilvl w:val="0"/>
          <w:numId w:val="87"/>
        </w:numPr>
        <w:spacing w:before="100" w:beforeAutospacing="1" w:after="100" w:afterAutospacing="1" w:line="360" w:lineRule="atLeast"/>
        <w:rPr>
          <w:rFonts w:cstheme="minorHAnsi"/>
          <w:color w:val="011A3C"/>
          <w:sz w:val="24"/>
          <w:szCs w:val="24"/>
          <w:lang w:val="en"/>
        </w:rPr>
      </w:pPr>
      <w:r w:rsidRPr="00614B09">
        <w:rPr>
          <w:rFonts w:cstheme="minorHAnsi"/>
          <w:color w:val="011A3C"/>
          <w:sz w:val="24"/>
          <w:szCs w:val="24"/>
          <w:lang w:val="en"/>
        </w:rPr>
        <w:t>Cross infection prevention allowance</w:t>
      </w:r>
    </w:p>
    <w:p w14:paraId="167A0F75" w14:textId="77777777" w:rsidR="00ED4312" w:rsidRPr="00614B09" w:rsidRDefault="00ED4312" w:rsidP="00F56244">
      <w:pPr>
        <w:pStyle w:val="ListParagraph"/>
        <w:numPr>
          <w:ilvl w:val="0"/>
          <w:numId w:val="87"/>
        </w:numPr>
        <w:spacing w:before="100" w:beforeAutospacing="1" w:after="100" w:afterAutospacing="1" w:line="360" w:lineRule="atLeast"/>
        <w:rPr>
          <w:rFonts w:cstheme="minorHAnsi"/>
          <w:color w:val="011A3C"/>
          <w:sz w:val="24"/>
          <w:szCs w:val="24"/>
          <w:lang w:val="en"/>
        </w:rPr>
      </w:pPr>
      <w:r w:rsidRPr="00614B09">
        <w:rPr>
          <w:rFonts w:cstheme="minorHAnsi"/>
          <w:color w:val="011A3C"/>
          <w:sz w:val="24"/>
          <w:szCs w:val="24"/>
          <w:lang w:val="en"/>
        </w:rPr>
        <w:t>Cleaning minimum allowance</w:t>
      </w:r>
    </w:p>
    <w:p w14:paraId="63AFB62C" w14:textId="77777777" w:rsidR="00ED4312" w:rsidRPr="00614B09" w:rsidRDefault="00ED4312" w:rsidP="00F56244">
      <w:pPr>
        <w:pStyle w:val="ListParagraph"/>
        <w:numPr>
          <w:ilvl w:val="0"/>
          <w:numId w:val="87"/>
        </w:numPr>
        <w:spacing w:before="100" w:beforeAutospacing="1" w:after="100" w:afterAutospacing="1" w:line="360" w:lineRule="atLeast"/>
        <w:rPr>
          <w:rFonts w:cstheme="minorHAnsi"/>
          <w:color w:val="011A3C"/>
          <w:sz w:val="24"/>
          <w:szCs w:val="24"/>
          <w:lang w:val="en"/>
        </w:rPr>
      </w:pPr>
      <w:r w:rsidRPr="00614B09">
        <w:rPr>
          <w:rFonts w:cstheme="minorHAnsi"/>
          <w:color w:val="011A3C"/>
          <w:sz w:val="24"/>
          <w:szCs w:val="24"/>
          <w:lang w:val="en"/>
        </w:rPr>
        <w:t>Grounds allowance</w:t>
      </w:r>
    </w:p>
    <w:p w14:paraId="66EC9870" w14:textId="77777777" w:rsidR="00ED4312" w:rsidRPr="00614B09" w:rsidRDefault="00ED4312" w:rsidP="00F56244">
      <w:pPr>
        <w:pStyle w:val="ListParagraph"/>
        <w:numPr>
          <w:ilvl w:val="0"/>
          <w:numId w:val="87"/>
        </w:numPr>
        <w:spacing w:before="100" w:beforeAutospacing="1" w:after="100" w:afterAutospacing="1" w:line="360" w:lineRule="atLeast"/>
        <w:rPr>
          <w:rFonts w:cstheme="minorHAnsi"/>
          <w:color w:val="011A3C"/>
          <w:sz w:val="24"/>
          <w:szCs w:val="24"/>
          <w:lang w:val="en"/>
        </w:rPr>
      </w:pPr>
      <w:r w:rsidRPr="00614B09">
        <w:rPr>
          <w:rFonts w:cstheme="minorHAnsi"/>
          <w:color w:val="011A3C"/>
          <w:sz w:val="24"/>
          <w:szCs w:val="24"/>
          <w:lang w:val="en"/>
        </w:rPr>
        <w:t>Building area allowance</w:t>
      </w:r>
    </w:p>
    <w:p w14:paraId="1DA0F474" w14:textId="77777777" w:rsidR="00ED4312" w:rsidRPr="00614B09" w:rsidRDefault="00ED4312" w:rsidP="00F56244">
      <w:pPr>
        <w:pStyle w:val="ListParagraph"/>
        <w:numPr>
          <w:ilvl w:val="0"/>
          <w:numId w:val="87"/>
        </w:numPr>
        <w:spacing w:before="100" w:beforeAutospacing="1" w:after="100" w:afterAutospacing="1" w:line="360" w:lineRule="atLeast"/>
        <w:rPr>
          <w:rFonts w:cstheme="minorHAnsi"/>
          <w:color w:val="011A3C"/>
          <w:sz w:val="24"/>
          <w:szCs w:val="24"/>
          <w:lang w:val="en"/>
        </w:rPr>
      </w:pPr>
      <w:r w:rsidRPr="00614B09">
        <w:rPr>
          <w:rFonts w:cstheme="minorHAnsi"/>
          <w:color w:val="011A3C"/>
          <w:sz w:val="24"/>
          <w:szCs w:val="24"/>
          <w:lang w:val="en"/>
        </w:rPr>
        <w:t>Split-site/Multi-site allowance</w:t>
      </w:r>
    </w:p>
    <w:p w14:paraId="42CED1F8" w14:textId="77777777" w:rsidR="00ED4312" w:rsidRPr="00614B09" w:rsidRDefault="00ED4312" w:rsidP="00F56244">
      <w:pPr>
        <w:pStyle w:val="ListParagraph"/>
        <w:numPr>
          <w:ilvl w:val="0"/>
          <w:numId w:val="87"/>
        </w:numPr>
        <w:spacing w:before="100" w:beforeAutospacing="1" w:after="100" w:afterAutospacing="1" w:line="360" w:lineRule="atLeast"/>
        <w:rPr>
          <w:rFonts w:cstheme="minorHAnsi"/>
          <w:color w:val="011A3C"/>
          <w:sz w:val="24"/>
          <w:szCs w:val="24"/>
          <w:lang w:val="en"/>
        </w:rPr>
      </w:pPr>
      <w:r w:rsidRPr="00614B09">
        <w:rPr>
          <w:rFonts w:cstheme="minorHAnsi"/>
          <w:color w:val="011A3C"/>
          <w:sz w:val="24"/>
          <w:szCs w:val="24"/>
          <w:lang w:val="en"/>
        </w:rPr>
        <w:t>Utilities</w:t>
      </w:r>
    </w:p>
    <w:p w14:paraId="1359EA0B" w14:textId="635C42E8" w:rsidR="00ED4312" w:rsidRPr="00614B09" w:rsidRDefault="00ED4312" w:rsidP="00F56244">
      <w:pPr>
        <w:pStyle w:val="ListParagraph"/>
        <w:numPr>
          <w:ilvl w:val="0"/>
          <w:numId w:val="87"/>
        </w:numPr>
        <w:spacing w:before="100" w:beforeAutospacing="1" w:after="100" w:afterAutospacing="1" w:line="360" w:lineRule="atLeast"/>
        <w:rPr>
          <w:rFonts w:cstheme="minorHAnsi"/>
          <w:color w:val="011A3C"/>
          <w:sz w:val="24"/>
          <w:szCs w:val="24"/>
          <w:lang w:val="en"/>
        </w:rPr>
      </w:pPr>
      <w:r w:rsidRPr="00614B09">
        <w:rPr>
          <w:rFonts w:cstheme="minorHAnsi"/>
          <w:color w:val="011A3C"/>
          <w:sz w:val="24"/>
          <w:szCs w:val="24"/>
          <w:lang w:val="en"/>
        </w:rPr>
        <w:t>Maintenance</w:t>
      </w:r>
      <w:r w:rsidR="00610CD9">
        <w:rPr>
          <w:rFonts w:cstheme="minorHAnsi"/>
          <w:color w:val="011A3C"/>
          <w:sz w:val="24"/>
          <w:szCs w:val="24"/>
          <w:lang w:val="en"/>
        </w:rPr>
        <w:t xml:space="preserve"> and </w:t>
      </w:r>
      <w:r w:rsidR="003A19D4">
        <w:rPr>
          <w:rFonts w:cstheme="minorHAnsi"/>
          <w:color w:val="011A3C"/>
          <w:sz w:val="24"/>
          <w:szCs w:val="24"/>
          <w:lang w:val="en"/>
        </w:rPr>
        <w:t>M</w:t>
      </w:r>
      <w:r w:rsidR="00610CD9">
        <w:rPr>
          <w:rFonts w:cstheme="minorHAnsi"/>
          <w:color w:val="011A3C"/>
          <w:sz w:val="24"/>
          <w:szCs w:val="24"/>
          <w:lang w:val="en"/>
        </w:rPr>
        <w:t xml:space="preserve">inor </w:t>
      </w:r>
      <w:r w:rsidR="003A19D4">
        <w:rPr>
          <w:rFonts w:cstheme="minorHAnsi"/>
          <w:color w:val="011A3C"/>
          <w:sz w:val="24"/>
          <w:szCs w:val="24"/>
          <w:lang w:val="en"/>
        </w:rPr>
        <w:t>W</w:t>
      </w:r>
      <w:r w:rsidR="00610CD9">
        <w:rPr>
          <w:rFonts w:cstheme="minorHAnsi"/>
          <w:color w:val="011A3C"/>
          <w:sz w:val="24"/>
          <w:szCs w:val="24"/>
          <w:lang w:val="en"/>
        </w:rPr>
        <w:t>orks</w:t>
      </w:r>
    </w:p>
    <w:p w14:paraId="7B745E64" w14:textId="6F205F36" w:rsidR="00ED4312" w:rsidRPr="00614B09" w:rsidRDefault="00ED4312" w:rsidP="00F56244">
      <w:pPr>
        <w:pStyle w:val="ListParagraph"/>
        <w:numPr>
          <w:ilvl w:val="0"/>
          <w:numId w:val="87"/>
        </w:numPr>
        <w:spacing w:before="100" w:beforeAutospacing="1" w:after="100" w:afterAutospacing="1" w:line="360" w:lineRule="atLeast"/>
        <w:rPr>
          <w:rFonts w:cstheme="minorHAnsi"/>
          <w:color w:val="011A3C"/>
          <w:sz w:val="24"/>
          <w:szCs w:val="24"/>
          <w:lang w:val="en"/>
        </w:rPr>
      </w:pPr>
      <w:r w:rsidRPr="00614B09">
        <w:rPr>
          <w:rFonts w:cstheme="minorHAnsi"/>
          <w:color w:val="011A3C"/>
          <w:sz w:val="24"/>
          <w:szCs w:val="24"/>
          <w:lang w:val="en"/>
        </w:rPr>
        <w:t xml:space="preserve">Annual contracts </w:t>
      </w:r>
    </w:p>
    <w:p w14:paraId="3A561D96" w14:textId="77777777" w:rsidR="00ED4312" w:rsidRPr="00614B09" w:rsidRDefault="00ED4312" w:rsidP="00F56244">
      <w:pPr>
        <w:pStyle w:val="ListParagraph"/>
        <w:numPr>
          <w:ilvl w:val="0"/>
          <w:numId w:val="87"/>
        </w:numPr>
        <w:spacing w:before="100" w:beforeAutospacing="1" w:after="100" w:afterAutospacing="1" w:line="360" w:lineRule="atLeast"/>
        <w:rPr>
          <w:rFonts w:cstheme="minorHAnsi"/>
          <w:color w:val="011A3C"/>
          <w:sz w:val="24"/>
          <w:szCs w:val="24"/>
          <w:lang w:val="en"/>
        </w:rPr>
      </w:pPr>
      <w:r w:rsidRPr="00614B09">
        <w:rPr>
          <w:rFonts w:cstheme="minorHAnsi"/>
          <w:color w:val="011A3C"/>
          <w:sz w:val="24"/>
          <w:szCs w:val="24"/>
          <w:lang w:val="en"/>
        </w:rPr>
        <w:t>Workers’ compensation</w:t>
      </w:r>
    </w:p>
    <w:p w14:paraId="4564E8F4" w14:textId="12F818A6" w:rsidR="00D97AC3" w:rsidRPr="00260C1D" w:rsidRDefault="00ED4312" w:rsidP="000D106B">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Schools are expected to use SRP funds for the purpose for which it was allocated.</w:t>
      </w:r>
    </w:p>
    <w:p w14:paraId="67A6CF74" w14:textId="77777777" w:rsidR="00D97AC3" w:rsidRPr="00260C1D" w:rsidRDefault="00D97AC3">
      <w:pPr>
        <w:rPr>
          <w:rFonts w:eastAsia="Segoe UI" w:cstheme="minorHAnsi"/>
          <w:b/>
          <w:color w:val="2F5496" w:themeColor="accent1" w:themeShade="BF"/>
          <w:sz w:val="36"/>
          <w:szCs w:val="26"/>
          <w:lang w:val="en" w:eastAsia="en-AU"/>
        </w:rPr>
      </w:pPr>
      <w:r w:rsidRPr="00260C1D">
        <w:rPr>
          <w:rFonts w:cstheme="minorHAnsi"/>
        </w:rPr>
        <w:br w:type="page"/>
      </w:r>
    </w:p>
    <w:p w14:paraId="17F0541E" w14:textId="2D54C26D" w:rsidR="6ACA85B7" w:rsidRPr="00720A0F" w:rsidRDefault="00F01BB5" w:rsidP="00532A33">
      <w:pPr>
        <w:pStyle w:val="Heading2"/>
      </w:pPr>
      <w:bookmarkStart w:id="113" w:name="_Toc141965254"/>
      <w:bookmarkStart w:id="114" w:name="_Toc145339584"/>
      <w:bookmarkStart w:id="115" w:name="_Toc153791907"/>
      <w:bookmarkStart w:id="116" w:name="_Hlk83632973"/>
      <w:r w:rsidRPr="00260C1D">
        <w:lastRenderedPageBreak/>
        <w:t>Contract cleaning (Reference 28)</w:t>
      </w:r>
      <w:bookmarkEnd w:id="113"/>
      <w:bookmarkEnd w:id="114"/>
      <w:bookmarkEnd w:id="115"/>
    </w:p>
    <w:p w14:paraId="4D5EE9B9" w14:textId="77777777" w:rsidR="00F01BB5" w:rsidRPr="00260C1D" w:rsidRDefault="00F01BB5" w:rsidP="004D307F">
      <w:pPr>
        <w:spacing w:before="100" w:beforeAutospacing="1" w:after="100" w:afterAutospacing="1" w:line="360" w:lineRule="atLeast"/>
        <w:outlineLvl w:val="2"/>
        <w:rPr>
          <w:rFonts w:eastAsia="Segoe UI" w:cstheme="minorHAnsi"/>
          <w:b/>
          <w:color w:val="011A3C"/>
          <w:sz w:val="27"/>
          <w:szCs w:val="27"/>
          <w:lang w:val="en" w:eastAsia="en-AU"/>
        </w:rPr>
      </w:pPr>
      <w:bookmarkStart w:id="117" w:name="_Hlk97902551"/>
      <w:r w:rsidRPr="00260C1D">
        <w:rPr>
          <w:rFonts w:eastAsia="Segoe UI" w:cstheme="minorHAnsi"/>
          <w:b/>
          <w:color w:val="011A3C"/>
          <w:sz w:val="27"/>
          <w:szCs w:val="27"/>
          <w:lang w:val="en" w:eastAsia="en-AU"/>
        </w:rPr>
        <w:t>Funding for contract cleaning</w:t>
      </w:r>
    </w:p>
    <w:p w14:paraId="4D39454F" w14:textId="00F8E85C" w:rsidR="00F01BB5" w:rsidRPr="00260C1D" w:rsidRDefault="00F01BB5" w:rsidP="005A7E0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 funding for contract cleaning is included in the </w:t>
      </w:r>
      <w:r w:rsidR="0035413D">
        <w:rPr>
          <w:rFonts w:eastAsia="Segoe UI" w:cstheme="minorHAnsi"/>
          <w:color w:val="011A3C"/>
          <w:sz w:val="24"/>
          <w:szCs w:val="24"/>
          <w:lang w:val="en" w:eastAsia="en-AU"/>
        </w:rPr>
        <w:t>Student Resource Package (</w:t>
      </w:r>
      <w:r w:rsidRPr="00260C1D">
        <w:rPr>
          <w:rFonts w:eastAsia="Segoe UI" w:cstheme="minorHAnsi"/>
          <w:color w:val="011A3C"/>
          <w:sz w:val="24"/>
          <w:szCs w:val="24"/>
          <w:lang w:val="en" w:eastAsia="en-AU"/>
        </w:rPr>
        <w:t>SRP</w:t>
      </w:r>
      <w:r w:rsidR="0035413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based on normal and low-use areas as determined by cleanable spaces identified in the </w:t>
      </w:r>
      <w:hyperlink r:id="rId90" w:history="1">
        <w:r w:rsidRPr="00260C1D">
          <w:rPr>
            <w:rFonts w:eastAsia="Segoe UI" w:cstheme="minorHAnsi"/>
            <w:color w:val="011A3C"/>
            <w:sz w:val="24"/>
            <w:szCs w:val="24"/>
            <w:lang w:val="en" w:eastAsia="en-AU"/>
          </w:rPr>
          <w:t>school's facilities schedule</w:t>
        </w:r>
      </w:hyperlink>
      <w:r w:rsidRPr="00260C1D">
        <w:rPr>
          <w:rFonts w:eastAsia="Segoe UI" w:cstheme="minorHAnsi"/>
          <w:color w:val="011A3C"/>
          <w:sz w:val="24"/>
          <w:szCs w:val="24"/>
          <w:lang w:val="en" w:eastAsia="en-AU"/>
        </w:rPr>
        <w:t>.</w:t>
      </w:r>
    </w:p>
    <w:p w14:paraId="2924BF24" w14:textId="2B9C0474" w:rsidR="00F01BB5" w:rsidRPr="00260C1D" w:rsidRDefault="00F01BB5" w:rsidP="006D6E02">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cleaning allocation </w:t>
      </w:r>
      <w:r w:rsidRPr="00260C1D">
        <w:rPr>
          <w:rFonts w:eastAsia="Segoe UI" w:cstheme="minorHAnsi"/>
          <w:color w:val="011A3C"/>
          <w:sz w:val="24"/>
          <w:szCs w:val="24"/>
          <w:u w:val="single"/>
          <w:lang w:val="en" w:eastAsia="en-AU"/>
        </w:rPr>
        <w:t>does not</w:t>
      </w:r>
      <w:r w:rsidRPr="00260C1D">
        <w:rPr>
          <w:rFonts w:eastAsia="Segoe UI" w:cstheme="minorHAnsi"/>
          <w:color w:val="011A3C"/>
          <w:sz w:val="24"/>
          <w:szCs w:val="24"/>
          <w:lang w:val="en" w:eastAsia="en-AU"/>
        </w:rPr>
        <w:t xml:space="preserve"> include provision for the cost of school consumables such as toilet paper, paper towels, soap, disinfectant blocks, hand </w:t>
      </w:r>
      <w:proofErr w:type="spellStart"/>
      <w:r w:rsidRPr="00260C1D">
        <w:rPr>
          <w:rFonts w:eastAsia="Segoe UI" w:cstheme="minorHAnsi"/>
          <w:color w:val="011A3C"/>
          <w:sz w:val="24"/>
          <w:szCs w:val="24"/>
          <w:lang w:val="en" w:eastAsia="en-AU"/>
        </w:rPr>
        <w:t>sanitiser</w:t>
      </w:r>
      <w:proofErr w:type="spellEnd"/>
      <w:r w:rsidRPr="00260C1D">
        <w:rPr>
          <w:rFonts w:eastAsia="Segoe UI" w:cstheme="minorHAnsi"/>
          <w:color w:val="011A3C"/>
          <w:sz w:val="24"/>
          <w:szCs w:val="24"/>
          <w:lang w:val="en" w:eastAsia="en-AU"/>
        </w:rPr>
        <w:t xml:space="preserve">, or bin liners. Funding for these items is in the cash component of the </w:t>
      </w:r>
      <w:r w:rsidR="0035413D">
        <w:rPr>
          <w:rFonts w:eastAsia="Segoe UI" w:cstheme="minorHAnsi"/>
          <w:color w:val="011A3C"/>
          <w:sz w:val="24"/>
          <w:szCs w:val="24"/>
          <w:lang w:val="en" w:eastAsia="en-AU"/>
        </w:rPr>
        <w:t>SRP</w:t>
      </w:r>
      <w:r w:rsidRPr="00260C1D">
        <w:rPr>
          <w:rFonts w:eastAsia="Segoe UI" w:cstheme="minorHAnsi"/>
          <w:color w:val="011A3C"/>
          <w:sz w:val="24"/>
          <w:szCs w:val="24"/>
          <w:lang w:val="en" w:eastAsia="en-AU"/>
        </w:rPr>
        <w:t>.</w:t>
      </w:r>
    </w:p>
    <w:p w14:paraId="01C5A0F2" w14:textId="1B639B4D" w:rsidR="00F01BB5" w:rsidRPr="00260C1D" w:rsidRDefault="00F01BB5" w:rsidP="006D6E02">
      <w:pPr>
        <w:spacing w:before="100" w:beforeAutospacing="1" w:after="100" w:afterAutospacing="1" w:line="360" w:lineRule="atLeast"/>
        <w:rPr>
          <w:rFonts w:eastAsia="Segoe UI" w:cstheme="minorHAnsi"/>
          <w:color w:val="011A3C"/>
          <w:sz w:val="24"/>
          <w:szCs w:val="24"/>
          <w:lang w:val="en" w:eastAsia="en-AU"/>
        </w:rPr>
      </w:pPr>
      <w:bookmarkStart w:id="118" w:name="_Hlk97901985"/>
      <w:r w:rsidRPr="00260C1D">
        <w:rPr>
          <w:rFonts w:eastAsia="Segoe UI" w:cstheme="minorHAnsi"/>
          <w:color w:val="011A3C"/>
          <w:sz w:val="24"/>
          <w:szCs w:val="24"/>
          <w:lang w:val="en" w:eastAsia="en-AU"/>
        </w:rPr>
        <w:t>The Cleaning Model excludes the provision of cleaning services for school</w:t>
      </w:r>
      <w:r w:rsidR="0035413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owned assets and the use of school facilities that are outside the normal school (such as external hirer, fetes, sports events, and out of hours use).</w:t>
      </w:r>
    </w:p>
    <w:bookmarkEnd w:id="118"/>
    <w:p w14:paraId="15BC27BA" w14:textId="5749A58C" w:rsidR="00F01BB5" w:rsidRPr="00260C1D" w:rsidRDefault="00F01BB5" w:rsidP="006D6E02">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Confirmed SRP is based on the February </w:t>
      </w:r>
      <w:r w:rsidR="0035413D">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ensus. As with other elements of the SRP, the contract cleaning allocation is subject to change based on confirmed enrolments as per the February census.</w:t>
      </w:r>
    </w:p>
    <w:p w14:paraId="6E4CCCCF" w14:textId="77777777" w:rsidR="00F01BB5" w:rsidRPr="00260C1D" w:rsidRDefault="00F01BB5" w:rsidP="006D6E02">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Contract cleaning allocations are adjusted for any building configuration changes that occur. Where the cleanable area is reduced, the area change is applied from the following term onwards. Where the cleanable area is increased, the cleaning area change is applied from the beginning of the term in which the change was made.</w:t>
      </w:r>
    </w:p>
    <w:p w14:paraId="135A018F" w14:textId="77FCC5C5" w:rsidR="00F01BB5" w:rsidRPr="00260C1D" w:rsidRDefault="00F01BB5" w:rsidP="006D6E02">
      <w:pPr>
        <w:spacing w:before="100" w:beforeAutospacing="1" w:after="100" w:afterAutospacing="1" w:line="360" w:lineRule="atLeast"/>
        <w:rPr>
          <w:rFonts w:eastAsia="Segoe UI" w:cstheme="minorHAnsi"/>
          <w:color w:val="011A3C"/>
          <w:sz w:val="24"/>
          <w:szCs w:val="24"/>
          <w:lang w:val="en" w:eastAsia="en-AU"/>
        </w:rPr>
      </w:pPr>
      <w:bookmarkStart w:id="119" w:name="_Hlk97902021"/>
      <w:r w:rsidRPr="00260C1D">
        <w:rPr>
          <w:rFonts w:eastAsia="Segoe UI" w:cstheme="minorHAnsi"/>
          <w:color w:val="011A3C"/>
          <w:sz w:val="24"/>
          <w:szCs w:val="24"/>
          <w:lang w:val="en" w:eastAsia="en-AU"/>
        </w:rPr>
        <w:t xml:space="preserve">With the introduction of the Victorian Government school cleaning reform, metropolitan schools are advised of the equivalent SRP funding. However, funding for cleaning is no longer provided directly to metropolitan schools as part of their SRP but is held centrally, so the </w:t>
      </w:r>
      <w:r w:rsidR="0035413D">
        <w:rPr>
          <w:rFonts w:eastAsia="Segoe UI" w:cstheme="minorHAnsi"/>
          <w:color w:val="011A3C"/>
          <w:sz w:val="24"/>
          <w:szCs w:val="24"/>
          <w:lang w:val="en" w:eastAsia="en-AU"/>
        </w:rPr>
        <w:t>d</w:t>
      </w:r>
      <w:r w:rsidRPr="00260C1D">
        <w:rPr>
          <w:rFonts w:eastAsia="Segoe UI" w:cstheme="minorHAnsi"/>
          <w:color w:val="011A3C"/>
          <w:sz w:val="24"/>
          <w:szCs w:val="24"/>
          <w:lang w:val="en" w:eastAsia="en-AU"/>
        </w:rPr>
        <w:t xml:space="preserve">epartment can pay the metropolitan school cleaning companies directly.   </w:t>
      </w:r>
    </w:p>
    <w:bookmarkEnd w:id="119"/>
    <w:p w14:paraId="7EFA9533" w14:textId="77777777" w:rsidR="00F01BB5" w:rsidRPr="00260C1D" w:rsidRDefault="00F01BB5" w:rsidP="004D307F">
      <w:pPr>
        <w:spacing w:before="100" w:beforeAutospacing="1" w:after="100" w:afterAutospacing="1" w:line="360"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information for this program</w:t>
      </w:r>
    </w:p>
    <w:p w14:paraId="6E3AC5F4" w14:textId="77777777" w:rsidR="00F01BB5" w:rsidRPr="00260C1D" w:rsidRDefault="00F01BB5" w:rsidP="004D307F">
      <w:pPr>
        <w:spacing w:before="100" w:beforeAutospacing="1" w:after="100" w:afterAutospacing="1" w:line="360"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Total cleaning area</w:t>
      </w:r>
    </w:p>
    <w:p w14:paraId="5FC9085E" w14:textId="16931435" w:rsidR="00F01BB5" w:rsidRPr="00260C1D" w:rsidRDefault="00F01BB5" w:rsidP="005A7E0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This is the total of the cleanable areas of the school as per the School Cleanable Area Report (CAR). The Total Cleaning Area used to calculate your budget which is contained in your </w:t>
      </w:r>
      <w:r w:rsidR="00C56F7E">
        <w:rPr>
          <w:rFonts w:eastAsia="Segoe UI" w:cstheme="minorHAnsi"/>
          <w:color w:val="011A3C"/>
          <w:sz w:val="24"/>
          <w:szCs w:val="24"/>
          <w:lang w:val="en" w:eastAsia="en-AU"/>
        </w:rPr>
        <w:t>SRP Cleaning Statement</w:t>
      </w:r>
      <w:r w:rsidRPr="00260C1D">
        <w:rPr>
          <w:rFonts w:eastAsia="Segoe UI" w:cstheme="minorHAnsi"/>
          <w:color w:val="011A3C"/>
          <w:sz w:val="24"/>
          <w:szCs w:val="24"/>
          <w:lang w:val="en" w:eastAsia="en-AU"/>
        </w:rPr>
        <w:t xml:space="preserve"> and in the Quarterly Cash Grant advice. Any subsequent changes will be reflected in your School Cleanable Area Report (CAR).  The CAR lists all rooms at a school and their cleanable eligibility, to provide a total cleanable area for the school. It is provided to schools by the </w:t>
      </w:r>
      <w:r w:rsidR="00E07A65" w:rsidRPr="00260C1D">
        <w:rPr>
          <w:rFonts w:eastAsia="Segoe UI" w:cstheme="minorHAnsi"/>
          <w:color w:val="011A3C"/>
          <w:sz w:val="24"/>
          <w:szCs w:val="24"/>
          <w:lang w:val="en" w:eastAsia="en-AU"/>
        </w:rPr>
        <w:t>V</w:t>
      </w:r>
      <w:r w:rsidR="00E07A65">
        <w:rPr>
          <w:rFonts w:eastAsia="Segoe UI" w:cstheme="minorHAnsi"/>
          <w:color w:val="011A3C"/>
          <w:sz w:val="24"/>
          <w:szCs w:val="24"/>
          <w:lang w:val="en" w:eastAsia="en-AU"/>
        </w:rPr>
        <w:t>ictorian School Building Authority (VSBA)</w:t>
      </w:r>
      <w:r w:rsidR="00E07A65"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each month through the School Facility Profile website.  </w:t>
      </w:r>
    </w:p>
    <w:p w14:paraId="3E52D930" w14:textId="77777777" w:rsidR="00F01BB5" w:rsidRPr="00260C1D" w:rsidRDefault="00F01BB5" w:rsidP="004D307F">
      <w:pPr>
        <w:spacing w:before="100" w:beforeAutospacing="1" w:after="100" w:afterAutospacing="1" w:line="360"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Cleaning area entitlement</w:t>
      </w:r>
    </w:p>
    <w:p w14:paraId="0B62D484" w14:textId="77777777" w:rsidR="00F01BB5" w:rsidRPr="00260C1D" w:rsidRDefault="00F01BB5" w:rsidP="005A7E0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cleaning area entitlement (normal use) for both secondary and primary schools is allocated in square </w:t>
      </w:r>
      <w:proofErr w:type="spellStart"/>
      <w:r w:rsidRPr="00260C1D">
        <w:rPr>
          <w:rFonts w:eastAsia="Segoe UI" w:cstheme="minorHAnsi"/>
          <w:color w:val="011A3C"/>
          <w:sz w:val="24"/>
          <w:szCs w:val="24"/>
          <w:lang w:val="en" w:eastAsia="en-AU"/>
        </w:rPr>
        <w:t>metres</w:t>
      </w:r>
      <w:proofErr w:type="spellEnd"/>
      <w:r w:rsidRPr="00260C1D">
        <w:rPr>
          <w:rFonts w:eastAsia="Segoe UI" w:cstheme="minorHAnsi"/>
          <w:color w:val="011A3C"/>
          <w:sz w:val="24"/>
          <w:szCs w:val="24"/>
          <w:lang w:val="en" w:eastAsia="en-AU"/>
        </w:rPr>
        <w:t xml:space="preserve"> according to enrolment bands of 25 students.</w:t>
      </w:r>
    </w:p>
    <w:p w14:paraId="697F89C4" w14:textId="77777777" w:rsidR="00F01BB5" w:rsidRPr="00260C1D" w:rsidRDefault="00F01BB5" w:rsidP="006D6E02">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The cleanable area in excess of entitlement is deemed as low use area.</w:t>
      </w:r>
    </w:p>
    <w:p w14:paraId="5CD51EC9" w14:textId="053329FD" w:rsidR="00F01BB5" w:rsidRPr="00260C1D" w:rsidRDefault="00F01BB5" w:rsidP="006D6E02">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For enrolment or area entitlements, see: </w:t>
      </w:r>
      <w:hyperlink r:id="rId91" w:history="1">
        <w:r w:rsidRPr="00614B09">
          <w:rPr>
            <w:rFonts w:eastAsia="Segoe UI" w:cstheme="minorHAnsi"/>
            <w:color w:val="0563C1" w:themeColor="hyperlink"/>
            <w:sz w:val="24"/>
            <w:szCs w:val="24"/>
            <w:u w:val="single"/>
            <w:lang w:val="en" w:eastAsia="en-AU"/>
          </w:rPr>
          <w:t>Contract Cleaning Schedule spreadsheet</w:t>
        </w:r>
      </w:hyperlink>
      <w:r w:rsidR="005614F1" w:rsidRPr="00614B09">
        <w:rPr>
          <w:rFonts w:eastAsia="Segoe UI" w:cstheme="minorHAnsi"/>
          <w:color w:val="0563C1" w:themeColor="hyperlink"/>
          <w:sz w:val="24"/>
          <w:szCs w:val="24"/>
          <w:u w:val="single"/>
          <w:lang w:val="en" w:eastAsia="en-AU"/>
        </w:rPr>
        <w:t>.</w:t>
      </w:r>
    </w:p>
    <w:p w14:paraId="770AE526" w14:textId="5D565E9A" w:rsidR="00F01BB5" w:rsidRPr="00260C1D" w:rsidRDefault="00F01BB5" w:rsidP="006D6E02">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For a small number of primary schools disadvantaged by the 1:25 Schedule introduced in 2001</w:t>
      </w:r>
      <w:r w:rsidR="0033070B">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additional m2 area is added to the school’s entitlement on AIMS to restore the school to the better of the former entitlement schedules. The adjustment is removed when the school moves into line with the 1:25 Schedule due to enrolment changes or if the school undergoes a facilities provision or upgrade program.</w:t>
      </w:r>
    </w:p>
    <w:p w14:paraId="7805E4BA" w14:textId="77777777" w:rsidR="00F01BB5" w:rsidRPr="00260C1D" w:rsidRDefault="00F01BB5" w:rsidP="004D307F">
      <w:pPr>
        <w:spacing w:before="100" w:beforeAutospacing="1" w:after="100" w:afterAutospacing="1" w:line="360"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Building area changes</w:t>
      </w:r>
    </w:p>
    <w:p w14:paraId="1524B294" w14:textId="77777777" w:rsidR="00F01BB5" w:rsidRPr="00260C1D" w:rsidRDefault="00F01BB5" w:rsidP="005A7E0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budget impact of area changes notified depends on whether the areas are part of the school’s area entitlement and whether they involve designated cleanable areas. Where areas change, schools should refer to the School Cleanable Area Report (CAR). </w:t>
      </w:r>
    </w:p>
    <w:p w14:paraId="3BE386BF" w14:textId="237AFB64" w:rsidR="00F01BB5" w:rsidRPr="00260C1D" w:rsidRDefault="00F01BB5" w:rsidP="006D6E02">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If changes are required to the CAR or SAMS Plan, the school should download the latest SAMS plan, mark the areas that have changed or are missing, scan and forward to the </w:t>
      </w:r>
      <w:r w:rsidR="0033070B">
        <w:rPr>
          <w:rFonts w:eastAsia="Segoe UI" w:cstheme="minorHAnsi"/>
          <w:color w:val="011A3C"/>
          <w:sz w:val="24"/>
          <w:szCs w:val="24"/>
          <w:lang w:val="en" w:eastAsia="en-AU"/>
        </w:rPr>
        <w:t>I</w:t>
      </w:r>
      <w:r w:rsidRPr="00260C1D">
        <w:rPr>
          <w:rFonts w:eastAsia="Segoe UI" w:cstheme="minorHAnsi"/>
          <w:color w:val="011A3C"/>
          <w:sz w:val="24"/>
          <w:szCs w:val="24"/>
          <w:lang w:val="en" w:eastAsia="en-AU"/>
        </w:rPr>
        <w:t xml:space="preserve">nformation and Analysis Unit (IAU) at </w:t>
      </w:r>
      <w:hyperlink r:id="rId92" w:history="1">
        <w:r w:rsidRPr="00260C1D">
          <w:rPr>
            <w:rFonts w:eastAsia="Segoe UI" w:cstheme="minorHAnsi"/>
            <w:color w:val="0563C1" w:themeColor="hyperlink"/>
            <w:sz w:val="24"/>
            <w:szCs w:val="24"/>
            <w:u w:val="single"/>
            <w:lang w:val="en" w:eastAsia="en-AU"/>
          </w:rPr>
          <w:t>sams@education.vic.gov.au</w:t>
        </w:r>
      </w:hyperlink>
      <w:r w:rsidRPr="00260C1D">
        <w:rPr>
          <w:rFonts w:eastAsia="Segoe UI" w:cstheme="minorHAnsi"/>
          <w:color w:val="011A3C"/>
          <w:sz w:val="24"/>
          <w:szCs w:val="24"/>
          <w:lang w:val="en" w:eastAsia="en-AU"/>
        </w:rPr>
        <w:t>. It may take a few weeks for changes to appear due to the time required to obtain architectural plans and other documentation which confirm the exact changes and building room measurements.</w:t>
      </w:r>
    </w:p>
    <w:p w14:paraId="22B522F5" w14:textId="400ADF67" w:rsidR="00F01BB5" w:rsidRPr="00260C1D" w:rsidRDefault="00F01BB5" w:rsidP="006D6E02">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Concurrently, the school should contact the School Cleaning Unit (</w:t>
      </w:r>
      <w:hyperlink r:id="rId93" w:history="1">
        <w:r w:rsidRPr="00260C1D">
          <w:rPr>
            <w:rFonts w:eastAsia="Segoe UI" w:cstheme="minorHAnsi"/>
            <w:color w:val="0563C1" w:themeColor="hyperlink"/>
            <w:sz w:val="24"/>
            <w:szCs w:val="24"/>
            <w:u w:val="single"/>
            <w:lang w:val="en" w:eastAsia="en-AU"/>
          </w:rPr>
          <w:t>cleaning@education.vic.gov.au</w:t>
        </w:r>
      </w:hyperlink>
      <w:r w:rsidRPr="00260C1D">
        <w:rPr>
          <w:rFonts w:eastAsia="Segoe UI" w:cstheme="minorHAnsi"/>
          <w:color w:val="011A3C"/>
          <w:sz w:val="24"/>
          <w:szCs w:val="24"/>
          <w:lang w:val="en" w:eastAsia="en-AU"/>
        </w:rPr>
        <w:t xml:space="preserve">) and their cleaning services provider to ensure </w:t>
      </w:r>
      <w:r w:rsidR="008C0435">
        <w:rPr>
          <w:rFonts w:eastAsia="Segoe UI" w:cstheme="minorHAnsi"/>
          <w:color w:val="011A3C"/>
          <w:sz w:val="24"/>
          <w:szCs w:val="24"/>
          <w:lang w:val="en" w:eastAsia="en-AU"/>
        </w:rPr>
        <w:t>that</w:t>
      </w:r>
      <w:r w:rsidR="008C0435"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the areas are included in the cleaning schedule.  </w:t>
      </w:r>
    </w:p>
    <w:p w14:paraId="1A0AD51E" w14:textId="58C0E1BD" w:rsidR="00F01BB5" w:rsidRPr="00260C1D" w:rsidRDefault="00F01BB5" w:rsidP="006D6E02">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calculated at the Indicative, Confirmed and Revised cycles</w:t>
      </w:r>
      <w:r w:rsidR="00BB305C">
        <w:rPr>
          <w:rFonts w:eastAsia="Segoe UI" w:cstheme="minorHAnsi"/>
          <w:color w:val="011A3C"/>
          <w:sz w:val="24"/>
          <w:szCs w:val="24"/>
          <w:lang w:val="en" w:eastAsia="en-AU"/>
        </w:rPr>
        <w:t>. F</w:t>
      </w:r>
      <w:r w:rsidRPr="00260C1D">
        <w:rPr>
          <w:rFonts w:eastAsia="Segoe UI" w:cstheme="minorHAnsi"/>
          <w:color w:val="011A3C"/>
          <w:sz w:val="24"/>
          <w:szCs w:val="24"/>
          <w:lang w:val="en" w:eastAsia="en-AU"/>
        </w:rPr>
        <w:t>unding is allocated through cash funding.</w:t>
      </w:r>
    </w:p>
    <w:bookmarkEnd w:id="117"/>
    <w:p w14:paraId="5B2C742D" w14:textId="77777777" w:rsidR="00F01BB5" w:rsidRPr="00260C1D" w:rsidRDefault="00F01BB5" w:rsidP="00F01BB5">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5371B704" w14:textId="0EA2B1B4" w:rsidR="00F01BB5" w:rsidRPr="00260C1D" w:rsidRDefault="00F01BB5" w:rsidP="00F01BB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w:t>
      </w:r>
      <w:proofErr w:type="spellStart"/>
      <w:r w:rsidRPr="00260C1D">
        <w:rPr>
          <w:rFonts w:eastAsia="Segoe UI" w:cstheme="minorHAnsi"/>
          <w:color w:val="011A3C"/>
          <w:sz w:val="24"/>
          <w:szCs w:val="24"/>
          <w:lang w:val="en" w:eastAsia="en-AU"/>
        </w:rPr>
        <w:t>Normal_Use_Area</w:t>
      </w:r>
      <w:proofErr w:type="spellEnd"/>
      <w:r w:rsidRPr="00260C1D">
        <w:rPr>
          <w:rFonts w:eastAsia="Segoe UI" w:cstheme="minorHAnsi"/>
          <w:color w:val="011A3C"/>
          <w:sz w:val="24"/>
          <w:szCs w:val="24"/>
          <w:lang w:val="en" w:eastAsia="en-AU"/>
        </w:rPr>
        <w:t>]</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w:t>
      </w:r>
      <w:proofErr w:type="spellStart"/>
      <w:r w:rsidRPr="00260C1D">
        <w:rPr>
          <w:rFonts w:eastAsia="Segoe UI" w:cstheme="minorHAnsi"/>
          <w:color w:val="011A3C"/>
          <w:sz w:val="24"/>
          <w:szCs w:val="24"/>
          <w:lang w:val="en" w:eastAsia="en-AU"/>
        </w:rPr>
        <w:t>Normal_Use_Rate</w:t>
      </w:r>
      <w:proofErr w:type="spellEnd"/>
      <w:r w:rsidRPr="00260C1D">
        <w:rPr>
          <w:rFonts w:eastAsia="Segoe UI" w:cstheme="minorHAnsi"/>
          <w:color w:val="011A3C"/>
          <w:sz w:val="24"/>
          <w:szCs w:val="24"/>
          <w:lang w:val="en" w:eastAsia="en-AU"/>
        </w:rPr>
        <w:t>] plus [</w:t>
      </w:r>
      <w:proofErr w:type="spellStart"/>
      <w:r w:rsidRPr="00260C1D">
        <w:rPr>
          <w:rFonts w:eastAsia="Segoe UI" w:cstheme="minorHAnsi"/>
          <w:color w:val="011A3C"/>
          <w:sz w:val="24"/>
          <w:szCs w:val="24"/>
          <w:lang w:val="en" w:eastAsia="en-AU"/>
        </w:rPr>
        <w:t>Low_Use_Area</w:t>
      </w:r>
      <w:proofErr w:type="spellEnd"/>
      <w:r w:rsidRPr="00260C1D">
        <w:rPr>
          <w:rFonts w:eastAsia="Segoe UI" w:cstheme="minorHAnsi"/>
          <w:color w:val="011A3C"/>
          <w:sz w:val="24"/>
          <w:szCs w:val="24"/>
          <w:lang w:val="en" w:eastAsia="en-AU"/>
        </w:rPr>
        <w:t>]</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w:t>
      </w:r>
      <w:proofErr w:type="spellStart"/>
      <w:r w:rsidRPr="00260C1D">
        <w:rPr>
          <w:rFonts w:eastAsia="Segoe UI" w:cstheme="minorHAnsi"/>
          <w:color w:val="011A3C"/>
          <w:sz w:val="24"/>
          <w:szCs w:val="24"/>
          <w:lang w:val="en" w:eastAsia="en-AU"/>
        </w:rPr>
        <w:t>Low_Use_Rate</w:t>
      </w:r>
      <w:proofErr w:type="spellEnd"/>
      <w:r w:rsidRPr="00260C1D">
        <w:rPr>
          <w:rFonts w:eastAsia="Segoe UI" w:cstheme="minorHAnsi"/>
          <w:color w:val="011A3C"/>
          <w:sz w:val="24"/>
          <w:szCs w:val="24"/>
          <w:lang w:val="en" w:eastAsia="en-AU"/>
        </w:rPr>
        <w:t>]</w:t>
      </w:r>
    </w:p>
    <w:p w14:paraId="4C86F808" w14:textId="77777777" w:rsidR="00F01BB5" w:rsidRPr="00260C1D" w:rsidRDefault="00F01BB5" w:rsidP="00C96EF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Refer to Rates Section for stipulated minimum dollar allocation.</w:t>
      </w:r>
    </w:p>
    <w:p w14:paraId="70E6341A" w14:textId="77777777" w:rsidR="00F01BB5" w:rsidRPr="00260C1D" w:rsidRDefault="00F01BB5" w:rsidP="00C96EF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Entitlement cannot exceed Total Cleanable Area.</w:t>
      </w:r>
    </w:p>
    <w:p w14:paraId="4A69CA8C" w14:textId="1710072E" w:rsidR="00F01BB5" w:rsidRPr="00260C1D" w:rsidRDefault="00F01BB5" w:rsidP="00F01BB5">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202</w:t>
      </w:r>
      <w:r w:rsidR="004E455A">
        <w:rPr>
          <w:rFonts w:eastAsia="Segoe UI" w:cstheme="minorHAnsi"/>
          <w:b/>
          <w:color w:val="011A3C"/>
          <w:sz w:val="27"/>
          <w:szCs w:val="27"/>
          <w:lang w:val="en" w:eastAsia="en-A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92"/>
        <w:gridCol w:w="2001"/>
        <w:gridCol w:w="1563"/>
      </w:tblGrid>
      <w:tr w:rsidR="000F3581" w:rsidRPr="00260C1D" w14:paraId="049FBAA2" w14:textId="77777777" w:rsidTr="00776A5E">
        <w:trPr>
          <w:tblHeader/>
        </w:trPr>
        <w:tc>
          <w:tcPr>
            <w:tcW w:w="0" w:type="auto"/>
            <w:hideMark/>
          </w:tcPr>
          <w:p w14:paraId="578C3580" w14:textId="77777777" w:rsidR="00F01BB5" w:rsidRPr="00260C1D" w:rsidRDefault="00F01BB5" w:rsidP="00776A5E">
            <w:pPr>
              <w:spacing w:after="0" w:line="24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Campus Type</w:t>
            </w:r>
          </w:p>
        </w:tc>
        <w:tc>
          <w:tcPr>
            <w:tcW w:w="0" w:type="auto"/>
            <w:hideMark/>
          </w:tcPr>
          <w:p w14:paraId="38ED44C5" w14:textId="77777777" w:rsidR="00F01BB5" w:rsidRPr="00260C1D" w:rsidRDefault="00F01BB5" w:rsidP="00614B09">
            <w:pPr>
              <w:spacing w:after="0" w:line="24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Normal Use ($)</w:t>
            </w:r>
          </w:p>
        </w:tc>
        <w:tc>
          <w:tcPr>
            <w:tcW w:w="0" w:type="auto"/>
            <w:hideMark/>
          </w:tcPr>
          <w:p w14:paraId="0174082C" w14:textId="77777777" w:rsidR="00F01BB5" w:rsidRPr="00260C1D" w:rsidRDefault="00F01BB5" w:rsidP="00614B09">
            <w:pPr>
              <w:spacing w:after="0" w:line="24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Low Use ($)</w:t>
            </w:r>
          </w:p>
        </w:tc>
      </w:tr>
      <w:tr w:rsidR="000F3581" w:rsidRPr="00260C1D" w14:paraId="5F710A20" w14:textId="77777777" w:rsidTr="00776A5E">
        <w:tc>
          <w:tcPr>
            <w:tcW w:w="0" w:type="auto"/>
            <w:hideMark/>
          </w:tcPr>
          <w:p w14:paraId="11A185EF" w14:textId="77777777" w:rsidR="00F01BB5" w:rsidRPr="00260C1D" w:rsidRDefault="00F01BB5" w:rsidP="00776A5E">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Special Development School, Day Special and Special</w:t>
            </w:r>
          </w:p>
        </w:tc>
        <w:tc>
          <w:tcPr>
            <w:tcW w:w="0" w:type="auto"/>
            <w:hideMark/>
          </w:tcPr>
          <w:p w14:paraId="7C9BE9AD" w14:textId="5CF027E8" w:rsidR="00F01BB5" w:rsidRPr="00260C1D" w:rsidRDefault="001F19B4" w:rsidP="00614B09">
            <w:pPr>
              <w:spacing w:after="0" w:line="360" w:lineRule="atLeast"/>
              <w:jc w:val="right"/>
              <w:rPr>
                <w:rFonts w:eastAsia="Segoe UI" w:cstheme="minorHAnsi"/>
                <w:color w:val="323E4F" w:themeColor="text2" w:themeShade="BF"/>
                <w:sz w:val="24"/>
                <w:szCs w:val="24"/>
                <w:lang w:eastAsia="en-AU"/>
              </w:rPr>
            </w:pPr>
            <w:r w:rsidRPr="001F19B4">
              <w:rPr>
                <w:rFonts w:eastAsia="Segoe UI" w:cstheme="minorHAnsi"/>
                <w:color w:val="323E4F" w:themeColor="text2" w:themeShade="BF"/>
                <w:sz w:val="24"/>
                <w:szCs w:val="24"/>
                <w:lang w:eastAsia="en-AU"/>
              </w:rPr>
              <w:t>31.89</w:t>
            </w:r>
          </w:p>
        </w:tc>
        <w:tc>
          <w:tcPr>
            <w:tcW w:w="0" w:type="auto"/>
            <w:hideMark/>
          </w:tcPr>
          <w:p w14:paraId="04609979" w14:textId="77777777" w:rsidR="00F01BB5" w:rsidRPr="00260C1D" w:rsidRDefault="00F01BB5"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N/A</w:t>
            </w:r>
          </w:p>
        </w:tc>
      </w:tr>
      <w:tr w:rsidR="000F3581" w:rsidRPr="00260C1D" w14:paraId="32513FD2" w14:textId="77777777" w:rsidTr="00776A5E">
        <w:tc>
          <w:tcPr>
            <w:tcW w:w="0" w:type="auto"/>
            <w:hideMark/>
          </w:tcPr>
          <w:p w14:paraId="6F6E84FF" w14:textId="77777777" w:rsidR="00F01BB5" w:rsidRPr="00260C1D" w:rsidRDefault="00F01BB5" w:rsidP="00776A5E">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All Others</w:t>
            </w:r>
          </w:p>
        </w:tc>
        <w:tc>
          <w:tcPr>
            <w:tcW w:w="0" w:type="auto"/>
            <w:hideMark/>
          </w:tcPr>
          <w:p w14:paraId="7DF115B5" w14:textId="0437D1F7" w:rsidR="00F01BB5" w:rsidRPr="00260C1D" w:rsidRDefault="001F19B4" w:rsidP="00614B09">
            <w:pPr>
              <w:spacing w:after="0" w:line="360" w:lineRule="atLeast"/>
              <w:jc w:val="right"/>
              <w:rPr>
                <w:rFonts w:eastAsia="Segoe UI" w:cstheme="minorHAnsi"/>
                <w:color w:val="323E4F" w:themeColor="text2" w:themeShade="BF"/>
                <w:sz w:val="24"/>
                <w:szCs w:val="24"/>
                <w:lang w:eastAsia="en-AU"/>
              </w:rPr>
            </w:pPr>
            <w:r w:rsidRPr="001F19B4">
              <w:rPr>
                <w:rFonts w:eastAsia="Segoe UI" w:cstheme="minorHAnsi"/>
                <w:color w:val="323E4F" w:themeColor="text2" w:themeShade="BF"/>
                <w:sz w:val="24"/>
                <w:szCs w:val="24"/>
                <w:lang w:eastAsia="en-AU"/>
              </w:rPr>
              <w:t>29.71</w:t>
            </w:r>
          </w:p>
        </w:tc>
        <w:tc>
          <w:tcPr>
            <w:tcW w:w="0" w:type="auto"/>
            <w:hideMark/>
          </w:tcPr>
          <w:p w14:paraId="24DAB053" w14:textId="6C7EACAC" w:rsidR="00F01BB5" w:rsidRPr="00260C1D" w:rsidRDefault="007359F7" w:rsidP="00614B09">
            <w:pPr>
              <w:spacing w:after="0" w:line="360" w:lineRule="atLeast"/>
              <w:jc w:val="right"/>
              <w:rPr>
                <w:rFonts w:eastAsia="Segoe UI" w:cstheme="minorHAnsi"/>
                <w:color w:val="323E4F" w:themeColor="text2" w:themeShade="BF"/>
                <w:sz w:val="24"/>
                <w:szCs w:val="24"/>
                <w:lang w:eastAsia="en-AU"/>
              </w:rPr>
            </w:pPr>
            <w:r w:rsidRPr="007359F7">
              <w:rPr>
                <w:rFonts w:eastAsia="Segoe UI" w:cstheme="minorHAnsi"/>
                <w:color w:val="323E4F" w:themeColor="text2" w:themeShade="BF"/>
                <w:sz w:val="24"/>
                <w:szCs w:val="24"/>
                <w:lang w:eastAsia="en-AU"/>
              </w:rPr>
              <w:t>6.37</w:t>
            </w:r>
          </w:p>
        </w:tc>
      </w:tr>
      <w:tr w:rsidR="000F3581" w:rsidRPr="00260C1D" w14:paraId="2E2D1AB4" w14:textId="77777777" w:rsidTr="00776A5E">
        <w:tc>
          <w:tcPr>
            <w:tcW w:w="0" w:type="auto"/>
            <w:hideMark/>
          </w:tcPr>
          <w:p w14:paraId="64C8FA61" w14:textId="77777777" w:rsidR="00F01BB5" w:rsidRPr="00260C1D" w:rsidRDefault="00F01BB5" w:rsidP="00776A5E">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Small schools under 372m</w:t>
            </w:r>
            <w:r w:rsidRPr="00260C1D">
              <w:rPr>
                <w:rFonts w:eastAsia="Segoe UI" w:cstheme="minorHAnsi"/>
                <w:color w:val="323E4F" w:themeColor="text2" w:themeShade="BF"/>
                <w:sz w:val="18"/>
                <w:szCs w:val="18"/>
                <w:vertAlign w:val="superscript"/>
                <w:lang w:eastAsia="en-AU"/>
              </w:rPr>
              <w:t>2</w:t>
            </w:r>
          </w:p>
        </w:tc>
        <w:tc>
          <w:tcPr>
            <w:tcW w:w="0" w:type="auto"/>
            <w:hideMark/>
          </w:tcPr>
          <w:p w14:paraId="0D3A4544" w14:textId="52B32850" w:rsidR="00F01BB5" w:rsidRPr="00260C1D" w:rsidRDefault="007359F7" w:rsidP="00614B09">
            <w:pPr>
              <w:spacing w:after="0" w:line="360" w:lineRule="atLeast"/>
              <w:jc w:val="right"/>
              <w:rPr>
                <w:rFonts w:eastAsia="Segoe UI" w:cstheme="minorHAnsi"/>
                <w:color w:val="323E4F" w:themeColor="text2" w:themeShade="BF"/>
                <w:sz w:val="24"/>
                <w:szCs w:val="24"/>
                <w:lang w:eastAsia="en-AU"/>
              </w:rPr>
            </w:pPr>
            <w:r w:rsidRPr="007359F7">
              <w:rPr>
                <w:rFonts w:eastAsia="Segoe UI" w:cstheme="minorHAnsi"/>
                <w:color w:val="323E4F" w:themeColor="text2" w:themeShade="BF"/>
                <w:sz w:val="24"/>
                <w:szCs w:val="24"/>
                <w:lang w:eastAsia="en-AU"/>
              </w:rPr>
              <w:t>24.00</w:t>
            </w:r>
          </w:p>
        </w:tc>
        <w:tc>
          <w:tcPr>
            <w:tcW w:w="0" w:type="auto"/>
            <w:hideMark/>
          </w:tcPr>
          <w:p w14:paraId="0F7FF602" w14:textId="77777777" w:rsidR="00F01BB5" w:rsidRPr="00260C1D" w:rsidRDefault="00F01BB5"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N/A</w:t>
            </w:r>
          </w:p>
        </w:tc>
      </w:tr>
      <w:tr w:rsidR="000F3581" w:rsidRPr="00260C1D" w14:paraId="0E48B900" w14:textId="77777777" w:rsidTr="00776A5E">
        <w:tc>
          <w:tcPr>
            <w:tcW w:w="0" w:type="auto"/>
            <w:hideMark/>
          </w:tcPr>
          <w:p w14:paraId="09A790CB" w14:textId="77777777" w:rsidR="00F01BB5" w:rsidRPr="00260C1D" w:rsidRDefault="00F01BB5" w:rsidP="00776A5E">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Minimum Allocation</w:t>
            </w:r>
          </w:p>
        </w:tc>
        <w:tc>
          <w:tcPr>
            <w:tcW w:w="0" w:type="auto"/>
            <w:hideMark/>
          </w:tcPr>
          <w:p w14:paraId="7C6A67BA" w14:textId="3E1E5935" w:rsidR="00F01BB5" w:rsidRPr="00260C1D" w:rsidRDefault="007359F7" w:rsidP="00614B09">
            <w:pPr>
              <w:spacing w:after="0" w:line="360" w:lineRule="atLeast"/>
              <w:jc w:val="right"/>
              <w:rPr>
                <w:rFonts w:eastAsia="Segoe UI" w:cstheme="minorHAnsi"/>
                <w:color w:val="323E4F" w:themeColor="text2" w:themeShade="BF"/>
                <w:sz w:val="24"/>
                <w:szCs w:val="24"/>
                <w:lang w:eastAsia="en-AU"/>
              </w:rPr>
            </w:pPr>
            <w:r w:rsidRPr="007359F7">
              <w:rPr>
                <w:rFonts w:eastAsia="Segoe UI" w:cstheme="minorHAnsi"/>
                <w:color w:val="323E4F" w:themeColor="text2" w:themeShade="BF"/>
                <w:sz w:val="24"/>
                <w:szCs w:val="24"/>
                <w:lang w:eastAsia="en-AU"/>
              </w:rPr>
              <w:t>6,268</w:t>
            </w:r>
          </w:p>
        </w:tc>
        <w:tc>
          <w:tcPr>
            <w:tcW w:w="0" w:type="auto"/>
            <w:hideMark/>
          </w:tcPr>
          <w:p w14:paraId="191A3C50" w14:textId="77777777" w:rsidR="00F01BB5" w:rsidRPr="00260C1D" w:rsidRDefault="00F01BB5"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N/A</w:t>
            </w:r>
          </w:p>
        </w:tc>
      </w:tr>
    </w:tbl>
    <w:p w14:paraId="79575B2D" w14:textId="77777777" w:rsidR="00F01BB5" w:rsidRPr="00260C1D" w:rsidRDefault="00F01BB5" w:rsidP="00F01BB5">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lastRenderedPageBreak/>
        <w:t>Notes</w:t>
      </w:r>
    </w:p>
    <w:p w14:paraId="2751BE1E" w14:textId="77777777" w:rsidR="00F01BB5" w:rsidRPr="00260C1D" w:rsidRDefault="00F01BB5" w:rsidP="00F01BB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Split site and multi-campus locations are calculated as separate entities.</w:t>
      </w:r>
    </w:p>
    <w:p w14:paraId="1F2B1767" w14:textId="77777777" w:rsidR="009C4B1E" w:rsidRPr="006E7BBC" w:rsidRDefault="009C4B1E" w:rsidP="009C4B1E">
      <w:pPr>
        <w:spacing w:after="0" w:line="240" w:lineRule="auto"/>
        <w:outlineLvl w:val="1"/>
        <w:rPr>
          <w:rFonts w:ascii="Calibri" w:hAnsi="Calibri" w:cs="Calibri"/>
          <w:b/>
          <w:color w:val="011A3C"/>
          <w:lang w:val="en"/>
        </w:rPr>
      </w:pPr>
      <w:r w:rsidRPr="006E7BBC">
        <w:rPr>
          <w:rFonts w:ascii="Calibri" w:eastAsia="Segoe UI" w:hAnsi="Calibri" w:cs="Calibri"/>
          <w:b/>
          <w:color w:val="011A3C"/>
          <w:sz w:val="27"/>
          <w:szCs w:val="27"/>
        </w:rPr>
        <w:t>Reporting in CASES21</w:t>
      </w:r>
    </w:p>
    <w:p w14:paraId="05F7469D" w14:textId="77777777" w:rsidR="00F01BB5" w:rsidRPr="00260C1D" w:rsidRDefault="00F01BB5" w:rsidP="00F01BB5">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Expenditure should be allocated in CASES21 to the following:</w:t>
      </w:r>
    </w:p>
    <w:p w14:paraId="7A5CB3F9" w14:textId="77777777" w:rsidR="00F01BB5" w:rsidRPr="0082534A" w:rsidRDefault="00F01BB5"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82534A">
        <w:rPr>
          <w:rFonts w:eastAsia="Segoe UI" w:cstheme="minorHAnsi"/>
          <w:color w:val="011A3C"/>
          <w:sz w:val="24"/>
          <w:szCs w:val="24"/>
          <w:lang w:val="en" w:eastAsia="en-AU"/>
        </w:rPr>
        <w:t>Sub Program Code: 6001 – Building Services and Utilities</w:t>
      </w:r>
    </w:p>
    <w:p w14:paraId="407EED08" w14:textId="488E982C" w:rsidR="007B0EF6" w:rsidRPr="00260C1D" w:rsidRDefault="00F01BB5" w:rsidP="00F56244">
      <w:pPr>
        <w:pStyle w:val="ListParagraph"/>
        <w:numPr>
          <w:ilvl w:val="0"/>
          <w:numId w:val="88"/>
        </w:numPr>
        <w:spacing w:before="100" w:beforeAutospacing="1" w:after="100" w:afterAutospacing="1" w:line="360" w:lineRule="atLeast"/>
      </w:pPr>
      <w:r w:rsidRPr="0082534A">
        <w:rPr>
          <w:rFonts w:eastAsia="Segoe UI" w:cstheme="minorHAnsi"/>
          <w:color w:val="011A3C"/>
          <w:sz w:val="24"/>
          <w:szCs w:val="24"/>
          <w:lang w:val="en" w:eastAsia="en-AU"/>
        </w:rPr>
        <w:t>General Ledger Account Code: 86502 – Contract Cleaning</w:t>
      </w:r>
      <w:bookmarkEnd w:id="116"/>
      <w:r w:rsidR="007B0EF6" w:rsidRPr="00260C1D">
        <w:br w:type="page"/>
      </w:r>
    </w:p>
    <w:p w14:paraId="68651DE2" w14:textId="554A2F27" w:rsidR="0076693A" w:rsidRPr="00260C1D" w:rsidRDefault="0076693A" w:rsidP="00532A33">
      <w:pPr>
        <w:pStyle w:val="Heading2"/>
      </w:pPr>
      <w:bookmarkStart w:id="120" w:name="_Toc141965255"/>
      <w:bookmarkStart w:id="121" w:name="_Toc145339585"/>
      <w:bookmarkStart w:id="122" w:name="_Toc153791908"/>
      <w:bookmarkStart w:id="123" w:name="_Hlk65739654"/>
      <w:r w:rsidRPr="00260C1D">
        <w:lastRenderedPageBreak/>
        <w:t>Cross Infection Prevention Allowance (Reference 29)</w:t>
      </w:r>
      <w:bookmarkEnd w:id="120"/>
      <w:bookmarkEnd w:id="121"/>
      <w:bookmarkEnd w:id="122"/>
    </w:p>
    <w:p w14:paraId="737AFC94" w14:textId="7599FDD2" w:rsidR="00EA42F1" w:rsidRPr="00260C1D" w:rsidRDefault="00EA42F1" w:rsidP="00EA42F1">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Additional cleaning funds are provided to special developmental schools and physical disability special schools to reduce the risk of cross infection.</w:t>
      </w:r>
    </w:p>
    <w:p w14:paraId="5B11933F" w14:textId="77777777" w:rsidR="00EA42F1" w:rsidRPr="00260C1D" w:rsidRDefault="00EA42F1" w:rsidP="00EA42F1">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4C4AB300" w14:textId="2E5E5EF3" w:rsidR="00EA42F1" w:rsidRPr="00260C1D" w:rsidRDefault="006C1522" w:rsidP="00EA42F1">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w:t>
      </w:r>
      <w:r w:rsidR="00EA42F1" w:rsidRPr="00260C1D">
        <w:rPr>
          <w:rFonts w:eastAsia="Segoe UI" w:cstheme="minorHAnsi"/>
          <w:color w:val="011A3C"/>
          <w:sz w:val="24"/>
          <w:szCs w:val="24"/>
          <w:lang w:val="en" w:eastAsia="en-AU"/>
        </w:rPr>
        <w:t xml:space="preserve">with the following campus types are eligible for Cross Infection Prevention Allowance at </w:t>
      </w:r>
      <w:r w:rsidR="00931ECA">
        <w:rPr>
          <w:rFonts w:eastAsia="Segoe UI" w:cstheme="minorHAnsi"/>
          <w:color w:val="011A3C"/>
          <w:sz w:val="24"/>
          <w:szCs w:val="24"/>
          <w:lang w:val="en" w:eastAsia="en-AU"/>
        </w:rPr>
        <w:t xml:space="preserve">a </w:t>
      </w:r>
      <w:r w:rsidR="00EA42F1" w:rsidRPr="00260C1D">
        <w:rPr>
          <w:rFonts w:eastAsia="Segoe UI" w:cstheme="minorHAnsi"/>
          <w:color w:val="011A3C"/>
          <w:sz w:val="24"/>
          <w:szCs w:val="24"/>
          <w:lang w:val="en" w:eastAsia="en-AU"/>
        </w:rPr>
        <w:t>campus level:</w:t>
      </w:r>
    </w:p>
    <w:p w14:paraId="68C1DC0B" w14:textId="77777777" w:rsidR="00EA42F1" w:rsidRPr="00260C1D" w:rsidRDefault="00EA42F1"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Special development</w:t>
      </w:r>
    </w:p>
    <w:p w14:paraId="7023720D" w14:textId="04A021A0" w:rsidR="00EA42F1" w:rsidRPr="00260C1D" w:rsidRDefault="00EA42F1"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Disability</w:t>
      </w:r>
    </w:p>
    <w:p w14:paraId="0E36BACA" w14:textId="030A244E" w:rsidR="00FC586C" w:rsidRPr="00260C1D" w:rsidRDefault="00FC586C"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Day Special</w:t>
      </w:r>
    </w:p>
    <w:p w14:paraId="371F835B" w14:textId="62C23020" w:rsidR="00FC586C" w:rsidRPr="00260C1D" w:rsidRDefault="00FC586C"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Special</w:t>
      </w:r>
    </w:p>
    <w:p w14:paraId="339AD141" w14:textId="018C3D65" w:rsidR="004C0591" w:rsidRPr="00720A0F" w:rsidRDefault="00EA42F1" w:rsidP="00720A0F">
      <w:pPr>
        <w:spacing w:before="100" w:beforeAutospacing="1" w:after="100" w:afterAutospacing="1" w:line="360" w:lineRule="atLeast"/>
        <w:rPr>
          <w:rFonts w:eastAsia="Segoe UI" w:cstheme="minorHAnsi"/>
          <w:color w:val="011A3C"/>
          <w:sz w:val="24"/>
          <w:szCs w:val="24"/>
          <w:lang w:val="en" w:eastAsia="en-AU"/>
        </w:rPr>
      </w:pPr>
      <w:r w:rsidRPr="00720A0F">
        <w:rPr>
          <w:rFonts w:eastAsia="Segoe UI" w:cstheme="minorHAnsi"/>
          <w:color w:val="011A3C"/>
          <w:sz w:val="24"/>
          <w:szCs w:val="24"/>
          <w:lang w:val="en" w:eastAsia="en-AU"/>
        </w:rPr>
        <w:t>Funding is calculated at the Indicative, Confirmed and Revised cycles</w:t>
      </w:r>
      <w:r w:rsidR="00BC1A31">
        <w:rPr>
          <w:rFonts w:eastAsia="Segoe UI" w:cstheme="minorHAnsi"/>
          <w:color w:val="011A3C"/>
          <w:sz w:val="24"/>
          <w:szCs w:val="24"/>
          <w:lang w:val="en" w:eastAsia="en-AU"/>
        </w:rPr>
        <w:t xml:space="preserve">. Funding </w:t>
      </w:r>
      <w:r w:rsidRPr="00720A0F">
        <w:rPr>
          <w:rFonts w:eastAsia="Segoe UI" w:cstheme="minorHAnsi"/>
          <w:color w:val="011A3C"/>
          <w:sz w:val="24"/>
          <w:szCs w:val="24"/>
          <w:lang w:val="en" w:eastAsia="en-AU"/>
        </w:rPr>
        <w:t xml:space="preserve">is </w:t>
      </w:r>
      <w:r w:rsidR="00BB4781">
        <w:rPr>
          <w:rFonts w:eastAsia="Segoe UI" w:cstheme="minorHAnsi"/>
          <w:color w:val="011A3C"/>
          <w:sz w:val="24"/>
          <w:szCs w:val="24"/>
          <w:lang w:val="en" w:eastAsia="en-AU"/>
        </w:rPr>
        <w:t>allocated</w:t>
      </w:r>
      <w:r w:rsidRPr="00720A0F">
        <w:rPr>
          <w:rFonts w:eastAsia="Segoe UI" w:cstheme="minorHAnsi"/>
          <w:color w:val="011A3C"/>
          <w:sz w:val="24"/>
          <w:szCs w:val="24"/>
          <w:lang w:val="en" w:eastAsia="en-AU"/>
        </w:rPr>
        <w:t xml:space="preserve"> through cash funding.</w:t>
      </w:r>
      <w:r w:rsidR="004C0591" w:rsidRPr="00720A0F">
        <w:rPr>
          <w:rFonts w:eastAsia="Segoe UI" w:cstheme="minorHAnsi"/>
          <w:color w:val="011A3C"/>
          <w:sz w:val="24"/>
          <w:szCs w:val="24"/>
          <w:lang w:val="en" w:eastAsia="en-AU"/>
        </w:rPr>
        <w:t xml:space="preserve"> </w:t>
      </w:r>
    </w:p>
    <w:p w14:paraId="5038B672" w14:textId="1C2F2B8F" w:rsidR="00EA42F1" w:rsidRPr="00260C1D" w:rsidRDefault="00EA42F1" w:rsidP="00B846F8">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202</w:t>
      </w:r>
      <w:r w:rsidR="007359F7">
        <w:rPr>
          <w:rFonts w:eastAsia="Segoe UI" w:cstheme="minorHAnsi"/>
          <w:b/>
          <w:color w:val="011A3C"/>
          <w:sz w:val="27"/>
          <w:szCs w:val="27"/>
          <w:lang w:val="en" w:eastAsia="en-AU"/>
        </w:rPr>
        <w:t>4</w:t>
      </w:r>
    </w:p>
    <w:p w14:paraId="6449EF92" w14:textId="77777777" w:rsidR="003E3528" w:rsidRDefault="00117C90"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82534A">
        <w:rPr>
          <w:rFonts w:eastAsia="Segoe UI" w:cstheme="minorHAnsi"/>
          <w:color w:val="011A3C"/>
          <w:sz w:val="24"/>
          <w:szCs w:val="24"/>
          <w:lang w:val="en" w:eastAsia="en-AU"/>
        </w:rPr>
        <w:t xml:space="preserve">A flat rate is provided for </w:t>
      </w:r>
      <w:r w:rsidR="008E7838" w:rsidRPr="0082534A">
        <w:rPr>
          <w:rFonts w:eastAsia="Segoe UI" w:cstheme="minorHAnsi"/>
          <w:color w:val="011A3C"/>
          <w:sz w:val="24"/>
          <w:szCs w:val="24"/>
          <w:lang w:val="en" w:eastAsia="en-AU"/>
        </w:rPr>
        <w:t xml:space="preserve">eligible </w:t>
      </w:r>
      <w:r w:rsidR="008F4825" w:rsidRPr="0082534A">
        <w:rPr>
          <w:rFonts w:eastAsia="Segoe UI" w:cstheme="minorHAnsi"/>
          <w:color w:val="011A3C"/>
          <w:sz w:val="24"/>
          <w:szCs w:val="24"/>
          <w:lang w:val="en" w:eastAsia="en-AU"/>
        </w:rPr>
        <w:t>schools</w:t>
      </w:r>
      <w:r w:rsidR="00BB4781">
        <w:rPr>
          <w:rFonts w:eastAsia="Segoe UI" w:cstheme="minorHAnsi"/>
          <w:color w:val="011A3C"/>
          <w:sz w:val="24"/>
          <w:szCs w:val="24"/>
          <w:lang w:val="en" w:eastAsia="en-AU"/>
        </w:rPr>
        <w:t>:</w:t>
      </w:r>
      <w:r w:rsidR="008F4825" w:rsidRPr="0082534A">
        <w:rPr>
          <w:rFonts w:eastAsia="Segoe UI" w:cstheme="minorHAnsi"/>
          <w:color w:val="011A3C"/>
          <w:sz w:val="24"/>
          <w:szCs w:val="24"/>
          <w:lang w:val="en" w:eastAsia="en-AU"/>
        </w:rPr>
        <w:t xml:space="preserve"> </w:t>
      </w:r>
      <w:r w:rsidR="00337C31" w:rsidRPr="0082534A">
        <w:rPr>
          <w:rFonts w:eastAsia="Segoe UI" w:cstheme="minorHAnsi"/>
          <w:color w:val="011A3C"/>
          <w:sz w:val="24"/>
          <w:szCs w:val="24"/>
          <w:lang w:val="en" w:eastAsia="en-AU"/>
        </w:rPr>
        <w:t>$</w:t>
      </w:r>
      <w:r w:rsidR="00926AE1" w:rsidRPr="00926AE1">
        <w:rPr>
          <w:rFonts w:eastAsia="Segoe UI" w:cstheme="minorHAnsi"/>
          <w:color w:val="011A3C"/>
          <w:sz w:val="24"/>
          <w:szCs w:val="24"/>
          <w:lang w:val="en" w:eastAsia="en-AU"/>
        </w:rPr>
        <w:t>14,038</w:t>
      </w:r>
    </w:p>
    <w:p w14:paraId="201BB1F3" w14:textId="77777777" w:rsidR="003E3528" w:rsidRPr="006E7BBC" w:rsidRDefault="003E3528" w:rsidP="003E3528">
      <w:pPr>
        <w:spacing w:after="0" w:line="240" w:lineRule="auto"/>
        <w:outlineLvl w:val="1"/>
        <w:rPr>
          <w:rFonts w:ascii="Calibri" w:hAnsi="Calibri" w:cs="Calibri"/>
          <w:b/>
          <w:color w:val="011A3C"/>
          <w:lang w:val="en"/>
        </w:rPr>
      </w:pPr>
      <w:r w:rsidRPr="006E7BBC">
        <w:rPr>
          <w:rFonts w:ascii="Calibri" w:eastAsia="Segoe UI" w:hAnsi="Calibri" w:cs="Calibri"/>
          <w:b/>
          <w:color w:val="011A3C"/>
          <w:sz w:val="27"/>
          <w:szCs w:val="27"/>
        </w:rPr>
        <w:t>Reporting in CASES21</w:t>
      </w:r>
    </w:p>
    <w:p w14:paraId="61866CB3" w14:textId="77777777" w:rsidR="003E3528" w:rsidRPr="00260C1D" w:rsidRDefault="003E3528" w:rsidP="003E3528">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Expenditure should be allocated in CASES21 to the following:</w:t>
      </w:r>
    </w:p>
    <w:p w14:paraId="7D04FC6B" w14:textId="77777777" w:rsidR="003E3528" w:rsidRPr="00260C1D" w:rsidRDefault="003E3528" w:rsidP="003E3528">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Sub Program Code: 6001 – Building Services and Utilities</w:t>
      </w:r>
    </w:p>
    <w:p w14:paraId="43549C91" w14:textId="77777777" w:rsidR="003E3528" w:rsidRPr="00260C1D" w:rsidRDefault="003E3528" w:rsidP="003E3528">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General Ledger Account Code: 86502 – Contract Cleaning</w:t>
      </w:r>
    </w:p>
    <w:p w14:paraId="0A386788" w14:textId="0FEECA3F" w:rsidR="0076693A" w:rsidRPr="0082534A" w:rsidRDefault="0076693A" w:rsidP="00833928">
      <w:pPr>
        <w:pStyle w:val="ListParagraph"/>
        <w:spacing w:before="100" w:beforeAutospacing="1" w:after="100" w:afterAutospacing="1" w:line="360" w:lineRule="atLeast"/>
        <w:rPr>
          <w:rFonts w:eastAsia="Segoe UI" w:cstheme="minorHAnsi"/>
          <w:color w:val="011A3C"/>
          <w:sz w:val="24"/>
          <w:szCs w:val="24"/>
          <w:lang w:val="en" w:eastAsia="en-AU"/>
        </w:rPr>
      </w:pPr>
      <w:r w:rsidRPr="0082534A">
        <w:rPr>
          <w:rFonts w:eastAsia="Segoe UI" w:cstheme="minorHAnsi"/>
          <w:color w:val="011A3C"/>
          <w:sz w:val="24"/>
          <w:szCs w:val="24"/>
          <w:lang w:val="en" w:eastAsia="en-AU"/>
        </w:rPr>
        <w:br w:type="page"/>
      </w:r>
    </w:p>
    <w:p w14:paraId="30E88C9F" w14:textId="76E2A529" w:rsidR="0076693A" w:rsidRPr="00260C1D" w:rsidRDefault="0076693A" w:rsidP="00532A33">
      <w:pPr>
        <w:pStyle w:val="Heading2"/>
      </w:pPr>
      <w:bookmarkStart w:id="124" w:name="_Toc141965256"/>
      <w:bookmarkStart w:id="125" w:name="_Toc145339586"/>
      <w:bookmarkStart w:id="126" w:name="_Toc153791909"/>
      <w:bookmarkEnd w:id="123"/>
      <w:r w:rsidRPr="00260C1D">
        <w:lastRenderedPageBreak/>
        <w:t>Cleaning Minimum Allowance (Reference 30)</w:t>
      </w:r>
      <w:bookmarkEnd w:id="124"/>
      <w:bookmarkEnd w:id="125"/>
      <w:bookmarkEnd w:id="126"/>
    </w:p>
    <w:p w14:paraId="64677CC9" w14:textId="641CE5CB" w:rsidR="0076693A" w:rsidRPr="00260C1D" w:rsidRDefault="0076693A" w:rsidP="0076693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 minimum </w:t>
      </w:r>
      <w:r w:rsidR="008E7838" w:rsidRPr="00260C1D">
        <w:rPr>
          <w:rFonts w:eastAsia="Segoe UI" w:cstheme="minorHAnsi"/>
          <w:color w:val="011A3C"/>
          <w:sz w:val="24"/>
          <w:szCs w:val="24"/>
          <w:lang w:val="en" w:eastAsia="en-AU"/>
        </w:rPr>
        <w:t xml:space="preserve">allowance </w:t>
      </w:r>
      <w:r w:rsidRPr="00260C1D">
        <w:rPr>
          <w:rFonts w:eastAsia="Segoe UI" w:cstheme="minorHAnsi"/>
          <w:color w:val="011A3C"/>
          <w:sz w:val="24"/>
          <w:szCs w:val="24"/>
          <w:lang w:val="en" w:eastAsia="en-AU"/>
        </w:rPr>
        <w:t xml:space="preserve">is applied to schools and </w:t>
      </w:r>
      <w:proofErr w:type="spellStart"/>
      <w:r w:rsidR="008F4825" w:rsidRPr="00260C1D">
        <w:rPr>
          <w:rFonts w:eastAsia="Segoe UI" w:cstheme="minorHAnsi"/>
          <w:color w:val="011A3C"/>
          <w:sz w:val="24"/>
          <w:szCs w:val="24"/>
          <w:lang w:val="en" w:eastAsia="en-AU"/>
        </w:rPr>
        <w:t>centres</w:t>
      </w:r>
      <w:proofErr w:type="spellEnd"/>
      <w:r w:rsidR="008F4825" w:rsidRPr="00260C1D">
        <w:rPr>
          <w:rFonts w:eastAsia="Segoe UI" w:cstheme="minorHAnsi"/>
          <w:color w:val="011A3C"/>
          <w:sz w:val="24"/>
          <w:szCs w:val="24"/>
          <w:lang w:val="en" w:eastAsia="en-AU"/>
        </w:rPr>
        <w:t>, that</w:t>
      </w:r>
      <w:r w:rsidR="00E14875"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are not included in the metropolitan area-based cleaning model.  </w:t>
      </w:r>
    </w:p>
    <w:p w14:paraId="242EC633" w14:textId="5B1BF996" w:rsidR="00947063" w:rsidRPr="00260C1D" w:rsidRDefault="00947063" w:rsidP="0076693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calculated at the Indicative, Confirmed and Revised cycles</w:t>
      </w:r>
      <w:r w:rsidR="00BB4781">
        <w:rPr>
          <w:rFonts w:eastAsia="Segoe UI" w:cstheme="minorHAnsi"/>
          <w:color w:val="011A3C"/>
          <w:sz w:val="24"/>
          <w:szCs w:val="24"/>
          <w:lang w:val="en" w:eastAsia="en-AU"/>
        </w:rPr>
        <w:t>. Funding is allocated</w:t>
      </w:r>
      <w:r w:rsidRPr="00260C1D">
        <w:rPr>
          <w:rFonts w:eastAsia="Segoe UI" w:cstheme="minorHAnsi"/>
          <w:color w:val="011A3C"/>
          <w:sz w:val="24"/>
          <w:szCs w:val="24"/>
          <w:lang w:val="en" w:eastAsia="en-AU"/>
        </w:rPr>
        <w:t xml:space="preserve"> through cash funding.</w:t>
      </w:r>
    </w:p>
    <w:p w14:paraId="712B20BB" w14:textId="77AE5E7E" w:rsidR="0076693A" w:rsidRPr="00260C1D" w:rsidRDefault="0076693A" w:rsidP="0076693A">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202</w:t>
      </w:r>
      <w:r w:rsidR="00926AE1">
        <w:rPr>
          <w:rFonts w:eastAsia="Segoe UI" w:cstheme="minorHAnsi"/>
          <w:b/>
          <w:color w:val="011A3C"/>
          <w:sz w:val="27"/>
          <w:szCs w:val="27"/>
          <w:lang w:val="en" w:eastAsia="en-AU"/>
        </w:rPr>
        <w:t>4</w:t>
      </w:r>
    </w:p>
    <w:p w14:paraId="1DA7A916" w14:textId="776BEF19" w:rsidR="0076693A" w:rsidRPr="00260C1D" w:rsidRDefault="0076693A" w:rsidP="00550811">
      <w:pPr>
        <w:spacing w:before="100" w:beforeAutospacing="1" w:after="100" w:afterAutospacing="1" w:line="360" w:lineRule="atLeast"/>
        <w:rPr>
          <w:rFonts w:cstheme="minorHAnsi"/>
        </w:rPr>
      </w:pPr>
      <w:r w:rsidRPr="00260C1D">
        <w:rPr>
          <w:rFonts w:eastAsia="Segoe UI" w:cstheme="minorHAnsi"/>
          <w:color w:val="011A3C"/>
          <w:sz w:val="24"/>
          <w:szCs w:val="24"/>
          <w:lang w:val="en" w:eastAsia="en-AU"/>
        </w:rPr>
        <w:t xml:space="preserve">Minimum: </w:t>
      </w:r>
      <w:r w:rsidR="00337C31" w:rsidRPr="00260C1D">
        <w:rPr>
          <w:rFonts w:eastAsia="Segoe UI" w:cstheme="minorHAnsi"/>
          <w:color w:val="011A3C"/>
          <w:sz w:val="24"/>
          <w:szCs w:val="24"/>
          <w:lang w:val="en" w:eastAsia="en-AU"/>
        </w:rPr>
        <w:t>$</w:t>
      </w:r>
      <w:r w:rsidR="00926AE1" w:rsidRPr="00926AE1">
        <w:rPr>
          <w:rFonts w:eastAsia="Segoe UI" w:cstheme="minorHAnsi"/>
          <w:color w:val="011A3C"/>
          <w:sz w:val="24"/>
          <w:szCs w:val="24"/>
          <w:lang w:val="en" w:eastAsia="en-AU"/>
        </w:rPr>
        <w:t>6,268</w:t>
      </w:r>
    </w:p>
    <w:p w14:paraId="6DB94CC2" w14:textId="77777777" w:rsidR="00CF63FD" w:rsidRPr="006E7BBC" w:rsidRDefault="00CF63FD" w:rsidP="00CF63FD">
      <w:pPr>
        <w:spacing w:after="0" w:line="240" w:lineRule="auto"/>
        <w:outlineLvl w:val="1"/>
        <w:rPr>
          <w:rFonts w:ascii="Calibri" w:hAnsi="Calibri" w:cs="Calibri"/>
          <w:b/>
          <w:color w:val="011A3C"/>
          <w:lang w:val="en"/>
        </w:rPr>
      </w:pPr>
      <w:r w:rsidRPr="006E7BBC">
        <w:rPr>
          <w:rFonts w:ascii="Calibri" w:eastAsia="Segoe UI" w:hAnsi="Calibri" w:cs="Calibri"/>
          <w:b/>
          <w:color w:val="011A3C"/>
          <w:sz w:val="27"/>
          <w:szCs w:val="27"/>
        </w:rPr>
        <w:t>Reporting in CASES21</w:t>
      </w:r>
    </w:p>
    <w:p w14:paraId="78C2968C" w14:textId="77777777" w:rsidR="00CF63FD" w:rsidRPr="00260C1D" w:rsidRDefault="00CF63FD" w:rsidP="00CF63FD">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Expenditure should be allocated in CASES21 to the following:</w:t>
      </w:r>
    </w:p>
    <w:p w14:paraId="5C168499" w14:textId="77777777" w:rsidR="00CF63FD" w:rsidRPr="00260C1D" w:rsidRDefault="00CF63FD" w:rsidP="00CF63FD">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Sub Program Code: 6001 – Building Services and Utilities</w:t>
      </w:r>
    </w:p>
    <w:p w14:paraId="66E9D8A4" w14:textId="77777777" w:rsidR="00CF63FD" w:rsidRPr="00260C1D" w:rsidRDefault="00CF63FD" w:rsidP="00CF63FD">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General Ledger Account Code: 86502 – Contract Cleaning</w:t>
      </w:r>
    </w:p>
    <w:p w14:paraId="440E7F11" w14:textId="5A414892" w:rsidR="0076693A" w:rsidRPr="00260C1D" w:rsidRDefault="0076693A" w:rsidP="0076693A">
      <w:pPr>
        <w:rPr>
          <w:rFonts w:cstheme="minorHAnsi"/>
        </w:rPr>
      </w:pPr>
      <w:r w:rsidRPr="00260C1D">
        <w:rPr>
          <w:rFonts w:cstheme="minorHAnsi"/>
        </w:rPr>
        <w:br w:type="page"/>
      </w:r>
    </w:p>
    <w:p w14:paraId="7D56A57B" w14:textId="77777777" w:rsidR="00F01BB5" w:rsidRPr="00260C1D" w:rsidRDefault="00F01BB5" w:rsidP="00532A33">
      <w:pPr>
        <w:pStyle w:val="Heading2"/>
      </w:pPr>
      <w:bookmarkStart w:id="127" w:name="_Toc141965257"/>
      <w:bookmarkStart w:id="128" w:name="_Toc145339587"/>
      <w:bookmarkStart w:id="129" w:name="_Toc153791910"/>
      <w:r w:rsidRPr="00260C1D">
        <w:lastRenderedPageBreak/>
        <w:t>Grounds Allowance (Reference 31)</w:t>
      </w:r>
      <w:bookmarkEnd w:id="127"/>
      <w:bookmarkEnd w:id="128"/>
      <w:bookmarkEnd w:id="129"/>
    </w:p>
    <w:p w14:paraId="7A6FAEC7" w14:textId="680D9880" w:rsidR="00F01BB5" w:rsidRPr="00260C1D" w:rsidRDefault="009B124F" w:rsidP="00F01BB5">
      <w:pPr>
        <w:rPr>
          <w:rFonts w:cstheme="minorHAnsi"/>
          <w:color w:val="011A3C"/>
          <w:sz w:val="24"/>
          <w:szCs w:val="24"/>
        </w:rPr>
      </w:pPr>
      <w:r w:rsidRPr="00260C1D">
        <w:rPr>
          <w:rFonts w:eastAsia="Segoe UI" w:cstheme="minorHAnsi"/>
          <w:color w:val="011A3C"/>
          <w:sz w:val="24"/>
          <w:szCs w:val="24"/>
          <w:lang w:val="en" w:eastAsia="en-AU"/>
        </w:rPr>
        <w:t xml:space="preserve">The Student Resource Package (SRP) </w:t>
      </w:r>
      <w:r w:rsidR="00F01BB5" w:rsidRPr="00260C1D">
        <w:rPr>
          <w:rFonts w:eastAsia="Segoe UI" w:cstheme="minorHAnsi"/>
          <w:color w:val="011A3C"/>
          <w:sz w:val="24"/>
          <w:szCs w:val="24"/>
          <w:lang w:val="en" w:eastAsia="en-AU"/>
        </w:rPr>
        <w:t>Grounds Allowance is provided to schools to ensure the grounds of the school are properly maintained.</w:t>
      </w:r>
    </w:p>
    <w:p w14:paraId="2990FABB" w14:textId="77777777" w:rsidR="00F01BB5" w:rsidRPr="00260C1D" w:rsidRDefault="00F01BB5" w:rsidP="00F01BB5">
      <w:pPr>
        <w:rPr>
          <w:rFonts w:cstheme="minorHAnsi"/>
          <w:color w:val="011A3C"/>
          <w:sz w:val="24"/>
          <w:szCs w:val="24"/>
        </w:rPr>
      </w:pPr>
      <w:r w:rsidRPr="00260C1D">
        <w:rPr>
          <w:rFonts w:eastAsia="Segoe UI" w:cstheme="minorHAnsi"/>
          <w:color w:val="011A3C"/>
          <w:sz w:val="24"/>
          <w:szCs w:val="24"/>
          <w:lang w:val="en" w:eastAsia="en-AU"/>
        </w:rPr>
        <w:t>The types of specific tasks that should be undertaken include:</w:t>
      </w:r>
    </w:p>
    <w:p w14:paraId="00D244D2" w14:textId="1FC6F32C" w:rsidR="00853C62" w:rsidRDefault="00C66AA8" w:rsidP="00833928">
      <w:pPr>
        <w:pStyle w:val="ListParagraph"/>
        <w:numPr>
          <w:ilvl w:val="0"/>
          <w:numId w:val="88"/>
        </w:numPr>
        <w:tabs>
          <w:tab w:val="clear" w:pos="720"/>
          <w:tab w:val="num" w:pos="1134"/>
        </w:tabs>
        <w:spacing w:before="100" w:beforeAutospacing="1" w:after="100" w:afterAutospacing="1" w:line="360" w:lineRule="atLeast"/>
        <w:ind w:left="1134" w:hanging="708"/>
        <w:rPr>
          <w:rFonts w:eastAsia="Segoe UI" w:cstheme="minorHAnsi"/>
          <w:color w:val="011A3C"/>
          <w:sz w:val="24"/>
          <w:szCs w:val="24"/>
          <w:lang w:val="en" w:eastAsia="en-AU"/>
        </w:rPr>
      </w:pPr>
      <w:r>
        <w:rPr>
          <w:rFonts w:eastAsia="Segoe UI" w:cstheme="minorHAnsi"/>
          <w:color w:val="011A3C"/>
          <w:sz w:val="24"/>
          <w:szCs w:val="24"/>
          <w:lang w:val="en" w:eastAsia="en-AU"/>
        </w:rPr>
        <w:t>G</w:t>
      </w:r>
      <w:r w:rsidR="00853C62" w:rsidRPr="00FD20EF">
        <w:rPr>
          <w:rFonts w:eastAsia="Segoe UI" w:cstheme="minorHAnsi"/>
          <w:color w:val="011A3C"/>
          <w:sz w:val="24"/>
          <w:szCs w:val="24"/>
          <w:lang w:val="en" w:eastAsia="en-AU"/>
        </w:rPr>
        <w:t xml:space="preserve">ardens and grounds maintenance </w:t>
      </w:r>
      <w:r w:rsidR="00853C62">
        <w:rPr>
          <w:rFonts w:eastAsia="Segoe UI" w:cstheme="minorHAnsi"/>
          <w:color w:val="011A3C"/>
          <w:sz w:val="24"/>
          <w:szCs w:val="24"/>
          <w:lang w:val="en" w:eastAsia="en-AU"/>
        </w:rPr>
        <w:t>(including mowing)</w:t>
      </w:r>
    </w:p>
    <w:p w14:paraId="1DA6D175" w14:textId="2E6B9DC7" w:rsidR="00853C62" w:rsidRPr="00FD20EF" w:rsidRDefault="00853C62" w:rsidP="00833928">
      <w:pPr>
        <w:pStyle w:val="ListParagraph"/>
        <w:numPr>
          <w:ilvl w:val="0"/>
          <w:numId w:val="88"/>
        </w:numPr>
        <w:tabs>
          <w:tab w:val="clear" w:pos="720"/>
          <w:tab w:val="num" w:pos="1134"/>
        </w:tabs>
        <w:spacing w:before="100" w:beforeAutospacing="1" w:after="100" w:afterAutospacing="1" w:line="360" w:lineRule="atLeast"/>
        <w:ind w:left="1134" w:hanging="708"/>
        <w:rPr>
          <w:rFonts w:eastAsia="Segoe UI" w:cstheme="minorHAnsi"/>
          <w:color w:val="011A3C"/>
          <w:sz w:val="24"/>
          <w:szCs w:val="24"/>
          <w:lang w:val="en" w:eastAsia="en-AU"/>
        </w:rPr>
      </w:pPr>
      <w:r w:rsidRPr="00FD20EF">
        <w:rPr>
          <w:rFonts w:eastAsia="Segoe UI" w:cstheme="minorHAnsi"/>
          <w:color w:val="011A3C"/>
          <w:sz w:val="24"/>
          <w:szCs w:val="24"/>
          <w:lang w:val="en" w:eastAsia="en-AU"/>
        </w:rPr>
        <w:t>Landscaping work</w:t>
      </w:r>
    </w:p>
    <w:p w14:paraId="23BE2C94" w14:textId="77777777" w:rsidR="00853C62" w:rsidRPr="0082534A" w:rsidRDefault="00853C62" w:rsidP="00833928">
      <w:pPr>
        <w:pStyle w:val="ListParagraph"/>
        <w:numPr>
          <w:ilvl w:val="0"/>
          <w:numId w:val="88"/>
        </w:numPr>
        <w:tabs>
          <w:tab w:val="clear" w:pos="720"/>
          <w:tab w:val="num" w:pos="1134"/>
        </w:tabs>
        <w:spacing w:before="100" w:beforeAutospacing="1" w:after="100" w:afterAutospacing="1" w:line="360" w:lineRule="atLeast"/>
        <w:ind w:left="1134" w:hanging="708"/>
        <w:rPr>
          <w:rFonts w:eastAsia="Segoe UI" w:cstheme="minorHAnsi"/>
          <w:color w:val="011A3C"/>
          <w:sz w:val="24"/>
          <w:szCs w:val="24"/>
          <w:lang w:val="en" w:eastAsia="en-AU"/>
        </w:rPr>
      </w:pPr>
      <w:r>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ports field maintenance</w:t>
      </w:r>
    </w:p>
    <w:p w14:paraId="51C0FC26" w14:textId="77777777" w:rsidR="00853C62" w:rsidRDefault="00853C62" w:rsidP="00833928">
      <w:pPr>
        <w:pStyle w:val="ListParagraph"/>
        <w:numPr>
          <w:ilvl w:val="0"/>
          <w:numId w:val="88"/>
        </w:numPr>
        <w:tabs>
          <w:tab w:val="clear" w:pos="720"/>
          <w:tab w:val="num" w:pos="1134"/>
        </w:tabs>
        <w:spacing w:before="100" w:beforeAutospacing="1" w:after="100" w:afterAutospacing="1" w:line="360" w:lineRule="atLeast"/>
        <w:ind w:left="1134" w:hanging="708"/>
        <w:rPr>
          <w:rFonts w:eastAsia="Segoe UI" w:cstheme="minorHAnsi"/>
          <w:color w:val="011A3C"/>
          <w:sz w:val="24"/>
          <w:szCs w:val="24"/>
          <w:lang w:val="en" w:eastAsia="en-AU"/>
        </w:rPr>
      </w:pPr>
      <w:r>
        <w:rPr>
          <w:rFonts w:eastAsia="Segoe UI" w:cstheme="minorHAnsi"/>
          <w:color w:val="011A3C"/>
          <w:sz w:val="24"/>
          <w:szCs w:val="24"/>
          <w:lang w:val="en" w:eastAsia="en-AU"/>
        </w:rPr>
        <w:t>D</w:t>
      </w:r>
      <w:r w:rsidRPr="00260C1D">
        <w:rPr>
          <w:rFonts w:eastAsia="Segoe UI" w:cstheme="minorHAnsi"/>
          <w:color w:val="011A3C"/>
          <w:sz w:val="24"/>
          <w:szCs w:val="24"/>
          <w:lang w:val="en" w:eastAsia="en-AU"/>
        </w:rPr>
        <w:t>rainage and flooding issues</w:t>
      </w:r>
    </w:p>
    <w:p w14:paraId="73961FD8" w14:textId="77777777" w:rsidR="00853C62" w:rsidRDefault="00853C62" w:rsidP="00853C62">
      <w:pPr>
        <w:pStyle w:val="ListParagraph"/>
        <w:numPr>
          <w:ilvl w:val="0"/>
          <w:numId w:val="88"/>
        </w:numPr>
        <w:tabs>
          <w:tab w:val="clear" w:pos="720"/>
          <w:tab w:val="num" w:pos="1134"/>
        </w:tabs>
        <w:spacing w:before="100" w:beforeAutospacing="1" w:after="100" w:afterAutospacing="1" w:line="360" w:lineRule="atLeast"/>
        <w:ind w:left="1134" w:hanging="708"/>
        <w:rPr>
          <w:rFonts w:eastAsia="Segoe UI" w:cstheme="minorHAnsi"/>
          <w:color w:val="011A3C"/>
          <w:sz w:val="24"/>
          <w:szCs w:val="24"/>
          <w:lang w:val="en" w:eastAsia="en-AU"/>
        </w:rPr>
      </w:pPr>
      <w:r>
        <w:rPr>
          <w:rFonts w:eastAsia="Segoe UI" w:cstheme="minorHAnsi"/>
          <w:color w:val="011A3C"/>
          <w:sz w:val="24"/>
          <w:szCs w:val="24"/>
          <w:lang w:val="en" w:eastAsia="en-AU"/>
        </w:rPr>
        <w:t>Asphalt works, paving, concrete pathways</w:t>
      </w:r>
    </w:p>
    <w:p w14:paraId="408FAEBC" w14:textId="38F23241" w:rsidR="008C2C1E" w:rsidRDefault="008C2C1E" w:rsidP="009B4DE1">
      <w:pPr>
        <w:pStyle w:val="ListParagraph"/>
        <w:numPr>
          <w:ilvl w:val="0"/>
          <w:numId w:val="88"/>
        </w:numPr>
        <w:tabs>
          <w:tab w:val="clear" w:pos="720"/>
          <w:tab w:val="num" w:pos="1134"/>
        </w:tabs>
        <w:spacing w:before="100" w:beforeAutospacing="1" w:after="100" w:afterAutospacing="1" w:line="360" w:lineRule="atLeast"/>
        <w:ind w:left="1134" w:hanging="708"/>
        <w:rPr>
          <w:rFonts w:eastAsia="Segoe UI" w:cstheme="minorHAnsi"/>
          <w:color w:val="011A3C"/>
          <w:sz w:val="24"/>
          <w:szCs w:val="24"/>
          <w:lang w:val="en" w:eastAsia="en-AU"/>
        </w:rPr>
      </w:pPr>
      <w:r>
        <w:rPr>
          <w:rFonts w:eastAsia="Segoe UI" w:cstheme="minorHAnsi"/>
          <w:color w:val="011A3C"/>
          <w:sz w:val="24"/>
          <w:szCs w:val="24"/>
          <w:lang w:val="en" w:eastAsia="en-AU"/>
        </w:rPr>
        <w:t>Fencing</w:t>
      </w:r>
    </w:p>
    <w:p w14:paraId="6150A87D" w14:textId="79F89685" w:rsidR="00853C62" w:rsidRPr="0082534A" w:rsidRDefault="00853C62" w:rsidP="009B4DE1">
      <w:pPr>
        <w:pStyle w:val="ListParagraph"/>
        <w:numPr>
          <w:ilvl w:val="0"/>
          <w:numId w:val="88"/>
        </w:numPr>
        <w:tabs>
          <w:tab w:val="clear" w:pos="720"/>
          <w:tab w:val="num" w:pos="1134"/>
        </w:tabs>
        <w:spacing w:before="100" w:beforeAutospacing="1" w:after="100" w:afterAutospacing="1" w:line="360" w:lineRule="atLeast"/>
        <w:ind w:left="1134" w:hanging="708"/>
        <w:rPr>
          <w:rFonts w:eastAsia="Segoe UI" w:cstheme="minorHAnsi"/>
          <w:color w:val="011A3C"/>
          <w:sz w:val="24"/>
          <w:szCs w:val="24"/>
          <w:lang w:val="en" w:eastAsia="en-AU"/>
        </w:rPr>
      </w:pPr>
      <w:r>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ree management</w:t>
      </w:r>
      <w:r>
        <w:rPr>
          <w:rFonts w:eastAsia="Segoe UI" w:cstheme="minorHAnsi"/>
          <w:color w:val="011A3C"/>
          <w:sz w:val="24"/>
          <w:szCs w:val="24"/>
          <w:lang w:val="en" w:eastAsia="en-AU"/>
        </w:rPr>
        <w:t xml:space="preserve"> (unless part of the Safe Trees Program – see 6222 under Maintenance and Minor </w:t>
      </w:r>
      <w:r w:rsidR="003A19D4">
        <w:rPr>
          <w:rFonts w:eastAsia="Segoe UI" w:cstheme="minorHAnsi"/>
          <w:color w:val="011A3C"/>
          <w:sz w:val="24"/>
          <w:szCs w:val="24"/>
          <w:lang w:val="en" w:eastAsia="en-AU"/>
        </w:rPr>
        <w:t>W</w:t>
      </w:r>
      <w:r>
        <w:rPr>
          <w:rFonts w:eastAsia="Segoe UI" w:cstheme="minorHAnsi"/>
          <w:color w:val="011A3C"/>
          <w:sz w:val="24"/>
          <w:szCs w:val="24"/>
          <w:lang w:val="en" w:eastAsia="en-AU"/>
        </w:rPr>
        <w:t>orks)</w:t>
      </w:r>
    </w:p>
    <w:p w14:paraId="111CE301" w14:textId="77777777" w:rsidR="00853C62" w:rsidRDefault="00F01BB5" w:rsidP="00853C62">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that have already taken part in the Rolling Facilities Evaluation should be using the School Maintenance Plan portal to plan and schedule maintenance tasks. </w:t>
      </w:r>
    </w:p>
    <w:p w14:paraId="166D155B" w14:textId="3822261C" w:rsidR="00F01BB5" w:rsidRPr="00260C1D" w:rsidRDefault="00F01BB5" w:rsidP="00F01BB5">
      <w:pPr>
        <w:rPr>
          <w:rFonts w:eastAsia="Segoe UI" w:cstheme="minorHAnsi"/>
          <w:lang w:val="en" w:eastAsia="en-AU"/>
        </w:rPr>
      </w:pPr>
      <w:r w:rsidRPr="00260C1D">
        <w:rPr>
          <w:rFonts w:eastAsia="Segoe UI" w:cstheme="minorHAnsi"/>
          <w:color w:val="011A3C"/>
          <w:sz w:val="24"/>
          <w:szCs w:val="24"/>
          <w:lang w:val="en" w:eastAsia="en-AU"/>
        </w:rPr>
        <w:t>For further information</w:t>
      </w:r>
      <w:r w:rsidR="00607AB7">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refer to </w:t>
      </w:r>
      <w:hyperlink r:id="rId94" w:history="1">
        <w:r w:rsidRPr="00260C1D">
          <w:rPr>
            <w:rStyle w:val="Hyperlink"/>
            <w:rFonts w:eastAsia="Segoe UI" w:cstheme="minorHAnsi"/>
            <w:sz w:val="24"/>
            <w:szCs w:val="24"/>
            <w:lang w:val="en" w:eastAsia="en-AU"/>
          </w:rPr>
          <w:t>School Maintenance Plans</w:t>
        </w:r>
      </w:hyperlink>
      <w:r w:rsidRPr="00260C1D">
        <w:rPr>
          <w:rFonts w:eastAsia="Segoe UI" w:cstheme="minorHAnsi"/>
          <w:color w:val="011A3C"/>
          <w:sz w:val="24"/>
          <w:szCs w:val="24"/>
          <w:lang w:val="en" w:eastAsia="en-AU"/>
        </w:rPr>
        <w:t>.</w:t>
      </w:r>
    </w:p>
    <w:p w14:paraId="71D9029F" w14:textId="77777777" w:rsidR="00F01BB5" w:rsidRPr="00260C1D" w:rsidRDefault="00F01BB5" w:rsidP="00F01BB5">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2D46814D" w14:textId="2EBAD6A2" w:rsidR="00F01BB5" w:rsidRPr="00260C1D" w:rsidRDefault="00F01BB5" w:rsidP="00F01BB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Grounds </w:t>
      </w:r>
      <w:r w:rsidR="00A344AB">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rea (m2)</w:t>
      </w:r>
      <w:r w:rsidR="00DE0DBD">
        <w:rPr>
          <w:rFonts w:eastAsia="Segoe UI" w:cstheme="minorHAnsi"/>
          <w:color w:val="011A3C"/>
          <w:sz w:val="24"/>
          <w:szCs w:val="24"/>
          <w:lang w:val="en" w:eastAsia="en-AU"/>
        </w:rPr>
        <w:t xml:space="preserve"> rounded to 0 decimal places</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 xml:space="preserve">Grounds </w:t>
      </w:r>
      <w:r w:rsidR="00A344AB">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 xml:space="preserve">llowance </w:t>
      </w:r>
      <w:r w:rsidR="00A344AB">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p>
    <w:p w14:paraId="04DB446A" w14:textId="0D06AB46" w:rsidR="00F01BB5" w:rsidRPr="00260C1D" w:rsidRDefault="00F01BB5" w:rsidP="00F01BB5">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202</w:t>
      </w:r>
      <w:r w:rsidR="00926AE1">
        <w:rPr>
          <w:rFonts w:eastAsia="Segoe UI" w:cstheme="minorHAnsi"/>
          <w:b/>
          <w:color w:val="011A3C"/>
          <w:sz w:val="27"/>
          <w:szCs w:val="27"/>
          <w:lang w:val="en" w:eastAsia="en-AU"/>
        </w:rPr>
        <w:t>4</w:t>
      </w:r>
    </w:p>
    <w:p w14:paraId="6ADC3706" w14:textId="1EC16E42" w:rsidR="00F01BB5" w:rsidRPr="00260C1D" w:rsidRDefault="00F01BB5" w:rsidP="00F01BB5">
      <w:pPr>
        <w:spacing w:before="100" w:beforeAutospacing="1" w:after="100" w:afterAutospacing="1" w:line="288" w:lineRule="atLeast"/>
        <w:outlineLvl w:val="3"/>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Grounds </w:t>
      </w:r>
      <w:r w:rsidR="00025F95">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 xml:space="preserve">llowance </w:t>
      </w:r>
      <w:r w:rsidR="00025F95">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 xml:space="preserve">ate = </w:t>
      </w:r>
      <w:r w:rsidR="00B659B4">
        <w:rPr>
          <w:rFonts w:eastAsia="Segoe UI" w:cstheme="minorHAnsi"/>
          <w:color w:val="011A3C"/>
          <w:sz w:val="24"/>
          <w:szCs w:val="24"/>
          <w:lang w:val="en" w:eastAsia="en-AU"/>
        </w:rPr>
        <w:t>$0.60</w:t>
      </w:r>
      <w:r w:rsidRPr="00260C1D">
        <w:rPr>
          <w:rFonts w:eastAsia="Segoe UI" w:cstheme="minorHAnsi"/>
          <w:color w:val="011A3C"/>
          <w:sz w:val="24"/>
          <w:szCs w:val="24"/>
          <w:lang w:val="en" w:eastAsia="en-AU"/>
        </w:rPr>
        <w:t xml:space="preserve"> per square </w:t>
      </w:r>
      <w:proofErr w:type="spellStart"/>
      <w:r w:rsidRPr="00260C1D">
        <w:rPr>
          <w:rFonts w:eastAsia="Segoe UI" w:cstheme="minorHAnsi"/>
          <w:color w:val="011A3C"/>
          <w:sz w:val="24"/>
          <w:szCs w:val="24"/>
          <w:lang w:val="en" w:eastAsia="en-AU"/>
        </w:rPr>
        <w:t>metre</w:t>
      </w:r>
      <w:proofErr w:type="spellEnd"/>
    </w:p>
    <w:p w14:paraId="5F4EAB1B" w14:textId="551432D1" w:rsidR="00F71C10" w:rsidRPr="006E7BBC" w:rsidRDefault="00F71C10" w:rsidP="00F71C10">
      <w:pPr>
        <w:spacing w:after="0" w:line="240" w:lineRule="auto"/>
        <w:outlineLvl w:val="1"/>
        <w:rPr>
          <w:rFonts w:ascii="Calibri" w:hAnsi="Calibri" w:cs="Calibri"/>
          <w:b/>
          <w:color w:val="011A3C"/>
          <w:lang w:val="en"/>
        </w:rPr>
      </w:pPr>
      <w:r w:rsidRPr="006E7BBC">
        <w:rPr>
          <w:rFonts w:ascii="Calibri" w:eastAsia="Segoe UI" w:hAnsi="Calibri" w:cs="Calibri"/>
          <w:b/>
          <w:color w:val="011A3C"/>
          <w:sz w:val="27"/>
          <w:szCs w:val="27"/>
        </w:rPr>
        <w:t>Reporting in CASES21</w:t>
      </w:r>
    </w:p>
    <w:p w14:paraId="68072683" w14:textId="77777777" w:rsidR="00F71C10" w:rsidRPr="00260C1D" w:rsidRDefault="00F01BB5" w:rsidP="00833928">
      <w:pPr>
        <w:spacing w:after="0"/>
        <w:rPr>
          <w:rFonts w:eastAsia="Segoe UI" w:cstheme="minorHAnsi"/>
          <w:color w:val="011A3C"/>
          <w:sz w:val="24"/>
          <w:szCs w:val="24"/>
          <w:lang w:val="en" w:eastAsia="en-AU"/>
        </w:rPr>
      </w:pPr>
      <w:r w:rsidRPr="00260C1D">
        <w:rPr>
          <w:rFonts w:eastAsia="Segoe UI" w:cstheme="minorHAnsi"/>
          <w:color w:val="011A3C"/>
          <w:sz w:val="24"/>
          <w:szCs w:val="24"/>
          <w:lang w:val="en" w:eastAsia="en-AU"/>
        </w:rPr>
        <w:t>Expenditure should be allocated in CASES21 to the following:</w:t>
      </w:r>
    </w:p>
    <w:p w14:paraId="755D6B85" w14:textId="77777777" w:rsidR="00F71C10" w:rsidRPr="00657F68" w:rsidRDefault="00F71C10" w:rsidP="00833928">
      <w:pPr>
        <w:spacing w:after="0" w:line="360" w:lineRule="atLeast"/>
        <w:ind w:firstLine="720"/>
        <w:rPr>
          <w:rFonts w:eastAsia="Segoe UI" w:cstheme="minorHAnsi"/>
          <w:color w:val="011A3C"/>
          <w:sz w:val="24"/>
          <w:szCs w:val="24"/>
          <w:lang w:val="en" w:eastAsia="en-AU"/>
        </w:rPr>
      </w:pPr>
      <w:r w:rsidRPr="00657F68">
        <w:rPr>
          <w:rFonts w:eastAsia="Segoe UI" w:cstheme="minorHAnsi"/>
          <w:color w:val="011A3C"/>
          <w:sz w:val="24"/>
          <w:szCs w:val="24"/>
          <w:lang w:val="en" w:eastAsia="en-AU"/>
        </w:rPr>
        <w:t>Sub Program Code: 6502 – Grounds</w:t>
      </w:r>
    </w:p>
    <w:p w14:paraId="1BF2B7CB" w14:textId="02EE650E" w:rsidR="00F71C10" w:rsidRDefault="00F71C10" w:rsidP="00833928">
      <w:pPr>
        <w:pStyle w:val="ListParagraph"/>
        <w:numPr>
          <w:ilvl w:val="0"/>
          <w:numId w:val="88"/>
        </w:numPr>
        <w:tabs>
          <w:tab w:val="clear" w:pos="720"/>
          <w:tab w:val="num" w:pos="1440"/>
        </w:tabs>
        <w:spacing w:after="0" w:line="360" w:lineRule="atLeast"/>
        <w:ind w:left="1440"/>
        <w:rPr>
          <w:rFonts w:eastAsia="Segoe UI" w:cstheme="minorHAnsi"/>
          <w:color w:val="011A3C"/>
          <w:sz w:val="24"/>
          <w:szCs w:val="24"/>
          <w:lang w:val="en" w:eastAsia="en-AU"/>
        </w:rPr>
      </w:pPr>
      <w:r w:rsidRPr="0082534A">
        <w:rPr>
          <w:rFonts w:eastAsia="Segoe UI" w:cstheme="minorHAnsi"/>
          <w:color w:val="011A3C"/>
          <w:sz w:val="24"/>
          <w:szCs w:val="24"/>
          <w:lang w:val="en" w:eastAsia="en-AU"/>
        </w:rPr>
        <w:t>General Ledger Account Code: 86505 – Ground Work</w:t>
      </w:r>
      <w:r>
        <w:rPr>
          <w:rFonts w:eastAsia="Segoe UI" w:cstheme="minorHAnsi"/>
          <w:color w:val="011A3C"/>
          <w:sz w:val="24"/>
          <w:szCs w:val="24"/>
          <w:lang w:val="en" w:eastAsia="en-AU"/>
        </w:rPr>
        <w:t>s</w:t>
      </w:r>
    </w:p>
    <w:p w14:paraId="49819E91" w14:textId="77777777" w:rsidR="00F71C10" w:rsidRDefault="00F71C10" w:rsidP="00F71C10">
      <w:pPr>
        <w:pStyle w:val="ListParagraph"/>
        <w:numPr>
          <w:ilvl w:val="0"/>
          <w:numId w:val="88"/>
        </w:numPr>
        <w:tabs>
          <w:tab w:val="clear" w:pos="720"/>
          <w:tab w:val="num" w:pos="1440"/>
        </w:tabs>
        <w:spacing w:after="0" w:line="360" w:lineRule="atLeast"/>
        <w:ind w:left="1440"/>
        <w:rPr>
          <w:rFonts w:eastAsia="Segoe UI" w:cstheme="minorHAnsi"/>
          <w:color w:val="011A3C"/>
          <w:sz w:val="24"/>
          <w:szCs w:val="24"/>
          <w:lang w:val="en" w:eastAsia="en-AU"/>
        </w:rPr>
      </w:pPr>
      <w:r w:rsidRPr="0082534A">
        <w:rPr>
          <w:rFonts w:eastAsia="Segoe UI" w:cstheme="minorHAnsi"/>
          <w:color w:val="011A3C"/>
          <w:sz w:val="24"/>
          <w:szCs w:val="24"/>
          <w:lang w:val="en" w:eastAsia="en-AU"/>
        </w:rPr>
        <w:t xml:space="preserve">General Ledger Account Code: </w:t>
      </w:r>
      <w:r>
        <w:rPr>
          <w:rFonts w:eastAsia="Segoe UI" w:cstheme="minorHAnsi"/>
          <w:color w:val="011A3C"/>
          <w:sz w:val="24"/>
          <w:szCs w:val="24"/>
          <w:lang w:val="en" w:eastAsia="en-AU"/>
        </w:rPr>
        <w:t>26501</w:t>
      </w:r>
      <w:r w:rsidRPr="0082534A">
        <w:rPr>
          <w:rFonts w:eastAsia="Segoe UI" w:cstheme="minorHAnsi"/>
          <w:color w:val="011A3C"/>
          <w:sz w:val="24"/>
          <w:szCs w:val="24"/>
          <w:lang w:val="en" w:eastAsia="en-AU"/>
        </w:rPr>
        <w:t xml:space="preserve"> – </w:t>
      </w:r>
      <w:r w:rsidRPr="00657F68">
        <w:rPr>
          <w:rFonts w:eastAsia="Segoe UI" w:cstheme="minorHAnsi"/>
          <w:color w:val="011A3C"/>
          <w:sz w:val="24"/>
          <w:szCs w:val="24"/>
          <w:lang w:val="en" w:eastAsia="en-AU"/>
        </w:rPr>
        <w:t>Building &amp; Land Clearing Account</w:t>
      </w:r>
    </w:p>
    <w:p w14:paraId="0CAD06E2" w14:textId="14163648" w:rsidR="00F71C10" w:rsidRPr="0082534A" w:rsidRDefault="00F71C10" w:rsidP="00F71C10">
      <w:pPr>
        <w:pStyle w:val="ListParagraph"/>
        <w:spacing w:after="0" w:line="360" w:lineRule="atLeast"/>
        <w:ind w:left="1440"/>
        <w:rPr>
          <w:rFonts w:eastAsia="Segoe UI" w:cstheme="minorHAnsi"/>
          <w:color w:val="011A3C"/>
          <w:sz w:val="24"/>
          <w:szCs w:val="24"/>
          <w:lang w:val="en" w:eastAsia="en-AU"/>
        </w:rPr>
      </w:pPr>
      <w:r w:rsidRPr="00657F68">
        <w:rPr>
          <w:rFonts w:eastAsia="Segoe UI" w:cstheme="minorHAnsi"/>
          <w:color w:val="011A3C"/>
          <w:sz w:val="24"/>
          <w:szCs w:val="24"/>
          <w:lang w:val="en" w:eastAsia="en-AU"/>
        </w:rPr>
        <w:t xml:space="preserve">Refer to </w:t>
      </w:r>
      <w:r>
        <w:rPr>
          <w:rFonts w:eastAsia="Segoe UI" w:cstheme="minorHAnsi"/>
          <w:color w:val="011A3C"/>
          <w:sz w:val="24"/>
          <w:szCs w:val="24"/>
          <w:lang w:val="en" w:eastAsia="en-AU"/>
        </w:rPr>
        <w:t xml:space="preserve">the </w:t>
      </w:r>
      <w:hyperlink r:id="rId95" w:history="1">
        <w:r w:rsidRPr="00657F68">
          <w:rPr>
            <w:rStyle w:val="Hyperlink"/>
            <w:rFonts w:eastAsia="Segoe UI"/>
            <w:sz w:val="24"/>
            <w:szCs w:val="24"/>
            <w:lang w:val="en"/>
          </w:rPr>
          <w:t>Finance Manual</w:t>
        </w:r>
        <w:r w:rsidRPr="0028439E">
          <w:rPr>
            <w:rStyle w:val="Hyperlink"/>
            <w:rFonts w:eastAsia="Segoe UI" w:cstheme="minorHAnsi"/>
            <w:sz w:val="24"/>
            <w:szCs w:val="24"/>
            <w:lang w:val="en" w:eastAsia="en-AU"/>
          </w:rPr>
          <w:t xml:space="preserve"> for Schools</w:t>
        </w:r>
      </w:hyperlink>
      <w:r>
        <w:rPr>
          <w:rFonts w:eastAsia="Segoe UI" w:cstheme="minorHAnsi"/>
          <w:color w:val="011A3C"/>
          <w:sz w:val="24"/>
          <w:szCs w:val="24"/>
          <w:lang w:val="en" w:eastAsia="en-AU"/>
        </w:rPr>
        <w:t xml:space="preserve"> -</w:t>
      </w:r>
      <w:r w:rsidRPr="00657F68">
        <w:rPr>
          <w:rFonts w:eastAsia="Segoe UI" w:cstheme="minorHAnsi"/>
          <w:color w:val="011A3C"/>
          <w:sz w:val="24"/>
          <w:szCs w:val="24"/>
          <w:lang w:val="en" w:eastAsia="en-AU"/>
        </w:rPr>
        <w:t xml:space="preserve"> Section 13 – Asset and Inventory Management on PAL to establish if works </w:t>
      </w:r>
      <w:r w:rsidRPr="009B4DE1">
        <w:rPr>
          <w:rFonts w:eastAsia="Segoe UI" w:cstheme="minorHAnsi"/>
          <w:b/>
          <w:bCs/>
          <w:color w:val="011A3C"/>
          <w:sz w:val="24"/>
          <w:szCs w:val="24"/>
          <w:lang w:val="en" w:eastAsia="en-AU"/>
        </w:rPr>
        <w:t xml:space="preserve">should be </w:t>
      </w:r>
      <w:proofErr w:type="spellStart"/>
      <w:r w:rsidRPr="009B4DE1">
        <w:rPr>
          <w:rFonts w:eastAsia="Segoe UI" w:cstheme="minorHAnsi"/>
          <w:b/>
          <w:bCs/>
          <w:color w:val="011A3C"/>
          <w:sz w:val="24"/>
          <w:szCs w:val="24"/>
          <w:lang w:val="en" w:eastAsia="en-AU"/>
        </w:rPr>
        <w:t>capitalised</w:t>
      </w:r>
      <w:proofErr w:type="spellEnd"/>
      <w:r>
        <w:rPr>
          <w:rFonts w:eastAsia="Segoe UI" w:cstheme="minorHAnsi"/>
          <w:color w:val="011A3C"/>
          <w:sz w:val="24"/>
          <w:szCs w:val="24"/>
          <w:lang w:val="en" w:eastAsia="en-AU"/>
        </w:rPr>
        <w:t xml:space="preserve">.  </w:t>
      </w:r>
    </w:p>
    <w:p w14:paraId="4C6A5DEE" w14:textId="77777777" w:rsidR="00F71C10" w:rsidRPr="00833928" w:rsidRDefault="00F71C10" w:rsidP="00833928">
      <w:pPr>
        <w:rPr>
          <w:color w:val="011A3C"/>
          <w:sz w:val="24"/>
          <w:lang w:val="en"/>
        </w:rPr>
      </w:pPr>
    </w:p>
    <w:p w14:paraId="05FD36A4" w14:textId="3D85ADD3" w:rsidR="005965D3" w:rsidRPr="00260C1D" w:rsidRDefault="00F01BB5" w:rsidP="00C116FE">
      <w:pPr>
        <w:rPr>
          <w:rFonts w:cstheme="minorHAnsi"/>
          <w:lang w:val="en" w:eastAsia="en-AU"/>
        </w:rPr>
      </w:pPr>
      <w:r w:rsidRPr="00260C1D">
        <w:rPr>
          <w:rFonts w:eastAsia="Segoe UI" w:cstheme="minorHAnsi"/>
          <w:color w:val="011A3C"/>
          <w:sz w:val="24"/>
          <w:szCs w:val="24"/>
          <w:lang w:val="en" w:eastAsia="en-AU"/>
        </w:rPr>
        <w:t>SRP funding for Grounds Allowance is calculated at the Confirmed cycle using updated data and may be updated at the Revised cycle</w:t>
      </w:r>
      <w:r w:rsidR="00F472CD">
        <w:rPr>
          <w:rFonts w:eastAsia="Segoe UI" w:cstheme="minorHAnsi"/>
          <w:color w:val="011A3C"/>
          <w:sz w:val="24"/>
          <w:szCs w:val="24"/>
          <w:lang w:val="en" w:eastAsia="en-AU"/>
        </w:rPr>
        <w:t>. Funding</w:t>
      </w:r>
      <w:r w:rsidRPr="00260C1D">
        <w:rPr>
          <w:rFonts w:eastAsia="Segoe UI" w:cstheme="minorHAnsi"/>
          <w:color w:val="011A3C"/>
          <w:sz w:val="24"/>
          <w:szCs w:val="24"/>
          <w:lang w:val="en" w:eastAsia="en-AU"/>
        </w:rPr>
        <w:t xml:space="preserve"> is allocated through cash funding. Grounds area is sourced from the Victorian Schools Building Authority </w:t>
      </w:r>
      <w:r w:rsidR="007110F4">
        <w:rPr>
          <w:rFonts w:eastAsia="Segoe UI" w:cstheme="minorHAnsi"/>
          <w:color w:val="011A3C"/>
          <w:sz w:val="24"/>
          <w:szCs w:val="24"/>
          <w:lang w:val="en" w:eastAsia="en-AU"/>
        </w:rPr>
        <w:t xml:space="preserve">(VSBA) </w:t>
      </w:r>
      <w:r w:rsidRPr="00260C1D">
        <w:rPr>
          <w:rFonts w:eastAsia="Segoe UI" w:cstheme="minorHAnsi"/>
          <w:color w:val="011A3C"/>
          <w:sz w:val="24"/>
          <w:szCs w:val="24"/>
          <w:lang w:val="en" w:eastAsia="en-AU"/>
        </w:rPr>
        <w:t>annually.</w:t>
      </w:r>
    </w:p>
    <w:p w14:paraId="4019614C" w14:textId="77777777" w:rsidR="007B0EF6" w:rsidRPr="00260C1D" w:rsidRDefault="007B0EF6" w:rsidP="00F01BB5">
      <w:pPr>
        <w:keepNext/>
        <w:keepLines/>
        <w:spacing w:before="40" w:after="0"/>
        <w:outlineLvl w:val="1"/>
        <w:rPr>
          <w:rFonts w:eastAsia="Segoe UI" w:cstheme="minorHAnsi"/>
          <w:b/>
          <w:color w:val="2F5496" w:themeColor="accent1" w:themeShade="BF"/>
          <w:sz w:val="36"/>
          <w:szCs w:val="26"/>
          <w:lang w:val="en" w:eastAsia="en-AU"/>
        </w:rPr>
      </w:pPr>
      <w:bookmarkStart w:id="130" w:name="_Hlk50213227"/>
      <w:r w:rsidRPr="00260C1D">
        <w:rPr>
          <w:rFonts w:eastAsia="Segoe UI" w:cstheme="minorHAnsi"/>
          <w:b/>
          <w:color w:val="2F5496" w:themeColor="accent1" w:themeShade="BF"/>
          <w:sz w:val="36"/>
          <w:szCs w:val="26"/>
          <w:lang w:val="en" w:eastAsia="en-AU"/>
        </w:rPr>
        <w:br w:type="page"/>
      </w:r>
    </w:p>
    <w:p w14:paraId="3144FD97" w14:textId="3B6F83A0" w:rsidR="00F01BB5" w:rsidRPr="00260C1D" w:rsidRDefault="00F01BB5" w:rsidP="00532A33">
      <w:pPr>
        <w:pStyle w:val="Heading2"/>
      </w:pPr>
      <w:bookmarkStart w:id="131" w:name="_Toc141965258"/>
      <w:bookmarkStart w:id="132" w:name="_Toc145339588"/>
      <w:bookmarkStart w:id="133" w:name="_Toc153791911"/>
      <w:r w:rsidRPr="00260C1D">
        <w:lastRenderedPageBreak/>
        <w:t>Building Area Allowance (Reference 32)</w:t>
      </w:r>
      <w:bookmarkEnd w:id="131"/>
      <w:bookmarkEnd w:id="132"/>
      <w:bookmarkEnd w:id="133"/>
    </w:p>
    <w:p w14:paraId="3EC15AB4" w14:textId="77777777" w:rsidR="00F01BB5" w:rsidRPr="00260C1D" w:rsidRDefault="00F01BB5" w:rsidP="00F01BB5">
      <w:pPr>
        <w:spacing w:after="0" w:line="240" w:lineRule="auto"/>
        <w:rPr>
          <w:rFonts w:eastAsia="Segoe UI" w:cstheme="minorHAnsi"/>
          <w:color w:val="011A3C"/>
          <w:sz w:val="24"/>
          <w:szCs w:val="24"/>
          <w:lang w:val="en" w:eastAsia="en-AU"/>
        </w:rPr>
      </w:pPr>
    </w:p>
    <w:p w14:paraId="1AC184DC" w14:textId="0EA7777F" w:rsidR="00F01BB5" w:rsidRPr="00260C1D" w:rsidRDefault="00F01BB5" w:rsidP="00F01BB5">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Funding for the building area allowance is </w:t>
      </w:r>
      <w:r w:rsidR="0046712A" w:rsidRPr="00260C1D">
        <w:rPr>
          <w:rFonts w:eastAsia="Segoe UI" w:cstheme="minorHAnsi"/>
          <w:color w:val="011A3C"/>
          <w:sz w:val="24"/>
          <w:szCs w:val="24"/>
          <w:lang w:val="en" w:eastAsia="en-AU"/>
        </w:rPr>
        <w:t>based on</w:t>
      </w:r>
      <w:r w:rsidRPr="00260C1D">
        <w:rPr>
          <w:rFonts w:eastAsia="Segoe UI" w:cstheme="minorHAnsi"/>
          <w:color w:val="011A3C"/>
          <w:sz w:val="24"/>
          <w:szCs w:val="24"/>
          <w:lang w:val="en" w:eastAsia="en-AU"/>
        </w:rPr>
        <w:t xml:space="preserve"> the school’s total building area in square </w:t>
      </w:r>
      <w:proofErr w:type="spellStart"/>
      <w:r w:rsidRPr="00260C1D">
        <w:rPr>
          <w:rFonts w:eastAsia="Segoe UI" w:cstheme="minorHAnsi"/>
          <w:color w:val="011A3C"/>
          <w:sz w:val="24"/>
          <w:szCs w:val="24"/>
          <w:lang w:val="en" w:eastAsia="en-AU"/>
        </w:rPr>
        <w:t>metres</w:t>
      </w:r>
      <w:proofErr w:type="spellEnd"/>
      <w:r w:rsidRPr="00260C1D">
        <w:rPr>
          <w:rFonts w:eastAsia="Segoe UI" w:cstheme="minorHAnsi"/>
          <w:color w:val="011A3C"/>
          <w:sz w:val="24"/>
          <w:szCs w:val="24"/>
          <w:lang w:val="en" w:eastAsia="en-AU"/>
        </w:rPr>
        <w:t xml:space="preserve">. Total building area is sourced from the </w:t>
      </w:r>
      <w:r w:rsidR="001E4CAA">
        <w:rPr>
          <w:rFonts w:eastAsia="Segoe UI" w:cstheme="minorHAnsi"/>
          <w:color w:val="011A3C"/>
          <w:sz w:val="24"/>
          <w:szCs w:val="24"/>
          <w:lang w:val="en" w:eastAsia="en-AU"/>
        </w:rPr>
        <w:t>Victorian School Building Authority (</w:t>
      </w:r>
      <w:r w:rsidRPr="00260C1D">
        <w:rPr>
          <w:rFonts w:eastAsia="Segoe UI" w:cstheme="minorHAnsi"/>
          <w:color w:val="011A3C"/>
          <w:sz w:val="24"/>
          <w:szCs w:val="24"/>
          <w:lang w:val="en" w:eastAsia="en-AU"/>
        </w:rPr>
        <w:t>VSBA</w:t>
      </w:r>
      <w:r w:rsidR="001E4CA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annually.</w:t>
      </w:r>
    </w:p>
    <w:p w14:paraId="0D129AC1" w14:textId="77777777" w:rsidR="00F01BB5" w:rsidRPr="00833928" w:rsidRDefault="00F01BB5" w:rsidP="00F01BB5">
      <w:pPr>
        <w:spacing w:before="100" w:beforeAutospacing="1" w:after="100" w:afterAutospacing="1" w:line="288" w:lineRule="atLeast"/>
        <w:outlineLvl w:val="2"/>
        <w:rPr>
          <w:color w:val="011A3C"/>
          <w:sz w:val="24"/>
          <w:lang w:val="en"/>
        </w:rPr>
      </w:pPr>
      <w:r w:rsidRPr="00260C1D">
        <w:rPr>
          <w:rFonts w:eastAsia="Segoe UI" w:cstheme="minorHAnsi"/>
          <w:b/>
          <w:color w:val="011A3C"/>
          <w:sz w:val="27"/>
          <w:szCs w:val="27"/>
          <w:lang w:val="en" w:eastAsia="en-AU"/>
        </w:rPr>
        <w:t>Eligibility</w:t>
      </w:r>
    </w:p>
    <w:p w14:paraId="1DC7A5BF" w14:textId="1CE73624" w:rsidR="00F01BB5" w:rsidRPr="009B4DE1" w:rsidRDefault="00F01BB5" w:rsidP="00833928">
      <w:pPr>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All campus types listed below are eligible for Building Area Allowance funding provided at </w:t>
      </w:r>
      <w:r w:rsidR="0051660A" w:rsidRPr="009B4DE1">
        <w:rPr>
          <w:rFonts w:eastAsia="Segoe UI" w:cstheme="minorHAnsi"/>
          <w:color w:val="011A3C"/>
          <w:sz w:val="24"/>
          <w:szCs w:val="24"/>
          <w:lang w:val="en" w:eastAsia="en-AU"/>
        </w:rPr>
        <w:t xml:space="preserve">a </w:t>
      </w:r>
      <w:r w:rsidRPr="009B4DE1">
        <w:rPr>
          <w:rFonts w:eastAsia="Segoe UI" w:cstheme="minorHAnsi"/>
          <w:color w:val="011A3C"/>
          <w:sz w:val="24"/>
          <w:szCs w:val="24"/>
          <w:lang w:val="en" w:eastAsia="en-AU"/>
        </w:rPr>
        <w:t>campus level</w:t>
      </w:r>
      <w:r w:rsidR="0051660A" w:rsidRPr="009B4DE1">
        <w:rPr>
          <w:rFonts w:eastAsia="Segoe UI" w:cstheme="minorHAnsi"/>
          <w:color w:val="011A3C"/>
          <w:sz w:val="24"/>
          <w:szCs w:val="24"/>
          <w:lang w:val="en" w:eastAsia="en-AU"/>
        </w:rPr>
        <w:t>:</w:t>
      </w:r>
      <w:r w:rsidRPr="009B4DE1">
        <w:rPr>
          <w:rFonts w:eastAsia="Segoe UI" w:cstheme="minorHAnsi"/>
          <w:color w:val="011A3C"/>
          <w:sz w:val="24"/>
          <w:szCs w:val="24"/>
          <w:lang w:val="en" w:eastAsia="en-AU"/>
        </w:rPr>
        <w:t xml:space="preserve"> </w:t>
      </w:r>
    </w:p>
    <w:p w14:paraId="0F2E5CBE" w14:textId="77777777" w:rsidR="00F01BB5" w:rsidRPr="00260C1D" w:rsidRDefault="00F01BB5"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Day special</w:t>
      </w:r>
    </w:p>
    <w:p w14:paraId="00A89C06" w14:textId="77777777" w:rsidR="00F01BB5" w:rsidRPr="00260C1D" w:rsidRDefault="00F01BB5"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Special development school</w:t>
      </w:r>
    </w:p>
    <w:p w14:paraId="5F765218" w14:textId="77777777" w:rsidR="00F01BB5" w:rsidRPr="00260C1D" w:rsidRDefault="00F01BB5"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Physical disability</w:t>
      </w:r>
    </w:p>
    <w:p w14:paraId="59383A3C" w14:textId="77777777" w:rsidR="00F01BB5" w:rsidRPr="00260C1D" w:rsidRDefault="00F01BB5"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Special</w:t>
      </w:r>
    </w:p>
    <w:p w14:paraId="5D1EFB18" w14:textId="77777777" w:rsidR="00F01BB5" w:rsidRPr="00260C1D" w:rsidRDefault="00F01BB5"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Hospital special</w:t>
      </w:r>
    </w:p>
    <w:p w14:paraId="0893A5C2" w14:textId="77777777" w:rsidR="00F01BB5" w:rsidRPr="00260C1D" w:rsidRDefault="00F01BB5"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Deaf</w:t>
      </w:r>
    </w:p>
    <w:p w14:paraId="234AB562" w14:textId="77777777" w:rsidR="00F01BB5" w:rsidRPr="00260C1D" w:rsidRDefault="00F01BB5"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Language</w:t>
      </w:r>
    </w:p>
    <w:p w14:paraId="041D2308" w14:textId="77777777" w:rsidR="00F01BB5" w:rsidRPr="00260C1D" w:rsidRDefault="00F01BB5"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Youth training </w:t>
      </w:r>
      <w:proofErr w:type="spellStart"/>
      <w:r w:rsidRPr="00260C1D">
        <w:rPr>
          <w:rFonts w:eastAsia="Segoe UI" w:cstheme="minorHAnsi"/>
          <w:color w:val="011A3C"/>
          <w:sz w:val="24"/>
          <w:szCs w:val="24"/>
          <w:lang w:val="en" w:eastAsia="en-AU"/>
        </w:rPr>
        <w:t>centre</w:t>
      </w:r>
      <w:proofErr w:type="spellEnd"/>
    </w:p>
    <w:p w14:paraId="6CD5A6BF" w14:textId="426C4E63" w:rsidR="00F01BB5" w:rsidRPr="009B4DE1" w:rsidRDefault="00F01BB5" w:rsidP="00833928">
      <w:pPr>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Funding is calculated at the </w:t>
      </w:r>
      <w:r w:rsidR="00234811" w:rsidRPr="009B4DE1">
        <w:rPr>
          <w:rFonts w:eastAsia="Segoe UI" w:cstheme="minorHAnsi"/>
          <w:color w:val="011A3C"/>
          <w:sz w:val="24"/>
          <w:szCs w:val="24"/>
          <w:lang w:val="en" w:eastAsia="en-AU"/>
        </w:rPr>
        <w:t>Confirmed</w:t>
      </w:r>
      <w:r w:rsidRPr="009B4DE1">
        <w:rPr>
          <w:rFonts w:eastAsia="Segoe UI" w:cstheme="minorHAnsi"/>
          <w:color w:val="011A3C"/>
          <w:sz w:val="24"/>
          <w:szCs w:val="24"/>
          <w:lang w:val="en" w:eastAsia="en-AU"/>
        </w:rPr>
        <w:t xml:space="preserve"> cycle only and allocated through cash funding.</w:t>
      </w:r>
    </w:p>
    <w:p w14:paraId="5B6ADA1B" w14:textId="77777777" w:rsidR="00F01BB5" w:rsidRPr="00260C1D" w:rsidRDefault="00F01BB5" w:rsidP="00F01BB5">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2D3E2D3A" w14:textId="63226D8B" w:rsidR="00F01BB5" w:rsidRPr="00260C1D" w:rsidRDefault="00F01BB5" w:rsidP="00F01BB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Building </w:t>
      </w:r>
      <w:r w:rsidR="0070157F">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 xml:space="preserve">rea square </w:t>
      </w:r>
      <w:proofErr w:type="spellStart"/>
      <w:r w:rsidRPr="00260C1D">
        <w:rPr>
          <w:rFonts w:eastAsia="Segoe UI" w:cstheme="minorHAnsi"/>
          <w:color w:val="011A3C"/>
          <w:sz w:val="24"/>
          <w:szCs w:val="24"/>
          <w:lang w:val="en" w:eastAsia="en-AU"/>
        </w:rPr>
        <w:t>metres</w:t>
      </w:r>
      <w:proofErr w:type="spellEnd"/>
      <w:r w:rsidR="00DE0DBD">
        <w:rPr>
          <w:rFonts w:eastAsia="Segoe UI" w:cstheme="minorHAnsi"/>
          <w:color w:val="011A3C"/>
          <w:sz w:val="24"/>
          <w:szCs w:val="24"/>
          <w:lang w:val="en" w:eastAsia="en-AU"/>
        </w:rPr>
        <w:t xml:space="preserve"> rounded to 1 decimal place</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 xml:space="preserve">Building </w:t>
      </w:r>
      <w:r w:rsidR="0070157F">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 xml:space="preserve">rea </w:t>
      </w:r>
      <w:r w:rsidR="0070157F">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 xml:space="preserve">llowance </w:t>
      </w:r>
      <w:r w:rsidR="0070157F">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p>
    <w:p w14:paraId="4559E7BB" w14:textId="193208CC" w:rsidR="00F01BB5" w:rsidRPr="00260C1D" w:rsidRDefault="00F01BB5" w:rsidP="00F01BB5">
      <w:pPr>
        <w:keepNext/>
        <w:keepLines/>
        <w:spacing w:before="40" w:after="0"/>
        <w:outlineLvl w:val="2"/>
        <w:rPr>
          <w:rFonts w:eastAsia="Segoe UI" w:cstheme="minorHAnsi"/>
          <w:color w:val="011A3C"/>
          <w:sz w:val="24"/>
          <w:szCs w:val="24"/>
          <w:lang w:val="en" w:eastAsia="en-AU"/>
        </w:rPr>
      </w:pPr>
      <w:r w:rsidRPr="00260C1D">
        <w:rPr>
          <w:rFonts w:eastAsia="Segoe UI" w:cstheme="minorHAnsi"/>
          <w:color w:val="011A3C"/>
          <w:sz w:val="24"/>
          <w:szCs w:val="24"/>
          <w:lang w:val="en" w:eastAsia="en-AU"/>
        </w:rPr>
        <w:t>Rates 202</w:t>
      </w:r>
      <w:r w:rsidR="0092252E">
        <w:rPr>
          <w:rFonts w:eastAsia="Segoe UI" w:cstheme="minorHAnsi"/>
          <w:color w:val="011A3C"/>
          <w:sz w:val="24"/>
          <w:szCs w:val="24"/>
          <w:lang w:val="en" w:eastAsia="en-AU"/>
        </w:rPr>
        <w:t>4</w:t>
      </w:r>
      <w:r w:rsidRPr="00260C1D">
        <w:rPr>
          <w:rFonts w:eastAsia="Segoe UI" w:cstheme="minorHAnsi"/>
          <w:color w:val="011A3C"/>
          <w:sz w:val="24"/>
          <w:szCs w:val="24"/>
          <w:lang w:val="en" w:eastAsia="en-AU"/>
        </w:rPr>
        <w:t xml:space="preserve"> ($/m2 annually)</w:t>
      </w:r>
    </w:p>
    <w:p w14:paraId="251BCCB9" w14:textId="2F884749" w:rsidR="00F01BB5" w:rsidRPr="00260C1D" w:rsidRDefault="00F01BB5"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w:t>
      </w:r>
      <w:r w:rsidR="000125B7" w:rsidRPr="00260C1D">
        <w:rPr>
          <w:rFonts w:eastAsia="Segoe UI" w:cstheme="minorHAnsi"/>
          <w:color w:val="011A3C"/>
          <w:sz w:val="24"/>
          <w:szCs w:val="24"/>
          <w:lang w:val="en" w:eastAsia="en-AU"/>
        </w:rPr>
        <w:t>3.</w:t>
      </w:r>
      <w:r w:rsidR="0092252E">
        <w:rPr>
          <w:rFonts w:eastAsia="Segoe UI" w:cstheme="minorHAnsi"/>
          <w:color w:val="011A3C"/>
          <w:sz w:val="24"/>
          <w:szCs w:val="24"/>
          <w:lang w:val="en" w:eastAsia="en-AU"/>
        </w:rPr>
        <w:t>13</w:t>
      </w:r>
      <w:r w:rsidRPr="00260C1D">
        <w:rPr>
          <w:rFonts w:eastAsia="Segoe UI" w:cstheme="minorHAnsi"/>
          <w:color w:val="011A3C"/>
          <w:sz w:val="24"/>
          <w:szCs w:val="24"/>
          <w:lang w:val="en" w:eastAsia="en-AU"/>
        </w:rPr>
        <w:t>/m2</w:t>
      </w:r>
    </w:p>
    <w:p w14:paraId="6A20AAF1" w14:textId="28196FBA" w:rsidR="00F01BB5" w:rsidRPr="00260C1D" w:rsidRDefault="00F01BB5" w:rsidP="00B129DC">
      <w:pPr>
        <w:pStyle w:val="NormalWeb"/>
        <w:spacing w:line="360" w:lineRule="atLeast"/>
        <w:rPr>
          <w:rFonts w:asciiTheme="minorHAnsi" w:hAnsiTheme="minorHAnsi" w:cstheme="minorHAnsi"/>
          <w:color w:val="323E4F" w:themeColor="text2" w:themeShade="BF"/>
          <w:lang w:val="en"/>
        </w:rPr>
      </w:pPr>
      <w:r w:rsidRPr="00260C1D">
        <w:rPr>
          <w:rFonts w:asciiTheme="minorHAnsi" w:hAnsiTheme="minorHAnsi" w:cstheme="minorHAnsi"/>
          <w:color w:val="323E4F" w:themeColor="text2" w:themeShade="BF"/>
        </w:rPr>
        <w:t>Example: A Special Development campus with a total building area of 1,000 sqm</w:t>
      </w:r>
      <w:r w:rsidR="00E655E4">
        <w:rPr>
          <w:rFonts w:asciiTheme="minorHAnsi" w:hAnsiTheme="minorHAnsi" w:cstheme="minorHAnsi"/>
          <w:color w:val="323E4F" w:themeColor="text2" w:themeShade="BF"/>
        </w:rPr>
        <w:t xml:space="preserve"> × </w:t>
      </w:r>
      <w:r w:rsidRPr="00260C1D">
        <w:rPr>
          <w:rFonts w:asciiTheme="minorHAnsi" w:hAnsiTheme="minorHAnsi" w:cstheme="minorHAnsi"/>
          <w:color w:val="323E4F" w:themeColor="text2" w:themeShade="BF"/>
        </w:rPr>
        <w:t>$3.</w:t>
      </w:r>
      <w:r w:rsidR="0092252E">
        <w:rPr>
          <w:rFonts w:asciiTheme="minorHAnsi" w:hAnsiTheme="minorHAnsi" w:cstheme="minorHAnsi"/>
          <w:color w:val="323E4F" w:themeColor="text2" w:themeShade="BF"/>
        </w:rPr>
        <w:t>13</w:t>
      </w:r>
      <w:r w:rsidRPr="00260C1D">
        <w:rPr>
          <w:rFonts w:asciiTheme="minorHAnsi" w:hAnsiTheme="minorHAnsi" w:cstheme="minorHAnsi"/>
          <w:color w:val="323E4F" w:themeColor="text2" w:themeShade="BF"/>
        </w:rPr>
        <w:t xml:space="preserve"> = $3,0</w:t>
      </w:r>
      <w:r w:rsidR="0092252E">
        <w:rPr>
          <w:rFonts w:asciiTheme="minorHAnsi" w:hAnsiTheme="minorHAnsi" w:cstheme="minorHAnsi"/>
          <w:color w:val="323E4F" w:themeColor="text2" w:themeShade="BF"/>
        </w:rPr>
        <w:t>13</w:t>
      </w:r>
      <w:bookmarkEnd w:id="130"/>
    </w:p>
    <w:p w14:paraId="38B99B34" w14:textId="77777777" w:rsidR="00B06541" w:rsidRPr="006E7BBC" w:rsidRDefault="00B06541" w:rsidP="00B06541">
      <w:pPr>
        <w:spacing w:after="0" w:line="240" w:lineRule="auto"/>
        <w:outlineLvl w:val="1"/>
        <w:rPr>
          <w:rFonts w:ascii="Calibri" w:hAnsi="Calibri" w:cs="Calibri"/>
          <w:b/>
          <w:color w:val="011A3C"/>
          <w:lang w:val="en"/>
        </w:rPr>
      </w:pPr>
      <w:r w:rsidRPr="006E7BBC">
        <w:rPr>
          <w:rFonts w:ascii="Calibri" w:eastAsia="Segoe UI" w:hAnsi="Calibri" w:cs="Calibri"/>
          <w:b/>
          <w:color w:val="011A3C"/>
          <w:sz w:val="27"/>
          <w:szCs w:val="27"/>
        </w:rPr>
        <w:t>Reporting in CASES21</w:t>
      </w:r>
    </w:p>
    <w:p w14:paraId="4383DBFA" w14:textId="77777777" w:rsidR="00B06541" w:rsidRPr="00260C1D" w:rsidRDefault="00B06541" w:rsidP="00833928">
      <w:pPr>
        <w:spacing w:after="0"/>
        <w:rPr>
          <w:rFonts w:eastAsia="Segoe UI" w:cstheme="minorHAnsi"/>
          <w:color w:val="011A3C"/>
          <w:sz w:val="24"/>
          <w:szCs w:val="24"/>
          <w:lang w:val="en" w:eastAsia="en-AU"/>
        </w:rPr>
      </w:pPr>
      <w:r w:rsidRPr="00260C1D">
        <w:rPr>
          <w:rFonts w:eastAsia="Segoe UI" w:cstheme="minorHAnsi"/>
          <w:color w:val="011A3C"/>
          <w:sz w:val="24"/>
          <w:szCs w:val="24"/>
          <w:lang w:val="en" w:eastAsia="en-AU"/>
        </w:rPr>
        <w:t>Expenditure should be allocated in CASES21 to the following:</w:t>
      </w:r>
    </w:p>
    <w:p w14:paraId="349AE79A" w14:textId="77777777" w:rsidR="00B06541" w:rsidRPr="00833928" w:rsidRDefault="00B06541" w:rsidP="00833928">
      <w:pPr>
        <w:spacing w:before="240" w:after="0" w:line="240" w:lineRule="auto"/>
        <w:ind w:firstLine="720"/>
        <w:textAlignment w:val="baseline"/>
        <w:rPr>
          <w:color w:val="011A3C"/>
          <w:sz w:val="24"/>
          <w:lang w:val="en"/>
        </w:rPr>
      </w:pPr>
      <w:r w:rsidRPr="006E7BBC">
        <w:rPr>
          <w:rFonts w:eastAsia="Times New Roman" w:cstheme="minorHAnsi"/>
          <w:color w:val="011A3C"/>
          <w:sz w:val="24"/>
          <w:szCs w:val="24"/>
          <w:lang w:val="en" w:eastAsia="en-AU"/>
        </w:rPr>
        <w:t xml:space="preserve">Sub Program Code: 6201 – </w:t>
      </w:r>
      <w:r w:rsidRPr="00833928">
        <w:rPr>
          <w:color w:val="011A3C"/>
          <w:sz w:val="24"/>
          <w:lang w:val="en"/>
        </w:rPr>
        <w:t>Maintenance</w:t>
      </w:r>
      <w:r w:rsidRPr="006E7BBC">
        <w:rPr>
          <w:rFonts w:eastAsia="Times New Roman" w:cstheme="minorHAnsi"/>
          <w:color w:val="011A3C"/>
          <w:sz w:val="24"/>
          <w:szCs w:val="24"/>
          <w:lang w:val="en" w:eastAsia="en-AU"/>
        </w:rPr>
        <w:t xml:space="preserve"> and Minor Works</w:t>
      </w:r>
      <w:r w:rsidRPr="00833928">
        <w:rPr>
          <w:color w:val="011A3C"/>
          <w:sz w:val="24"/>
          <w:lang w:val="en"/>
        </w:rPr>
        <w:t> </w:t>
      </w:r>
    </w:p>
    <w:p w14:paraId="35B3DA5C" w14:textId="77777777" w:rsidR="00B06541" w:rsidRDefault="00B06541" w:rsidP="00B06541">
      <w:pPr>
        <w:numPr>
          <w:ilvl w:val="0"/>
          <w:numId w:val="132"/>
        </w:numPr>
        <w:spacing w:after="0" w:line="240" w:lineRule="auto"/>
        <w:ind w:left="1080" w:firstLine="0"/>
        <w:textAlignment w:val="baseline"/>
        <w:rPr>
          <w:rFonts w:eastAsia="Times New Roman" w:cstheme="minorHAnsi"/>
          <w:color w:val="011A3C"/>
          <w:sz w:val="24"/>
          <w:szCs w:val="24"/>
          <w:lang w:val="en" w:eastAsia="en-AU"/>
        </w:rPr>
      </w:pPr>
      <w:r w:rsidRPr="006E7BBC">
        <w:rPr>
          <w:rFonts w:eastAsia="Times New Roman" w:cstheme="minorHAnsi"/>
          <w:color w:val="011A3C"/>
          <w:sz w:val="24"/>
          <w:szCs w:val="24"/>
          <w:lang w:val="en" w:eastAsia="en-AU"/>
        </w:rPr>
        <w:t>General Ledger Account Code: 86504 – Building Works</w:t>
      </w:r>
    </w:p>
    <w:p w14:paraId="07F10C26" w14:textId="3991C8F1" w:rsidR="0076693A" w:rsidRPr="00260C1D" w:rsidRDefault="0076693A" w:rsidP="0076693A">
      <w:pPr>
        <w:rPr>
          <w:rFonts w:cstheme="minorHAnsi"/>
        </w:rPr>
      </w:pPr>
    </w:p>
    <w:p w14:paraId="19221484" w14:textId="77777777" w:rsidR="007B0EF6" w:rsidRPr="00260C1D" w:rsidRDefault="007B0EF6" w:rsidP="00532A33">
      <w:pPr>
        <w:pStyle w:val="Heading2"/>
      </w:pPr>
      <w:r w:rsidRPr="00260C1D">
        <w:br w:type="page"/>
      </w:r>
    </w:p>
    <w:p w14:paraId="456BC8B3" w14:textId="576C269E" w:rsidR="0076693A" w:rsidRPr="00260C1D" w:rsidRDefault="0076693A" w:rsidP="00532A33">
      <w:pPr>
        <w:pStyle w:val="Heading2"/>
      </w:pPr>
      <w:bookmarkStart w:id="134" w:name="_Toc141965259"/>
      <w:bookmarkStart w:id="135" w:name="_Toc145339589"/>
      <w:bookmarkStart w:id="136" w:name="_Toc153791912"/>
      <w:r w:rsidRPr="00260C1D">
        <w:lastRenderedPageBreak/>
        <w:t>Split-Site/Multi-Site Allowance (Reference 33)</w:t>
      </w:r>
      <w:bookmarkEnd w:id="134"/>
      <w:bookmarkEnd w:id="135"/>
      <w:bookmarkEnd w:id="136"/>
    </w:p>
    <w:p w14:paraId="52FF4C06" w14:textId="4D82476E" w:rsidR="0076693A" w:rsidRPr="00260C1D" w:rsidRDefault="0076693A" w:rsidP="0076693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Split-site/multi-site allowances are paid to designated primary, P-12 and secondary colleges which are not being funded for a separate enrolment linked base (</w:t>
      </w:r>
      <w:hyperlink r:id="rId96" w:history="1">
        <w:r w:rsidRPr="00260C1D">
          <w:rPr>
            <w:rFonts w:eastAsia="Segoe UI" w:cstheme="minorHAnsi"/>
            <w:color w:val="011A3C"/>
            <w:sz w:val="24"/>
            <w:szCs w:val="24"/>
            <w:lang w:val="en" w:eastAsia="en-AU"/>
          </w:rPr>
          <w:t>Reference 2</w:t>
        </w:r>
      </w:hyperlink>
      <w:r w:rsidRPr="00260C1D">
        <w:rPr>
          <w:rFonts w:eastAsia="Segoe UI" w:cstheme="minorHAnsi"/>
          <w:color w:val="011A3C"/>
          <w:sz w:val="24"/>
          <w:szCs w:val="24"/>
          <w:lang w:val="en" w:eastAsia="en-AU"/>
        </w:rPr>
        <w:t>).</w:t>
      </w:r>
      <w:r w:rsidR="007F1D90" w:rsidRPr="00260C1D">
        <w:rPr>
          <w:rFonts w:eastAsia="Segoe UI" w:cstheme="minorHAnsi"/>
          <w:color w:val="011A3C"/>
          <w:sz w:val="24"/>
          <w:szCs w:val="24"/>
          <w:lang w:val="en" w:eastAsia="en-AU"/>
        </w:rPr>
        <w:t xml:space="preserve"> Specialist and Language Schools are also eligible if applied criteria is satisfied. </w:t>
      </w:r>
    </w:p>
    <w:p w14:paraId="27146995" w14:textId="77777777" w:rsidR="0076693A" w:rsidRPr="00260C1D" w:rsidRDefault="0076693A" w:rsidP="00833928">
      <w:pPr>
        <w:spacing w:before="120" w:after="12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A school may be eligible for the allowance if:</w:t>
      </w:r>
    </w:p>
    <w:p w14:paraId="0425E9A1" w14:textId="04E11EB8" w:rsidR="00720A0F" w:rsidRDefault="00B11157" w:rsidP="00833928">
      <w:pPr>
        <w:pStyle w:val="ListParagraph"/>
        <w:numPr>
          <w:ilvl w:val="0"/>
          <w:numId w:val="88"/>
        </w:numPr>
        <w:spacing w:before="120" w:after="120"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I</w:t>
      </w:r>
      <w:r w:rsidR="0076693A" w:rsidRPr="00260C1D">
        <w:rPr>
          <w:rFonts w:eastAsia="Segoe UI" w:cstheme="minorHAnsi"/>
          <w:color w:val="011A3C"/>
          <w:sz w:val="24"/>
          <w:szCs w:val="24"/>
          <w:lang w:val="en" w:eastAsia="en-AU"/>
        </w:rPr>
        <w:t xml:space="preserve">t is a specialist school operating on sites that are more than one </w:t>
      </w:r>
      <w:proofErr w:type="spellStart"/>
      <w:r w:rsidR="0076693A" w:rsidRPr="00260C1D">
        <w:rPr>
          <w:rFonts w:eastAsia="Segoe UI" w:cstheme="minorHAnsi"/>
          <w:color w:val="011A3C"/>
          <w:sz w:val="24"/>
          <w:szCs w:val="24"/>
          <w:lang w:val="en" w:eastAsia="en-AU"/>
        </w:rPr>
        <w:t>kilometre</w:t>
      </w:r>
      <w:proofErr w:type="spellEnd"/>
      <w:r w:rsidR="0076693A" w:rsidRPr="00260C1D">
        <w:rPr>
          <w:rFonts w:eastAsia="Segoe UI" w:cstheme="minorHAnsi"/>
          <w:color w:val="011A3C"/>
          <w:sz w:val="24"/>
          <w:szCs w:val="24"/>
          <w:lang w:val="en" w:eastAsia="en-AU"/>
        </w:rPr>
        <w:t xml:space="preserve"> apart (not including base rooms)</w:t>
      </w:r>
    </w:p>
    <w:p w14:paraId="45445C02" w14:textId="4923F975" w:rsidR="0076693A" w:rsidRPr="00720A0F" w:rsidRDefault="0076693A" w:rsidP="00833928">
      <w:pPr>
        <w:spacing w:before="120" w:after="120" w:line="240" w:lineRule="auto"/>
        <w:rPr>
          <w:rFonts w:eastAsia="Segoe UI" w:cstheme="minorHAnsi"/>
          <w:color w:val="011A3C"/>
          <w:sz w:val="24"/>
          <w:szCs w:val="24"/>
          <w:lang w:val="en" w:eastAsia="en-AU"/>
        </w:rPr>
      </w:pPr>
      <w:r w:rsidRPr="00720A0F">
        <w:rPr>
          <w:rFonts w:eastAsia="Segoe UI" w:cstheme="minorHAnsi"/>
          <w:color w:val="011A3C"/>
          <w:sz w:val="24"/>
          <w:szCs w:val="24"/>
          <w:lang w:val="en" w:eastAsia="en-AU"/>
        </w:rPr>
        <w:t>or</w:t>
      </w:r>
    </w:p>
    <w:p w14:paraId="6A8AA465" w14:textId="4B643E14" w:rsidR="0076693A" w:rsidRPr="00260C1D" w:rsidRDefault="00B11157" w:rsidP="00833928">
      <w:pPr>
        <w:numPr>
          <w:ilvl w:val="0"/>
          <w:numId w:val="3"/>
        </w:numPr>
        <w:spacing w:before="120" w:after="120"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T</w:t>
      </w:r>
      <w:r w:rsidR="0076693A" w:rsidRPr="00260C1D">
        <w:rPr>
          <w:rFonts w:eastAsia="Segoe UI" w:cstheme="minorHAnsi"/>
          <w:color w:val="011A3C"/>
          <w:sz w:val="24"/>
          <w:szCs w:val="24"/>
          <w:lang w:val="en" w:eastAsia="en-AU"/>
        </w:rPr>
        <w:t>he configuration of the school represents a historical merging of two or more schools</w:t>
      </w:r>
    </w:p>
    <w:p w14:paraId="63D1B791" w14:textId="77777777" w:rsidR="0076693A" w:rsidRPr="00260C1D" w:rsidRDefault="0076693A" w:rsidP="00833928">
      <w:pPr>
        <w:spacing w:before="120" w:after="12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or</w:t>
      </w:r>
    </w:p>
    <w:p w14:paraId="7F7C1FB2" w14:textId="5FAE58CF" w:rsidR="0076693A" w:rsidRPr="00260C1D" w:rsidRDefault="00B11157" w:rsidP="00833928">
      <w:pPr>
        <w:pStyle w:val="ListParagraph"/>
        <w:numPr>
          <w:ilvl w:val="0"/>
          <w:numId w:val="3"/>
        </w:numPr>
        <w:spacing w:before="120" w:after="120"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I</w:t>
      </w:r>
      <w:r w:rsidR="0076693A" w:rsidRPr="00260C1D">
        <w:rPr>
          <w:rFonts w:eastAsia="Segoe UI" w:cstheme="minorHAnsi"/>
          <w:color w:val="011A3C"/>
          <w:sz w:val="24"/>
          <w:szCs w:val="24"/>
          <w:lang w:val="en" w:eastAsia="en-AU"/>
        </w:rPr>
        <w:t>t has classrooms operating on two or more sites e.g. separated by at least a road or an oval (not including alternative settings attached to schools).</w:t>
      </w:r>
    </w:p>
    <w:p w14:paraId="57D8F0B1" w14:textId="77777777" w:rsidR="0076693A" w:rsidRPr="00260C1D" w:rsidRDefault="0076693A" w:rsidP="00833928">
      <w:pPr>
        <w:spacing w:before="120" w:after="120" w:line="240" w:lineRule="auto"/>
        <w:rPr>
          <w:rFonts w:eastAsia="Segoe UI" w:cstheme="minorHAnsi"/>
          <w:color w:val="011A3C"/>
          <w:sz w:val="24"/>
          <w:szCs w:val="24"/>
          <w:lang w:val="en" w:eastAsia="en-AU"/>
        </w:rPr>
      </w:pPr>
      <w:r w:rsidRPr="00260C1D">
        <w:rPr>
          <w:rFonts w:eastAsia="Segoe UI" w:cstheme="minorHAnsi"/>
          <w:b/>
          <w:color w:val="011A3C"/>
          <w:sz w:val="24"/>
          <w:szCs w:val="24"/>
          <w:lang w:val="en" w:eastAsia="en-AU"/>
        </w:rPr>
        <w:t>Note:</w:t>
      </w:r>
    </w:p>
    <w:p w14:paraId="3896880C" w14:textId="3E91EB58" w:rsidR="0076693A" w:rsidRPr="00260C1D" w:rsidRDefault="0076693A" w:rsidP="00833928">
      <w:pPr>
        <w:spacing w:before="120" w:after="12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(a) Includes P</w:t>
      </w:r>
      <w:r w:rsidR="003E65A9">
        <w:rPr>
          <w:rFonts w:eastAsia="Segoe UI" w:cstheme="minorHAnsi"/>
          <w:color w:val="011A3C"/>
          <w:sz w:val="24"/>
          <w:szCs w:val="24"/>
          <w:lang w:val="en" w:eastAsia="en-AU"/>
        </w:rPr>
        <w:t>-</w:t>
      </w:r>
      <w:r w:rsidRPr="00260C1D">
        <w:rPr>
          <w:rFonts w:eastAsia="Segoe UI" w:cstheme="minorHAnsi"/>
          <w:color w:val="011A3C"/>
          <w:sz w:val="24"/>
          <w:szCs w:val="24"/>
          <w:lang w:val="en" w:eastAsia="en-AU"/>
        </w:rPr>
        <w:t>12 colleges that have more than one primary school site.</w:t>
      </w:r>
    </w:p>
    <w:p w14:paraId="01EE14B9" w14:textId="7A702344" w:rsidR="0076693A" w:rsidRPr="00260C1D" w:rsidRDefault="0076693A" w:rsidP="00833928">
      <w:pPr>
        <w:spacing w:before="120" w:after="12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(b) For approved secondary colleges formed through the merger of secondary colleges on adjacent sites, this item is replaced by a $</w:t>
      </w:r>
      <w:r w:rsidR="00094428" w:rsidRPr="00260C1D">
        <w:rPr>
          <w:rFonts w:eastAsia="Segoe UI" w:cstheme="minorHAnsi"/>
          <w:color w:val="011A3C"/>
          <w:sz w:val="24"/>
          <w:szCs w:val="24"/>
          <w:lang w:val="en" w:eastAsia="en-AU"/>
        </w:rPr>
        <w:t xml:space="preserve">61,056 </w:t>
      </w:r>
      <w:r w:rsidRPr="00260C1D">
        <w:rPr>
          <w:rFonts w:eastAsia="Segoe UI" w:cstheme="minorHAnsi"/>
          <w:color w:val="011A3C"/>
          <w:sz w:val="24"/>
          <w:szCs w:val="24"/>
          <w:lang w:val="en" w:eastAsia="en-AU"/>
        </w:rPr>
        <w:t>site allowance.</w:t>
      </w:r>
    </w:p>
    <w:p w14:paraId="259DA0F3" w14:textId="408A07FA" w:rsidR="0076693A" w:rsidRPr="00260C1D" w:rsidRDefault="007F1D90" w:rsidP="00833928">
      <w:pPr>
        <w:spacing w:before="120" w:after="120" w:line="240" w:lineRule="auto"/>
        <w:rPr>
          <w:rFonts w:eastAsia="Segoe UI" w:cstheme="minorHAnsi"/>
          <w:color w:val="011A3C"/>
          <w:sz w:val="24"/>
          <w:szCs w:val="24"/>
          <w:lang w:val="en" w:eastAsia="en-AU"/>
        </w:rPr>
      </w:pPr>
      <w:bookmarkStart w:id="137" w:name="_Hlk47010300"/>
      <w:r w:rsidRPr="00260C1D">
        <w:rPr>
          <w:rFonts w:eastAsia="Segoe UI" w:cstheme="minorHAnsi"/>
          <w:color w:val="011A3C"/>
          <w:sz w:val="24"/>
          <w:szCs w:val="24"/>
          <w:lang w:val="en" w:eastAsia="en-AU"/>
        </w:rPr>
        <w:t>Funding is calculated at the Indicative cycle and allocated through cash funding</w:t>
      </w:r>
      <w:bookmarkEnd w:id="137"/>
      <w:r w:rsidRPr="00260C1D">
        <w:rPr>
          <w:rFonts w:eastAsia="Segoe UI" w:cstheme="minorHAnsi"/>
          <w:color w:val="011A3C"/>
          <w:sz w:val="24"/>
          <w:szCs w:val="24"/>
          <w:lang w:val="en" w:eastAsia="en-AU"/>
        </w:rPr>
        <w:t>.</w:t>
      </w:r>
    </w:p>
    <w:p w14:paraId="2E4236F3" w14:textId="77777777" w:rsidR="0010456F" w:rsidRDefault="0010456F" w:rsidP="009B4DE1">
      <w:pPr>
        <w:rPr>
          <w:lang w:val="en" w:eastAsia="en-AU"/>
        </w:rPr>
      </w:pPr>
    </w:p>
    <w:p w14:paraId="2B345669" w14:textId="292DE556" w:rsidR="0076693A" w:rsidRPr="00260C1D" w:rsidRDefault="0076693A" w:rsidP="00833928">
      <w:pPr>
        <w:spacing w:before="120" w:after="120" w:line="240" w:lineRule="auto"/>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202</w:t>
      </w:r>
      <w:r w:rsidR="00C57EAB">
        <w:rPr>
          <w:rFonts w:eastAsia="Segoe UI" w:cstheme="minorHAnsi"/>
          <w:b/>
          <w:color w:val="011A3C"/>
          <w:sz w:val="27"/>
          <w:szCs w:val="27"/>
          <w:lang w:val="en" w:eastAsia="en-AU"/>
        </w:rPr>
        <w:t>4</w:t>
      </w:r>
    </w:p>
    <w:p w14:paraId="11E3B33E" w14:textId="77777777" w:rsidR="0076693A" w:rsidRPr="00260C1D" w:rsidRDefault="0076693A" w:rsidP="00833928">
      <w:pPr>
        <w:spacing w:before="120" w:after="120" w:line="240" w:lineRule="auto"/>
        <w:outlineLvl w:val="3"/>
        <w:rPr>
          <w:rFonts w:eastAsia="Segoe UI" w:cstheme="minorHAnsi"/>
          <w:color w:val="011A3C"/>
          <w:sz w:val="24"/>
          <w:szCs w:val="24"/>
          <w:lang w:val="en" w:eastAsia="en-AU"/>
        </w:rPr>
      </w:pPr>
      <w:r w:rsidRPr="00260C1D">
        <w:rPr>
          <w:rFonts w:eastAsia="Segoe UI" w:cstheme="minorHAnsi"/>
          <w:b/>
          <w:color w:val="011A3C"/>
          <w:sz w:val="24"/>
          <w:szCs w:val="24"/>
          <w:lang w:val="en" w:eastAsia="en-AU"/>
        </w:rPr>
        <w:t>Primary school</w:t>
      </w:r>
      <w:r w:rsidRPr="00260C1D">
        <w:rPr>
          <w:rFonts w:eastAsia="Segoe UI" w:cstheme="minorHAnsi"/>
          <w:color w:val="011A3C"/>
          <w:sz w:val="24"/>
          <w:szCs w:val="24"/>
          <w:lang w:val="en" w:eastAsia="en-AU"/>
        </w:rPr>
        <w:t xml:space="preserve"> (includes P–12 colleges that have more than one primary site)</w:t>
      </w:r>
    </w:p>
    <w:p w14:paraId="676014BB" w14:textId="60C3E46A" w:rsidR="0076693A" w:rsidRPr="00260C1D" w:rsidRDefault="00B614CB" w:rsidP="00833928">
      <w:pPr>
        <w:numPr>
          <w:ilvl w:val="0"/>
          <w:numId w:val="4"/>
        </w:numPr>
        <w:spacing w:before="120" w:after="12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w:t>
      </w:r>
      <w:r w:rsidR="007759B1" w:rsidRPr="007759B1">
        <w:rPr>
          <w:rFonts w:eastAsia="Segoe UI" w:cstheme="minorHAnsi"/>
          <w:color w:val="011A3C"/>
          <w:sz w:val="24"/>
          <w:szCs w:val="24"/>
          <w:lang w:val="en" w:eastAsia="en-AU"/>
        </w:rPr>
        <w:t>6,899</w:t>
      </w:r>
      <w:r w:rsidR="008F4825" w:rsidRPr="00260C1D">
        <w:rPr>
          <w:rFonts w:eastAsia="Segoe UI" w:cstheme="minorHAnsi"/>
          <w:color w:val="011A3C"/>
          <w:sz w:val="24"/>
          <w:szCs w:val="24"/>
          <w:lang w:val="en" w:eastAsia="en-AU"/>
        </w:rPr>
        <w:t xml:space="preserve"> </w:t>
      </w:r>
      <w:r w:rsidR="0076693A" w:rsidRPr="00260C1D">
        <w:rPr>
          <w:rFonts w:eastAsia="Segoe UI" w:cstheme="minorHAnsi"/>
          <w:color w:val="011A3C"/>
          <w:sz w:val="24"/>
          <w:szCs w:val="24"/>
          <w:lang w:val="en" w:eastAsia="en-AU"/>
        </w:rPr>
        <w:t>per annum for the second site</w:t>
      </w:r>
    </w:p>
    <w:p w14:paraId="6C084783" w14:textId="561E9DFC" w:rsidR="0076693A" w:rsidRPr="00260C1D" w:rsidRDefault="00B614CB" w:rsidP="00833928">
      <w:pPr>
        <w:numPr>
          <w:ilvl w:val="0"/>
          <w:numId w:val="4"/>
        </w:numPr>
        <w:spacing w:before="120" w:after="12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w:t>
      </w:r>
      <w:r w:rsidR="007759B1" w:rsidRPr="007759B1">
        <w:rPr>
          <w:rFonts w:eastAsia="Segoe UI" w:cstheme="minorHAnsi"/>
          <w:color w:val="011A3C"/>
          <w:sz w:val="24"/>
          <w:szCs w:val="24"/>
          <w:lang w:val="en" w:eastAsia="en-AU"/>
        </w:rPr>
        <w:t>3,451</w:t>
      </w:r>
      <w:r w:rsidR="008F4825" w:rsidRPr="00260C1D">
        <w:rPr>
          <w:rFonts w:eastAsia="Segoe UI" w:cstheme="minorHAnsi"/>
          <w:color w:val="011A3C"/>
          <w:sz w:val="24"/>
          <w:szCs w:val="24"/>
          <w:lang w:val="en" w:eastAsia="en-AU"/>
        </w:rPr>
        <w:t xml:space="preserve"> </w:t>
      </w:r>
      <w:r w:rsidR="0076693A" w:rsidRPr="00260C1D">
        <w:rPr>
          <w:rFonts w:eastAsia="Segoe UI" w:cstheme="minorHAnsi"/>
          <w:color w:val="011A3C"/>
          <w:sz w:val="24"/>
          <w:szCs w:val="24"/>
          <w:lang w:val="en" w:eastAsia="en-AU"/>
        </w:rPr>
        <w:t>per annum for each subsequent site</w:t>
      </w:r>
    </w:p>
    <w:p w14:paraId="14AC56EB" w14:textId="77777777" w:rsidR="0076693A" w:rsidRPr="00260C1D" w:rsidRDefault="0076693A" w:rsidP="00833928">
      <w:pPr>
        <w:spacing w:before="120" w:after="120" w:line="240" w:lineRule="auto"/>
        <w:outlineLvl w:val="3"/>
        <w:rPr>
          <w:rFonts w:eastAsia="Segoe UI" w:cstheme="minorHAnsi"/>
          <w:color w:val="011A3C"/>
          <w:sz w:val="24"/>
          <w:szCs w:val="24"/>
          <w:lang w:val="en" w:eastAsia="en-AU"/>
        </w:rPr>
      </w:pPr>
      <w:r w:rsidRPr="00260C1D">
        <w:rPr>
          <w:rFonts w:eastAsia="Segoe UI" w:cstheme="minorHAnsi"/>
          <w:b/>
          <w:color w:val="011A3C"/>
          <w:sz w:val="24"/>
          <w:szCs w:val="24"/>
          <w:lang w:val="en" w:eastAsia="en-AU"/>
        </w:rPr>
        <w:t>P–12 school</w:t>
      </w:r>
    </w:p>
    <w:p w14:paraId="66F816D5" w14:textId="6F9FA077" w:rsidR="00B846F8" w:rsidRPr="00260C1D" w:rsidRDefault="00B614CB" w:rsidP="00833928">
      <w:pPr>
        <w:numPr>
          <w:ilvl w:val="0"/>
          <w:numId w:val="5"/>
        </w:numPr>
        <w:spacing w:before="120" w:after="12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w:t>
      </w:r>
      <w:r w:rsidR="007759B1" w:rsidRPr="007759B1">
        <w:rPr>
          <w:rFonts w:eastAsia="Segoe UI" w:cstheme="minorHAnsi"/>
          <w:color w:val="011A3C"/>
          <w:sz w:val="24"/>
          <w:szCs w:val="24"/>
          <w:lang w:val="en" w:eastAsia="en-AU"/>
        </w:rPr>
        <w:t>10,886</w:t>
      </w:r>
      <w:r w:rsidR="00885292" w:rsidRPr="00260C1D">
        <w:rPr>
          <w:rFonts w:eastAsia="Segoe UI" w:cstheme="minorHAnsi"/>
          <w:color w:val="011A3C"/>
          <w:sz w:val="24"/>
          <w:szCs w:val="24"/>
          <w:lang w:val="en" w:eastAsia="en-AU"/>
        </w:rPr>
        <w:t xml:space="preserve"> </w:t>
      </w:r>
      <w:r w:rsidR="0076693A" w:rsidRPr="00260C1D">
        <w:rPr>
          <w:rFonts w:eastAsia="Segoe UI" w:cstheme="minorHAnsi"/>
          <w:color w:val="011A3C"/>
          <w:sz w:val="24"/>
          <w:szCs w:val="24"/>
          <w:lang w:val="en" w:eastAsia="en-AU"/>
        </w:rPr>
        <w:t>per annum for each additional site</w:t>
      </w:r>
    </w:p>
    <w:p w14:paraId="37AEEF0F" w14:textId="079E8244" w:rsidR="0076693A" w:rsidRPr="00260C1D" w:rsidRDefault="0076693A" w:rsidP="00833928">
      <w:pPr>
        <w:spacing w:before="120" w:after="120" w:line="240" w:lineRule="auto"/>
        <w:outlineLvl w:val="3"/>
        <w:rPr>
          <w:rFonts w:eastAsia="Segoe UI" w:cstheme="minorHAnsi"/>
          <w:color w:val="011A3C"/>
          <w:sz w:val="24"/>
          <w:szCs w:val="24"/>
          <w:lang w:val="en" w:eastAsia="en-AU"/>
        </w:rPr>
      </w:pPr>
      <w:r w:rsidRPr="00260C1D">
        <w:rPr>
          <w:rFonts w:eastAsia="Segoe UI" w:cstheme="minorHAnsi"/>
          <w:b/>
          <w:color w:val="011A3C"/>
          <w:sz w:val="24"/>
          <w:szCs w:val="24"/>
          <w:lang w:val="en" w:eastAsia="en-AU"/>
        </w:rPr>
        <w:t>Secondary college</w:t>
      </w:r>
    </w:p>
    <w:p w14:paraId="4D15E23F" w14:textId="59DBDFDA" w:rsidR="0076693A" w:rsidRPr="00260C1D" w:rsidRDefault="00B614CB" w:rsidP="00833928">
      <w:pPr>
        <w:numPr>
          <w:ilvl w:val="0"/>
          <w:numId w:val="6"/>
        </w:numPr>
        <w:spacing w:before="120" w:after="12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w:t>
      </w:r>
      <w:r w:rsidR="00785377" w:rsidRPr="00785377">
        <w:rPr>
          <w:rFonts w:eastAsia="Segoe UI" w:cstheme="minorHAnsi"/>
          <w:color w:val="011A3C"/>
          <w:sz w:val="24"/>
          <w:szCs w:val="24"/>
          <w:lang w:val="en" w:eastAsia="en-AU"/>
        </w:rPr>
        <w:t>10,886</w:t>
      </w:r>
      <w:r w:rsidR="008F4825" w:rsidRPr="00260C1D">
        <w:rPr>
          <w:rFonts w:eastAsia="Segoe UI" w:cstheme="minorHAnsi"/>
          <w:color w:val="011A3C"/>
          <w:sz w:val="24"/>
          <w:szCs w:val="24"/>
          <w:lang w:val="en" w:eastAsia="en-AU"/>
        </w:rPr>
        <w:t xml:space="preserve"> </w:t>
      </w:r>
      <w:r w:rsidR="0076693A" w:rsidRPr="00260C1D">
        <w:rPr>
          <w:rFonts w:eastAsia="Segoe UI" w:cstheme="minorHAnsi"/>
          <w:color w:val="011A3C"/>
          <w:sz w:val="24"/>
          <w:szCs w:val="24"/>
          <w:lang w:val="en" w:eastAsia="en-AU"/>
        </w:rPr>
        <w:t>per annum for each additional site</w:t>
      </w:r>
    </w:p>
    <w:p w14:paraId="061F0547" w14:textId="77777777" w:rsidR="007F1D90" w:rsidRPr="00260C1D" w:rsidRDefault="007F1D90" w:rsidP="00833928">
      <w:pPr>
        <w:spacing w:before="120" w:after="120" w:line="240" w:lineRule="auto"/>
        <w:outlineLvl w:val="3"/>
        <w:rPr>
          <w:rFonts w:eastAsia="Segoe UI" w:cstheme="minorHAnsi"/>
          <w:color w:val="011A3C"/>
          <w:sz w:val="24"/>
          <w:szCs w:val="24"/>
          <w:lang w:val="en" w:eastAsia="en-AU"/>
        </w:rPr>
      </w:pPr>
      <w:r w:rsidRPr="00260C1D">
        <w:rPr>
          <w:rFonts w:eastAsia="Segoe UI" w:cstheme="minorHAnsi"/>
          <w:b/>
          <w:color w:val="011A3C"/>
          <w:sz w:val="24"/>
          <w:szCs w:val="24"/>
          <w:lang w:val="en" w:eastAsia="en-AU"/>
        </w:rPr>
        <w:t>Language school</w:t>
      </w:r>
    </w:p>
    <w:p w14:paraId="1A7B4551" w14:textId="63279A51" w:rsidR="007F1D90" w:rsidRPr="00260C1D" w:rsidRDefault="00B614CB" w:rsidP="00833928">
      <w:pPr>
        <w:numPr>
          <w:ilvl w:val="0"/>
          <w:numId w:val="6"/>
        </w:numPr>
        <w:spacing w:before="120" w:after="12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w:t>
      </w:r>
      <w:r w:rsidR="00B076D7" w:rsidRPr="00B076D7">
        <w:rPr>
          <w:rFonts w:eastAsia="Segoe UI" w:cstheme="minorHAnsi"/>
          <w:color w:val="011A3C"/>
          <w:sz w:val="24"/>
          <w:szCs w:val="24"/>
          <w:lang w:val="en" w:eastAsia="en-AU"/>
        </w:rPr>
        <w:t>10,886</w:t>
      </w:r>
      <w:r w:rsidR="008F4825" w:rsidRPr="00260C1D">
        <w:rPr>
          <w:rFonts w:eastAsia="Segoe UI" w:cstheme="minorHAnsi"/>
          <w:color w:val="011A3C"/>
          <w:sz w:val="24"/>
          <w:szCs w:val="24"/>
          <w:lang w:val="en" w:eastAsia="en-AU"/>
        </w:rPr>
        <w:t xml:space="preserve"> </w:t>
      </w:r>
      <w:r w:rsidR="007F1D90" w:rsidRPr="00260C1D">
        <w:rPr>
          <w:rFonts w:eastAsia="Segoe UI" w:cstheme="minorHAnsi"/>
          <w:color w:val="011A3C"/>
          <w:sz w:val="24"/>
          <w:szCs w:val="24"/>
          <w:lang w:val="en" w:eastAsia="en-AU"/>
        </w:rPr>
        <w:t>per annum for each additional site</w:t>
      </w:r>
    </w:p>
    <w:p w14:paraId="7740ADDF" w14:textId="48E1D37D" w:rsidR="0076693A" w:rsidRPr="00260C1D" w:rsidRDefault="0076693A" w:rsidP="00833928">
      <w:pPr>
        <w:spacing w:before="120" w:after="120" w:line="240" w:lineRule="auto"/>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Special School</w:t>
      </w:r>
    </w:p>
    <w:p w14:paraId="52F30820" w14:textId="0157F364" w:rsidR="0076693A" w:rsidRPr="00260C1D" w:rsidRDefault="00B614CB" w:rsidP="00833928">
      <w:pPr>
        <w:numPr>
          <w:ilvl w:val="0"/>
          <w:numId w:val="7"/>
        </w:numPr>
        <w:spacing w:before="120" w:after="12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w:t>
      </w:r>
      <w:r w:rsidR="00785377" w:rsidRPr="00785377">
        <w:rPr>
          <w:rFonts w:eastAsia="Segoe UI" w:cstheme="minorHAnsi"/>
          <w:color w:val="011A3C"/>
          <w:sz w:val="24"/>
          <w:szCs w:val="24"/>
          <w:lang w:val="en" w:eastAsia="en-AU"/>
        </w:rPr>
        <w:t>3,058</w:t>
      </w:r>
      <w:r w:rsidR="00454756" w:rsidRPr="00260C1D">
        <w:rPr>
          <w:rFonts w:eastAsia="Segoe UI" w:cstheme="minorHAnsi"/>
          <w:color w:val="011A3C"/>
          <w:sz w:val="24"/>
          <w:szCs w:val="24"/>
          <w:lang w:val="en" w:eastAsia="en-AU"/>
        </w:rPr>
        <w:t xml:space="preserve"> </w:t>
      </w:r>
      <w:r w:rsidR="0076693A" w:rsidRPr="00260C1D">
        <w:rPr>
          <w:rFonts w:eastAsia="Segoe UI" w:cstheme="minorHAnsi"/>
          <w:color w:val="011A3C"/>
          <w:sz w:val="24"/>
          <w:szCs w:val="24"/>
          <w:lang w:val="en" w:eastAsia="en-AU"/>
        </w:rPr>
        <w:t>per annum for each additional site</w:t>
      </w:r>
    </w:p>
    <w:p w14:paraId="6B14F863" w14:textId="77777777" w:rsidR="00AF0CB1" w:rsidRDefault="00AF0CB1" w:rsidP="0076693A">
      <w:pPr>
        <w:rPr>
          <w:b/>
          <w:color w:val="323E4F" w:themeColor="text2" w:themeShade="BF"/>
        </w:rPr>
      </w:pPr>
    </w:p>
    <w:p w14:paraId="508B86A5" w14:textId="732A82B1" w:rsidR="0076693A" w:rsidRPr="00950CBB" w:rsidRDefault="00B614CB" w:rsidP="0076693A">
      <w:pPr>
        <w:rPr>
          <w:b/>
        </w:rPr>
      </w:pPr>
      <w:r w:rsidRPr="00950CBB">
        <w:rPr>
          <w:b/>
          <w:color w:val="323E4F" w:themeColor="text2" w:themeShade="BF"/>
        </w:rPr>
        <w:t>Note – A stocktake of schools is</w:t>
      </w:r>
      <w:r w:rsidR="00716F5E" w:rsidRPr="00950CBB">
        <w:rPr>
          <w:b/>
          <w:color w:val="323E4F" w:themeColor="text2" w:themeShade="BF"/>
        </w:rPr>
        <w:t xml:space="preserve"> being</w:t>
      </w:r>
      <w:r w:rsidRPr="00950CBB">
        <w:rPr>
          <w:b/>
          <w:color w:val="323E4F" w:themeColor="text2" w:themeShade="BF"/>
        </w:rPr>
        <w:t xml:space="preserve"> </w:t>
      </w:r>
      <w:r w:rsidR="00716F5E" w:rsidRPr="00950CBB">
        <w:rPr>
          <w:b/>
          <w:color w:val="323E4F" w:themeColor="text2" w:themeShade="BF"/>
        </w:rPr>
        <w:t>re-</w:t>
      </w:r>
      <w:r w:rsidRPr="00950CBB">
        <w:rPr>
          <w:b/>
          <w:color w:val="323E4F" w:themeColor="text2" w:themeShade="BF"/>
        </w:rPr>
        <w:t>scheduled to occur during 202</w:t>
      </w:r>
      <w:r w:rsidR="00CC6449">
        <w:rPr>
          <w:b/>
          <w:color w:val="323E4F" w:themeColor="text2" w:themeShade="BF"/>
        </w:rPr>
        <w:t>4 and 2025</w:t>
      </w:r>
      <w:r w:rsidRPr="00950CBB">
        <w:rPr>
          <w:b/>
          <w:color w:val="323E4F" w:themeColor="text2" w:themeShade="BF"/>
        </w:rPr>
        <w:t xml:space="preserve"> and schools currently receiving this allocation will be assessed and sites no longer operational will have funding discontinued.  </w:t>
      </w:r>
      <w:r w:rsidR="0076693A" w:rsidRPr="00950CBB">
        <w:rPr>
          <w:b/>
        </w:rPr>
        <w:br w:type="page"/>
      </w:r>
    </w:p>
    <w:p w14:paraId="13B94BAD" w14:textId="59D475A3" w:rsidR="0076693A" w:rsidRPr="00260C1D" w:rsidRDefault="0076693A" w:rsidP="00532A33">
      <w:pPr>
        <w:pStyle w:val="Heading2"/>
      </w:pPr>
      <w:bookmarkStart w:id="138" w:name="_Toc141965260"/>
      <w:bookmarkStart w:id="139" w:name="_Toc145339590"/>
      <w:bookmarkStart w:id="140" w:name="_Toc153791913"/>
      <w:r w:rsidRPr="00260C1D">
        <w:lastRenderedPageBreak/>
        <w:t>Utilities (Reference 34)</w:t>
      </w:r>
      <w:bookmarkEnd w:id="138"/>
      <w:bookmarkEnd w:id="139"/>
      <w:bookmarkEnd w:id="140"/>
    </w:p>
    <w:p w14:paraId="4698D642" w14:textId="77777777" w:rsidR="0076693A" w:rsidRPr="00260C1D" w:rsidRDefault="0076693A" w:rsidP="0076693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Utilities funding is provided as a cash allocation as part of a school’s Student Resource Package (SRP) under the School Infrastructure items. Funding is distributed through the quarterly cash grant.</w:t>
      </w:r>
    </w:p>
    <w:p w14:paraId="70607478" w14:textId="7EFE6941" w:rsidR="0076693A" w:rsidRPr="00260C1D" w:rsidRDefault="0076693A" w:rsidP="0076693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Utilities funding is provided for the following items</w:t>
      </w:r>
      <w:r w:rsidR="00631BC0">
        <w:rPr>
          <w:rFonts w:eastAsia="Segoe UI" w:cstheme="minorHAnsi"/>
          <w:color w:val="011A3C"/>
          <w:sz w:val="24"/>
          <w:szCs w:val="24"/>
          <w:lang w:val="en" w:eastAsia="en-AU"/>
        </w:rPr>
        <w:t>:</w:t>
      </w:r>
    </w:p>
    <w:p w14:paraId="3F611F46" w14:textId="77777777" w:rsidR="0076693A" w:rsidRPr="00260C1D" w:rsidRDefault="0076693A" w:rsidP="00F56244">
      <w:pPr>
        <w:numPr>
          <w:ilvl w:val="0"/>
          <w:numId w:val="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Electricity</w:t>
      </w:r>
    </w:p>
    <w:p w14:paraId="0BF987B1" w14:textId="478AED71" w:rsidR="0076693A" w:rsidRPr="00260C1D" w:rsidRDefault="0076693A" w:rsidP="00F56244">
      <w:pPr>
        <w:numPr>
          <w:ilvl w:val="0"/>
          <w:numId w:val="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Natural </w:t>
      </w:r>
      <w:r w:rsidR="00B06541">
        <w:rPr>
          <w:rFonts w:eastAsia="Segoe UI" w:cstheme="minorHAnsi"/>
          <w:color w:val="011A3C"/>
          <w:sz w:val="24"/>
          <w:szCs w:val="24"/>
          <w:lang w:val="en" w:eastAsia="en-AU"/>
        </w:rPr>
        <w:t>(Mains)</w:t>
      </w:r>
      <w:r w:rsidRPr="00260C1D">
        <w:rPr>
          <w:rFonts w:eastAsia="Segoe UI" w:cstheme="minorHAnsi"/>
          <w:color w:val="011A3C"/>
          <w:sz w:val="24"/>
          <w:szCs w:val="24"/>
          <w:lang w:val="en" w:eastAsia="en-AU"/>
        </w:rPr>
        <w:t xml:space="preserve"> and LPG Gas</w:t>
      </w:r>
    </w:p>
    <w:p w14:paraId="7ED73ACF" w14:textId="77777777" w:rsidR="0076693A" w:rsidRPr="00260C1D" w:rsidRDefault="0076693A" w:rsidP="00F56244">
      <w:pPr>
        <w:numPr>
          <w:ilvl w:val="0"/>
          <w:numId w:val="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Water/rates</w:t>
      </w:r>
    </w:p>
    <w:p w14:paraId="21F8092B" w14:textId="77777777" w:rsidR="0076693A" w:rsidRPr="00260C1D" w:rsidRDefault="0076693A" w:rsidP="00F56244">
      <w:pPr>
        <w:numPr>
          <w:ilvl w:val="0"/>
          <w:numId w:val="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Refuse and Garbage</w:t>
      </w:r>
    </w:p>
    <w:p w14:paraId="3DE1F00C" w14:textId="40E4B4F7" w:rsidR="00CA49C5" w:rsidRDefault="00CA49C5" w:rsidP="00833928">
      <w:pPr>
        <w:spacing w:after="0"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Telephones costs </w:t>
      </w:r>
      <w:r w:rsidRPr="00833928">
        <w:rPr>
          <w:b/>
          <w:color w:val="011A3C"/>
          <w:sz w:val="24"/>
          <w:lang w:val="en"/>
        </w:rPr>
        <w:t>are not</w:t>
      </w:r>
      <w:r w:rsidRPr="00260C1D">
        <w:rPr>
          <w:rFonts w:eastAsia="Segoe UI" w:cstheme="minorHAnsi"/>
          <w:color w:val="011A3C"/>
          <w:sz w:val="24"/>
          <w:szCs w:val="24"/>
          <w:lang w:val="en" w:eastAsia="en-AU"/>
        </w:rPr>
        <w:t xml:space="preserve"> included under the utilities budget.</w:t>
      </w:r>
    </w:p>
    <w:p w14:paraId="1FC2D65A" w14:textId="77777777" w:rsidR="00CA49C5" w:rsidRDefault="00CA49C5" w:rsidP="00CA49C5">
      <w:pPr>
        <w:spacing w:after="0" w:line="360" w:lineRule="atLeast"/>
        <w:rPr>
          <w:rFonts w:eastAsia="Segoe UI" w:cstheme="minorHAnsi"/>
          <w:color w:val="011A3C"/>
          <w:sz w:val="24"/>
          <w:szCs w:val="24"/>
          <w:lang w:val="en" w:eastAsia="en-AU"/>
        </w:rPr>
      </w:pPr>
      <w:r w:rsidRPr="009B4DE1">
        <w:rPr>
          <w:rFonts w:eastAsia="Segoe UI" w:cstheme="minorHAnsi"/>
          <w:b/>
          <w:bCs/>
          <w:color w:val="011A3C"/>
          <w:sz w:val="24"/>
          <w:szCs w:val="24"/>
          <w:lang w:val="en" w:eastAsia="en-AU"/>
        </w:rPr>
        <w:t>Sanitation items only</w:t>
      </w:r>
      <w:r>
        <w:rPr>
          <w:rFonts w:eastAsia="Segoe UI" w:cstheme="minorHAnsi"/>
          <w:color w:val="011A3C"/>
          <w:sz w:val="24"/>
          <w:szCs w:val="24"/>
          <w:lang w:val="en" w:eastAsia="en-AU"/>
        </w:rPr>
        <w:t xml:space="preserve"> costs are </w:t>
      </w:r>
      <w:r w:rsidRPr="00260C1D">
        <w:rPr>
          <w:rFonts w:eastAsia="Segoe UI" w:cstheme="minorHAnsi"/>
          <w:color w:val="011A3C"/>
          <w:sz w:val="24"/>
          <w:szCs w:val="24"/>
          <w:lang w:val="en" w:eastAsia="en-AU"/>
        </w:rPr>
        <w:t>under the utilities budget.</w:t>
      </w:r>
      <w:r>
        <w:rPr>
          <w:rFonts w:eastAsia="Segoe UI" w:cstheme="minorHAnsi"/>
          <w:color w:val="011A3C"/>
          <w:sz w:val="24"/>
          <w:szCs w:val="24"/>
          <w:lang w:val="en" w:eastAsia="en-AU"/>
        </w:rPr>
        <w:t xml:space="preserve">  </w:t>
      </w:r>
    </w:p>
    <w:p w14:paraId="438474BD" w14:textId="7A751BDD" w:rsidR="0076693A" w:rsidRPr="00260C1D" w:rsidRDefault="00CA49C5" w:rsidP="00CA49C5">
      <w:pPr>
        <w:spacing w:after="0"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Sanitation Bin (including sharps) collection is an Annual Contract (SRP Reference 36).</w:t>
      </w:r>
    </w:p>
    <w:p w14:paraId="618D9C34" w14:textId="77777777" w:rsidR="000838E3" w:rsidRDefault="000838E3" w:rsidP="00CA49C5">
      <w:pPr>
        <w:spacing w:after="0" w:line="360" w:lineRule="atLeast"/>
        <w:rPr>
          <w:rFonts w:eastAsia="Segoe UI" w:cstheme="minorHAnsi"/>
          <w:color w:val="011A3C"/>
          <w:sz w:val="24"/>
          <w:szCs w:val="24"/>
          <w:lang w:val="en" w:eastAsia="en-AU"/>
        </w:rPr>
      </w:pPr>
    </w:p>
    <w:p w14:paraId="71BBAE40" w14:textId="77777777" w:rsidR="000838E3" w:rsidRPr="006E7BBC" w:rsidRDefault="000838E3" w:rsidP="000838E3">
      <w:pPr>
        <w:spacing w:after="0" w:line="240" w:lineRule="auto"/>
        <w:outlineLvl w:val="1"/>
        <w:rPr>
          <w:rFonts w:ascii="Calibri" w:hAnsi="Calibri" w:cs="Calibri"/>
          <w:b/>
          <w:color w:val="011A3C"/>
          <w:lang w:val="en"/>
        </w:rPr>
      </w:pPr>
      <w:r w:rsidRPr="006E7BBC">
        <w:rPr>
          <w:rFonts w:ascii="Calibri" w:eastAsia="Segoe UI" w:hAnsi="Calibri" w:cs="Calibri"/>
          <w:b/>
          <w:color w:val="011A3C"/>
          <w:sz w:val="27"/>
          <w:szCs w:val="27"/>
        </w:rPr>
        <w:t>Reporting in CASES21</w:t>
      </w:r>
    </w:p>
    <w:p w14:paraId="4818C5A9" w14:textId="77777777" w:rsidR="000838E3" w:rsidRPr="00260C1D" w:rsidRDefault="000838E3" w:rsidP="000838E3">
      <w:pPr>
        <w:spacing w:after="0"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Utilities e</w:t>
      </w:r>
      <w:r w:rsidRPr="00260C1D">
        <w:rPr>
          <w:rFonts w:eastAsia="Segoe UI" w:cstheme="minorHAnsi"/>
          <w:color w:val="011A3C"/>
          <w:sz w:val="24"/>
          <w:szCs w:val="24"/>
          <w:lang w:val="en" w:eastAsia="en-AU"/>
        </w:rPr>
        <w:t>xpenditure should be allocated in CASES21 to:</w:t>
      </w:r>
    </w:p>
    <w:p w14:paraId="7963BA56" w14:textId="77777777" w:rsidR="000838E3" w:rsidRPr="00776689" w:rsidRDefault="000838E3" w:rsidP="000838E3">
      <w:pPr>
        <w:spacing w:before="100" w:beforeAutospacing="1" w:after="0" w:line="360" w:lineRule="atLeast"/>
        <w:ind w:firstLine="360"/>
        <w:rPr>
          <w:rFonts w:eastAsia="Segoe UI" w:cstheme="minorHAnsi"/>
          <w:color w:val="011A3C"/>
          <w:sz w:val="24"/>
          <w:szCs w:val="24"/>
          <w:lang w:val="en" w:eastAsia="en-AU"/>
        </w:rPr>
      </w:pPr>
      <w:r w:rsidRPr="00776689">
        <w:rPr>
          <w:rFonts w:eastAsia="Segoe UI" w:cstheme="minorHAnsi"/>
          <w:color w:val="011A3C"/>
          <w:sz w:val="24"/>
          <w:szCs w:val="24"/>
          <w:lang w:val="en" w:eastAsia="en-AU"/>
        </w:rPr>
        <w:t>Sub Program Code: 6001 – Building Services and Utilities</w:t>
      </w:r>
    </w:p>
    <w:p w14:paraId="01F05C33" w14:textId="77777777" w:rsidR="000838E3" w:rsidRDefault="000838E3" w:rsidP="000838E3">
      <w:pPr>
        <w:pStyle w:val="ListParagraph"/>
        <w:numPr>
          <w:ilvl w:val="0"/>
          <w:numId w:val="88"/>
        </w:numPr>
        <w:tabs>
          <w:tab w:val="clear" w:pos="720"/>
          <w:tab w:val="num" w:pos="993"/>
          <w:tab w:val="num" w:pos="1440"/>
        </w:tabs>
        <w:spacing w:after="100" w:afterAutospacing="1" w:line="360" w:lineRule="atLeast"/>
        <w:ind w:left="851" w:hanging="284"/>
        <w:rPr>
          <w:rFonts w:eastAsia="Segoe UI" w:cstheme="minorHAnsi"/>
          <w:color w:val="011A3C"/>
          <w:sz w:val="24"/>
          <w:szCs w:val="24"/>
          <w:lang w:val="en" w:eastAsia="en-AU"/>
        </w:rPr>
      </w:pPr>
      <w:r w:rsidRPr="00260C1D">
        <w:rPr>
          <w:rFonts w:eastAsia="Segoe UI" w:cstheme="minorHAnsi"/>
          <w:color w:val="011A3C"/>
          <w:sz w:val="24"/>
          <w:szCs w:val="24"/>
          <w:lang w:val="en" w:eastAsia="en-AU"/>
        </w:rPr>
        <w:t>General Ledger Account Code: 86</w:t>
      </w:r>
      <w:r>
        <w:rPr>
          <w:rFonts w:eastAsia="Segoe UI" w:cstheme="minorHAnsi"/>
          <w:color w:val="011A3C"/>
          <w:sz w:val="24"/>
          <w:szCs w:val="24"/>
          <w:lang w:val="en" w:eastAsia="en-AU"/>
        </w:rPr>
        <w:t>452</w:t>
      </w:r>
      <w:r w:rsidRPr="00260C1D">
        <w:rPr>
          <w:rFonts w:eastAsia="Segoe UI" w:cstheme="minorHAnsi"/>
          <w:color w:val="011A3C"/>
          <w:sz w:val="24"/>
          <w:szCs w:val="24"/>
          <w:lang w:val="en" w:eastAsia="en-AU"/>
        </w:rPr>
        <w:t xml:space="preserve"> – </w:t>
      </w:r>
      <w:r w:rsidRPr="00776689">
        <w:rPr>
          <w:rFonts w:eastAsia="Segoe UI" w:cstheme="minorHAnsi"/>
          <w:color w:val="011A3C"/>
          <w:sz w:val="24"/>
          <w:szCs w:val="24"/>
          <w:lang w:val="en" w:eastAsia="en-AU"/>
        </w:rPr>
        <w:t>Electricity</w:t>
      </w:r>
    </w:p>
    <w:p w14:paraId="7D0DB3D1" w14:textId="77777777" w:rsidR="000838E3" w:rsidRDefault="000838E3" w:rsidP="000838E3">
      <w:pPr>
        <w:pStyle w:val="ListParagraph"/>
        <w:numPr>
          <w:ilvl w:val="0"/>
          <w:numId w:val="88"/>
        </w:numPr>
        <w:tabs>
          <w:tab w:val="clear" w:pos="720"/>
          <w:tab w:val="num" w:pos="993"/>
          <w:tab w:val="num" w:pos="1440"/>
        </w:tabs>
        <w:spacing w:before="100" w:beforeAutospacing="1" w:after="100" w:afterAutospacing="1" w:line="360" w:lineRule="atLeast"/>
        <w:ind w:left="851" w:hanging="284"/>
        <w:rPr>
          <w:rFonts w:eastAsia="Segoe UI" w:cstheme="minorHAnsi"/>
          <w:color w:val="011A3C"/>
          <w:sz w:val="24"/>
          <w:szCs w:val="24"/>
          <w:lang w:val="en" w:eastAsia="en-AU"/>
        </w:rPr>
      </w:pPr>
      <w:r w:rsidRPr="00776689">
        <w:rPr>
          <w:rFonts w:eastAsia="Segoe UI" w:cstheme="minorHAnsi"/>
          <w:color w:val="011A3C"/>
          <w:sz w:val="24"/>
          <w:szCs w:val="24"/>
          <w:lang w:val="en" w:eastAsia="en-AU"/>
        </w:rPr>
        <w:t>General Ledger Account Code: 86453</w:t>
      </w:r>
      <w:r w:rsidRPr="00260C1D">
        <w:rPr>
          <w:rFonts w:eastAsia="Segoe UI" w:cstheme="minorHAnsi"/>
          <w:color w:val="011A3C"/>
          <w:sz w:val="24"/>
          <w:szCs w:val="24"/>
          <w:lang w:val="en" w:eastAsia="en-AU"/>
        </w:rPr>
        <w:t xml:space="preserve"> – </w:t>
      </w:r>
      <w:r w:rsidRPr="00776689">
        <w:rPr>
          <w:rFonts w:eastAsia="Segoe UI" w:cstheme="minorHAnsi"/>
          <w:color w:val="011A3C"/>
          <w:sz w:val="24"/>
          <w:szCs w:val="24"/>
          <w:lang w:val="en" w:eastAsia="en-AU"/>
        </w:rPr>
        <w:t xml:space="preserve">Gas – Mains </w:t>
      </w:r>
    </w:p>
    <w:p w14:paraId="11B847FA" w14:textId="77777777" w:rsidR="000838E3" w:rsidRPr="00776689" w:rsidRDefault="000838E3" w:rsidP="000838E3">
      <w:pPr>
        <w:pStyle w:val="ListParagraph"/>
        <w:numPr>
          <w:ilvl w:val="0"/>
          <w:numId w:val="88"/>
        </w:numPr>
        <w:tabs>
          <w:tab w:val="clear" w:pos="720"/>
          <w:tab w:val="num" w:pos="993"/>
          <w:tab w:val="num" w:pos="1440"/>
        </w:tabs>
        <w:spacing w:before="100" w:beforeAutospacing="1" w:after="100" w:afterAutospacing="1" w:line="360" w:lineRule="atLeast"/>
        <w:ind w:left="851" w:hanging="284"/>
        <w:rPr>
          <w:rFonts w:eastAsia="Segoe UI" w:cstheme="minorHAnsi"/>
          <w:color w:val="011A3C"/>
          <w:sz w:val="24"/>
          <w:szCs w:val="24"/>
          <w:lang w:val="en" w:eastAsia="en-AU"/>
        </w:rPr>
      </w:pPr>
      <w:r w:rsidRPr="00776689">
        <w:rPr>
          <w:rFonts w:eastAsia="Segoe UI" w:cstheme="minorHAnsi"/>
          <w:color w:val="011A3C"/>
          <w:sz w:val="24"/>
          <w:szCs w:val="24"/>
          <w:lang w:val="en" w:eastAsia="en-AU"/>
        </w:rPr>
        <w:t xml:space="preserve">General Ledger Account Code: </w:t>
      </w:r>
      <w:r>
        <w:rPr>
          <w:rFonts w:eastAsia="Segoe UI" w:cstheme="minorHAnsi"/>
          <w:color w:val="011A3C"/>
          <w:sz w:val="24"/>
          <w:szCs w:val="24"/>
          <w:lang w:val="en" w:eastAsia="en-AU"/>
        </w:rPr>
        <w:t>86454</w:t>
      </w:r>
      <w:r w:rsidRPr="00776689">
        <w:rPr>
          <w:rFonts w:eastAsia="Segoe UI" w:cstheme="minorHAnsi"/>
          <w:color w:val="011A3C"/>
          <w:sz w:val="24"/>
          <w:szCs w:val="24"/>
          <w:lang w:val="en" w:eastAsia="en-AU"/>
        </w:rPr>
        <w:t xml:space="preserve"> – Gas – LPG</w:t>
      </w:r>
    </w:p>
    <w:p w14:paraId="65ADED5A" w14:textId="77777777" w:rsidR="000838E3" w:rsidRPr="00776689" w:rsidRDefault="000838E3" w:rsidP="000838E3">
      <w:pPr>
        <w:pStyle w:val="ListParagraph"/>
        <w:numPr>
          <w:ilvl w:val="0"/>
          <w:numId w:val="88"/>
        </w:numPr>
        <w:tabs>
          <w:tab w:val="clear" w:pos="720"/>
          <w:tab w:val="num" w:pos="993"/>
          <w:tab w:val="num" w:pos="1440"/>
        </w:tabs>
        <w:spacing w:before="100" w:beforeAutospacing="1" w:after="100" w:afterAutospacing="1" w:line="360" w:lineRule="atLeast"/>
        <w:ind w:left="851" w:hanging="284"/>
        <w:rPr>
          <w:rFonts w:eastAsia="Segoe UI" w:cstheme="minorHAnsi"/>
          <w:color w:val="011A3C"/>
          <w:sz w:val="24"/>
          <w:szCs w:val="24"/>
          <w:lang w:val="en" w:eastAsia="en-AU"/>
        </w:rPr>
      </w:pPr>
      <w:r w:rsidRPr="00776689">
        <w:rPr>
          <w:rFonts w:eastAsia="Segoe UI" w:cstheme="minorHAnsi"/>
          <w:color w:val="011A3C"/>
          <w:sz w:val="24"/>
          <w:szCs w:val="24"/>
          <w:lang w:val="en" w:eastAsia="en-AU"/>
        </w:rPr>
        <w:t xml:space="preserve">General Ledger Account Code: </w:t>
      </w:r>
      <w:r>
        <w:rPr>
          <w:rFonts w:eastAsia="Segoe UI" w:cstheme="minorHAnsi"/>
          <w:color w:val="011A3C"/>
          <w:sz w:val="24"/>
          <w:szCs w:val="24"/>
          <w:lang w:val="en" w:eastAsia="en-AU"/>
        </w:rPr>
        <w:t>86455</w:t>
      </w:r>
      <w:r w:rsidRPr="00776689">
        <w:rPr>
          <w:rFonts w:eastAsia="Segoe UI" w:cstheme="minorHAnsi"/>
          <w:color w:val="011A3C"/>
          <w:sz w:val="24"/>
          <w:szCs w:val="24"/>
          <w:lang w:val="en" w:eastAsia="en-AU"/>
        </w:rPr>
        <w:t xml:space="preserve"> – Water incl. Water Rates</w:t>
      </w:r>
    </w:p>
    <w:p w14:paraId="5C7783FD" w14:textId="77777777" w:rsidR="000838E3" w:rsidRDefault="000838E3" w:rsidP="000838E3">
      <w:pPr>
        <w:pStyle w:val="ListParagraph"/>
        <w:numPr>
          <w:ilvl w:val="0"/>
          <w:numId w:val="88"/>
        </w:numPr>
        <w:tabs>
          <w:tab w:val="clear" w:pos="720"/>
          <w:tab w:val="num" w:pos="993"/>
          <w:tab w:val="num" w:pos="1440"/>
        </w:tabs>
        <w:spacing w:before="100" w:beforeAutospacing="1" w:after="100" w:afterAutospacing="1" w:line="360" w:lineRule="atLeast"/>
        <w:ind w:left="851" w:hanging="284"/>
        <w:rPr>
          <w:rFonts w:eastAsia="Segoe UI" w:cstheme="minorHAnsi"/>
          <w:color w:val="011A3C"/>
          <w:sz w:val="24"/>
          <w:szCs w:val="24"/>
          <w:lang w:val="en" w:eastAsia="en-AU"/>
        </w:rPr>
      </w:pPr>
      <w:r w:rsidRPr="00776689">
        <w:rPr>
          <w:rFonts w:eastAsia="Segoe UI" w:cstheme="minorHAnsi"/>
          <w:color w:val="011A3C"/>
          <w:sz w:val="24"/>
          <w:szCs w:val="24"/>
          <w:lang w:val="en" w:eastAsia="en-AU"/>
        </w:rPr>
        <w:t xml:space="preserve">General Ledger Account Code: </w:t>
      </w:r>
      <w:r>
        <w:rPr>
          <w:rFonts w:eastAsia="Segoe UI" w:cstheme="minorHAnsi"/>
          <w:color w:val="011A3C"/>
          <w:sz w:val="24"/>
          <w:szCs w:val="24"/>
          <w:lang w:val="en" w:eastAsia="en-AU"/>
        </w:rPr>
        <w:t>86501</w:t>
      </w:r>
      <w:r w:rsidRPr="00776689">
        <w:rPr>
          <w:rFonts w:eastAsia="Segoe UI" w:cstheme="minorHAnsi"/>
          <w:color w:val="011A3C"/>
          <w:sz w:val="24"/>
          <w:szCs w:val="24"/>
          <w:lang w:val="en" w:eastAsia="en-AU"/>
        </w:rPr>
        <w:t xml:space="preserve"> – </w:t>
      </w:r>
      <w:r>
        <w:rPr>
          <w:rFonts w:eastAsia="Segoe UI" w:cstheme="minorHAnsi"/>
          <w:color w:val="011A3C"/>
          <w:sz w:val="24"/>
          <w:szCs w:val="24"/>
          <w:lang w:val="en" w:eastAsia="en-AU"/>
        </w:rPr>
        <w:t>Sanitation</w:t>
      </w:r>
    </w:p>
    <w:p w14:paraId="700F6922" w14:textId="77777777" w:rsidR="000838E3" w:rsidRPr="00776689" w:rsidRDefault="000838E3" w:rsidP="000838E3">
      <w:pPr>
        <w:pStyle w:val="ListParagraph"/>
        <w:numPr>
          <w:ilvl w:val="0"/>
          <w:numId w:val="88"/>
        </w:numPr>
        <w:tabs>
          <w:tab w:val="clear" w:pos="720"/>
          <w:tab w:val="num" w:pos="993"/>
          <w:tab w:val="num" w:pos="1440"/>
        </w:tabs>
        <w:spacing w:before="100" w:beforeAutospacing="1" w:after="100" w:afterAutospacing="1" w:line="360" w:lineRule="atLeast"/>
        <w:ind w:left="851" w:hanging="284"/>
        <w:rPr>
          <w:rFonts w:eastAsia="Segoe UI" w:cstheme="minorHAnsi"/>
          <w:color w:val="011A3C"/>
          <w:sz w:val="24"/>
          <w:szCs w:val="24"/>
          <w:lang w:val="en" w:eastAsia="en-AU"/>
        </w:rPr>
      </w:pPr>
      <w:r w:rsidRPr="00776689">
        <w:rPr>
          <w:rFonts w:eastAsia="Segoe UI" w:cstheme="minorHAnsi"/>
          <w:color w:val="011A3C"/>
          <w:sz w:val="24"/>
          <w:szCs w:val="24"/>
          <w:lang w:val="en" w:eastAsia="en-AU"/>
        </w:rPr>
        <w:t xml:space="preserve">General Ledger Account Code: </w:t>
      </w:r>
      <w:r>
        <w:rPr>
          <w:rFonts w:eastAsia="Segoe UI" w:cstheme="minorHAnsi"/>
          <w:color w:val="011A3C"/>
          <w:sz w:val="24"/>
          <w:szCs w:val="24"/>
          <w:lang w:val="en" w:eastAsia="en-AU"/>
        </w:rPr>
        <w:t>86503</w:t>
      </w:r>
      <w:r w:rsidRPr="00776689">
        <w:rPr>
          <w:rFonts w:eastAsia="Segoe UI" w:cstheme="minorHAnsi"/>
          <w:color w:val="011A3C"/>
          <w:sz w:val="24"/>
          <w:szCs w:val="24"/>
          <w:lang w:val="en" w:eastAsia="en-AU"/>
        </w:rPr>
        <w:t xml:space="preserve"> – Refuse and Garbage</w:t>
      </w:r>
      <w:r>
        <w:rPr>
          <w:rFonts w:eastAsia="Segoe UI" w:cstheme="minorHAnsi"/>
          <w:color w:val="011A3C"/>
          <w:sz w:val="24"/>
          <w:szCs w:val="24"/>
          <w:lang w:val="en" w:eastAsia="en-AU"/>
        </w:rPr>
        <w:t>.</w:t>
      </w:r>
    </w:p>
    <w:p w14:paraId="4B7F4064" w14:textId="77777777" w:rsidR="0076693A" w:rsidRPr="00260C1D" w:rsidRDefault="0076693A" w:rsidP="0076693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utilities budget is based on historical spending plus indexation. It is not formula driven and therefore is not automatically adjusted to reflect changes in a school’s profile.</w:t>
      </w:r>
    </w:p>
    <w:p w14:paraId="6BD60BF9" w14:textId="77777777" w:rsidR="0076693A" w:rsidRPr="00260C1D" w:rsidRDefault="0076693A" w:rsidP="0076693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that have undergone building configuration changes or had major works that have materially impacted on utility costs may be eligible for an ongoing utilities budget adjustment to help support those additional costs.</w:t>
      </w:r>
    </w:p>
    <w:p w14:paraId="2CC9C2F6" w14:textId="226E258E" w:rsidR="000838E3" w:rsidRDefault="000838E3">
      <w:pPr>
        <w:rPr>
          <w:rFonts w:eastAsia="Segoe UI" w:cstheme="minorHAnsi"/>
          <w:color w:val="011A3C"/>
          <w:sz w:val="24"/>
          <w:szCs w:val="24"/>
          <w:lang w:val="en" w:eastAsia="en-AU"/>
        </w:rPr>
      </w:pPr>
      <w:r>
        <w:rPr>
          <w:rFonts w:eastAsia="Segoe UI" w:cstheme="minorHAnsi"/>
          <w:color w:val="011A3C"/>
          <w:sz w:val="24"/>
          <w:szCs w:val="24"/>
          <w:lang w:val="en" w:eastAsia="en-AU"/>
        </w:rPr>
        <w:br w:type="page"/>
      </w:r>
    </w:p>
    <w:p w14:paraId="775523F1" w14:textId="4E0A2188" w:rsidR="0076693A" w:rsidRPr="00260C1D" w:rsidRDefault="0076693A" w:rsidP="0076693A">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lastRenderedPageBreak/>
        <w:t>Whole of Victorian Government Energy Contracts</w:t>
      </w:r>
    </w:p>
    <w:p w14:paraId="28370218" w14:textId="34A2C71E" w:rsidR="00B846F8" w:rsidRPr="00260C1D" w:rsidRDefault="0076693A" w:rsidP="000D10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Department is currently a participant in Whole of Victorian Government contracts that cover the supply of electricity and natural gas to all school sites (meters).</w:t>
      </w:r>
    </w:p>
    <w:p w14:paraId="6C4FEC47" w14:textId="754D0EA0" w:rsidR="0076693A" w:rsidRPr="00260C1D" w:rsidRDefault="0076693A" w:rsidP="0076693A">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Electricity</w:t>
      </w:r>
    </w:p>
    <w:p w14:paraId="51284924" w14:textId="77777777" w:rsidR="0076693A" w:rsidRPr="00260C1D" w:rsidRDefault="0076693A" w:rsidP="0076693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 xml:space="preserve">1. Red Energy </w:t>
      </w:r>
      <w:r w:rsidRPr="00260C1D">
        <w:rPr>
          <w:rFonts w:eastAsia="Segoe UI" w:cstheme="minorHAnsi"/>
          <w:color w:val="011A3C"/>
          <w:sz w:val="24"/>
          <w:szCs w:val="24"/>
          <w:lang w:val="en" w:eastAsia="en-AU"/>
        </w:rPr>
        <w:t>is our retailer for schools (meters) that consume &gt;40 MWh pa.</w:t>
      </w:r>
    </w:p>
    <w:p w14:paraId="118AD2E8" w14:textId="1ADA24C1" w:rsidR="0076693A" w:rsidRPr="00260C1D" w:rsidRDefault="0076693A" w:rsidP="0076693A">
      <w:pPr>
        <w:spacing w:before="100" w:beforeAutospacing="1" w:after="100" w:afterAutospacing="1" w:line="288" w:lineRule="atLeast"/>
        <w:outlineLvl w:val="3"/>
        <w:rPr>
          <w:rFonts w:eastAsia="Segoe UI" w:cstheme="minorHAnsi"/>
          <w:color w:val="011A3C"/>
          <w:sz w:val="24"/>
          <w:szCs w:val="24"/>
          <w:lang w:val="en" w:eastAsia="en-AU"/>
        </w:rPr>
      </w:pPr>
      <w:r w:rsidRPr="00260C1D">
        <w:rPr>
          <w:rFonts w:eastAsia="Segoe UI" w:cstheme="minorHAnsi"/>
          <w:color w:val="011A3C"/>
          <w:sz w:val="24"/>
          <w:szCs w:val="24"/>
          <w:lang w:val="en" w:eastAsia="en-AU"/>
        </w:rPr>
        <w:t>Contacts for billing enquiries</w:t>
      </w:r>
      <w:r w:rsidR="00585F70">
        <w:rPr>
          <w:rFonts w:eastAsia="Segoe UI" w:cstheme="minorHAnsi"/>
          <w:color w:val="011A3C"/>
          <w:sz w:val="24"/>
          <w:szCs w:val="24"/>
          <w:lang w:val="en" w:eastAsia="en-AU"/>
        </w:rPr>
        <w:t>:</w:t>
      </w:r>
    </w:p>
    <w:p w14:paraId="76D875F2" w14:textId="13B42078" w:rsidR="00585F70" w:rsidRDefault="0076693A" w:rsidP="00833928">
      <w:pPr>
        <w:spacing w:before="120" w:after="120" w:line="360" w:lineRule="atLeast"/>
        <w:ind w:firstLine="426"/>
        <w:rPr>
          <w:rFonts w:eastAsia="Segoe UI" w:cstheme="minorHAnsi"/>
          <w:color w:val="011A3C"/>
          <w:sz w:val="24"/>
          <w:szCs w:val="24"/>
          <w:lang w:val="en" w:eastAsia="en-AU"/>
        </w:rPr>
      </w:pPr>
      <w:r w:rsidRPr="00260C1D">
        <w:rPr>
          <w:rFonts w:eastAsia="Segoe UI" w:cstheme="minorHAnsi"/>
          <w:color w:val="011A3C"/>
          <w:sz w:val="24"/>
          <w:szCs w:val="24"/>
          <w:lang w:val="en" w:eastAsia="en-AU"/>
        </w:rPr>
        <w:t>Taimur Khan</w:t>
      </w:r>
    </w:p>
    <w:p w14:paraId="1A466F3D" w14:textId="320D25BF" w:rsidR="00585F70" w:rsidRDefault="00585F70" w:rsidP="00833928">
      <w:pPr>
        <w:spacing w:before="120" w:after="120" w:line="360" w:lineRule="atLeast"/>
        <w:ind w:firstLine="426"/>
        <w:rPr>
          <w:rFonts w:eastAsia="Segoe UI" w:cstheme="minorHAnsi"/>
          <w:color w:val="011A3C"/>
          <w:sz w:val="24"/>
          <w:szCs w:val="24"/>
          <w:lang w:val="en" w:eastAsia="en-AU"/>
        </w:rPr>
      </w:pPr>
      <w:r>
        <w:rPr>
          <w:rFonts w:eastAsia="Segoe UI" w:cstheme="minorHAnsi"/>
          <w:color w:val="011A3C"/>
          <w:sz w:val="24"/>
          <w:szCs w:val="24"/>
          <w:lang w:val="en" w:eastAsia="en-AU"/>
        </w:rPr>
        <w:t>E</w:t>
      </w:r>
      <w:r w:rsidR="0076693A" w:rsidRPr="00260C1D">
        <w:rPr>
          <w:rFonts w:eastAsia="Segoe UI" w:cstheme="minorHAnsi"/>
          <w:color w:val="011A3C"/>
          <w:sz w:val="24"/>
          <w:szCs w:val="24"/>
          <w:lang w:val="en" w:eastAsia="en-AU"/>
        </w:rPr>
        <w:t xml:space="preserve">mail: </w:t>
      </w:r>
      <w:hyperlink r:id="rId97" w:history="1">
        <w:r w:rsidR="0076693A" w:rsidRPr="00614B09">
          <w:rPr>
            <w:rFonts w:eastAsia="Segoe UI" w:cstheme="minorHAnsi"/>
            <w:color w:val="0563C1"/>
            <w:sz w:val="24"/>
            <w:szCs w:val="24"/>
            <w:u w:val="single"/>
            <w:lang w:val="en" w:eastAsia="en-AU"/>
          </w:rPr>
          <w:t>business@redenergy.com.au</w:t>
        </w:r>
      </w:hyperlink>
    </w:p>
    <w:p w14:paraId="15C9C62E" w14:textId="3B584069" w:rsidR="0076693A" w:rsidRPr="00260C1D" w:rsidRDefault="00585F70" w:rsidP="00833928">
      <w:pPr>
        <w:spacing w:before="120" w:after="120" w:line="360" w:lineRule="atLeast"/>
        <w:ind w:firstLine="426"/>
        <w:rPr>
          <w:rFonts w:eastAsia="Segoe UI" w:cstheme="minorHAnsi"/>
          <w:color w:val="011A3C"/>
          <w:sz w:val="24"/>
          <w:szCs w:val="24"/>
          <w:lang w:val="en" w:eastAsia="en-AU"/>
        </w:rPr>
      </w:pPr>
      <w:r>
        <w:rPr>
          <w:rFonts w:eastAsia="Segoe UI" w:cstheme="minorHAnsi"/>
          <w:color w:val="011A3C"/>
          <w:sz w:val="24"/>
          <w:szCs w:val="24"/>
          <w:lang w:val="en" w:eastAsia="en-AU"/>
        </w:rPr>
        <w:t>Phone</w:t>
      </w:r>
      <w:r w:rsidR="0076693A" w:rsidRPr="00260C1D">
        <w:rPr>
          <w:rFonts w:eastAsia="Segoe UI" w:cstheme="minorHAnsi"/>
          <w:color w:val="011A3C"/>
          <w:sz w:val="24"/>
          <w:szCs w:val="24"/>
          <w:lang w:val="en" w:eastAsia="en-AU"/>
        </w:rPr>
        <w:t xml:space="preserve">: </w:t>
      </w:r>
      <w:hyperlink r:id="rId98" w:history="1">
        <w:r w:rsidR="0076693A" w:rsidRPr="00260C1D">
          <w:rPr>
            <w:rFonts w:eastAsia="Segoe UI" w:cstheme="minorHAnsi"/>
            <w:color w:val="011A3C"/>
            <w:sz w:val="24"/>
            <w:szCs w:val="24"/>
            <w:lang w:val="en" w:eastAsia="en-AU"/>
          </w:rPr>
          <w:t>1300 322 067</w:t>
        </w:r>
      </w:hyperlink>
    </w:p>
    <w:p w14:paraId="78C49984" w14:textId="77777777" w:rsidR="0076693A" w:rsidRPr="00260C1D" w:rsidRDefault="0076693A" w:rsidP="0076693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2. AGL</w:t>
      </w:r>
      <w:r w:rsidRPr="00260C1D">
        <w:rPr>
          <w:rFonts w:eastAsia="Segoe UI" w:cstheme="minorHAnsi"/>
          <w:color w:val="011A3C"/>
          <w:sz w:val="24"/>
          <w:szCs w:val="24"/>
          <w:lang w:val="en" w:eastAsia="en-AU"/>
        </w:rPr>
        <w:t xml:space="preserve"> is our retailer for schools (meters) that consume &lt;40 MWh pa</w:t>
      </w:r>
    </w:p>
    <w:p w14:paraId="29424FBF" w14:textId="20F6314C" w:rsidR="0076693A" w:rsidRPr="00260C1D" w:rsidRDefault="0076693A" w:rsidP="0076693A">
      <w:pPr>
        <w:spacing w:before="100" w:beforeAutospacing="1" w:after="100" w:afterAutospacing="1" w:line="288" w:lineRule="atLeast"/>
        <w:outlineLvl w:val="3"/>
        <w:rPr>
          <w:rFonts w:eastAsia="Segoe UI" w:cstheme="minorHAnsi"/>
          <w:color w:val="011A3C"/>
          <w:sz w:val="24"/>
          <w:szCs w:val="24"/>
          <w:lang w:val="en" w:eastAsia="en-AU"/>
        </w:rPr>
      </w:pPr>
      <w:r w:rsidRPr="00260C1D">
        <w:rPr>
          <w:rFonts w:eastAsia="Segoe UI" w:cstheme="minorHAnsi"/>
          <w:color w:val="011A3C"/>
          <w:sz w:val="24"/>
          <w:szCs w:val="24"/>
          <w:lang w:val="en" w:eastAsia="en-AU"/>
        </w:rPr>
        <w:t>Contacts for billing enquiries</w:t>
      </w:r>
      <w:r w:rsidR="00585F70">
        <w:rPr>
          <w:rFonts w:eastAsia="Segoe UI" w:cstheme="minorHAnsi"/>
          <w:color w:val="011A3C"/>
          <w:sz w:val="24"/>
          <w:szCs w:val="24"/>
          <w:lang w:val="en" w:eastAsia="en-AU"/>
        </w:rPr>
        <w:t>:</w:t>
      </w:r>
    </w:p>
    <w:p w14:paraId="120555F6" w14:textId="77777777" w:rsidR="00585F70" w:rsidRDefault="0076693A" w:rsidP="00833928">
      <w:pPr>
        <w:spacing w:before="120" w:after="120" w:line="360" w:lineRule="atLeast"/>
        <w:ind w:firstLine="425"/>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Email: </w:t>
      </w:r>
      <w:hyperlink r:id="rId99" w:history="1">
        <w:r w:rsidRPr="00614B09">
          <w:rPr>
            <w:rFonts w:eastAsia="Segoe UI" w:cstheme="minorHAnsi"/>
            <w:color w:val="0563C1"/>
            <w:sz w:val="24"/>
            <w:szCs w:val="24"/>
            <w:u w:val="single"/>
            <w:lang w:val="en" w:eastAsia="en-AU"/>
          </w:rPr>
          <w:t>vicgov@agl.com.au</w:t>
        </w:r>
      </w:hyperlink>
    </w:p>
    <w:p w14:paraId="6FFA105A" w14:textId="3114E38A" w:rsidR="0076693A" w:rsidRPr="00260C1D" w:rsidRDefault="00585F70" w:rsidP="00833928">
      <w:pPr>
        <w:spacing w:before="120" w:after="120" w:line="360" w:lineRule="atLeast"/>
        <w:ind w:firstLine="425"/>
        <w:rPr>
          <w:rFonts w:eastAsia="Segoe UI" w:cstheme="minorHAnsi"/>
          <w:color w:val="011A3C"/>
          <w:sz w:val="24"/>
          <w:szCs w:val="24"/>
          <w:lang w:val="en" w:eastAsia="en-AU"/>
        </w:rPr>
      </w:pPr>
      <w:r>
        <w:rPr>
          <w:rFonts w:eastAsia="Segoe UI" w:cstheme="minorHAnsi"/>
          <w:color w:val="011A3C"/>
          <w:sz w:val="24"/>
          <w:szCs w:val="24"/>
          <w:lang w:val="en" w:eastAsia="en-AU"/>
        </w:rPr>
        <w:t>Phone</w:t>
      </w:r>
      <w:r w:rsidR="0076693A" w:rsidRPr="00260C1D">
        <w:rPr>
          <w:rFonts w:eastAsia="Segoe UI" w:cstheme="minorHAnsi"/>
          <w:color w:val="011A3C"/>
          <w:sz w:val="24"/>
          <w:szCs w:val="24"/>
          <w:lang w:val="en" w:eastAsia="en-AU"/>
        </w:rPr>
        <w:t xml:space="preserve">: </w:t>
      </w:r>
      <w:hyperlink r:id="rId100" w:history="1">
        <w:r w:rsidR="0076693A" w:rsidRPr="00260C1D">
          <w:rPr>
            <w:rFonts w:eastAsia="Segoe UI" w:cstheme="minorHAnsi"/>
            <w:color w:val="011A3C"/>
            <w:sz w:val="24"/>
            <w:szCs w:val="24"/>
            <w:lang w:val="en" w:eastAsia="en-AU"/>
          </w:rPr>
          <w:t>1300 793 477</w:t>
        </w:r>
      </w:hyperlink>
    </w:p>
    <w:p w14:paraId="67522ED9" w14:textId="77777777" w:rsidR="0076693A" w:rsidRPr="00260C1D" w:rsidRDefault="0076693A" w:rsidP="0076693A">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Natural Gas  </w:t>
      </w:r>
    </w:p>
    <w:p w14:paraId="56DC393C" w14:textId="5A2E4B2A" w:rsidR="0076693A" w:rsidRPr="00260C1D" w:rsidRDefault="0076693A" w:rsidP="0076693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Origin Energy is the provider of Natural Gas under a Whole of Government contract arrangement.</w:t>
      </w:r>
    </w:p>
    <w:p w14:paraId="02719E92" w14:textId="179A9F6A" w:rsidR="0076693A" w:rsidRPr="00260C1D" w:rsidRDefault="0076693A" w:rsidP="0076693A">
      <w:pPr>
        <w:spacing w:before="100" w:beforeAutospacing="1" w:after="100" w:afterAutospacing="1" w:line="288" w:lineRule="atLeast"/>
        <w:outlineLvl w:val="3"/>
        <w:rPr>
          <w:rFonts w:eastAsia="Segoe UI" w:cstheme="minorHAnsi"/>
          <w:color w:val="011A3C"/>
          <w:sz w:val="24"/>
          <w:szCs w:val="24"/>
          <w:lang w:val="en" w:eastAsia="en-AU"/>
        </w:rPr>
      </w:pPr>
      <w:r w:rsidRPr="00260C1D">
        <w:rPr>
          <w:rFonts w:eastAsia="Segoe UI" w:cstheme="minorHAnsi"/>
          <w:color w:val="011A3C"/>
          <w:sz w:val="24"/>
          <w:szCs w:val="24"/>
          <w:lang w:val="en" w:eastAsia="en-AU"/>
        </w:rPr>
        <w:t>Contact for billing and new connection enquiries</w:t>
      </w:r>
      <w:r w:rsidR="00585F70">
        <w:rPr>
          <w:rFonts w:eastAsia="Segoe UI" w:cstheme="minorHAnsi"/>
          <w:color w:val="011A3C"/>
          <w:sz w:val="24"/>
          <w:szCs w:val="24"/>
          <w:lang w:val="en" w:eastAsia="en-AU"/>
        </w:rPr>
        <w:t>:</w:t>
      </w:r>
    </w:p>
    <w:p w14:paraId="5BDCE5E8" w14:textId="77777777" w:rsidR="0076693A" w:rsidRPr="00260C1D" w:rsidRDefault="0076693A" w:rsidP="00833928">
      <w:pPr>
        <w:spacing w:before="120" w:after="120" w:line="360" w:lineRule="atLeast"/>
        <w:ind w:firstLine="425"/>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Email: </w:t>
      </w:r>
      <w:hyperlink r:id="rId101" w:history="1">
        <w:r w:rsidRPr="00614B09">
          <w:rPr>
            <w:rFonts w:eastAsia="Segoe UI" w:cstheme="minorHAnsi"/>
            <w:color w:val="0563C1"/>
            <w:sz w:val="24"/>
            <w:szCs w:val="24"/>
            <w:u w:val="single"/>
            <w:lang w:val="en" w:eastAsia="en-AU"/>
          </w:rPr>
          <w:t>vicgovernment@originenergy.com.au</w:t>
        </w:r>
      </w:hyperlink>
    </w:p>
    <w:p w14:paraId="48E4BA67" w14:textId="63BD962C" w:rsidR="007F1D90" w:rsidRPr="00260C1D" w:rsidRDefault="0076693A" w:rsidP="00833928">
      <w:pPr>
        <w:spacing w:before="120" w:after="120" w:line="360" w:lineRule="atLeast"/>
        <w:ind w:firstLine="425"/>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Phone: </w:t>
      </w:r>
      <w:hyperlink r:id="rId102" w:history="1">
        <w:r w:rsidRPr="00260C1D">
          <w:rPr>
            <w:rFonts w:eastAsia="Segoe UI" w:cstheme="minorHAnsi"/>
            <w:color w:val="011A3C"/>
            <w:sz w:val="24"/>
            <w:szCs w:val="24"/>
            <w:lang w:val="en" w:eastAsia="en-AU"/>
          </w:rPr>
          <w:t>1800 319 299</w:t>
        </w:r>
      </w:hyperlink>
    </w:p>
    <w:p w14:paraId="060FC52B" w14:textId="77720884" w:rsidR="007F1D90" w:rsidRPr="00260C1D" w:rsidRDefault="007F1D90" w:rsidP="007F1D90">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For further tariff and contract information, see: </w:t>
      </w:r>
      <w:hyperlink r:id="rId103" w:history="1">
        <w:r w:rsidRPr="00614B09">
          <w:rPr>
            <w:rStyle w:val="Hyperlink"/>
            <w:rFonts w:cstheme="minorHAnsi"/>
            <w:sz w:val="24"/>
            <w:szCs w:val="24"/>
          </w:rPr>
          <w:t>Student Resource Package</w:t>
        </w:r>
      </w:hyperlink>
      <w:r w:rsidRPr="00260C1D">
        <w:rPr>
          <w:rFonts w:eastAsia="Segoe UI" w:cstheme="minorHAnsi"/>
          <w:color w:val="011A3C"/>
          <w:sz w:val="24"/>
          <w:szCs w:val="24"/>
          <w:lang w:val="en" w:eastAsia="en-AU"/>
        </w:rPr>
        <w:t> (school user log in required).</w:t>
      </w:r>
    </w:p>
    <w:p w14:paraId="687990B6" w14:textId="0E48BCD7" w:rsidR="0076693A" w:rsidRPr="00260C1D" w:rsidRDefault="0076693A" w:rsidP="0076693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Any school not supplied under the relevant Whole of Victorian Government contract must contact </w:t>
      </w:r>
      <w:proofErr w:type="spellStart"/>
      <w:r w:rsidRPr="00260C1D">
        <w:rPr>
          <w:rFonts w:eastAsia="Segoe UI" w:cstheme="minorHAnsi"/>
          <w:color w:val="011A3C"/>
          <w:sz w:val="24"/>
          <w:szCs w:val="24"/>
          <w:lang w:val="en" w:eastAsia="en-AU"/>
        </w:rPr>
        <w:t>Mr</w:t>
      </w:r>
      <w:proofErr w:type="spellEnd"/>
      <w:r w:rsidRPr="00260C1D">
        <w:rPr>
          <w:rFonts w:eastAsia="Segoe UI" w:cstheme="minorHAnsi"/>
          <w:color w:val="011A3C"/>
          <w:sz w:val="24"/>
          <w:szCs w:val="24"/>
          <w:lang w:val="en" w:eastAsia="en-AU"/>
        </w:rPr>
        <w:t xml:space="preserve"> Brett Duff on email: </w:t>
      </w:r>
      <w:hyperlink r:id="rId104" w:history="1">
        <w:r w:rsidR="00585F70" w:rsidRPr="00585F70">
          <w:rPr>
            <w:rStyle w:val="Hyperlink"/>
            <w:rFonts w:eastAsia="Segoe UI" w:cstheme="minorHAnsi"/>
            <w:sz w:val="24"/>
            <w:szCs w:val="24"/>
            <w:lang w:eastAsia="en-AU"/>
          </w:rPr>
          <w:t>brett.duff@education</w:t>
        </w:r>
        <w:r w:rsidR="00585F70" w:rsidRPr="00585F70">
          <w:rPr>
            <w:rStyle w:val="Hyperlink"/>
            <w:rFonts w:eastAsia="Segoe UI" w:cstheme="minorHAnsi"/>
            <w:sz w:val="24"/>
            <w:szCs w:val="24"/>
            <w:lang w:val="en" w:eastAsia="en-AU"/>
          </w:rPr>
          <w:t>.vic.gov.au</w:t>
        </w:r>
      </w:hyperlink>
      <w:r w:rsidRPr="00260C1D">
        <w:rPr>
          <w:rFonts w:eastAsia="Segoe UI" w:cstheme="minorHAnsi"/>
          <w:color w:val="011A3C"/>
          <w:sz w:val="24"/>
          <w:szCs w:val="24"/>
          <w:lang w:val="en" w:eastAsia="en-AU"/>
        </w:rPr>
        <w:t xml:space="preserve">, to arrange </w:t>
      </w:r>
      <w:r w:rsidR="00585F70">
        <w:rPr>
          <w:rFonts w:eastAsia="Segoe UI" w:cstheme="minorHAnsi"/>
          <w:color w:val="011A3C"/>
          <w:sz w:val="24"/>
          <w:szCs w:val="24"/>
          <w:lang w:val="en" w:eastAsia="en-AU"/>
        </w:rPr>
        <w:t xml:space="preserve">the </w:t>
      </w:r>
      <w:r w:rsidRPr="00260C1D">
        <w:rPr>
          <w:rFonts w:eastAsia="Segoe UI" w:cstheme="minorHAnsi"/>
          <w:color w:val="011A3C"/>
          <w:sz w:val="24"/>
          <w:szCs w:val="24"/>
          <w:lang w:val="en" w:eastAsia="en-AU"/>
        </w:rPr>
        <w:t>transition to the appropriate Whole of Victorian Government retailer. All other queries can be directed to the retailer.</w:t>
      </w:r>
    </w:p>
    <w:p w14:paraId="0A8AAB7A" w14:textId="399C7188" w:rsidR="00B846F8" w:rsidRPr="00260C1D" w:rsidRDefault="0076693A" w:rsidP="000D10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In lieu of schools joining a Whole of Government contract, schools must not sign or negotiate individual or group contracts for the supply of electricity and natural gas irrespective of usage levels as per the Executive Memo 2005/19 Update on the Supply of Electricity and Natural Gas.</w:t>
      </w:r>
    </w:p>
    <w:p w14:paraId="294B2030" w14:textId="615810D5" w:rsidR="0076693A" w:rsidRPr="00260C1D" w:rsidRDefault="0076693A" w:rsidP="000D106B">
      <w:pPr>
        <w:keepNext/>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lastRenderedPageBreak/>
        <w:t>Water</w:t>
      </w:r>
    </w:p>
    <w:p w14:paraId="421E9AF1" w14:textId="77777777" w:rsidR="0076693A" w:rsidRPr="00260C1D" w:rsidRDefault="0076693A" w:rsidP="0076693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All schools are supplied water by their designated water authority. No government contract is in place for water.</w:t>
      </w:r>
    </w:p>
    <w:p w14:paraId="2B2AF0A9" w14:textId="77777777" w:rsidR="0076693A" w:rsidRPr="00260C1D" w:rsidRDefault="0076693A" w:rsidP="0076693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To assist schools with managing water costs, we encourage you to join the Schools Water Efficiency Program (SWEP). SWEP is a state government initiative jointly developed and funded by the Department of Environment, Land, Water and Planning (DELWP) and the Department of Education and Training (DET).</w:t>
      </w:r>
    </w:p>
    <w:p w14:paraId="295F4675" w14:textId="02E713F3" w:rsidR="0076693A" w:rsidRPr="00260C1D" w:rsidRDefault="0076693A" w:rsidP="0076693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SWEP provides you with a program to monitor your school</w:t>
      </w:r>
      <w:r w:rsidR="00585F70">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s water usage to save water, money and educate students about water efficiency concepts. You can register online for SWEP or learn more by visiting </w:t>
      </w:r>
      <w:hyperlink r:id="rId105" w:history="1">
        <w:r w:rsidR="002273BE" w:rsidRPr="008614E4">
          <w:rPr>
            <w:rStyle w:val="Hyperlink"/>
            <w:sz w:val="24"/>
            <w:szCs w:val="24"/>
          </w:rPr>
          <w:t>Schools Water Efficiency Program</w:t>
        </w:r>
      </w:hyperlink>
      <w:r w:rsidRPr="000F67D4">
        <w:rPr>
          <w:rFonts w:eastAsia="Segoe UI" w:cstheme="minorHAnsi"/>
          <w:color w:val="011A3C"/>
          <w:sz w:val="24"/>
          <w:szCs w:val="24"/>
          <w:lang w:val="en" w:eastAsia="en-AU"/>
        </w:rPr>
        <w:t>.</w:t>
      </w:r>
    </w:p>
    <w:p w14:paraId="471EBFC9" w14:textId="40C0B053" w:rsidR="0076693A" w:rsidRPr="00260C1D" w:rsidRDefault="0076693A" w:rsidP="0076693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Separately, schools in Victoria are eligible for a rebate on their fixed charges for water and sewer (self</w:t>
      </w:r>
      <w:r w:rsidR="00C927B8">
        <w:rPr>
          <w:rFonts w:eastAsia="Segoe UI" w:cstheme="minorHAnsi"/>
          <w:color w:val="011A3C"/>
          <w:sz w:val="24"/>
          <w:szCs w:val="24"/>
          <w:lang w:val="en" w:eastAsia="en-AU"/>
        </w:rPr>
        <w:t>-</w:t>
      </w:r>
      <w:r w:rsidRPr="00260C1D">
        <w:rPr>
          <w:rFonts w:eastAsia="Segoe UI" w:cstheme="minorHAnsi"/>
          <w:color w:val="011A3C"/>
          <w:sz w:val="24"/>
          <w:szCs w:val="24"/>
          <w:lang w:val="en" w:eastAsia="en-AU"/>
        </w:rPr>
        <w:t>supply schools are ineligible). This initiative developed by the State Revenue Office provides a rebate of up to a maximum of $260 yearly. The application form that needs to be submitted to your local water authority can be accessed via the following link</w:t>
      </w:r>
      <w:r w:rsidRPr="000F67D4">
        <w:rPr>
          <w:rFonts w:eastAsia="Segoe UI" w:cstheme="minorHAnsi"/>
          <w:color w:val="011A3C"/>
          <w:sz w:val="24"/>
          <w:szCs w:val="24"/>
          <w:lang w:val="en" w:eastAsia="en-AU"/>
        </w:rPr>
        <w:t>:</w:t>
      </w:r>
      <w:r w:rsidR="00256B9F" w:rsidRPr="000F67D4">
        <w:rPr>
          <w:rFonts w:eastAsia="Segoe UI" w:cstheme="minorHAnsi"/>
          <w:color w:val="011A3C"/>
          <w:sz w:val="24"/>
          <w:szCs w:val="24"/>
          <w:lang w:val="en" w:eastAsia="en-AU"/>
        </w:rPr>
        <w:t xml:space="preserve"> </w:t>
      </w:r>
      <w:hyperlink r:id="rId106" w:history="1">
        <w:r w:rsidR="002C1E22" w:rsidRPr="008614E4">
          <w:rPr>
            <w:rStyle w:val="Hyperlink"/>
            <w:sz w:val="24"/>
            <w:szCs w:val="24"/>
          </w:rPr>
          <w:t>Apply for a water and sewerage rebate</w:t>
        </w:r>
      </w:hyperlink>
      <w:r w:rsidRPr="00260C1D">
        <w:rPr>
          <w:rFonts w:eastAsia="Segoe UI" w:cstheme="minorHAnsi"/>
          <w:color w:val="011A3C"/>
          <w:sz w:val="24"/>
          <w:szCs w:val="24"/>
          <w:lang w:val="en" w:eastAsia="en-AU"/>
        </w:rPr>
        <w:t xml:space="preserve"> or by contacting the State Revenue Office on </w:t>
      </w:r>
      <w:hyperlink r:id="rId107" w:history="1">
        <w:r w:rsidRPr="00260C1D">
          <w:rPr>
            <w:rFonts w:eastAsia="Segoe UI" w:cstheme="minorHAnsi"/>
            <w:color w:val="011A3C"/>
            <w:sz w:val="24"/>
            <w:szCs w:val="24"/>
            <w:lang w:val="en" w:eastAsia="en-AU"/>
          </w:rPr>
          <w:t>9628 0301</w:t>
        </w:r>
      </w:hyperlink>
      <w:r w:rsidRPr="00260C1D">
        <w:rPr>
          <w:rFonts w:eastAsia="Segoe UI" w:cstheme="minorHAnsi"/>
          <w:color w:val="011A3C"/>
          <w:sz w:val="24"/>
          <w:szCs w:val="24"/>
          <w:lang w:val="en" w:eastAsia="en-AU"/>
        </w:rPr>
        <w:t>.</w:t>
      </w:r>
    </w:p>
    <w:p w14:paraId="01B04E3A" w14:textId="77777777" w:rsidR="0076693A" w:rsidRPr="00260C1D" w:rsidRDefault="0076693A" w:rsidP="0076693A">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New schools, refurbishment or major building works</w:t>
      </w:r>
    </w:p>
    <w:p w14:paraId="4C32D082" w14:textId="004E6028" w:rsidR="0076693A" w:rsidRPr="00260C1D" w:rsidRDefault="0076693A" w:rsidP="000D10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Projects of this nature will involve new connections, or upgrades in infrastructure used to supply electricity or natural gas. Where this is the case, schools should make early contact with the appropriate Whole of Victorian Government electricity or natural gas supplier </w:t>
      </w:r>
      <w:r w:rsidR="009811CD" w:rsidRPr="00260C1D">
        <w:rPr>
          <w:rFonts w:eastAsia="Segoe UI" w:cstheme="minorHAnsi"/>
          <w:color w:val="011A3C"/>
          <w:sz w:val="24"/>
          <w:szCs w:val="24"/>
          <w:lang w:val="en" w:eastAsia="en-AU"/>
        </w:rPr>
        <w:t>to</w:t>
      </w:r>
      <w:r w:rsidRPr="00260C1D">
        <w:rPr>
          <w:rFonts w:eastAsia="Segoe UI" w:cstheme="minorHAnsi"/>
          <w:color w:val="011A3C"/>
          <w:sz w:val="24"/>
          <w:szCs w:val="24"/>
          <w:lang w:val="en" w:eastAsia="en-AU"/>
        </w:rPr>
        <w:t xml:space="preserve"> understand both the nature and cost of this aspect of the project.</w:t>
      </w:r>
      <w:r w:rsidRPr="00260C1D">
        <w:rPr>
          <w:rFonts w:eastAsia="Segoe UI" w:cstheme="minorHAnsi"/>
          <w:color w:val="011A3C"/>
          <w:sz w:val="24"/>
          <w:szCs w:val="24"/>
          <w:lang w:val="en" w:eastAsia="en-AU"/>
        </w:rPr>
        <w:t> </w:t>
      </w:r>
    </w:p>
    <w:p w14:paraId="5475F8FF" w14:textId="77777777" w:rsidR="0076693A" w:rsidRPr="00260C1D" w:rsidRDefault="0076693A" w:rsidP="0076693A">
      <w:pPr>
        <w:rPr>
          <w:rFonts w:cstheme="minorHAnsi"/>
        </w:rPr>
      </w:pPr>
      <w:r w:rsidRPr="00260C1D">
        <w:rPr>
          <w:rFonts w:cstheme="minorHAnsi"/>
        </w:rPr>
        <w:br w:type="page"/>
      </w:r>
    </w:p>
    <w:p w14:paraId="70BB5F29" w14:textId="539A8E78" w:rsidR="00F01BB5" w:rsidRPr="00260C1D" w:rsidRDefault="00F01BB5" w:rsidP="00532A33">
      <w:pPr>
        <w:pStyle w:val="Heading2"/>
      </w:pPr>
      <w:bookmarkStart w:id="141" w:name="_Toc141965261"/>
      <w:bookmarkStart w:id="142" w:name="_Toc145339591"/>
      <w:bookmarkStart w:id="143" w:name="_Toc153791914"/>
      <w:bookmarkStart w:id="144" w:name="_Hlk50214434"/>
      <w:r w:rsidRPr="00260C1D">
        <w:lastRenderedPageBreak/>
        <w:t>Maintenance</w:t>
      </w:r>
      <w:r w:rsidR="00264D1D">
        <w:t xml:space="preserve"> and Minor Work</w:t>
      </w:r>
      <w:r w:rsidR="00D6396D">
        <w:t>s</w:t>
      </w:r>
      <w:r w:rsidRPr="00260C1D">
        <w:t xml:space="preserve"> (Reference 35)</w:t>
      </w:r>
      <w:bookmarkEnd w:id="141"/>
      <w:bookmarkEnd w:id="142"/>
      <w:bookmarkEnd w:id="143"/>
    </w:p>
    <w:p w14:paraId="53390DF2" w14:textId="77777777" w:rsidR="00CB044F" w:rsidRPr="00833928" w:rsidRDefault="00CB044F" w:rsidP="00833928">
      <w:pPr>
        <w:spacing w:before="120" w:after="120" w:line="240" w:lineRule="auto"/>
        <w:textAlignment w:val="baseline"/>
        <w:rPr>
          <w:color w:val="011A3C"/>
          <w:sz w:val="24"/>
        </w:rPr>
      </w:pPr>
    </w:p>
    <w:p w14:paraId="50F3E02F" w14:textId="0BB8FFC6" w:rsidR="006E7BBC" w:rsidRPr="006E7BBC" w:rsidRDefault="006E7BBC" w:rsidP="006E7BBC">
      <w:pPr>
        <w:spacing w:before="120" w:after="120" w:line="240" w:lineRule="auto"/>
        <w:textAlignment w:val="baseline"/>
        <w:rPr>
          <w:rFonts w:eastAsia="Times New Roman" w:cstheme="minorHAnsi"/>
          <w:color w:val="011A3C"/>
          <w:sz w:val="24"/>
          <w:szCs w:val="24"/>
          <w:lang w:val="en" w:eastAsia="en-AU"/>
        </w:rPr>
      </w:pPr>
      <w:r w:rsidRPr="006E7BBC">
        <w:rPr>
          <w:rFonts w:eastAsia="Times New Roman" w:cstheme="minorHAnsi"/>
          <w:bCs/>
          <w:color w:val="011A3C"/>
          <w:sz w:val="24"/>
          <w:szCs w:val="24"/>
          <w:lang w:val="en" w:eastAsia="en-AU"/>
        </w:rPr>
        <w:t>Maintenance</w:t>
      </w:r>
      <w:r w:rsidR="00264D1D">
        <w:rPr>
          <w:rFonts w:eastAsia="Times New Roman" w:cstheme="minorHAnsi"/>
          <w:bCs/>
          <w:color w:val="011A3C"/>
          <w:sz w:val="24"/>
          <w:szCs w:val="24"/>
          <w:lang w:val="en" w:eastAsia="en-AU"/>
        </w:rPr>
        <w:t xml:space="preserve"> and Minor Work</w:t>
      </w:r>
      <w:r w:rsidR="00D6396D">
        <w:rPr>
          <w:rFonts w:eastAsia="Times New Roman" w:cstheme="minorHAnsi"/>
          <w:bCs/>
          <w:color w:val="011A3C"/>
          <w:sz w:val="24"/>
          <w:szCs w:val="24"/>
          <w:lang w:val="en" w:eastAsia="en-AU"/>
        </w:rPr>
        <w:t>s</w:t>
      </w:r>
      <w:r w:rsidRPr="006E7BBC">
        <w:rPr>
          <w:rFonts w:eastAsia="Times New Roman" w:cstheme="minorHAnsi"/>
          <w:bCs/>
          <w:color w:val="011A3C"/>
          <w:sz w:val="24"/>
          <w:szCs w:val="24"/>
          <w:lang w:val="en" w:eastAsia="en-AU"/>
        </w:rPr>
        <w:t xml:space="preserve"> (MMW) </w:t>
      </w:r>
      <w:r w:rsidRPr="006E7BBC">
        <w:rPr>
          <w:rFonts w:eastAsia="Segoe UI" w:cstheme="minorHAnsi"/>
          <w:color w:val="011A3C"/>
          <w:sz w:val="24"/>
          <w:szCs w:val="24"/>
          <w:lang w:val="en" w:eastAsia="en-AU"/>
        </w:rPr>
        <w:t xml:space="preserve">Student Resource Package (SRP) </w:t>
      </w:r>
      <w:r w:rsidRPr="006E7BBC">
        <w:rPr>
          <w:rFonts w:eastAsia="Times New Roman" w:cstheme="minorHAnsi"/>
          <w:bCs/>
          <w:color w:val="011A3C"/>
          <w:sz w:val="24"/>
          <w:szCs w:val="24"/>
          <w:lang w:val="en" w:eastAsia="en-AU"/>
        </w:rPr>
        <w:t>funding is provided</w:t>
      </w:r>
      <w:r w:rsidRPr="006E7BBC">
        <w:rPr>
          <w:rFonts w:eastAsia="Times New Roman" w:cstheme="minorHAnsi"/>
          <w:color w:val="011A3C"/>
          <w:sz w:val="24"/>
          <w:szCs w:val="24"/>
          <w:lang w:val="en" w:eastAsia="en-AU"/>
        </w:rPr>
        <w:t xml:space="preserve"> to eligible schools to undertake proactive </w:t>
      </w:r>
      <w:r w:rsidRPr="006E7BBC">
        <w:rPr>
          <w:rFonts w:eastAsia="Times New Roman" w:cstheme="minorHAnsi"/>
          <w:sz w:val="24"/>
          <w:szCs w:val="24"/>
          <w:lang w:eastAsia="en-AU"/>
        </w:rPr>
        <w:t>maintenance</w:t>
      </w:r>
      <w:r w:rsidRPr="006E7BBC">
        <w:rPr>
          <w:rFonts w:eastAsia="Times New Roman" w:cstheme="minorHAnsi"/>
          <w:color w:val="011A3C"/>
          <w:sz w:val="24"/>
          <w:szCs w:val="24"/>
          <w:lang w:val="en" w:eastAsia="en-AU"/>
        </w:rPr>
        <w:t xml:space="preserve"> of their buildings, using all available information, including the condition assessments from the Rolling Facilities Evaluation</w:t>
      </w:r>
      <w:r w:rsidR="0029010E">
        <w:rPr>
          <w:rFonts w:eastAsia="Times New Roman" w:cstheme="minorHAnsi"/>
          <w:color w:val="011A3C"/>
          <w:sz w:val="24"/>
          <w:szCs w:val="24"/>
          <w:lang w:val="en" w:eastAsia="en-AU"/>
        </w:rPr>
        <w:t xml:space="preserve"> (RFE)</w:t>
      </w:r>
      <w:r w:rsidRPr="006E7BBC">
        <w:rPr>
          <w:rFonts w:eastAsia="Times New Roman" w:cstheme="minorHAnsi"/>
          <w:color w:val="011A3C"/>
          <w:sz w:val="24"/>
          <w:szCs w:val="24"/>
          <w:lang w:val="en" w:eastAsia="en-AU"/>
        </w:rPr>
        <w:t xml:space="preserve">. </w:t>
      </w:r>
    </w:p>
    <w:p w14:paraId="7BA61A77" w14:textId="72D53B14" w:rsidR="008203FB" w:rsidRPr="00833928" w:rsidRDefault="006E7BBC" w:rsidP="006E7BBC">
      <w:pPr>
        <w:spacing w:before="120" w:beforeAutospacing="1" w:after="120" w:afterAutospacing="1" w:line="240" w:lineRule="auto"/>
        <w:textAlignment w:val="baseline"/>
        <w:rPr>
          <w:color w:val="011A3C"/>
          <w:sz w:val="24"/>
          <w:lang w:val="en"/>
        </w:rPr>
      </w:pPr>
      <w:r w:rsidRPr="006E7BBC">
        <w:rPr>
          <w:rFonts w:eastAsia="Times New Roman" w:cstheme="minorHAnsi"/>
          <w:color w:val="011A3C"/>
          <w:sz w:val="24"/>
          <w:szCs w:val="24"/>
          <w:lang w:val="en" w:eastAsia="en-AU"/>
        </w:rPr>
        <w:t xml:space="preserve">It is vital that schools use their MMW allocation for the ongoing </w:t>
      </w:r>
      <w:r w:rsidRPr="006E7BBC">
        <w:rPr>
          <w:rFonts w:eastAsia="Times New Roman" w:cstheme="minorHAnsi"/>
          <w:sz w:val="24"/>
          <w:szCs w:val="24"/>
          <w:lang w:eastAsia="en-AU"/>
        </w:rPr>
        <w:t>maintenance</w:t>
      </w:r>
      <w:r w:rsidRPr="006E7BBC">
        <w:rPr>
          <w:rFonts w:eastAsia="Times New Roman" w:cstheme="minorHAnsi"/>
          <w:color w:val="011A3C"/>
          <w:sz w:val="24"/>
          <w:szCs w:val="24"/>
          <w:lang w:val="en" w:eastAsia="en-AU"/>
        </w:rPr>
        <w:t xml:space="preserve"> of facilities, to prevent asset degradation and potential health and safety issues.</w:t>
      </w:r>
    </w:p>
    <w:p w14:paraId="7BF5552D" w14:textId="1CA7E764" w:rsidR="004748C4" w:rsidRDefault="008D7E21" w:rsidP="004748C4">
      <w:pPr>
        <w:rPr>
          <w:rFonts w:eastAsia="Segoe UI" w:cstheme="minorHAnsi"/>
          <w:color w:val="011A3C"/>
          <w:sz w:val="24"/>
          <w:szCs w:val="24"/>
          <w:lang w:val="en" w:eastAsia="en-AU"/>
        </w:rPr>
      </w:pPr>
      <w:r>
        <w:rPr>
          <w:rFonts w:eastAsia="Segoe UI" w:cstheme="minorHAnsi"/>
          <w:color w:val="011A3C"/>
          <w:sz w:val="24"/>
          <w:szCs w:val="24"/>
          <w:lang w:val="en" w:eastAsia="en-AU"/>
        </w:rPr>
        <w:t>Once the RFE has been completed, a</w:t>
      </w:r>
      <w:r w:rsidR="006E7BBC" w:rsidRPr="006E7BBC">
        <w:rPr>
          <w:rFonts w:eastAsia="Segoe UI" w:cstheme="minorHAnsi"/>
          <w:color w:val="011A3C"/>
          <w:sz w:val="24"/>
          <w:szCs w:val="24"/>
          <w:lang w:val="en" w:eastAsia="en-AU"/>
        </w:rPr>
        <w:t xml:space="preserve">ll schools are required to develop and maintain a 5-year School Maintenance Plan </w:t>
      </w:r>
      <w:r w:rsidR="009811CD">
        <w:rPr>
          <w:rFonts w:eastAsia="Segoe UI" w:cstheme="minorHAnsi"/>
          <w:color w:val="011A3C"/>
          <w:sz w:val="24"/>
          <w:szCs w:val="24"/>
          <w:lang w:val="en" w:eastAsia="en-AU"/>
        </w:rPr>
        <w:t>(SMP)</w:t>
      </w:r>
      <w:r w:rsidR="006E7BBC" w:rsidRPr="006E7BBC">
        <w:rPr>
          <w:rFonts w:eastAsia="Segoe UI" w:cstheme="minorHAnsi"/>
          <w:color w:val="011A3C"/>
          <w:sz w:val="24"/>
          <w:szCs w:val="24"/>
          <w:lang w:val="en" w:eastAsia="en-AU"/>
        </w:rPr>
        <w:t xml:space="preserve"> to help budget, schedule and manage the </w:t>
      </w:r>
      <w:r w:rsidR="00494120" w:rsidRPr="006E7BBC">
        <w:rPr>
          <w:rFonts w:eastAsia="Segoe UI" w:cstheme="minorHAnsi"/>
          <w:color w:val="011A3C"/>
          <w:sz w:val="24"/>
          <w:szCs w:val="24"/>
          <w:lang w:val="en" w:eastAsia="en-AU"/>
        </w:rPr>
        <w:t xml:space="preserve">maintenance </w:t>
      </w:r>
      <w:r w:rsidR="00494120">
        <w:rPr>
          <w:rFonts w:eastAsia="Segoe UI" w:cstheme="minorHAnsi"/>
          <w:color w:val="011A3C"/>
          <w:sz w:val="24"/>
          <w:szCs w:val="24"/>
          <w:lang w:val="en" w:eastAsia="en-AU"/>
        </w:rPr>
        <w:t>and</w:t>
      </w:r>
      <w:r w:rsidR="00A34302">
        <w:rPr>
          <w:rFonts w:eastAsia="Segoe UI" w:cstheme="minorHAnsi"/>
          <w:color w:val="011A3C"/>
          <w:sz w:val="24"/>
          <w:szCs w:val="24"/>
          <w:lang w:val="en" w:eastAsia="en-AU"/>
        </w:rPr>
        <w:t xml:space="preserve"> upkeep </w:t>
      </w:r>
      <w:r w:rsidR="006E7BBC" w:rsidRPr="006E7BBC">
        <w:rPr>
          <w:rFonts w:eastAsia="Segoe UI" w:cstheme="minorHAnsi"/>
          <w:color w:val="011A3C"/>
          <w:sz w:val="24"/>
          <w:szCs w:val="24"/>
          <w:lang w:val="en" w:eastAsia="en-AU"/>
        </w:rPr>
        <w:t xml:space="preserve">of their buildings and grounds. </w:t>
      </w:r>
      <w:r w:rsidR="004748C4">
        <w:rPr>
          <w:rFonts w:eastAsia="Segoe UI" w:cstheme="minorHAnsi"/>
          <w:color w:val="011A3C"/>
          <w:sz w:val="24"/>
          <w:szCs w:val="24"/>
          <w:lang w:eastAsia="en-AU"/>
        </w:rPr>
        <w:t>The SMP is managed in</w:t>
      </w:r>
      <w:r w:rsidR="004748C4" w:rsidRPr="006E7BBC">
        <w:rPr>
          <w:rFonts w:eastAsia="Segoe UI" w:cstheme="minorHAnsi"/>
          <w:color w:val="011A3C"/>
          <w:sz w:val="24"/>
          <w:szCs w:val="24"/>
          <w:lang w:eastAsia="en-AU"/>
        </w:rPr>
        <w:t> </w:t>
      </w:r>
      <w:hyperlink r:id="rId108" w:history="1">
        <w:r w:rsidR="004748C4" w:rsidRPr="006E7BBC">
          <w:rPr>
            <w:rFonts w:eastAsia="Segoe UI" w:cstheme="minorHAnsi"/>
            <w:color w:val="0563C1" w:themeColor="hyperlink"/>
            <w:sz w:val="24"/>
            <w:szCs w:val="24"/>
            <w:u w:val="single"/>
            <w:lang w:eastAsia="en-AU"/>
          </w:rPr>
          <w:t>Asset Information Management System (AIMS)</w:t>
        </w:r>
      </w:hyperlink>
      <w:r w:rsidR="0046232C">
        <w:rPr>
          <w:rFonts w:eastAsia="Segoe UI" w:cstheme="minorHAnsi"/>
          <w:color w:val="011A3C"/>
          <w:sz w:val="24"/>
          <w:szCs w:val="24"/>
          <w:lang w:eastAsia="en-AU"/>
        </w:rPr>
        <w:t>.</w:t>
      </w:r>
    </w:p>
    <w:p w14:paraId="4502A0ED" w14:textId="77777777" w:rsidR="0046232C" w:rsidRDefault="006E7BBC" w:rsidP="009B4DE1">
      <w:pPr>
        <w:spacing w:after="0"/>
        <w:rPr>
          <w:rFonts w:eastAsia="Segoe UI" w:cstheme="minorHAnsi"/>
          <w:color w:val="011A3C"/>
          <w:sz w:val="24"/>
          <w:szCs w:val="24"/>
          <w:lang w:val="en" w:eastAsia="en-AU"/>
        </w:rPr>
      </w:pPr>
      <w:bookmarkStart w:id="145" w:name="_Hlk145077802"/>
      <w:r w:rsidRPr="006E7BBC">
        <w:rPr>
          <w:rFonts w:eastAsia="Segoe UI" w:cstheme="minorHAnsi"/>
          <w:color w:val="011A3C"/>
          <w:sz w:val="24"/>
          <w:szCs w:val="24"/>
          <w:lang w:val="en" w:eastAsia="en-AU"/>
        </w:rPr>
        <w:t>For further information, refer to</w:t>
      </w:r>
      <w:bookmarkEnd w:id="145"/>
      <w:r w:rsidRPr="006E7BBC">
        <w:rPr>
          <w:rFonts w:eastAsia="Segoe UI" w:cstheme="minorHAnsi"/>
          <w:color w:val="011A3C"/>
          <w:sz w:val="24"/>
          <w:szCs w:val="24"/>
          <w:lang w:val="en" w:eastAsia="en-AU"/>
        </w:rPr>
        <w:t xml:space="preserve"> </w:t>
      </w:r>
      <w:hyperlink r:id="rId109" w:history="1">
        <w:r w:rsidRPr="006E7BBC">
          <w:rPr>
            <w:rFonts w:eastAsia="Segoe UI" w:cstheme="minorHAnsi"/>
            <w:color w:val="0563C1" w:themeColor="hyperlink"/>
            <w:sz w:val="24"/>
            <w:szCs w:val="24"/>
            <w:u w:val="single"/>
            <w:lang w:val="en" w:eastAsia="en-AU"/>
          </w:rPr>
          <w:t xml:space="preserve">School Maintenance Plan </w:t>
        </w:r>
        <w:r w:rsidR="00B46F9C">
          <w:rPr>
            <w:rFonts w:eastAsia="Segoe UI" w:cstheme="minorHAnsi"/>
            <w:color w:val="0563C1" w:themeColor="hyperlink"/>
            <w:sz w:val="24"/>
            <w:szCs w:val="24"/>
            <w:u w:val="single"/>
            <w:lang w:val="en" w:eastAsia="en-AU"/>
          </w:rPr>
          <w:t>P</w:t>
        </w:r>
        <w:r w:rsidRPr="006E7BBC">
          <w:rPr>
            <w:rFonts w:eastAsia="Segoe UI" w:cstheme="minorHAnsi"/>
            <w:color w:val="0563C1" w:themeColor="hyperlink"/>
            <w:sz w:val="24"/>
            <w:szCs w:val="24"/>
            <w:u w:val="single"/>
            <w:lang w:val="en" w:eastAsia="en-AU"/>
          </w:rPr>
          <w:t>olicy</w:t>
        </w:r>
      </w:hyperlink>
      <w:r w:rsidRPr="006E7BBC">
        <w:rPr>
          <w:rFonts w:eastAsia="Segoe UI" w:cstheme="minorHAnsi"/>
          <w:color w:val="011A3C"/>
          <w:sz w:val="24"/>
          <w:szCs w:val="24"/>
          <w:lang w:val="en" w:eastAsia="en-AU"/>
        </w:rPr>
        <w:t xml:space="preserve">, </w:t>
      </w:r>
    </w:p>
    <w:p w14:paraId="22C043CD" w14:textId="5FFED6E3" w:rsidR="006E7BBC" w:rsidRDefault="006E7BBC" w:rsidP="009B4DE1">
      <w:pPr>
        <w:spacing w:after="0"/>
        <w:rPr>
          <w:rFonts w:eastAsia="Segoe UI" w:cstheme="minorHAnsi"/>
          <w:color w:val="011A3C"/>
          <w:sz w:val="24"/>
          <w:szCs w:val="24"/>
          <w:lang w:eastAsia="en-AU"/>
        </w:rPr>
      </w:pPr>
      <w:r w:rsidRPr="006E7BBC">
        <w:rPr>
          <w:rFonts w:eastAsia="Segoe UI" w:cstheme="minorHAnsi"/>
          <w:color w:val="011A3C"/>
          <w:sz w:val="24"/>
          <w:szCs w:val="24"/>
          <w:lang w:eastAsia="en-AU"/>
        </w:rPr>
        <w:t xml:space="preserve">or contact </w:t>
      </w:r>
      <w:hyperlink r:id="rId110" w:history="1">
        <w:r w:rsidRPr="006E7BBC">
          <w:rPr>
            <w:rFonts w:eastAsia="Segoe UI" w:cstheme="minorHAnsi"/>
            <w:color w:val="0563C1" w:themeColor="hyperlink"/>
            <w:sz w:val="24"/>
            <w:szCs w:val="24"/>
            <w:u w:val="single"/>
            <w:lang w:eastAsia="en-AU"/>
          </w:rPr>
          <w:t>maintenance.plan@education.vic.gov.au</w:t>
        </w:r>
      </w:hyperlink>
      <w:r w:rsidRPr="006E7BBC">
        <w:rPr>
          <w:rFonts w:eastAsia="Segoe UI" w:cstheme="minorHAnsi"/>
          <w:color w:val="011A3C"/>
          <w:sz w:val="24"/>
          <w:szCs w:val="24"/>
          <w:lang w:eastAsia="en-AU"/>
        </w:rPr>
        <w:t xml:space="preserve"> or 03 7022 2212 for support.</w:t>
      </w:r>
    </w:p>
    <w:p w14:paraId="7F11C7CA" w14:textId="5E811F23" w:rsidR="00EA68CE" w:rsidRDefault="00EA68CE" w:rsidP="009B4DE1">
      <w:pPr>
        <w:spacing w:before="240" w:after="0"/>
        <w:rPr>
          <w:rFonts w:eastAsia="Segoe UI" w:cstheme="minorHAnsi"/>
          <w:color w:val="011A3C"/>
          <w:sz w:val="24"/>
          <w:szCs w:val="24"/>
          <w:lang w:val="en" w:eastAsia="en-AU"/>
        </w:rPr>
      </w:pPr>
      <w:r>
        <w:rPr>
          <w:rFonts w:eastAsia="Segoe UI" w:cstheme="minorHAnsi"/>
          <w:color w:val="011A3C"/>
          <w:sz w:val="24"/>
          <w:szCs w:val="24"/>
          <w:lang w:val="en" w:eastAsia="en-AU"/>
        </w:rPr>
        <w:t xml:space="preserve">Under the department’s Essential Safety Measures Framework, schools are required to ensure </w:t>
      </w:r>
      <w:r w:rsidR="00D16528">
        <w:rPr>
          <w:rFonts w:eastAsia="Segoe UI" w:cstheme="minorHAnsi"/>
          <w:color w:val="011A3C"/>
          <w:sz w:val="24"/>
          <w:szCs w:val="24"/>
          <w:lang w:val="en" w:eastAsia="en-AU"/>
        </w:rPr>
        <w:t>Essential Safety Measures (</w:t>
      </w:r>
      <w:r>
        <w:rPr>
          <w:rFonts w:eastAsia="Segoe UI" w:cstheme="minorHAnsi"/>
          <w:color w:val="011A3C"/>
          <w:sz w:val="24"/>
          <w:szCs w:val="24"/>
          <w:lang w:val="en" w:eastAsia="en-AU"/>
        </w:rPr>
        <w:t>ESM</w:t>
      </w:r>
      <w:r w:rsidR="00D16528">
        <w:rPr>
          <w:rFonts w:eastAsia="Segoe UI" w:cstheme="minorHAnsi"/>
          <w:color w:val="011A3C"/>
          <w:sz w:val="24"/>
          <w:szCs w:val="24"/>
          <w:lang w:val="en" w:eastAsia="en-AU"/>
        </w:rPr>
        <w:t>)</w:t>
      </w:r>
      <w:r>
        <w:rPr>
          <w:rFonts w:eastAsia="Segoe UI" w:cstheme="minorHAnsi"/>
          <w:color w:val="011A3C"/>
          <w:sz w:val="24"/>
          <w:szCs w:val="24"/>
          <w:lang w:val="en" w:eastAsia="en-AU"/>
        </w:rPr>
        <w:t xml:space="preserve"> compliance of rectification works identified as part of any inspection, testing, or annual audit are completed. </w:t>
      </w:r>
    </w:p>
    <w:p w14:paraId="6420ADF8" w14:textId="206308C4" w:rsidR="00494120" w:rsidRPr="009B4DE1" w:rsidRDefault="007B321A" w:rsidP="00833928">
      <w:pPr>
        <w:spacing w:after="100" w:afterAutospacing="1" w:line="360" w:lineRule="atLeast"/>
        <w:rPr>
          <w:rFonts w:eastAsia="Segoe UI" w:cstheme="minorHAnsi"/>
          <w:color w:val="011A3C"/>
          <w:sz w:val="24"/>
          <w:szCs w:val="24"/>
          <w:lang w:val="en" w:eastAsia="en-AU"/>
        </w:rPr>
      </w:pPr>
      <w:r w:rsidRPr="006E7BBC">
        <w:rPr>
          <w:rFonts w:eastAsia="Segoe UI" w:cstheme="minorHAnsi"/>
          <w:color w:val="011A3C"/>
          <w:sz w:val="24"/>
          <w:szCs w:val="24"/>
          <w:lang w:val="en" w:eastAsia="en-AU"/>
        </w:rPr>
        <w:t>For further information, refer to</w:t>
      </w:r>
      <w:r>
        <w:t xml:space="preserve"> </w:t>
      </w:r>
      <w:hyperlink r:id="rId111" w:history="1">
        <w:r w:rsidR="00494120" w:rsidRPr="00494120">
          <w:rPr>
            <w:rStyle w:val="Hyperlink"/>
            <w:rFonts w:eastAsia="Segoe UI" w:cstheme="minorHAnsi"/>
            <w:sz w:val="24"/>
            <w:szCs w:val="24"/>
            <w:lang w:val="en" w:eastAsia="en-AU"/>
          </w:rPr>
          <w:t>Essential Safety Measures</w:t>
        </w:r>
      </w:hyperlink>
      <w:r w:rsidR="00494120" w:rsidRPr="009B4DE1">
        <w:rPr>
          <w:rFonts w:eastAsia="Segoe UI" w:cstheme="minorHAnsi"/>
          <w:color w:val="011A3C"/>
          <w:sz w:val="24"/>
          <w:szCs w:val="24"/>
          <w:lang w:val="en" w:eastAsia="en-AU"/>
        </w:rPr>
        <w:t xml:space="preserve"> policy or contact</w:t>
      </w:r>
      <w:r w:rsidR="003D144A">
        <w:rPr>
          <w:rFonts w:eastAsia="Segoe UI" w:cstheme="minorHAnsi"/>
          <w:color w:val="011A3C"/>
          <w:sz w:val="24"/>
          <w:szCs w:val="24"/>
          <w:lang w:val="en" w:eastAsia="en-AU"/>
        </w:rPr>
        <w:t xml:space="preserve"> </w:t>
      </w:r>
      <w:hyperlink r:id="rId112" w:history="1">
        <w:r w:rsidR="003D144A" w:rsidRPr="003D144A">
          <w:rPr>
            <w:rStyle w:val="Hyperlink"/>
            <w:rFonts w:eastAsia="Segoe UI" w:cstheme="minorHAnsi"/>
            <w:sz w:val="24"/>
            <w:szCs w:val="24"/>
            <w:lang w:val="en" w:eastAsia="en-AU"/>
          </w:rPr>
          <w:t>essential.safety.measures@education.vic.gov.au</w:t>
        </w:r>
      </w:hyperlink>
      <w:r w:rsidR="003D144A">
        <w:rPr>
          <w:rFonts w:eastAsia="Segoe UI" w:cstheme="minorHAnsi"/>
          <w:sz w:val="24"/>
          <w:szCs w:val="24"/>
          <w:lang w:val="en" w:eastAsia="en-AU"/>
        </w:rPr>
        <w:t>.</w:t>
      </w:r>
    </w:p>
    <w:p w14:paraId="78D1D15F" w14:textId="77777777" w:rsidR="00CB044F" w:rsidRPr="006E7BBC" w:rsidRDefault="00CB044F" w:rsidP="006E7BBC">
      <w:pPr>
        <w:rPr>
          <w:rFonts w:eastAsia="Segoe UI" w:cstheme="minorHAnsi"/>
          <w:lang w:val="en" w:eastAsia="en-AU"/>
        </w:rPr>
      </w:pPr>
    </w:p>
    <w:p w14:paraId="44F5CEA3" w14:textId="77777777" w:rsidR="006E7BBC" w:rsidRPr="00950CBB" w:rsidRDefault="006E7BBC" w:rsidP="00950CBB">
      <w:pPr>
        <w:spacing w:before="120" w:after="120" w:line="240" w:lineRule="auto"/>
        <w:outlineLvl w:val="1"/>
      </w:pPr>
      <w:r w:rsidRPr="006E7BBC">
        <w:rPr>
          <w:rFonts w:eastAsia="Segoe UI" w:cstheme="minorHAnsi"/>
          <w:b/>
          <w:sz w:val="27"/>
          <w:szCs w:val="27"/>
        </w:rPr>
        <w:t>Eligibility</w:t>
      </w:r>
    </w:p>
    <w:p w14:paraId="250521C7" w14:textId="75550E25" w:rsidR="006E7BBC" w:rsidRPr="006E7BBC" w:rsidRDefault="006E7BBC" w:rsidP="00833928">
      <w:pPr>
        <w:numPr>
          <w:ilvl w:val="0"/>
          <w:numId w:val="133"/>
        </w:numPr>
        <w:spacing w:before="120" w:after="120" w:line="240" w:lineRule="auto"/>
        <w:ind w:left="714" w:hanging="357"/>
        <w:textAlignment w:val="baseline"/>
        <w:rPr>
          <w:rFonts w:ascii="Calibri" w:eastAsia="Times New Roman" w:hAnsi="Calibri" w:cs="Calibri"/>
          <w:color w:val="011A3C"/>
          <w:sz w:val="24"/>
          <w:szCs w:val="24"/>
          <w:lang w:eastAsia="en-AU"/>
        </w:rPr>
      </w:pPr>
      <w:r w:rsidRPr="006E7BBC">
        <w:rPr>
          <w:rFonts w:ascii="Calibri" w:eastAsia="Times New Roman" w:hAnsi="Calibri" w:cs="Calibri"/>
          <w:color w:val="011A3C"/>
          <w:sz w:val="24"/>
          <w:szCs w:val="24"/>
          <w:lang w:eastAsia="en-AU"/>
        </w:rPr>
        <w:t>Eligible schools are those with open or pending campuses.</w:t>
      </w:r>
    </w:p>
    <w:p w14:paraId="50ED8B9C" w14:textId="77777777" w:rsidR="006E7BBC" w:rsidRPr="006E7BBC" w:rsidRDefault="006E7BBC" w:rsidP="00833928">
      <w:pPr>
        <w:numPr>
          <w:ilvl w:val="0"/>
          <w:numId w:val="133"/>
        </w:numPr>
        <w:spacing w:before="120" w:after="120" w:line="240" w:lineRule="auto"/>
        <w:ind w:left="714" w:hanging="357"/>
        <w:textAlignment w:val="baseline"/>
        <w:rPr>
          <w:rFonts w:ascii="Calibri" w:eastAsia="Times New Roman" w:hAnsi="Calibri" w:cs="Calibri"/>
          <w:color w:val="011A3C"/>
          <w:sz w:val="24"/>
          <w:szCs w:val="24"/>
          <w:lang w:eastAsia="en-AU"/>
        </w:rPr>
      </w:pPr>
      <w:r w:rsidRPr="006E7BBC">
        <w:rPr>
          <w:rFonts w:ascii="Calibri" w:eastAsia="Times New Roman" w:hAnsi="Calibri" w:cs="Calibri"/>
          <w:color w:val="011A3C"/>
          <w:sz w:val="24"/>
          <w:szCs w:val="24"/>
          <w:lang w:eastAsia="en-AU"/>
        </w:rPr>
        <w:t>Ineligible schools are those due to close, closed, with unstaffed campuses and Public-Private Partnership Schools.</w:t>
      </w:r>
    </w:p>
    <w:p w14:paraId="4411C1FA" w14:textId="38F049AC" w:rsidR="006E7BBC" w:rsidRPr="006E7BBC" w:rsidRDefault="006E7BBC" w:rsidP="00833928">
      <w:pPr>
        <w:numPr>
          <w:ilvl w:val="0"/>
          <w:numId w:val="133"/>
        </w:numPr>
        <w:spacing w:before="120" w:after="120" w:line="240" w:lineRule="auto"/>
        <w:ind w:left="714" w:hanging="357"/>
        <w:textAlignment w:val="baseline"/>
        <w:rPr>
          <w:rFonts w:ascii="Calibri" w:eastAsia="Times New Roman" w:hAnsi="Calibri" w:cs="Calibri"/>
          <w:color w:val="011A3C"/>
          <w:sz w:val="24"/>
          <w:szCs w:val="24"/>
          <w:lang w:eastAsia="en-AU"/>
        </w:rPr>
      </w:pPr>
      <w:r w:rsidRPr="006E7BBC">
        <w:rPr>
          <w:rFonts w:ascii="Calibri" w:eastAsia="Times New Roman" w:hAnsi="Calibri" w:cs="Calibri"/>
          <w:color w:val="011A3C"/>
          <w:sz w:val="24"/>
          <w:szCs w:val="24"/>
          <w:lang w:eastAsia="en-AU"/>
        </w:rPr>
        <w:t xml:space="preserve">Eligible </w:t>
      </w:r>
      <w:r w:rsidR="00B46F9C">
        <w:rPr>
          <w:rFonts w:ascii="Calibri" w:eastAsia="Times New Roman" w:hAnsi="Calibri" w:cs="Calibri"/>
          <w:color w:val="011A3C"/>
          <w:sz w:val="24"/>
          <w:szCs w:val="24"/>
          <w:lang w:eastAsia="en-AU"/>
        </w:rPr>
        <w:t>a</w:t>
      </w:r>
      <w:r w:rsidRPr="006E7BBC">
        <w:rPr>
          <w:rFonts w:ascii="Calibri" w:eastAsia="Times New Roman" w:hAnsi="Calibri" w:cs="Calibri"/>
          <w:color w:val="011A3C"/>
          <w:sz w:val="24"/>
          <w:szCs w:val="24"/>
          <w:lang w:eastAsia="en-AU"/>
        </w:rPr>
        <w:t xml:space="preserve">ssets are defined as permanent or relocatable </w:t>
      </w:r>
      <w:r w:rsidRPr="00950CBB">
        <w:rPr>
          <w:rFonts w:ascii="Calibri" w:hAnsi="Calibri"/>
          <w:color w:val="011A3C"/>
          <w:sz w:val="24"/>
        </w:rPr>
        <w:t>curriculum buildings</w:t>
      </w:r>
      <w:r w:rsidRPr="006E7BBC">
        <w:rPr>
          <w:rFonts w:ascii="Calibri" w:eastAsia="Times New Roman" w:hAnsi="Calibri" w:cs="Calibri"/>
          <w:color w:val="011A3C"/>
          <w:sz w:val="24"/>
          <w:szCs w:val="24"/>
          <w:lang w:eastAsia="en-AU"/>
        </w:rPr>
        <w:t xml:space="preserve">, permanent trade training centres and curriculum </w:t>
      </w:r>
      <w:r w:rsidRPr="00950CBB">
        <w:rPr>
          <w:rFonts w:ascii="Calibri" w:hAnsi="Calibri"/>
          <w:color w:val="011A3C"/>
          <w:sz w:val="24"/>
        </w:rPr>
        <w:t>covered ways</w:t>
      </w:r>
      <w:r w:rsidRPr="006E7BBC">
        <w:rPr>
          <w:rFonts w:ascii="Calibri" w:eastAsia="Times New Roman" w:hAnsi="Calibri" w:cs="Calibri"/>
          <w:color w:val="011A3C"/>
          <w:sz w:val="24"/>
          <w:szCs w:val="24"/>
          <w:lang w:eastAsia="en-AU"/>
        </w:rPr>
        <w:t>.</w:t>
      </w:r>
    </w:p>
    <w:p w14:paraId="784B79A5" w14:textId="77777777" w:rsidR="006E7BBC" w:rsidRPr="006E7BBC" w:rsidRDefault="006E7BBC" w:rsidP="00833928">
      <w:pPr>
        <w:numPr>
          <w:ilvl w:val="0"/>
          <w:numId w:val="133"/>
        </w:numPr>
        <w:spacing w:before="120" w:after="120" w:line="240" w:lineRule="auto"/>
        <w:ind w:left="714" w:hanging="357"/>
        <w:textAlignment w:val="baseline"/>
        <w:rPr>
          <w:rFonts w:ascii="Calibri" w:eastAsia="Times New Roman" w:hAnsi="Calibri" w:cs="Calibri"/>
          <w:color w:val="011A3C"/>
          <w:sz w:val="24"/>
          <w:szCs w:val="24"/>
          <w:lang w:eastAsia="en-AU"/>
        </w:rPr>
      </w:pPr>
      <w:r w:rsidRPr="006E7BBC">
        <w:rPr>
          <w:rFonts w:ascii="Calibri" w:eastAsia="Times New Roman" w:hAnsi="Calibri" w:cs="Calibri"/>
          <w:color w:val="011A3C"/>
          <w:sz w:val="24"/>
          <w:szCs w:val="24"/>
          <w:lang w:eastAsia="en-AU"/>
        </w:rPr>
        <w:t>Ineligible buildings are non-curriculum buildings, early childhood centre buildings, houses, outbuildings and shade sails.</w:t>
      </w:r>
    </w:p>
    <w:p w14:paraId="0286A961" w14:textId="5E546ECB" w:rsidR="006E7BBC" w:rsidRPr="00950CBB" w:rsidRDefault="006E7BBC" w:rsidP="00833928">
      <w:pPr>
        <w:numPr>
          <w:ilvl w:val="0"/>
          <w:numId w:val="133"/>
        </w:numPr>
        <w:spacing w:before="120" w:after="120" w:line="240" w:lineRule="auto"/>
        <w:ind w:left="714" w:hanging="357"/>
        <w:textAlignment w:val="baseline"/>
        <w:rPr>
          <w:rFonts w:ascii="Calibri" w:hAnsi="Calibri"/>
          <w:color w:val="011A3C"/>
          <w:sz w:val="24"/>
          <w:lang w:val="en"/>
        </w:rPr>
      </w:pPr>
      <w:r w:rsidRPr="00950CBB">
        <w:rPr>
          <w:rFonts w:ascii="Calibri" w:hAnsi="Calibri"/>
          <w:color w:val="011A3C"/>
          <w:sz w:val="24"/>
          <w:lang w:val="en"/>
        </w:rPr>
        <w:t xml:space="preserve">Buildings and spaces recorded as ‘no entitlement’ are excluded from this calculation. Spaces are typically recorded as ‘no entitlement’ if they were not originally constructed by the department and are in excess to a school’s allocated facility area. For more detail on area allocation and excess space, </w:t>
      </w:r>
      <w:r w:rsidR="009A4992">
        <w:rPr>
          <w:rFonts w:ascii="Calibri" w:hAnsi="Calibri"/>
          <w:color w:val="011A3C"/>
          <w:sz w:val="24"/>
          <w:lang w:val="en"/>
        </w:rPr>
        <w:t xml:space="preserve">refer to </w:t>
      </w:r>
      <w:r w:rsidRPr="00950CBB">
        <w:rPr>
          <w:rFonts w:ascii="Calibri" w:hAnsi="Calibri"/>
          <w:color w:val="011A3C"/>
          <w:sz w:val="24"/>
          <w:lang w:val="en"/>
        </w:rPr>
        <w:t xml:space="preserve"> </w:t>
      </w:r>
      <w:hyperlink r:id="rId113" w:tgtFrame="_blank" w:history="1">
        <w:r w:rsidRPr="006E7BBC">
          <w:rPr>
            <w:rFonts w:ascii="Calibri" w:eastAsia="Times New Roman" w:hAnsi="Calibri" w:cs="Calibri"/>
            <w:color w:val="0563C1"/>
            <w:sz w:val="24"/>
            <w:szCs w:val="24"/>
            <w:u w:val="single"/>
            <w:lang w:eastAsia="en-AU"/>
          </w:rPr>
          <w:t>Capacity and Area Allocation</w:t>
        </w:r>
      </w:hyperlink>
      <w:r w:rsidRPr="006E7BBC">
        <w:rPr>
          <w:rFonts w:ascii="Calibri" w:eastAsia="Times New Roman" w:hAnsi="Calibri" w:cs="Calibri"/>
          <w:color w:val="011A3C"/>
          <w:sz w:val="24"/>
          <w:szCs w:val="24"/>
          <w:lang w:val="en" w:eastAsia="en-AU"/>
        </w:rPr>
        <w:t>.</w:t>
      </w:r>
      <w:r w:rsidRPr="006E7BBC">
        <w:rPr>
          <w:rFonts w:ascii="Calibri" w:eastAsia="Times New Roman" w:hAnsi="Calibri" w:cs="Calibri"/>
          <w:color w:val="011A3C"/>
          <w:sz w:val="24"/>
          <w:szCs w:val="24"/>
          <w:lang w:eastAsia="en-AU"/>
        </w:rPr>
        <w:t> </w:t>
      </w:r>
    </w:p>
    <w:p w14:paraId="6B5B0720" w14:textId="77777777" w:rsidR="00372FBD" w:rsidRDefault="00372FBD" w:rsidP="009B4DE1">
      <w:pPr>
        <w:rPr>
          <w:lang w:val="en"/>
        </w:rPr>
      </w:pPr>
    </w:p>
    <w:p w14:paraId="031C9A3A" w14:textId="3BD166A1" w:rsidR="006E7BBC" w:rsidRPr="006E7BBC" w:rsidRDefault="006E7BBC" w:rsidP="006E7BBC">
      <w:pPr>
        <w:spacing w:before="120" w:after="120" w:line="240" w:lineRule="auto"/>
        <w:outlineLvl w:val="1"/>
        <w:rPr>
          <w:rFonts w:eastAsia="Segoe UI" w:cstheme="minorHAnsi"/>
          <w:b/>
          <w:bCs/>
          <w:sz w:val="27"/>
          <w:szCs w:val="27"/>
        </w:rPr>
      </w:pPr>
      <w:r w:rsidRPr="006E7BBC">
        <w:rPr>
          <w:rFonts w:eastAsia="Segoe UI" w:cstheme="minorHAnsi"/>
          <w:b/>
          <w:color w:val="011A3C"/>
          <w:sz w:val="27"/>
          <w:szCs w:val="27"/>
          <w:lang w:val="en"/>
        </w:rPr>
        <w:t xml:space="preserve">Rates and </w:t>
      </w:r>
      <w:r w:rsidR="00B173AD">
        <w:rPr>
          <w:rFonts w:eastAsia="Segoe UI" w:cstheme="minorHAnsi"/>
          <w:b/>
          <w:color w:val="011A3C"/>
          <w:sz w:val="27"/>
          <w:szCs w:val="27"/>
          <w:lang w:val="en"/>
        </w:rPr>
        <w:t>c</w:t>
      </w:r>
      <w:r w:rsidRPr="006E7BBC">
        <w:rPr>
          <w:rFonts w:eastAsia="Segoe UI" w:cstheme="minorHAnsi"/>
          <w:b/>
          <w:color w:val="011A3C"/>
          <w:sz w:val="27"/>
          <w:szCs w:val="27"/>
          <w:lang w:val="en"/>
        </w:rPr>
        <w:t>alculation</w:t>
      </w:r>
    </w:p>
    <w:p w14:paraId="7B554815" w14:textId="02BAE83A" w:rsidR="006E7BBC" w:rsidRPr="006E7BBC" w:rsidRDefault="006E7BBC" w:rsidP="006E7BBC">
      <w:pPr>
        <w:spacing w:before="120" w:after="120" w:line="240" w:lineRule="auto"/>
        <w:textAlignment w:val="baseline"/>
        <w:rPr>
          <w:rFonts w:ascii="Calibri" w:eastAsia="Times New Roman" w:hAnsi="Calibri" w:cs="Calibri"/>
          <w:color w:val="011A3C"/>
          <w:sz w:val="24"/>
          <w:szCs w:val="24"/>
          <w:lang w:val="en" w:eastAsia="en-AU"/>
        </w:rPr>
      </w:pPr>
      <w:r w:rsidRPr="006E7BBC">
        <w:rPr>
          <w:rFonts w:ascii="Calibri" w:eastAsia="Times New Roman" w:hAnsi="Calibri" w:cs="Calibri"/>
          <w:color w:val="011A3C"/>
          <w:sz w:val="24"/>
          <w:szCs w:val="24"/>
          <w:lang w:val="en" w:eastAsia="en-AU"/>
        </w:rPr>
        <w:t xml:space="preserve">In </w:t>
      </w:r>
      <w:r w:rsidRPr="00BC3C6E">
        <w:rPr>
          <w:rFonts w:ascii="Calibri" w:eastAsia="Times New Roman" w:hAnsi="Calibri" w:cs="Calibri"/>
          <w:color w:val="011A3C"/>
          <w:sz w:val="24"/>
          <w:szCs w:val="24"/>
          <w:lang w:val="en" w:eastAsia="en-AU"/>
        </w:rPr>
        <w:t>2023</w:t>
      </w:r>
      <w:r w:rsidRPr="006E7BBC">
        <w:rPr>
          <w:rFonts w:ascii="Calibri" w:eastAsia="Times New Roman" w:hAnsi="Calibri" w:cs="Calibri"/>
          <w:color w:val="011A3C"/>
          <w:sz w:val="24"/>
          <w:szCs w:val="24"/>
          <w:lang w:val="en" w:eastAsia="en-AU"/>
        </w:rPr>
        <w:t xml:space="preserve"> the Victorian School Building Authority </w:t>
      </w:r>
      <w:r w:rsidR="00410673">
        <w:rPr>
          <w:rFonts w:ascii="Calibri" w:eastAsia="Times New Roman" w:hAnsi="Calibri" w:cs="Calibri"/>
          <w:color w:val="011A3C"/>
          <w:sz w:val="24"/>
          <w:szCs w:val="24"/>
          <w:lang w:val="en" w:eastAsia="en-AU"/>
        </w:rPr>
        <w:t>revised</w:t>
      </w:r>
      <w:r w:rsidRPr="006E7BBC">
        <w:rPr>
          <w:rFonts w:ascii="Calibri" w:eastAsia="Times New Roman" w:hAnsi="Calibri" w:cs="Calibri"/>
          <w:color w:val="011A3C"/>
          <w:sz w:val="24"/>
          <w:szCs w:val="24"/>
          <w:lang w:val="en" w:eastAsia="en-AU"/>
        </w:rPr>
        <w:t xml:space="preserve"> the calculation </w:t>
      </w:r>
      <w:r w:rsidR="00410673">
        <w:rPr>
          <w:rFonts w:ascii="Calibri" w:eastAsia="Times New Roman" w:hAnsi="Calibri" w:cs="Calibri"/>
          <w:color w:val="011A3C"/>
          <w:sz w:val="24"/>
          <w:szCs w:val="24"/>
          <w:lang w:val="en" w:eastAsia="en-AU"/>
        </w:rPr>
        <w:t xml:space="preserve">methodology </w:t>
      </w:r>
      <w:r w:rsidR="00EB5B38">
        <w:rPr>
          <w:rFonts w:ascii="Calibri" w:eastAsia="Times New Roman" w:hAnsi="Calibri" w:cs="Calibri"/>
          <w:color w:val="011A3C"/>
          <w:sz w:val="24"/>
          <w:szCs w:val="24"/>
          <w:lang w:val="en" w:eastAsia="en-AU"/>
        </w:rPr>
        <w:t>for</w:t>
      </w:r>
      <w:r w:rsidRPr="006E7BBC">
        <w:rPr>
          <w:rFonts w:ascii="Calibri" w:eastAsia="Times New Roman" w:hAnsi="Calibri" w:cs="Calibri"/>
          <w:color w:val="011A3C"/>
          <w:sz w:val="24"/>
          <w:szCs w:val="24"/>
          <w:lang w:val="en" w:eastAsia="en-AU"/>
        </w:rPr>
        <w:t xml:space="preserve"> Maintenance SRP funding to reflect </w:t>
      </w:r>
      <w:r w:rsidR="00017BB2">
        <w:rPr>
          <w:rFonts w:ascii="Calibri" w:eastAsia="Times New Roman" w:hAnsi="Calibri" w:cs="Calibri"/>
          <w:color w:val="011A3C"/>
          <w:sz w:val="24"/>
          <w:szCs w:val="24"/>
          <w:lang w:val="en" w:eastAsia="en-AU"/>
        </w:rPr>
        <w:t>an</w:t>
      </w:r>
      <w:r w:rsidRPr="006E7BBC">
        <w:rPr>
          <w:rFonts w:ascii="Calibri" w:eastAsia="Times New Roman" w:hAnsi="Calibri" w:cs="Calibri"/>
          <w:color w:val="011A3C"/>
          <w:sz w:val="24"/>
          <w:szCs w:val="24"/>
          <w:lang w:val="en" w:eastAsia="en-AU"/>
        </w:rPr>
        <w:t xml:space="preserve"> improved understanding of the asset base and </w:t>
      </w:r>
      <w:r w:rsidRPr="00950CBB">
        <w:rPr>
          <w:rFonts w:ascii="Calibri" w:hAnsi="Calibri"/>
          <w:color w:val="011A3C"/>
          <w:sz w:val="24"/>
          <w:lang w:val="en"/>
        </w:rPr>
        <w:t xml:space="preserve">maintenance </w:t>
      </w:r>
      <w:r w:rsidRPr="006E7BBC">
        <w:rPr>
          <w:rFonts w:ascii="Calibri" w:eastAsia="Times New Roman" w:hAnsi="Calibri" w:cs="Calibri"/>
          <w:color w:val="011A3C"/>
          <w:sz w:val="24"/>
          <w:szCs w:val="24"/>
          <w:lang w:val="en" w:eastAsia="en-AU"/>
        </w:rPr>
        <w:t>needs.</w:t>
      </w:r>
    </w:p>
    <w:p w14:paraId="4F096485" w14:textId="09181656" w:rsidR="00017BB2" w:rsidRPr="00833928" w:rsidRDefault="005753B1">
      <w:pPr>
        <w:spacing w:after="0" w:line="240" w:lineRule="auto"/>
        <w:textAlignment w:val="baseline"/>
        <w:rPr>
          <w:rFonts w:ascii="Calibri" w:hAnsi="Calibri"/>
          <w:color w:val="011A3C"/>
          <w:sz w:val="24"/>
          <w:lang w:val="en"/>
        </w:rPr>
      </w:pPr>
      <w:r w:rsidRPr="00833928">
        <w:rPr>
          <w:rFonts w:ascii="Calibri" w:hAnsi="Calibri"/>
          <w:color w:val="011A3C"/>
          <w:sz w:val="24"/>
          <w:lang w:val="en"/>
        </w:rPr>
        <w:t>MMW funding calculations are now completed in 3 steps</w:t>
      </w:r>
      <w:r w:rsidR="006E7BBC" w:rsidRPr="00833928">
        <w:rPr>
          <w:rFonts w:ascii="Calibri" w:hAnsi="Calibri"/>
          <w:color w:val="011A3C"/>
          <w:sz w:val="24"/>
          <w:lang w:val="en"/>
        </w:rPr>
        <w:t>:</w:t>
      </w:r>
    </w:p>
    <w:p w14:paraId="44497ABA" w14:textId="55D133A6" w:rsidR="00017BB2" w:rsidRPr="00833928" w:rsidRDefault="006E7BBC" w:rsidP="00833928">
      <w:pPr>
        <w:numPr>
          <w:ilvl w:val="0"/>
          <w:numId w:val="133"/>
        </w:numPr>
        <w:spacing w:after="0" w:line="240" w:lineRule="auto"/>
        <w:textAlignment w:val="baseline"/>
        <w:rPr>
          <w:rFonts w:ascii="Calibri" w:hAnsi="Calibri"/>
          <w:color w:val="011A3C"/>
          <w:sz w:val="24"/>
        </w:rPr>
      </w:pPr>
      <w:r w:rsidRPr="00833928">
        <w:rPr>
          <w:rFonts w:ascii="Calibri" w:hAnsi="Calibri"/>
          <w:color w:val="011A3C"/>
          <w:sz w:val="24"/>
        </w:rPr>
        <w:t>Step 1: Maintenance rates are applied to eligible buildings on eligible campuses</w:t>
      </w:r>
    </w:p>
    <w:p w14:paraId="0E1FFBBB" w14:textId="3EF33D6F" w:rsidR="00017BB2" w:rsidRPr="00833928" w:rsidRDefault="006E7BBC" w:rsidP="00833928">
      <w:pPr>
        <w:numPr>
          <w:ilvl w:val="0"/>
          <w:numId w:val="133"/>
        </w:numPr>
        <w:spacing w:after="0" w:line="240" w:lineRule="auto"/>
        <w:textAlignment w:val="baseline"/>
        <w:rPr>
          <w:rFonts w:ascii="Calibri" w:hAnsi="Calibri"/>
          <w:color w:val="011A3C"/>
          <w:sz w:val="24"/>
        </w:rPr>
      </w:pPr>
      <w:r w:rsidRPr="00833928">
        <w:rPr>
          <w:rFonts w:ascii="Calibri" w:hAnsi="Calibri"/>
          <w:color w:val="011A3C"/>
          <w:sz w:val="24"/>
        </w:rPr>
        <w:t>Step 2: Cost modifiers are applied (where applicable</w:t>
      </w:r>
      <w:r w:rsidR="005753B1" w:rsidRPr="00833928">
        <w:rPr>
          <w:rFonts w:ascii="Calibri" w:hAnsi="Calibri"/>
          <w:color w:val="011A3C"/>
          <w:sz w:val="24"/>
        </w:rPr>
        <w:t>)</w:t>
      </w:r>
    </w:p>
    <w:p w14:paraId="11BB5A7E" w14:textId="3AADA126" w:rsidR="006E7BBC" w:rsidRPr="00833928" w:rsidRDefault="006E7BBC" w:rsidP="00833928">
      <w:pPr>
        <w:numPr>
          <w:ilvl w:val="0"/>
          <w:numId w:val="133"/>
        </w:numPr>
        <w:spacing w:after="0" w:line="240" w:lineRule="auto"/>
        <w:textAlignment w:val="baseline"/>
        <w:rPr>
          <w:rFonts w:ascii="Calibri" w:hAnsi="Calibri"/>
          <w:color w:val="011A3C"/>
          <w:sz w:val="24"/>
        </w:rPr>
      </w:pPr>
      <w:r w:rsidRPr="00833928">
        <w:rPr>
          <w:rFonts w:ascii="Calibri" w:hAnsi="Calibri"/>
          <w:color w:val="011A3C"/>
          <w:sz w:val="24"/>
        </w:rPr>
        <w:t>Step 3: School allocation is adjusted</w:t>
      </w:r>
    </w:p>
    <w:p w14:paraId="2DD071B3" w14:textId="77777777" w:rsidR="0082640B" w:rsidRDefault="0082640B" w:rsidP="009B4DE1">
      <w:pPr>
        <w:rPr>
          <w:lang w:val="en" w:eastAsia="en-AU"/>
        </w:rPr>
      </w:pPr>
    </w:p>
    <w:p w14:paraId="5B8B5256" w14:textId="3A1A73A9" w:rsidR="006E7BBC" w:rsidRPr="006E7BBC" w:rsidRDefault="006E7BBC" w:rsidP="006E7BBC">
      <w:pPr>
        <w:spacing w:before="240" w:after="120" w:line="240" w:lineRule="auto"/>
        <w:textAlignment w:val="baseline"/>
        <w:outlineLvl w:val="2"/>
        <w:rPr>
          <w:rFonts w:ascii="Calibri" w:eastAsia="Times New Roman" w:hAnsi="Calibri" w:cs="Calibri"/>
          <w:b/>
          <w:bCs/>
          <w:color w:val="011A3C"/>
          <w:sz w:val="24"/>
          <w:szCs w:val="24"/>
          <w:lang w:val="en" w:eastAsia="en-AU"/>
        </w:rPr>
      </w:pPr>
      <w:r w:rsidRPr="006E7BBC">
        <w:rPr>
          <w:rFonts w:ascii="Calibri" w:eastAsia="Times New Roman" w:hAnsi="Calibri" w:cs="Calibri"/>
          <w:b/>
          <w:bCs/>
          <w:color w:val="011A3C"/>
          <w:sz w:val="24"/>
          <w:szCs w:val="24"/>
          <w:lang w:val="en" w:eastAsia="en-AU"/>
        </w:rPr>
        <w:t xml:space="preserve">Step 1: Maintenance </w:t>
      </w:r>
      <w:r w:rsidR="00A5731C">
        <w:rPr>
          <w:rFonts w:ascii="Calibri" w:eastAsia="Times New Roman" w:hAnsi="Calibri" w:cs="Calibri"/>
          <w:b/>
          <w:bCs/>
          <w:color w:val="011A3C"/>
          <w:sz w:val="24"/>
          <w:szCs w:val="24"/>
          <w:lang w:val="en" w:eastAsia="en-AU"/>
        </w:rPr>
        <w:t>r</w:t>
      </w:r>
      <w:r w:rsidRPr="006E7BBC">
        <w:rPr>
          <w:rFonts w:ascii="Calibri" w:eastAsia="Times New Roman" w:hAnsi="Calibri" w:cs="Calibri"/>
          <w:b/>
          <w:bCs/>
          <w:color w:val="011A3C"/>
          <w:sz w:val="24"/>
          <w:szCs w:val="24"/>
          <w:lang w:val="en" w:eastAsia="en-AU"/>
        </w:rPr>
        <w:t>ates </w:t>
      </w:r>
      <w:r w:rsidR="00A5731C">
        <w:rPr>
          <w:rFonts w:ascii="Calibri" w:eastAsia="Times New Roman" w:hAnsi="Calibri" w:cs="Calibri"/>
          <w:b/>
          <w:bCs/>
          <w:color w:val="011A3C"/>
          <w:sz w:val="24"/>
          <w:szCs w:val="24"/>
          <w:lang w:val="en" w:eastAsia="en-AU"/>
        </w:rPr>
        <w:t>a</w:t>
      </w:r>
      <w:r w:rsidRPr="006E7BBC">
        <w:rPr>
          <w:rFonts w:ascii="Calibri" w:eastAsia="Times New Roman" w:hAnsi="Calibri" w:cs="Calibri"/>
          <w:b/>
          <w:bCs/>
          <w:color w:val="011A3C"/>
          <w:sz w:val="24"/>
          <w:szCs w:val="24"/>
          <w:lang w:val="en" w:eastAsia="en-AU"/>
        </w:rPr>
        <w:t>pplied</w:t>
      </w:r>
    </w:p>
    <w:p w14:paraId="0AE2A0C9" w14:textId="59DCE3A4" w:rsidR="006E7BBC" w:rsidRPr="006E7BBC" w:rsidRDefault="006E7BBC" w:rsidP="006E7BBC">
      <w:pPr>
        <w:spacing w:before="120" w:beforeAutospacing="1" w:after="120" w:afterAutospacing="1" w:line="240" w:lineRule="auto"/>
        <w:textAlignment w:val="baseline"/>
        <w:rPr>
          <w:rFonts w:ascii="Calibri" w:eastAsia="Times New Roman" w:hAnsi="Calibri" w:cs="Calibri"/>
          <w:b/>
          <w:bCs/>
          <w:i/>
          <w:iCs/>
          <w:color w:val="011A3C"/>
          <w:sz w:val="24"/>
          <w:szCs w:val="24"/>
          <w:lang w:val="en" w:eastAsia="en-AU"/>
        </w:rPr>
      </w:pPr>
      <w:r w:rsidRPr="006E7BBC">
        <w:rPr>
          <w:rFonts w:ascii="Calibri" w:eastAsia="Times New Roman" w:hAnsi="Calibri" w:cs="Calibri"/>
          <w:b/>
          <w:bCs/>
          <w:i/>
          <w:iCs/>
          <w:color w:val="011A3C"/>
          <w:sz w:val="24"/>
          <w:szCs w:val="24"/>
          <w:lang w:val="en" w:eastAsia="en-AU"/>
        </w:rPr>
        <w:t xml:space="preserve">Initial </w:t>
      </w:r>
      <w:r w:rsidR="00E11A4D">
        <w:rPr>
          <w:rFonts w:ascii="Calibri" w:eastAsia="Times New Roman" w:hAnsi="Calibri" w:cs="Calibri"/>
          <w:b/>
          <w:bCs/>
          <w:i/>
          <w:iCs/>
          <w:color w:val="011A3C"/>
          <w:sz w:val="24"/>
          <w:szCs w:val="24"/>
          <w:lang w:val="en" w:eastAsia="en-AU"/>
        </w:rPr>
        <w:t>c</w:t>
      </w:r>
      <w:r w:rsidRPr="006E7BBC">
        <w:rPr>
          <w:rFonts w:ascii="Calibri" w:eastAsia="Times New Roman" w:hAnsi="Calibri" w:cs="Calibri"/>
          <w:b/>
          <w:bCs/>
          <w:i/>
          <w:iCs/>
          <w:color w:val="011A3C"/>
          <w:sz w:val="24"/>
          <w:szCs w:val="24"/>
          <w:lang w:val="en" w:eastAsia="en-AU"/>
        </w:rPr>
        <w:t xml:space="preserve">ampus </w:t>
      </w:r>
      <w:r w:rsidR="00E11A4D">
        <w:rPr>
          <w:rFonts w:ascii="Calibri" w:eastAsia="Times New Roman" w:hAnsi="Calibri" w:cs="Calibri"/>
          <w:b/>
          <w:bCs/>
          <w:i/>
          <w:iCs/>
          <w:color w:val="011A3C"/>
          <w:sz w:val="24"/>
          <w:szCs w:val="24"/>
          <w:lang w:val="en" w:eastAsia="en-AU"/>
        </w:rPr>
        <w:t>a</w:t>
      </w:r>
      <w:r w:rsidRPr="006E7BBC">
        <w:rPr>
          <w:rFonts w:ascii="Calibri" w:eastAsia="Times New Roman" w:hAnsi="Calibri" w:cs="Calibri"/>
          <w:b/>
          <w:bCs/>
          <w:i/>
          <w:iCs/>
          <w:color w:val="011A3C"/>
          <w:sz w:val="24"/>
          <w:szCs w:val="24"/>
          <w:lang w:val="en" w:eastAsia="en-AU"/>
        </w:rPr>
        <w:t xml:space="preserve">llocation = </w:t>
      </w:r>
      <w:r w:rsidRPr="006E7BBC">
        <w:rPr>
          <w:rFonts w:ascii="Calibri" w:eastAsia="Times New Roman" w:hAnsi="Calibri" w:cs="Calibri"/>
          <w:i/>
          <w:iCs/>
          <w:color w:val="011A3C"/>
          <w:sz w:val="24"/>
          <w:szCs w:val="24"/>
          <w:lang w:val="en" w:eastAsia="en-AU"/>
        </w:rPr>
        <w:t xml:space="preserve">Area of </w:t>
      </w:r>
      <w:r w:rsidR="00E11A4D">
        <w:rPr>
          <w:rFonts w:ascii="Calibri" w:eastAsia="Times New Roman" w:hAnsi="Calibri" w:cs="Calibri"/>
          <w:i/>
          <w:iCs/>
          <w:color w:val="011A3C"/>
          <w:sz w:val="24"/>
          <w:szCs w:val="24"/>
          <w:lang w:val="en" w:eastAsia="en-AU"/>
        </w:rPr>
        <w:t>e</w:t>
      </w:r>
      <w:r w:rsidRPr="006E7BBC">
        <w:rPr>
          <w:rFonts w:ascii="Calibri" w:eastAsia="Times New Roman" w:hAnsi="Calibri" w:cs="Calibri"/>
          <w:i/>
          <w:iCs/>
          <w:color w:val="011A3C"/>
          <w:sz w:val="24"/>
          <w:szCs w:val="24"/>
          <w:lang w:val="en" w:eastAsia="en-AU"/>
        </w:rPr>
        <w:t xml:space="preserve">ligible </w:t>
      </w:r>
      <w:r w:rsidR="00E11A4D">
        <w:rPr>
          <w:rFonts w:ascii="Calibri" w:eastAsia="Times New Roman" w:hAnsi="Calibri" w:cs="Calibri"/>
          <w:i/>
          <w:iCs/>
          <w:color w:val="011A3C"/>
          <w:sz w:val="24"/>
          <w:szCs w:val="24"/>
          <w:lang w:val="en" w:eastAsia="en-AU"/>
        </w:rPr>
        <w:t>a</w:t>
      </w:r>
      <w:r w:rsidRPr="006E7BBC">
        <w:rPr>
          <w:rFonts w:ascii="Calibri" w:eastAsia="Times New Roman" w:hAnsi="Calibri" w:cs="Calibri"/>
          <w:i/>
          <w:iCs/>
          <w:color w:val="011A3C"/>
          <w:sz w:val="24"/>
          <w:szCs w:val="24"/>
          <w:lang w:val="en" w:eastAsia="en-AU"/>
        </w:rPr>
        <w:t xml:space="preserve">ssets (m2) x Building </w:t>
      </w:r>
      <w:r w:rsidR="00E11A4D">
        <w:rPr>
          <w:rFonts w:ascii="Calibri" w:eastAsia="Times New Roman" w:hAnsi="Calibri" w:cs="Calibri"/>
          <w:i/>
          <w:iCs/>
          <w:color w:val="011A3C"/>
          <w:sz w:val="24"/>
          <w:szCs w:val="24"/>
          <w:lang w:val="en" w:eastAsia="en-AU"/>
        </w:rPr>
        <w:t>r</w:t>
      </w:r>
      <w:r w:rsidRPr="006E7BBC">
        <w:rPr>
          <w:rFonts w:ascii="Calibri" w:eastAsia="Times New Roman" w:hAnsi="Calibri" w:cs="Calibri"/>
          <w:i/>
          <w:iCs/>
          <w:color w:val="011A3C"/>
          <w:sz w:val="24"/>
          <w:szCs w:val="24"/>
          <w:lang w:val="en" w:eastAsia="en-AU"/>
        </w:rPr>
        <w:t xml:space="preserve">ate </w:t>
      </w:r>
      <w:r w:rsidR="00E11A4D">
        <w:rPr>
          <w:rFonts w:ascii="Calibri" w:eastAsia="Times New Roman" w:hAnsi="Calibri" w:cs="Calibri"/>
          <w:i/>
          <w:iCs/>
          <w:color w:val="011A3C"/>
          <w:sz w:val="24"/>
          <w:szCs w:val="24"/>
          <w:lang w:val="en" w:eastAsia="en-AU"/>
        </w:rPr>
        <w:t>s</w:t>
      </w:r>
      <w:r w:rsidRPr="006E7BBC">
        <w:rPr>
          <w:rFonts w:ascii="Calibri" w:eastAsia="Times New Roman" w:hAnsi="Calibri" w:cs="Calibri"/>
          <w:i/>
          <w:iCs/>
          <w:color w:val="011A3C"/>
          <w:sz w:val="24"/>
          <w:szCs w:val="24"/>
          <w:lang w:val="en" w:eastAsia="en-AU"/>
        </w:rPr>
        <w:t>chedule</w:t>
      </w:r>
    </w:p>
    <w:p w14:paraId="333EF5F1" w14:textId="1253FCA1" w:rsidR="006E7BBC" w:rsidRPr="006E7BBC" w:rsidRDefault="006E7BBC" w:rsidP="006E7BBC">
      <w:pPr>
        <w:spacing w:before="100" w:beforeAutospacing="1" w:after="0" w:afterAutospacing="1" w:line="240" w:lineRule="auto"/>
        <w:textAlignment w:val="baseline"/>
        <w:rPr>
          <w:rFonts w:ascii="Calibri" w:eastAsia="Times New Roman" w:hAnsi="Calibri" w:cs="Calibri"/>
          <w:b/>
          <w:bCs/>
          <w:color w:val="011A3C"/>
          <w:sz w:val="24"/>
          <w:szCs w:val="24"/>
          <w:lang w:val="en" w:eastAsia="en-AU"/>
        </w:rPr>
      </w:pPr>
      <w:r w:rsidRPr="006E7BBC">
        <w:rPr>
          <w:rFonts w:ascii="Calibri" w:eastAsia="Times New Roman" w:hAnsi="Calibri" w:cs="Calibri"/>
          <w:color w:val="011A3C"/>
          <w:sz w:val="24"/>
          <w:szCs w:val="24"/>
          <w:lang w:val="en" w:eastAsia="en-AU"/>
        </w:rPr>
        <w:t xml:space="preserve">The area </w:t>
      </w:r>
      <w:r w:rsidR="0078717E">
        <w:rPr>
          <w:rFonts w:ascii="Calibri" w:eastAsia="Times New Roman" w:hAnsi="Calibri" w:cs="Calibri"/>
          <w:color w:val="011A3C"/>
          <w:sz w:val="24"/>
          <w:szCs w:val="24"/>
          <w:lang w:val="en" w:eastAsia="en-AU"/>
        </w:rPr>
        <w:t>(m2)</w:t>
      </w:r>
      <w:r w:rsidRPr="006E7BBC">
        <w:rPr>
          <w:rFonts w:ascii="Calibri" w:eastAsia="Times New Roman" w:hAnsi="Calibri" w:cs="Calibri"/>
          <w:color w:val="011A3C"/>
          <w:sz w:val="24"/>
          <w:szCs w:val="24"/>
          <w:lang w:val="en" w:eastAsia="en-AU"/>
        </w:rPr>
        <w:t xml:space="preserve"> of curriculum buildings, trade training </w:t>
      </w:r>
      <w:proofErr w:type="spellStart"/>
      <w:r w:rsidRPr="006E7BBC">
        <w:rPr>
          <w:rFonts w:ascii="Calibri" w:eastAsia="Times New Roman" w:hAnsi="Calibri" w:cs="Calibri"/>
          <w:color w:val="011A3C"/>
          <w:sz w:val="24"/>
          <w:szCs w:val="24"/>
          <w:lang w:val="en" w:eastAsia="en-AU"/>
        </w:rPr>
        <w:t>centre</w:t>
      </w:r>
      <w:proofErr w:type="spellEnd"/>
      <w:r w:rsidRPr="006E7BBC">
        <w:rPr>
          <w:rFonts w:ascii="Calibri" w:eastAsia="Times New Roman" w:hAnsi="Calibri" w:cs="Calibri"/>
          <w:color w:val="011A3C"/>
          <w:sz w:val="24"/>
          <w:szCs w:val="24"/>
          <w:lang w:val="en" w:eastAsia="en-AU"/>
        </w:rPr>
        <w:t xml:space="preserve"> buildings and curriculum covered ways on a </w:t>
      </w:r>
      <w:r w:rsidR="00DC48FF" w:rsidRPr="006E7BBC">
        <w:rPr>
          <w:rFonts w:ascii="Calibri" w:eastAsia="Times New Roman" w:hAnsi="Calibri" w:cs="Calibri"/>
          <w:color w:val="011A3C"/>
          <w:sz w:val="24"/>
          <w:szCs w:val="24"/>
          <w:lang w:val="en" w:eastAsia="en-AU"/>
        </w:rPr>
        <w:t>school site</w:t>
      </w:r>
      <w:r w:rsidRPr="006E7BBC">
        <w:rPr>
          <w:rFonts w:ascii="Calibri" w:eastAsia="Times New Roman" w:hAnsi="Calibri" w:cs="Calibri"/>
          <w:color w:val="011A3C"/>
          <w:sz w:val="24"/>
          <w:szCs w:val="24"/>
          <w:lang w:val="en" w:eastAsia="en-AU"/>
        </w:rPr>
        <w:t xml:space="preserve"> are multiplied by </w:t>
      </w:r>
      <w:r w:rsidR="00797B2D">
        <w:rPr>
          <w:rFonts w:ascii="Calibri" w:eastAsia="Times New Roman" w:hAnsi="Calibri" w:cs="Calibri"/>
          <w:color w:val="011A3C"/>
          <w:sz w:val="24"/>
          <w:szCs w:val="24"/>
          <w:lang w:val="en" w:eastAsia="en-AU"/>
        </w:rPr>
        <w:t xml:space="preserve">the </w:t>
      </w:r>
      <w:r w:rsidR="00D12948">
        <w:rPr>
          <w:rFonts w:ascii="Calibri" w:eastAsia="Times New Roman" w:hAnsi="Calibri" w:cs="Calibri"/>
          <w:color w:val="011A3C"/>
          <w:sz w:val="24"/>
          <w:szCs w:val="24"/>
          <w:lang w:val="en" w:eastAsia="en-AU"/>
        </w:rPr>
        <w:t>rates o</w:t>
      </w:r>
      <w:r w:rsidR="00D770E0">
        <w:rPr>
          <w:rFonts w:ascii="Calibri" w:eastAsia="Times New Roman" w:hAnsi="Calibri" w:cs="Calibri"/>
          <w:color w:val="011A3C"/>
          <w:sz w:val="24"/>
          <w:szCs w:val="24"/>
          <w:lang w:val="en" w:eastAsia="en-AU"/>
        </w:rPr>
        <w:t xml:space="preserve">f the type of works </w:t>
      </w:r>
      <w:r w:rsidR="00B94158">
        <w:rPr>
          <w:rFonts w:ascii="Calibri" w:eastAsia="Times New Roman" w:hAnsi="Calibri" w:cs="Calibri"/>
          <w:color w:val="011A3C"/>
          <w:sz w:val="24"/>
          <w:szCs w:val="24"/>
          <w:lang w:val="en" w:eastAsia="en-AU"/>
        </w:rPr>
        <w:t xml:space="preserve">the </w:t>
      </w:r>
      <w:r w:rsidR="00D770E0">
        <w:rPr>
          <w:rFonts w:ascii="Calibri" w:eastAsia="Times New Roman" w:hAnsi="Calibri" w:cs="Calibri"/>
          <w:color w:val="011A3C"/>
          <w:sz w:val="24"/>
          <w:szCs w:val="24"/>
          <w:lang w:val="en" w:eastAsia="en-AU"/>
        </w:rPr>
        <w:t>specific asset requi</w:t>
      </w:r>
      <w:r w:rsidR="007B7F16">
        <w:rPr>
          <w:rFonts w:ascii="Calibri" w:eastAsia="Times New Roman" w:hAnsi="Calibri" w:cs="Calibri"/>
          <w:color w:val="011A3C"/>
          <w:sz w:val="24"/>
          <w:szCs w:val="24"/>
          <w:lang w:val="en" w:eastAsia="en-AU"/>
        </w:rPr>
        <w:t>res</w:t>
      </w:r>
      <w:r w:rsidRPr="006E7BBC">
        <w:rPr>
          <w:rFonts w:ascii="Calibri" w:eastAsia="Times New Roman" w:hAnsi="Calibri" w:cs="Calibri"/>
          <w:color w:val="011A3C"/>
          <w:sz w:val="24"/>
          <w:szCs w:val="24"/>
          <w:lang w:val="en" w:eastAsia="en-AU"/>
        </w:rPr>
        <w:t>. The rates, tailored by building type, are provided below.</w:t>
      </w:r>
    </w:p>
    <w:p w14:paraId="116DFDDD" w14:textId="3B0F7385" w:rsidR="006E7BBC" w:rsidRPr="006E7BBC" w:rsidRDefault="006E7BBC" w:rsidP="006E7BBC">
      <w:pPr>
        <w:spacing w:before="240" w:after="120" w:line="240" w:lineRule="auto"/>
        <w:textAlignment w:val="baseline"/>
        <w:outlineLvl w:val="2"/>
        <w:rPr>
          <w:rFonts w:ascii="Calibri" w:eastAsia="Times New Roman" w:hAnsi="Calibri" w:cs="Calibri"/>
          <w:b/>
          <w:bCs/>
          <w:color w:val="011A3C"/>
          <w:lang w:val="en" w:eastAsia="en-AU"/>
        </w:rPr>
      </w:pPr>
      <w:r w:rsidRPr="006E7BBC">
        <w:rPr>
          <w:rFonts w:ascii="Calibri" w:eastAsia="Times New Roman" w:hAnsi="Calibri" w:cs="Calibri"/>
          <w:b/>
          <w:bCs/>
          <w:color w:val="011A3C"/>
          <w:sz w:val="24"/>
          <w:szCs w:val="24"/>
          <w:lang w:val="en" w:eastAsia="en-AU"/>
        </w:rPr>
        <w:t xml:space="preserve">Building </w:t>
      </w:r>
      <w:r w:rsidR="0058702C">
        <w:rPr>
          <w:rFonts w:ascii="Calibri" w:eastAsia="Times New Roman" w:hAnsi="Calibri" w:cs="Calibri"/>
          <w:b/>
          <w:bCs/>
          <w:color w:val="011A3C"/>
          <w:sz w:val="24"/>
          <w:szCs w:val="24"/>
          <w:lang w:val="en" w:eastAsia="en-AU"/>
        </w:rPr>
        <w:t>r</w:t>
      </w:r>
      <w:r w:rsidRPr="006E7BBC">
        <w:rPr>
          <w:rFonts w:ascii="Calibri" w:eastAsia="Times New Roman" w:hAnsi="Calibri" w:cs="Calibri"/>
          <w:b/>
          <w:bCs/>
          <w:color w:val="011A3C"/>
          <w:sz w:val="24"/>
          <w:szCs w:val="24"/>
          <w:lang w:val="en" w:eastAsia="en-AU"/>
        </w:rPr>
        <w:t xml:space="preserve">ates </w:t>
      </w:r>
      <w:r w:rsidR="0058702C">
        <w:rPr>
          <w:rFonts w:ascii="Calibri" w:eastAsia="Times New Roman" w:hAnsi="Calibri" w:cs="Calibri"/>
          <w:b/>
          <w:bCs/>
          <w:color w:val="011A3C"/>
          <w:sz w:val="24"/>
          <w:szCs w:val="24"/>
          <w:lang w:val="en" w:eastAsia="en-AU"/>
        </w:rPr>
        <w:t>s</w:t>
      </w:r>
      <w:r w:rsidRPr="006E7BBC">
        <w:rPr>
          <w:rFonts w:ascii="Calibri" w:eastAsia="Times New Roman" w:hAnsi="Calibri" w:cs="Calibri"/>
          <w:b/>
          <w:bCs/>
          <w:color w:val="011A3C"/>
          <w:sz w:val="24"/>
          <w:szCs w:val="24"/>
          <w:lang w:val="en" w:eastAsia="en-AU"/>
        </w:rPr>
        <w:t>chedule 202</w:t>
      </w:r>
      <w:r w:rsidR="00225728">
        <w:rPr>
          <w:rFonts w:ascii="Calibri" w:eastAsia="Times New Roman" w:hAnsi="Calibri" w:cs="Calibri"/>
          <w:b/>
          <w:bCs/>
          <w:color w:val="011A3C"/>
          <w:sz w:val="24"/>
          <w:szCs w:val="24"/>
          <w:lang w:val="en" w:eastAsia="en-AU"/>
        </w:rPr>
        <w:t>4</w:t>
      </w:r>
      <w:r w:rsidRPr="006E7BBC">
        <w:rPr>
          <w:rFonts w:ascii="Calibri" w:eastAsia="Times New Roman" w:hAnsi="Calibri" w:cs="Calibri"/>
          <w:b/>
          <w:bCs/>
          <w:color w:val="011A3C"/>
          <w:sz w:val="24"/>
          <w:szCs w:val="24"/>
          <w:lang w:val="en" w:eastAsia="en-AU"/>
        </w:rPr>
        <w:t xml:space="preserve"> </w:t>
      </w:r>
    </w:p>
    <w:tbl>
      <w:tblPr>
        <w:tblW w:w="4950" w:type="pct"/>
        <w:tblLook w:val="04A0" w:firstRow="1" w:lastRow="0" w:firstColumn="1" w:lastColumn="0" w:noHBand="0" w:noVBand="1"/>
      </w:tblPr>
      <w:tblGrid>
        <w:gridCol w:w="3124"/>
        <w:gridCol w:w="2794"/>
        <w:gridCol w:w="2301"/>
        <w:gridCol w:w="2137"/>
      </w:tblGrid>
      <w:tr w:rsidR="006E7BBC" w:rsidRPr="006E7BBC" w14:paraId="1C69BE5A" w14:textId="77777777" w:rsidTr="004A5871">
        <w:trPr>
          <w:trHeight w:val="227"/>
        </w:trPr>
        <w:tc>
          <w:tcPr>
            <w:tcW w:w="1508" w:type="pct"/>
            <w:tcBorders>
              <w:bottom w:val="single" w:sz="4" w:space="0" w:color="auto"/>
            </w:tcBorders>
            <w:shd w:val="clear" w:color="auto" w:fill="auto"/>
            <w:noWrap/>
            <w:vAlign w:val="bottom"/>
          </w:tcPr>
          <w:p w14:paraId="43B0BC8F" w14:textId="77777777" w:rsidR="006E7BBC" w:rsidRPr="006E7BBC" w:rsidRDefault="006E7BBC" w:rsidP="006E7BBC">
            <w:pPr>
              <w:rPr>
                <w:rFonts w:ascii="Calibri" w:eastAsia="Times New Roman" w:hAnsi="Calibri" w:cs="Calibri"/>
                <w:b/>
                <w:bCs/>
                <w:sz w:val="20"/>
                <w:szCs w:val="20"/>
                <w:lang w:eastAsia="en-AU"/>
              </w:rPr>
            </w:pPr>
          </w:p>
        </w:tc>
        <w:tc>
          <w:tcPr>
            <w:tcW w:w="1349" w:type="pct"/>
            <w:tcBorders>
              <w:bottom w:val="single" w:sz="4" w:space="0" w:color="auto"/>
              <w:right w:val="single" w:sz="4" w:space="0" w:color="auto"/>
            </w:tcBorders>
            <w:shd w:val="clear" w:color="auto" w:fill="auto"/>
            <w:noWrap/>
            <w:vAlign w:val="bottom"/>
          </w:tcPr>
          <w:p w14:paraId="6E3E9968" w14:textId="77777777" w:rsidR="006E7BBC" w:rsidRPr="006E7BBC" w:rsidRDefault="006E7BBC" w:rsidP="006E7BBC">
            <w:pPr>
              <w:rPr>
                <w:rFonts w:ascii="Calibri" w:eastAsia="Times New Roman" w:hAnsi="Calibri" w:cs="Calibri"/>
                <w:b/>
                <w:bCs/>
                <w:sz w:val="20"/>
                <w:szCs w:val="20"/>
                <w:lang w:eastAsia="en-AU"/>
              </w:rPr>
            </w:pPr>
          </w:p>
        </w:tc>
        <w:tc>
          <w:tcPr>
            <w:tcW w:w="21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0145A" w14:textId="38C009BC" w:rsidR="006E7BBC" w:rsidRPr="006E7BBC" w:rsidRDefault="006E7BBC" w:rsidP="006E7BBC">
            <w:pPr>
              <w:jc w:val="center"/>
              <w:rPr>
                <w:rFonts w:ascii="Calibri" w:eastAsia="Times New Roman" w:hAnsi="Calibri" w:cs="Calibri"/>
                <w:b/>
                <w:bCs/>
                <w:sz w:val="20"/>
                <w:szCs w:val="20"/>
                <w:lang w:eastAsia="en-AU"/>
              </w:rPr>
            </w:pPr>
            <w:r w:rsidRPr="006E7BBC">
              <w:rPr>
                <w:rFonts w:ascii="Calibri" w:eastAsia="Times New Roman" w:hAnsi="Calibri" w:cs="Calibri"/>
                <w:b/>
                <w:bCs/>
                <w:sz w:val="20"/>
                <w:szCs w:val="20"/>
                <w:lang w:eastAsia="en-AU"/>
              </w:rPr>
              <w:t xml:space="preserve">Rates </w:t>
            </w:r>
            <w:r w:rsidR="0058702C">
              <w:rPr>
                <w:rFonts w:ascii="Calibri" w:eastAsia="Times New Roman" w:hAnsi="Calibri" w:cs="Calibri"/>
                <w:b/>
                <w:bCs/>
                <w:sz w:val="20"/>
                <w:szCs w:val="20"/>
                <w:lang w:eastAsia="en-AU"/>
              </w:rPr>
              <w:t>a</w:t>
            </w:r>
            <w:r w:rsidRPr="006E7BBC">
              <w:rPr>
                <w:rFonts w:ascii="Calibri" w:eastAsia="Times New Roman" w:hAnsi="Calibri" w:cs="Calibri"/>
                <w:b/>
                <w:bCs/>
                <w:sz w:val="20"/>
                <w:szCs w:val="20"/>
                <w:lang w:eastAsia="en-AU"/>
              </w:rPr>
              <w:t>pplied</w:t>
            </w:r>
          </w:p>
        </w:tc>
      </w:tr>
      <w:tr w:rsidR="006E7BBC" w:rsidRPr="006E7BBC" w14:paraId="404F465B" w14:textId="77777777" w:rsidTr="004A5871">
        <w:trPr>
          <w:trHeight w:val="227"/>
        </w:trPr>
        <w:tc>
          <w:tcPr>
            <w:tcW w:w="1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84DB3" w14:textId="3A423D0D" w:rsidR="006E7BBC" w:rsidRPr="006E7BBC" w:rsidRDefault="006E7BBC" w:rsidP="006E7BBC">
            <w:pPr>
              <w:rPr>
                <w:rFonts w:ascii="Calibri" w:eastAsia="Times New Roman" w:hAnsi="Calibri" w:cs="Calibri"/>
                <w:b/>
                <w:bCs/>
                <w:sz w:val="20"/>
                <w:szCs w:val="20"/>
                <w:lang w:eastAsia="en-AU"/>
              </w:rPr>
            </w:pPr>
            <w:r w:rsidRPr="006E7BBC">
              <w:rPr>
                <w:rFonts w:ascii="Calibri" w:eastAsia="Times New Roman" w:hAnsi="Calibri" w:cs="Calibri"/>
                <w:b/>
                <w:bCs/>
                <w:sz w:val="20"/>
                <w:szCs w:val="20"/>
                <w:lang w:eastAsia="en-AU"/>
              </w:rPr>
              <w:t xml:space="preserve">Building </w:t>
            </w:r>
            <w:r w:rsidR="0058702C">
              <w:rPr>
                <w:rFonts w:ascii="Calibri" w:eastAsia="Times New Roman" w:hAnsi="Calibri" w:cs="Calibri"/>
                <w:b/>
                <w:bCs/>
                <w:sz w:val="20"/>
                <w:szCs w:val="20"/>
                <w:lang w:eastAsia="en-AU"/>
              </w:rPr>
              <w:t>u</w:t>
            </w:r>
            <w:r w:rsidRPr="006E7BBC">
              <w:rPr>
                <w:rFonts w:ascii="Calibri" w:eastAsia="Times New Roman" w:hAnsi="Calibri" w:cs="Calibri"/>
                <w:b/>
                <w:bCs/>
                <w:sz w:val="20"/>
                <w:szCs w:val="20"/>
                <w:lang w:eastAsia="en-AU"/>
              </w:rPr>
              <w:t>se</w:t>
            </w:r>
          </w:p>
        </w:tc>
        <w:tc>
          <w:tcPr>
            <w:tcW w:w="13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99F0B" w14:textId="1A2CE7B4" w:rsidR="006E7BBC" w:rsidRPr="006E7BBC" w:rsidRDefault="006E7BBC" w:rsidP="006E7BBC">
            <w:pPr>
              <w:rPr>
                <w:rFonts w:ascii="Calibri" w:eastAsia="Times New Roman" w:hAnsi="Calibri" w:cs="Calibri"/>
                <w:b/>
                <w:bCs/>
                <w:sz w:val="20"/>
                <w:szCs w:val="20"/>
                <w:lang w:eastAsia="en-AU"/>
              </w:rPr>
            </w:pPr>
            <w:r w:rsidRPr="006E7BBC">
              <w:rPr>
                <w:rFonts w:ascii="Calibri" w:eastAsia="Times New Roman" w:hAnsi="Calibri" w:cs="Calibri"/>
                <w:b/>
                <w:bCs/>
                <w:sz w:val="20"/>
                <w:szCs w:val="20"/>
                <w:lang w:eastAsia="en-AU"/>
              </w:rPr>
              <w:t xml:space="preserve">Building </w:t>
            </w:r>
            <w:r w:rsidR="0058702C">
              <w:rPr>
                <w:rFonts w:ascii="Calibri" w:eastAsia="Times New Roman" w:hAnsi="Calibri" w:cs="Calibri"/>
                <w:b/>
                <w:bCs/>
                <w:sz w:val="20"/>
                <w:szCs w:val="20"/>
                <w:lang w:eastAsia="en-AU"/>
              </w:rPr>
              <w:t>f</w:t>
            </w:r>
            <w:r w:rsidRPr="006E7BBC">
              <w:rPr>
                <w:rFonts w:ascii="Calibri" w:eastAsia="Times New Roman" w:hAnsi="Calibri" w:cs="Calibri"/>
                <w:b/>
                <w:bCs/>
                <w:sz w:val="20"/>
                <w:szCs w:val="20"/>
                <w:lang w:eastAsia="en-AU"/>
              </w:rPr>
              <w:t>unction</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46A77317" w14:textId="77777777" w:rsidR="006E7BBC" w:rsidRPr="006E7BBC" w:rsidRDefault="006E7BBC" w:rsidP="006E7BBC">
            <w:pPr>
              <w:jc w:val="center"/>
              <w:rPr>
                <w:rFonts w:ascii="Calibri" w:eastAsia="Times New Roman" w:hAnsi="Calibri" w:cs="Calibri"/>
                <w:b/>
                <w:bCs/>
                <w:sz w:val="20"/>
                <w:szCs w:val="20"/>
                <w:lang w:eastAsia="en-AU"/>
              </w:rPr>
            </w:pPr>
            <w:r w:rsidRPr="006E7BBC">
              <w:rPr>
                <w:rFonts w:ascii="Calibri" w:eastAsia="Times New Roman" w:hAnsi="Calibri" w:cs="Calibri"/>
                <w:b/>
                <w:bCs/>
                <w:sz w:val="20"/>
                <w:szCs w:val="20"/>
                <w:lang w:eastAsia="en-AU"/>
              </w:rPr>
              <w:t>Permanent</w:t>
            </w:r>
          </w:p>
        </w:tc>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70A35" w14:textId="77777777" w:rsidR="006E7BBC" w:rsidRPr="006E7BBC" w:rsidRDefault="006E7BBC" w:rsidP="006E7BBC">
            <w:pPr>
              <w:jc w:val="center"/>
              <w:rPr>
                <w:rFonts w:ascii="Calibri" w:eastAsia="Times New Roman" w:hAnsi="Calibri" w:cs="Calibri"/>
                <w:b/>
                <w:bCs/>
                <w:sz w:val="20"/>
                <w:szCs w:val="20"/>
                <w:lang w:eastAsia="en-AU"/>
              </w:rPr>
            </w:pPr>
            <w:r w:rsidRPr="006E7BBC">
              <w:rPr>
                <w:rFonts w:ascii="Calibri" w:eastAsia="Times New Roman" w:hAnsi="Calibri" w:cs="Calibri"/>
                <w:b/>
                <w:bCs/>
                <w:sz w:val="20"/>
                <w:szCs w:val="20"/>
                <w:lang w:eastAsia="en-AU"/>
              </w:rPr>
              <w:t>Relocatable</w:t>
            </w:r>
          </w:p>
        </w:tc>
      </w:tr>
      <w:tr w:rsidR="006E7BBC" w:rsidRPr="006E7BBC" w14:paraId="42CC7598" w14:textId="77777777" w:rsidTr="004A5871">
        <w:trPr>
          <w:trHeight w:val="227"/>
        </w:trPr>
        <w:tc>
          <w:tcPr>
            <w:tcW w:w="1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AE641" w14:textId="0E240129" w:rsidR="006E7BBC" w:rsidRPr="006E7BBC" w:rsidRDefault="007A588C" w:rsidP="006E7BBC">
            <w:pPr>
              <w:rPr>
                <w:rFonts w:ascii="Calibri" w:eastAsia="Times New Roman" w:hAnsi="Calibri" w:cs="Calibri"/>
                <w:color w:val="000000"/>
                <w:sz w:val="20"/>
                <w:szCs w:val="20"/>
                <w:lang w:eastAsia="en-AU"/>
              </w:rPr>
            </w:pPr>
            <w:r w:rsidRPr="006E7BBC">
              <w:rPr>
                <w:rFonts w:ascii="Calibri" w:eastAsia="Times New Roman" w:hAnsi="Calibri" w:cs="Calibri"/>
                <w:color w:val="000000"/>
                <w:sz w:val="20"/>
                <w:szCs w:val="20"/>
                <w:lang w:eastAsia="en-AU"/>
              </w:rPr>
              <w:t>Building</w:t>
            </w:r>
          </w:p>
        </w:tc>
        <w:tc>
          <w:tcPr>
            <w:tcW w:w="13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0133F" w14:textId="2E1BCB9F" w:rsidR="006E7BBC" w:rsidRPr="006E7BBC" w:rsidRDefault="007A588C" w:rsidP="006E7BBC">
            <w:pPr>
              <w:rPr>
                <w:rFonts w:ascii="Calibri" w:eastAsia="Times New Roman" w:hAnsi="Calibri" w:cs="Calibri"/>
                <w:color w:val="000000"/>
                <w:sz w:val="20"/>
                <w:szCs w:val="20"/>
                <w:lang w:eastAsia="en-AU"/>
              </w:rPr>
            </w:pPr>
            <w:r w:rsidRPr="006E7BBC">
              <w:rPr>
                <w:rFonts w:ascii="Calibri" w:eastAsia="Times New Roman" w:hAnsi="Calibri" w:cs="Calibri"/>
                <w:color w:val="000000"/>
                <w:sz w:val="20"/>
                <w:szCs w:val="20"/>
                <w:lang w:eastAsia="en-AU"/>
              </w:rPr>
              <w:t>Curriculum</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069F243E" w14:textId="5ACF96A6" w:rsidR="006E7BBC" w:rsidRPr="006E7BBC" w:rsidRDefault="006E7BBC" w:rsidP="006E7BBC">
            <w:pPr>
              <w:jc w:val="right"/>
              <w:rPr>
                <w:rFonts w:ascii="Calibri" w:eastAsia="Times New Roman" w:hAnsi="Calibri" w:cs="Calibri"/>
                <w:color w:val="000000"/>
                <w:sz w:val="20"/>
                <w:szCs w:val="20"/>
                <w:lang w:eastAsia="en-AU"/>
              </w:rPr>
            </w:pPr>
            <w:r w:rsidRPr="006E7BBC">
              <w:rPr>
                <w:rFonts w:ascii="Calibri" w:eastAsia="Times New Roman" w:hAnsi="Calibri" w:cs="Calibri"/>
                <w:color w:val="000000"/>
                <w:sz w:val="20"/>
                <w:szCs w:val="20"/>
                <w:lang w:eastAsia="en-AU"/>
              </w:rPr>
              <w:t>$</w:t>
            </w:r>
            <w:r w:rsidR="001E1A7E">
              <w:rPr>
                <w:rFonts w:ascii="Calibri" w:eastAsia="Times New Roman" w:hAnsi="Calibri" w:cs="Calibri"/>
                <w:color w:val="000000"/>
                <w:sz w:val="20"/>
                <w:szCs w:val="20"/>
                <w:lang w:eastAsia="en-AU"/>
              </w:rPr>
              <w:t>31.37</w:t>
            </w:r>
          </w:p>
        </w:tc>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E1586" w14:textId="68D33645" w:rsidR="006E7BBC" w:rsidRPr="006E7BBC" w:rsidRDefault="006E7BBC" w:rsidP="006E7BBC">
            <w:pPr>
              <w:jc w:val="right"/>
              <w:rPr>
                <w:rFonts w:ascii="Calibri" w:eastAsia="Times New Roman" w:hAnsi="Calibri" w:cs="Calibri"/>
                <w:color w:val="000000"/>
                <w:sz w:val="20"/>
                <w:szCs w:val="20"/>
                <w:lang w:eastAsia="en-AU"/>
              </w:rPr>
            </w:pPr>
            <w:r w:rsidRPr="006E7BBC">
              <w:rPr>
                <w:rFonts w:ascii="Calibri" w:eastAsia="Times New Roman" w:hAnsi="Calibri" w:cs="Calibri"/>
                <w:color w:val="000000"/>
                <w:sz w:val="20"/>
                <w:szCs w:val="20"/>
                <w:lang w:eastAsia="en-AU"/>
              </w:rPr>
              <w:t>$</w:t>
            </w:r>
            <w:r w:rsidR="00FE36FD">
              <w:rPr>
                <w:rFonts w:ascii="Calibri" w:eastAsia="Times New Roman" w:hAnsi="Calibri" w:cs="Calibri"/>
                <w:color w:val="000000"/>
                <w:sz w:val="20"/>
                <w:szCs w:val="20"/>
                <w:lang w:eastAsia="en-AU"/>
              </w:rPr>
              <w:t>41.58</w:t>
            </w:r>
          </w:p>
        </w:tc>
      </w:tr>
      <w:tr w:rsidR="006E7BBC" w:rsidRPr="006E7BBC" w14:paraId="6557D13F" w14:textId="77777777" w:rsidTr="004A5871">
        <w:trPr>
          <w:trHeight w:val="227"/>
        </w:trPr>
        <w:tc>
          <w:tcPr>
            <w:tcW w:w="1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81FBC" w14:textId="13A8A638" w:rsidR="006E7BBC" w:rsidRPr="006E7BBC" w:rsidRDefault="007A588C" w:rsidP="006E7BBC">
            <w:pPr>
              <w:rPr>
                <w:rFonts w:ascii="Calibri" w:eastAsia="Times New Roman" w:hAnsi="Calibri" w:cs="Calibri"/>
                <w:color w:val="000000"/>
                <w:sz w:val="20"/>
                <w:szCs w:val="20"/>
                <w:lang w:eastAsia="en-AU"/>
              </w:rPr>
            </w:pPr>
            <w:r w:rsidRPr="006E7BBC">
              <w:rPr>
                <w:rFonts w:ascii="Calibri" w:eastAsia="Times New Roman" w:hAnsi="Calibri" w:cs="Calibri"/>
                <w:color w:val="000000"/>
                <w:sz w:val="20"/>
                <w:szCs w:val="20"/>
                <w:lang w:eastAsia="en-AU"/>
              </w:rPr>
              <w:t>Building</w:t>
            </w:r>
          </w:p>
        </w:tc>
        <w:tc>
          <w:tcPr>
            <w:tcW w:w="13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64F21" w14:textId="106F3DF7" w:rsidR="006E7BBC" w:rsidRPr="006E7BBC" w:rsidRDefault="007A588C" w:rsidP="006E7BBC">
            <w:pPr>
              <w:rPr>
                <w:rFonts w:ascii="Calibri" w:eastAsia="Times New Roman" w:hAnsi="Calibri" w:cs="Calibri"/>
                <w:color w:val="000000"/>
                <w:sz w:val="20"/>
                <w:szCs w:val="20"/>
                <w:lang w:eastAsia="en-AU"/>
              </w:rPr>
            </w:pPr>
            <w:r w:rsidRPr="006E7BBC">
              <w:rPr>
                <w:rFonts w:ascii="Calibri" w:eastAsia="Times New Roman" w:hAnsi="Calibri" w:cs="Calibri"/>
                <w:color w:val="000000"/>
                <w:sz w:val="20"/>
                <w:szCs w:val="20"/>
                <w:lang w:eastAsia="en-AU"/>
              </w:rPr>
              <w:t>Trade</w:t>
            </w:r>
            <w:r>
              <w:rPr>
                <w:rFonts w:ascii="Calibri" w:eastAsia="Times New Roman" w:hAnsi="Calibri" w:cs="Calibri"/>
                <w:color w:val="000000"/>
                <w:sz w:val="20"/>
                <w:szCs w:val="20"/>
                <w:lang w:eastAsia="en-AU"/>
              </w:rPr>
              <w:t>/</w:t>
            </w:r>
            <w:r w:rsidRPr="006E7BBC">
              <w:rPr>
                <w:rFonts w:ascii="Calibri" w:eastAsia="Times New Roman" w:hAnsi="Calibri" w:cs="Calibri"/>
                <w:color w:val="000000"/>
                <w:sz w:val="20"/>
                <w:szCs w:val="20"/>
                <w:lang w:eastAsia="en-AU"/>
              </w:rPr>
              <w:t>Train</w:t>
            </w:r>
            <w:r>
              <w:rPr>
                <w:rFonts w:ascii="Calibri" w:eastAsia="Times New Roman" w:hAnsi="Calibri" w:cs="Calibri"/>
                <w:color w:val="000000"/>
                <w:sz w:val="20"/>
                <w:szCs w:val="20"/>
                <w:lang w:eastAsia="en-AU"/>
              </w:rPr>
              <w:t xml:space="preserve">ing </w:t>
            </w:r>
            <w:r w:rsidRPr="006E7BBC">
              <w:rPr>
                <w:rFonts w:ascii="Calibri" w:eastAsia="Times New Roman" w:hAnsi="Calibri" w:cs="Calibri"/>
                <w:color w:val="000000"/>
                <w:sz w:val="20"/>
                <w:szCs w:val="20"/>
                <w:lang w:eastAsia="en-AU"/>
              </w:rPr>
              <w:t>Centre</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05C68B0B" w14:textId="09D5D85A" w:rsidR="006E7BBC" w:rsidRPr="006E7BBC" w:rsidRDefault="006E7BBC" w:rsidP="006E7BBC">
            <w:pPr>
              <w:jc w:val="right"/>
              <w:rPr>
                <w:rFonts w:ascii="Calibri" w:eastAsia="Times New Roman" w:hAnsi="Calibri" w:cs="Calibri"/>
                <w:color w:val="000000"/>
                <w:sz w:val="20"/>
                <w:szCs w:val="20"/>
                <w:lang w:eastAsia="en-AU"/>
              </w:rPr>
            </w:pPr>
            <w:r w:rsidRPr="006E7BBC">
              <w:rPr>
                <w:rFonts w:ascii="Calibri" w:eastAsia="Times New Roman" w:hAnsi="Calibri" w:cs="Calibri"/>
                <w:color w:val="000000"/>
                <w:sz w:val="20"/>
                <w:szCs w:val="20"/>
                <w:lang w:eastAsia="en-AU"/>
              </w:rPr>
              <w:t>$</w:t>
            </w:r>
            <w:r w:rsidR="00FE36FD">
              <w:rPr>
                <w:rFonts w:ascii="Calibri" w:eastAsia="Times New Roman" w:hAnsi="Calibri" w:cs="Calibri"/>
                <w:color w:val="000000"/>
                <w:sz w:val="20"/>
                <w:szCs w:val="20"/>
                <w:lang w:eastAsia="en-AU"/>
              </w:rPr>
              <w:t>31.37</w:t>
            </w:r>
          </w:p>
        </w:tc>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0E7C2" w14:textId="77777777" w:rsidR="006E7BBC" w:rsidRPr="006E7BBC" w:rsidRDefault="006E7BBC" w:rsidP="006E7BBC">
            <w:pPr>
              <w:jc w:val="right"/>
              <w:rPr>
                <w:rFonts w:ascii="Calibri" w:eastAsia="Times New Roman" w:hAnsi="Calibri" w:cs="Calibri"/>
                <w:color w:val="000000"/>
                <w:sz w:val="20"/>
                <w:szCs w:val="20"/>
                <w:lang w:eastAsia="en-AU"/>
              </w:rPr>
            </w:pPr>
            <w:r w:rsidRPr="006E7BBC">
              <w:rPr>
                <w:rFonts w:ascii="Calibri" w:eastAsia="Times New Roman" w:hAnsi="Calibri" w:cs="Calibri"/>
                <w:color w:val="000000"/>
                <w:sz w:val="20"/>
                <w:szCs w:val="20"/>
                <w:lang w:eastAsia="en-AU"/>
              </w:rPr>
              <w:t>N/A</w:t>
            </w:r>
          </w:p>
        </w:tc>
      </w:tr>
      <w:tr w:rsidR="006E7BBC" w:rsidRPr="006E7BBC" w14:paraId="33809B93" w14:textId="77777777" w:rsidTr="004A5871">
        <w:trPr>
          <w:trHeight w:val="227"/>
        </w:trPr>
        <w:tc>
          <w:tcPr>
            <w:tcW w:w="1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33A92" w14:textId="57DA295D" w:rsidR="006E7BBC" w:rsidRPr="006E7BBC" w:rsidRDefault="007A588C" w:rsidP="006E7BBC">
            <w:pPr>
              <w:rPr>
                <w:rFonts w:ascii="Calibri" w:eastAsia="Times New Roman" w:hAnsi="Calibri" w:cs="Calibri"/>
                <w:color w:val="000000"/>
                <w:sz w:val="20"/>
                <w:szCs w:val="20"/>
                <w:lang w:eastAsia="en-AU"/>
              </w:rPr>
            </w:pPr>
            <w:r w:rsidRPr="006E7BBC">
              <w:rPr>
                <w:rFonts w:ascii="Calibri" w:eastAsia="Times New Roman" w:hAnsi="Calibri" w:cs="Calibri"/>
                <w:color w:val="000000"/>
                <w:sz w:val="20"/>
                <w:szCs w:val="20"/>
                <w:lang w:eastAsia="en-AU"/>
              </w:rPr>
              <w:t>Covered</w:t>
            </w:r>
            <w:r w:rsidR="00E11A4D">
              <w:rPr>
                <w:rFonts w:ascii="Calibri" w:eastAsia="Times New Roman" w:hAnsi="Calibri" w:cs="Calibri"/>
                <w:color w:val="000000"/>
                <w:sz w:val="20"/>
                <w:szCs w:val="20"/>
                <w:lang w:eastAsia="en-AU"/>
              </w:rPr>
              <w:t xml:space="preserve"> </w:t>
            </w:r>
            <w:r w:rsidRPr="006E7BBC">
              <w:rPr>
                <w:rFonts w:ascii="Calibri" w:eastAsia="Times New Roman" w:hAnsi="Calibri" w:cs="Calibri"/>
                <w:color w:val="000000"/>
                <w:sz w:val="20"/>
                <w:szCs w:val="20"/>
                <w:lang w:eastAsia="en-AU"/>
              </w:rPr>
              <w:t>way-</w:t>
            </w:r>
            <w:r>
              <w:rPr>
                <w:rFonts w:ascii="Calibri" w:eastAsia="Times New Roman" w:hAnsi="Calibri" w:cs="Calibri"/>
                <w:color w:val="000000"/>
                <w:sz w:val="20"/>
                <w:szCs w:val="20"/>
                <w:lang w:eastAsia="en-AU"/>
              </w:rPr>
              <w:t>o</w:t>
            </w:r>
            <w:r w:rsidRPr="006E7BBC">
              <w:rPr>
                <w:rFonts w:ascii="Calibri" w:eastAsia="Times New Roman" w:hAnsi="Calibri" w:cs="Calibri"/>
                <w:color w:val="000000"/>
                <w:sz w:val="20"/>
                <w:szCs w:val="20"/>
                <w:lang w:eastAsia="en-AU"/>
              </w:rPr>
              <w:t>pen</w:t>
            </w:r>
          </w:p>
        </w:tc>
        <w:tc>
          <w:tcPr>
            <w:tcW w:w="13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AE755" w14:textId="74C8D3DF" w:rsidR="006E7BBC" w:rsidRPr="006E7BBC" w:rsidRDefault="007A588C" w:rsidP="006E7BBC">
            <w:pPr>
              <w:rPr>
                <w:rFonts w:ascii="Calibri" w:eastAsia="Times New Roman" w:hAnsi="Calibri" w:cs="Calibri"/>
                <w:color w:val="000000"/>
                <w:sz w:val="20"/>
                <w:szCs w:val="20"/>
                <w:lang w:eastAsia="en-AU"/>
              </w:rPr>
            </w:pPr>
            <w:r w:rsidRPr="006E7BBC">
              <w:rPr>
                <w:rFonts w:ascii="Calibri" w:eastAsia="Times New Roman" w:hAnsi="Calibri" w:cs="Calibri"/>
                <w:color w:val="000000"/>
                <w:sz w:val="20"/>
                <w:szCs w:val="20"/>
                <w:lang w:eastAsia="en-AU"/>
              </w:rPr>
              <w:t>Curriculum</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29B957C3" w14:textId="6BD99BA8" w:rsidR="006E7BBC" w:rsidRPr="006E7BBC" w:rsidRDefault="006E7BBC" w:rsidP="006E7BBC">
            <w:pPr>
              <w:jc w:val="right"/>
              <w:rPr>
                <w:rFonts w:ascii="Calibri" w:eastAsia="Times New Roman" w:hAnsi="Calibri" w:cs="Calibri"/>
                <w:color w:val="000000"/>
                <w:sz w:val="20"/>
                <w:szCs w:val="20"/>
                <w:lang w:eastAsia="en-AU"/>
              </w:rPr>
            </w:pPr>
            <w:r w:rsidRPr="006E7BBC">
              <w:rPr>
                <w:rFonts w:ascii="Calibri" w:eastAsia="Times New Roman" w:hAnsi="Calibri" w:cs="Calibri"/>
                <w:color w:val="000000"/>
                <w:sz w:val="20"/>
                <w:szCs w:val="20"/>
                <w:lang w:eastAsia="en-AU"/>
              </w:rPr>
              <w:t>$</w:t>
            </w:r>
            <w:r w:rsidR="00FE36FD">
              <w:rPr>
                <w:rFonts w:ascii="Calibri" w:eastAsia="Times New Roman" w:hAnsi="Calibri" w:cs="Calibri"/>
                <w:color w:val="000000"/>
                <w:sz w:val="20"/>
                <w:szCs w:val="20"/>
                <w:lang w:eastAsia="en-AU"/>
              </w:rPr>
              <w:t>4.29</w:t>
            </w:r>
          </w:p>
        </w:tc>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889F0" w14:textId="16356742" w:rsidR="006E7BBC" w:rsidRPr="006E7BBC" w:rsidRDefault="006E7BBC" w:rsidP="006E7BBC">
            <w:pPr>
              <w:jc w:val="right"/>
              <w:rPr>
                <w:rFonts w:ascii="Calibri" w:eastAsia="Times New Roman" w:hAnsi="Calibri" w:cs="Calibri"/>
                <w:color w:val="000000"/>
                <w:sz w:val="20"/>
                <w:szCs w:val="20"/>
                <w:lang w:eastAsia="en-AU"/>
              </w:rPr>
            </w:pPr>
            <w:r w:rsidRPr="006E7BBC">
              <w:rPr>
                <w:rFonts w:ascii="Calibri" w:eastAsia="Times New Roman" w:hAnsi="Calibri" w:cs="Calibri"/>
                <w:color w:val="000000"/>
                <w:sz w:val="20"/>
                <w:szCs w:val="20"/>
                <w:lang w:eastAsia="en-AU"/>
              </w:rPr>
              <w:t>$</w:t>
            </w:r>
            <w:r w:rsidR="00FE36FD">
              <w:rPr>
                <w:rFonts w:ascii="Calibri" w:eastAsia="Times New Roman" w:hAnsi="Calibri" w:cs="Calibri"/>
                <w:color w:val="000000"/>
                <w:sz w:val="20"/>
                <w:szCs w:val="20"/>
                <w:lang w:eastAsia="en-AU"/>
              </w:rPr>
              <w:t>4.29</w:t>
            </w:r>
          </w:p>
        </w:tc>
      </w:tr>
    </w:tbl>
    <w:p w14:paraId="67DD12A5" w14:textId="77777777" w:rsidR="006E7BBC" w:rsidRPr="00950CBB" w:rsidRDefault="006E7BBC" w:rsidP="00950CBB">
      <w:pPr>
        <w:spacing w:before="240" w:after="120" w:line="240" w:lineRule="auto"/>
        <w:textAlignment w:val="baseline"/>
        <w:outlineLvl w:val="2"/>
        <w:rPr>
          <w:b/>
          <w:color w:val="011A3C"/>
          <w:lang w:val="en"/>
        </w:rPr>
      </w:pPr>
      <w:r w:rsidRPr="00950CBB">
        <w:rPr>
          <w:rFonts w:ascii="Calibri" w:hAnsi="Calibri"/>
          <w:b/>
          <w:color w:val="011A3C"/>
          <w:sz w:val="24"/>
          <w:lang w:val="en"/>
        </w:rPr>
        <w:t>Step 2: Modifiers</w:t>
      </w:r>
      <w:r w:rsidRPr="006E7BBC">
        <w:rPr>
          <w:rFonts w:ascii="Calibri" w:eastAsia="Times New Roman" w:hAnsi="Calibri" w:cs="Calibri"/>
          <w:b/>
          <w:bCs/>
          <w:color w:val="011A3C"/>
          <w:sz w:val="24"/>
          <w:szCs w:val="24"/>
          <w:lang w:val="en" w:eastAsia="en-AU"/>
        </w:rPr>
        <w:t> applied</w:t>
      </w:r>
    </w:p>
    <w:p w14:paraId="27211F48" w14:textId="6C4A57DB" w:rsidR="006E7BBC" w:rsidRPr="006E7BBC" w:rsidRDefault="006E7BBC" w:rsidP="006E7BBC">
      <w:pPr>
        <w:spacing w:before="120" w:after="120"/>
        <w:rPr>
          <w:rFonts w:ascii="Calibri" w:hAnsi="Calibri" w:cs="Calibri"/>
          <w:i/>
          <w:iCs/>
          <w:color w:val="011A3C"/>
          <w:sz w:val="24"/>
          <w:szCs w:val="24"/>
        </w:rPr>
      </w:pPr>
      <w:r w:rsidRPr="006E7BBC">
        <w:rPr>
          <w:rFonts w:ascii="Calibri" w:hAnsi="Calibri" w:cs="Calibri"/>
          <w:b/>
          <w:bCs/>
          <w:i/>
          <w:iCs/>
          <w:color w:val="011A3C"/>
          <w:sz w:val="24"/>
          <w:szCs w:val="24"/>
          <w:lang w:val="en"/>
        </w:rPr>
        <w:t xml:space="preserve">Modified </w:t>
      </w:r>
      <w:r w:rsidR="00E11A4D">
        <w:rPr>
          <w:rFonts w:ascii="Calibri" w:hAnsi="Calibri" w:cs="Calibri"/>
          <w:b/>
          <w:bCs/>
          <w:i/>
          <w:iCs/>
          <w:color w:val="011A3C"/>
          <w:sz w:val="24"/>
          <w:szCs w:val="24"/>
          <w:lang w:val="en"/>
        </w:rPr>
        <w:t>c</w:t>
      </w:r>
      <w:r w:rsidRPr="006E7BBC">
        <w:rPr>
          <w:rFonts w:ascii="Calibri" w:hAnsi="Calibri" w:cs="Calibri"/>
          <w:b/>
          <w:bCs/>
          <w:i/>
          <w:iCs/>
          <w:color w:val="011A3C"/>
          <w:sz w:val="24"/>
          <w:szCs w:val="24"/>
          <w:lang w:val="en"/>
        </w:rPr>
        <w:t xml:space="preserve">ampus </w:t>
      </w:r>
      <w:r w:rsidR="00E11A4D">
        <w:rPr>
          <w:rFonts w:ascii="Calibri" w:hAnsi="Calibri" w:cs="Calibri"/>
          <w:b/>
          <w:bCs/>
          <w:i/>
          <w:iCs/>
          <w:color w:val="011A3C"/>
          <w:sz w:val="24"/>
          <w:szCs w:val="24"/>
          <w:lang w:val="en"/>
        </w:rPr>
        <w:t>a</w:t>
      </w:r>
      <w:r w:rsidRPr="006E7BBC">
        <w:rPr>
          <w:rFonts w:ascii="Calibri" w:hAnsi="Calibri" w:cs="Calibri"/>
          <w:b/>
          <w:bCs/>
          <w:i/>
          <w:iCs/>
          <w:color w:val="011A3C"/>
          <w:sz w:val="24"/>
          <w:szCs w:val="24"/>
          <w:lang w:val="en"/>
        </w:rPr>
        <w:t>llocation =</w:t>
      </w:r>
      <w:r w:rsidRPr="006E7BBC">
        <w:rPr>
          <w:rFonts w:ascii="Calibri" w:hAnsi="Calibri" w:cs="Calibri"/>
          <w:i/>
          <w:iCs/>
          <w:color w:val="011A3C"/>
          <w:sz w:val="24"/>
          <w:szCs w:val="24"/>
          <w:lang w:val="en"/>
        </w:rPr>
        <w:t xml:space="preserve"> Initial </w:t>
      </w:r>
      <w:r w:rsidR="00E11A4D">
        <w:rPr>
          <w:rFonts w:ascii="Calibri" w:hAnsi="Calibri" w:cs="Calibri"/>
          <w:i/>
          <w:iCs/>
          <w:color w:val="011A3C"/>
          <w:sz w:val="24"/>
          <w:szCs w:val="24"/>
          <w:lang w:val="en"/>
        </w:rPr>
        <w:t>c</w:t>
      </w:r>
      <w:r w:rsidRPr="006E7BBC">
        <w:rPr>
          <w:rFonts w:ascii="Calibri" w:hAnsi="Calibri" w:cs="Calibri"/>
          <w:i/>
          <w:iCs/>
          <w:color w:val="011A3C"/>
          <w:sz w:val="24"/>
          <w:szCs w:val="24"/>
          <w:lang w:val="en"/>
        </w:rPr>
        <w:t xml:space="preserve">ampus </w:t>
      </w:r>
      <w:r w:rsidR="00E11A4D">
        <w:rPr>
          <w:rFonts w:ascii="Calibri" w:hAnsi="Calibri" w:cs="Calibri"/>
          <w:i/>
          <w:iCs/>
          <w:color w:val="011A3C"/>
          <w:sz w:val="24"/>
          <w:szCs w:val="24"/>
          <w:lang w:val="en"/>
        </w:rPr>
        <w:t>a</w:t>
      </w:r>
      <w:r w:rsidRPr="006E7BBC">
        <w:rPr>
          <w:rFonts w:ascii="Calibri" w:hAnsi="Calibri" w:cs="Calibri"/>
          <w:i/>
          <w:iCs/>
          <w:color w:val="011A3C"/>
          <w:sz w:val="24"/>
          <w:szCs w:val="24"/>
          <w:lang w:val="en"/>
        </w:rPr>
        <w:t xml:space="preserve">llocation + Applicable </w:t>
      </w:r>
      <w:r w:rsidR="00E11A4D">
        <w:rPr>
          <w:rFonts w:ascii="Calibri" w:hAnsi="Calibri" w:cs="Calibri"/>
          <w:i/>
          <w:iCs/>
          <w:color w:val="011A3C"/>
          <w:sz w:val="24"/>
          <w:szCs w:val="24"/>
          <w:lang w:val="en"/>
        </w:rPr>
        <w:t>m</w:t>
      </w:r>
      <w:r w:rsidRPr="006E7BBC">
        <w:rPr>
          <w:rFonts w:ascii="Calibri" w:hAnsi="Calibri" w:cs="Calibri"/>
          <w:i/>
          <w:iCs/>
          <w:color w:val="011A3C"/>
          <w:sz w:val="24"/>
          <w:szCs w:val="24"/>
          <w:lang w:val="en"/>
        </w:rPr>
        <w:t>odifiers (% or $)</w:t>
      </w:r>
    </w:p>
    <w:p w14:paraId="3CB9D0BE" w14:textId="3C7091E7" w:rsidR="006E7BBC" w:rsidRPr="00950CBB" w:rsidRDefault="006E7BBC" w:rsidP="00950CBB">
      <w:pPr>
        <w:spacing w:after="0" w:line="240" w:lineRule="auto"/>
        <w:textAlignment w:val="baseline"/>
        <w:rPr>
          <w:rFonts w:ascii="Calibri" w:hAnsi="Calibri"/>
          <w:color w:val="011A3C"/>
          <w:sz w:val="24"/>
        </w:rPr>
      </w:pPr>
      <w:r w:rsidRPr="006E7BBC">
        <w:rPr>
          <w:rFonts w:ascii="Calibri" w:eastAsia="Times New Roman" w:hAnsi="Calibri" w:cs="Calibri"/>
          <w:color w:val="011A3C"/>
          <w:sz w:val="24"/>
          <w:szCs w:val="24"/>
          <w:lang w:val="en" w:eastAsia="en-AU"/>
        </w:rPr>
        <w:t>Cost</w:t>
      </w:r>
      <w:r w:rsidRPr="00950CBB">
        <w:rPr>
          <w:rFonts w:ascii="Calibri" w:hAnsi="Calibri"/>
          <w:color w:val="011A3C"/>
          <w:sz w:val="24"/>
          <w:lang w:val="en"/>
        </w:rPr>
        <w:t xml:space="preserve"> modifiers </w:t>
      </w:r>
      <w:r w:rsidRPr="006E7BBC">
        <w:rPr>
          <w:rFonts w:ascii="Calibri" w:eastAsia="Times New Roman" w:hAnsi="Calibri" w:cs="Calibri"/>
          <w:color w:val="011A3C"/>
          <w:sz w:val="24"/>
          <w:szCs w:val="24"/>
          <w:lang w:val="en" w:eastAsia="en-AU"/>
        </w:rPr>
        <w:t>are</w:t>
      </w:r>
      <w:r w:rsidRPr="00950CBB">
        <w:rPr>
          <w:rFonts w:ascii="Calibri" w:hAnsi="Calibri"/>
          <w:color w:val="011A3C"/>
          <w:sz w:val="24"/>
          <w:lang w:val="en"/>
        </w:rPr>
        <w:t xml:space="preserve"> then applied to the </w:t>
      </w:r>
      <w:r w:rsidRPr="00950CBB">
        <w:rPr>
          <w:rFonts w:ascii="Times New Roman" w:hAnsi="Times New Roman"/>
          <w:sz w:val="24"/>
        </w:rPr>
        <w:t>maintenance</w:t>
      </w:r>
      <w:r w:rsidRPr="00950CBB">
        <w:rPr>
          <w:rFonts w:ascii="Calibri" w:hAnsi="Calibri"/>
          <w:color w:val="011A3C"/>
          <w:sz w:val="24"/>
          <w:lang w:val="en"/>
        </w:rPr>
        <w:t xml:space="preserve"> rates developed in Step 1. These modifiers reflect specific conditions of a building or site which increase the cost of </w:t>
      </w:r>
      <w:r w:rsidRPr="00950CBB">
        <w:rPr>
          <w:rFonts w:ascii="Times New Roman" w:hAnsi="Times New Roman"/>
          <w:sz w:val="24"/>
        </w:rPr>
        <w:t>maintenance</w:t>
      </w:r>
      <w:r w:rsidRPr="00950CBB">
        <w:rPr>
          <w:rFonts w:ascii="Calibri" w:hAnsi="Calibri"/>
          <w:color w:val="011A3C"/>
          <w:sz w:val="24"/>
          <w:lang w:val="en"/>
        </w:rPr>
        <w:t>.</w:t>
      </w:r>
      <w:r w:rsidRPr="006E7BBC">
        <w:rPr>
          <w:rFonts w:ascii="Calibri" w:eastAsia="Times New Roman" w:hAnsi="Calibri" w:cs="Calibri"/>
          <w:color w:val="011A3C"/>
          <w:sz w:val="24"/>
          <w:szCs w:val="24"/>
          <w:lang w:eastAsia="en-AU"/>
        </w:rPr>
        <w:t> </w:t>
      </w:r>
      <w:r w:rsidRPr="006E7BBC">
        <w:rPr>
          <w:rFonts w:ascii="Calibri" w:eastAsia="Times New Roman" w:hAnsi="Calibri" w:cs="Calibri"/>
          <w:sz w:val="24"/>
          <w:szCs w:val="24"/>
          <w:lang w:eastAsia="en-AU"/>
        </w:rPr>
        <w:t>Applicable</w:t>
      </w:r>
      <w:r w:rsidRPr="006E7BBC">
        <w:rPr>
          <w:rFonts w:ascii="Calibri" w:eastAsia="Times New Roman" w:hAnsi="Calibri" w:cs="Calibri"/>
          <w:color w:val="011A3C"/>
          <w:sz w:val="24"/>
          <w:szCs w:val="24"/>
          <w:lang w:val="en" w:eastAsia="en-AU"/>
        </w:rPr>
        <w:t xml:space="preserve"> modifiers, with allowances, are provided below.</w:t>
      </w:r>
    </w:p>
    <w:p w14:paraId="3F89DCB8" w14:textId="19C6FFC2" w:rsidR="006E7BBC" w:rsidRPr="00950CBB" w:rsidRDefault="006E7BBC" w:rsidP="00950CBB">
      <w:pPr>
        <w:spacing w:before="240" w:after="120" w:line="240" w:lineRule="auto"/>
        <w:textAlignment w:val="baseline"/>
        <w:outlineLvl w:val="2"/>
        <w:rPr>
          <w:rFonts w:ascii="Times New Roman" w:hAnsi="Times New Roman"/>
          <w:b/>
          <w:color w:val="011A3C"/>
          <w:sz w:val="24"/>
          <w:lang w:val="en"/>
        </w:rPr>
      </w:pPr>
      <w:r w:rsidRPr="00950CBB">
        <w:rPr>
          <w:rFonts w:ascii="Calibri" w:hAnsi="Calibri"/>
          <w:b/>
          <w:color w:val="011A3C"/>
          <w:sz w:val="24"/>
          <w:lang w:val="en"/>
        </w:rPr>
        <w:t xml:space="preserve">Building </w:t>
      </w:r>
      <w:r w:rsidR="00693D6A">
        <w:rPr>
          <w:rFonts w:ascii="Calibri" w:eastAsia="Times New Roman" w:hAnsi="Calibri" w:cs="Calibri"/>
          <w:b/>
          <w:bCs/>
          <w:color w:val="011A3C"/>
          <w:sz w:val="24"/>
          <w:szCs w:val="24"/>
          <w:lang w:val="en" w:eastAsia="en-AU"/>
        </w:rPr>
        <w:t>m</w:t>
      </w:r>
      <w:r w:rsidRPr="006E7BBC">
        <w:rPr>
          <w:rFonts w:ascii="Calibri" w:eastAsia="Times New Roman" w:hAnsi="Calibri" w:cs="Calibri"/>
          <w:b/>
          <w:bCs/>
          <w:color w:val="011A3C"/>
          <w:sz w:val="24"/>
          <w:szCs w:val="24"/>
          <w:lang w:val="en" w:eastAsia="en-AU"/>
        </w:rPr>
        <w:t xml:space="preserve">odifier </w:t>
      </w:r>
      <w:r w:rsidR="00693D6A">
        <w:rPr>
          <w:rFonts w:ascii="Calibri" w:eastAsia="Times New Roman" w:hAnsi="Calibri" w:cs="Calibri"/>
          <w:b/>
          <w:bCs/>
          <w:color w:val="011A3C"/>
          <w:sz w:val="24"/>
          <w:szCs w:val="24"/>
          <w:lang w:val="en" w:eastAsia="en-AU"/>
        </w:rPr>
        <w:t>s</w:t>
      </w:r>
      <w:r w:rsidRPr="006E7BBC">
        <w:rPr>
          <w:rFonts w:ascii="Calibri" w:eastAsia="Times New Roman" w:hAnsi="Calibri" w:cs="Calibri"/>
          <w:b/>
          <w:bCs/>
          <w:color w:val="011A3C"/>
          <w:sz w:val="24"/>
          <w:szCs w:val="24"/>
          <w:lang w:val="en" w:eastAsia="en-AU"/>
        </w:rPr>
        <w:t>chedule 202</w:t>
      </w:r>
      <w:r w:rsidR="00225728">
        <w:rPr>
          <w:rFonts w:ascii="Calibri" w:eastAsia="Times New Roman" w:hAnsi="Calibri" w:cs="Calibri"/>
          <w:b/>
          <w:bCs/>
          <w:color w:val="011A3C"/>
          <w:sz w:val="24"/>
          <w:szCs w:val="24"/>
          <w:lang w:val="en" w:eastAsia="en-AU"/>
        </w:rPr>
        <w:t>4</w:t>
      </w:r>
    </w:p>
    <w:tbl>
      <w:tblPr>
        <w:tblStyle w:val="TableGrid1"/>
        <w:tblW w:w="0" w:type="auto"/>
        <w:tblLook w:val="04A0" w:firstRow="1" w:lastRow="0" w:firstColumn="1" w:lastColumn="0" w:noHBand="0" w:noVBand="1"/>
      </w:tblPr>
      <w:tblGrid>
        <w:gridCol w:w="2972"/>
        <w:gridCol w:w="2268"/>
        <w:gridCol w:w="1985"/>
        <w:gridCol w:w="2268"/>
      </w:tblGrid>
      <w:tr w:rsidR="006E7BBC" w:rsidRPr="006E7BBC" w14:paraId="1111D947" w14:textId="77777777" w:rsidTr="00833928">
        <w:trPr>
          <w:trHeight w:val="423"/>
        </w:trPr>
        <w:tc>
          <w:tcPr>
            <w:tcW w:w="2972" w:type="dxa"/>
            <w:vAlign w:val="center"/>
          </w:tcPr>
          <w:p w14:paraId="26E55490" w14:textId="736BEB97" w:rsidR="006E7BBC" w:rsidRPr="006E7BBC" w:rsidRDefault="006E7BBC" w:rsidP="006E7BBC">
            <w:pPr>
              <w:textAlignment w:val="baseline"/>
              <w:rPr>
                <w:rFonts w:eastAsia="Times New Roman" w:cstheme="minorHAnsi"/>
                <w:b/>
                <w:bCs/>
                <w:sz w:val="20"/>
                <w:szCs w:val="20"/>
                <w:lang w:eastAsia="en-AU"/>
              </w:rPr>
            </w:pPr>
            <w:r w:rsidRPr="006E7BBC">
              <w:rPr>
                <w:rFonts w:eastAsia="Times New Roman" w:cstheme="minorHAnsi"/>
                <w:b/>
                <w:bCs/>
                <w:sz w:val="20"/>
                <w:szCs w:val="20"/>
                <w:lang w:eastAsia="en-AU"/>
              </w:rPr>
              <w:t>Modifier</w:t>
            </w:r>
          </w:p>
        </w:tc>
        <w:tc>
          <w:tcPr>
            <w:tcW w:w="2268" w:type="dxa"/>
            <w:vAlign w:val="center"/>
          </w:tcPr>
          <w:p w14:paraId="46E9EA5C" w14:textId="77777777" w:rsidR="006E7BBC" w:rsidRPr="006E7BBC" w:rsidRDefault="006E7BBC" w:rsidP="006E7BBC">
            <w:pPr>
              <w:textAlignment w:val="baseline"/>
              <w:rPr>
                <w:rFonts w:eastAsia="Times New Roman" w:cstheme="minorHAnsi"/>
                <w:b/>
                <w:bCs/>
                <w:sz w:val="20"/>
                <w:szCs w:val="20"/>
                <w:lang w:eastAsia="en-AU"/>
              </w:rPr>
            </w:pPr>
            <w:r w:rsidRPr="006E7BBC">
              <w:rPr>
                <w:rFonts w:eastAsia="Times New Roman" w:cstheme="minorHAnsi"/>
                <w:b/>
                <w:bCs/>
                <w:sz w:val="20"/>
                <w:szCs w:val="20"/>
                <w:lang w:eastAsia="en-AU"/>
              </w:rPr>
              <w:t>Modifier Level</w:t>
            </w:r>
          </w:p>
        </w:tc>
        <w:tc>
          <w:tcPr>
            <w:tcW w:w="1985" w:type="dxa"/>
            <w:vAlign w:val="center"/>
          </w:tcPr>
          <w:p w14:paraId="16D0A14B" w14:textId="77777777" w:rsidR="006E7BBC" w:rsidRPr="006E7BBC" w:rsidRDefault="006E7BBC" w:rsidP="006E7BBC">
            <w:pPr>
              <w:spacing w:before="100" w:beforeAutospacing="1" w:after="100" w:afterAutospacing="1"/>
              <w:jc w:val="center"/>
              <w:textAlignment w:val="baseline"/>
              <w:rPr>
                <w:rFonts w:eastAsia="Times New Roman" w:cstheme="minorHAnsi"/>
                <w:b/>
                <w:bCs/>
                <w:sz w:val="20"/>
                <w:szCs w:val="20"/>
                <w:lang w:eastAsia="en-AU"/>
              </w:rPr>
            </w:pPr>
            <w:r w:rsidRPr="006E7BBC">
              <w:rPr>
                <w:rFonts w:eastAsia="Times New Roman" w:cstheme="minorHAnsi"/>
                <w:b/>
                <w:bCs/>
                <w:sz w:val="20"/>
                <w:szCs w:val="20"/>
                <w:lang w:eastAsia="en-AU"/>
              </w:rPr>
              <w:t>Modifier %*</w:t>
            </w:r>
          </w:p>
        </w:tc>
        <w:tc>
          <w:tcPr>
            <w:tcW w:w="2268" w:type="dxa"/>
            <w:vAlign w:val="center"/>
          </w:tcPr>
          <w:p w14:paraId="5CC873DD" w14:textId="77777777" w:rsidR="006E7BBC" w:rsidRPr="006E7BBC" w:rsidRDefault="006E7BBC" w:rsidP="006E7BBC">
            <w:pPr>
              <w:spacing w:before="100" w:beforeAutospacing="1" w:after="100" w:afterAutospacing="1"/>
              <w:jc w:val="center"/>
              <w:textAlignment w:val="baseline"/>
              <w:rPr>
                <w:rFonts w:eastAsia="Times New Roman" w:cstheme="minorHAnsi"/>
                <w:b/>
                <w:bCs/>
                <w:sz w:val="20"/>
                <w:szCs w:val="20"/>
                <w:lang w:eastAsia="en-AU"/>
              </w:rPr>
            </w:pPr>
            <w:r w:rsidRPr="006E7BBC">
              <w:rPr>
                <w:rFonts w:eastAsia="Times New Roman" w:cstheme="minorHAnsi"/>
                <w:b/>
                <w:bCs/>
                <w:sz w:val="20"/>
                <w:szCs w:val="20"/>
                <w:lang w:eastAsia="en-AU"/>
              </w:rPr>
              <w:t>Modifier ($)*</w:t>
            </w:r>
          </w:p>
        </w:tc>
      </w:tr>
      <w:tr w:rsidR="006E7BBC" w:rsidRPr="006E7BBC" w14:paraId="4ADB6FC2" w14:textId="77777777" w:rsidTr="00833928">
        <w:trPr>
          <w:trHeight w:val="423"/>
        </w:trPr>
        <w:tc>
          <w:tcPr>
            <w:tcW w:w="2972" w:type="dxa"/>
            <w:vAlign w:val="center"/>
          </w:tcPr>
          <w:p w14:paraId="74C93329" w14:textId="77777777" w:rsidR="006E7BBC" w:rsidRPr="006E7BBC" w:rsidRDefault="006E7BBC" w:rsidP="006E7BBC">
            <w:pPr>
              <w:textAlignment w:val="baseline"/>
              <w:rPr>
                <w:rFonts w:eastAsia="Times New Roman" w:cstheme="minorHAnsi"/>
                <w:sz w:val="20"/>
                <w:szCs w:val="20"/>
                <w:lang w:eastAsia="en-AU"/>
              </w:rPr>
            </w:pPr>
            <w:r w:rsidRPr="006E7BBC">
              <w:rPr>
                <w:rFonts w:eastAsia="Times New Roman" w:cstheme="minorHAnsi"/>
                <w:color w:val="011A3C"/>
                <w:sz w:val="20"/>
                <w:szCs w:val="20"/>
                <w:lang w:val="en" w:eastAsia="en-AU"/>
              </w:rPr>
              <w:t>Building age</w:t>
            </w:r>
            <w:r w:rsidRPr="006E7BBC">
              <w:rPr>
                <w:rFonts w:eastAsia="Times New Roman" w:cstheme="minorHAnsi"/>
                <w:color w:val="011A3C"/>
                <w:sz w:val="20"/>
                <w:szCs w:val="20"/>
                <w:lang w:eastAsia="en-AU"/>
              </w:rPr>
              <w:t> (scaled)</w:t>
            </w:r>
          </w:p>
        </w:tc>
        <w:tc>
          <w:tcPr>
            <w:tcW w:w="2268" w:type="dxa"/>
            <w:vAlign w:val="center"/>
          </w:tcPr>
          <w:p w14:paraId="65BC98D7" w14:textId="77777777" w:rsidR="006E7BBC" w:rsidRPr="006E7BBC" w:rsidRDefault="006E7BBC" w:rsidP="006E7BBC">
            <w:pPr>
              <w:spacing w:before="100" w:beforeAutospacing="1" w:after="100" w:afterAutospacing="1"/>
              <w:textAlignment w:val="baseline"/>
              <w:rPr>
                <w:rFonts w:eastAsia="Times New Roman" w:cstheme="minorHAnsi"/>
                <w:sz w:val="20"/>
                <w:szCs w:val="20"/>
                <w:lang w:eastAsia="en-AU"/>
              </w:rPr>
            </w:pPr>
            <w:r w:rsidRPr="006E7BBC">
              <w:rPr>
                <w:rFonts w:eastAsia="Times New Roman" w:cstheme="minorHAnsi"/>
                <w:sz w:val="20"/>
                <w:szCs w:val="20"/>
                <w:lang w:eastAsia="en-AU"/>
              </w:rPr>
              <w:t>Building</w:t>
            </w:r>
          </w:p>
        </w:tc>
        <w:tc>
          <w:tcPr>
            <w:tcW w:w="1985" w:type="dxa"/>
            <w:vAlign w:val="center"/>
          </w:tcPr>
          <w:p w14:paraId="0F404E25" w14:textId="77777777" w:rsidR="006E7BBC" w:rsidRPr="006E7BBC" w:rsidRDefault="006E7BBC" w:rsidP="006E7BBC">
            <w:pPr>
              <w:spacing w:before="100" w:beforeAutospacing="1" w:after="100" w:afterAutospacing="1"/>
              <w:jc w:val="center"/>
              <w:textAlignment w:val="baseline"/>
              <w:rPr>
                <w:rFonts w:eastAsia="Times New Roman" w:cstheme="minorHAnsi"/>
                <w:sz w:val="20"/>
                <w:szCs w:val="20"/>
                <w:lang w:eastAsia="en-AU"/>
              </w:rPr>
            </w:pPr>
            <w:r w:rsidRPr="006E7BBC">
              <w:rPr>
                <w:rFonts w:eastAsia="Times New Roman" w:cstheme="minorHAnsi"/>
                <w:sz w:val="20"/>
                <w:szCs w:val="20"/>
                <w:lang w:eastAsia="en-AU"/>
              </w:rPr>
              <w:t>5-20%</w:t>
            </w:r>
          </w:p>
        </w:tc>
        <w:tc>
          <w:tcPr>
            <w:tcW w:w="2268" w:type="dxa"/>
            <w:vAlign w:val="center"/>
          </w:tcPr>
          <w:p w14:paraId="31029358" w14:textId="77777777" w:rsidR="006E7BBC" w:rsidRPr="006E7BBC" w:rsidRDefault="006E7BBC" w:rsidP="006E7BBC">
            <w:pPr>
              <w:spacing w:before="100" w:beforeAutospacing="1" w:after="100" w:afterAutospacing="1"/>
              <w:jc w:val="right"/>
              <w:textAlignment w:val="baseline"/>
              <w:rPr>
                <w:rFonts w:eastAsia="Times New Roman" w:cstheme="minorHAnsi"/>
                <w:sz w:val="20"/>
                <w:szCs w:val="20"/>
                <w:lang w:eastAsia="en-AU"/>
              </w:rPr>
            </w:pPr>
            <w:r w:rsidRPr="006E7BBC">
              <w:rPr>
                <w:rFonts w:eastAsia="Times New Roman" w:cstheme="minorHAnsi"/>
                <w:sz w:val="20"/>
                <w:szCs w:val="20"/>
                <w:lang w:eastAsia="en-AU"/>
              </w:rPr>
              <w:t>-</w:t>
            </w:r>
          </w:p>
        </w:tc>
      </w:tr>
      <w:tr w:rsidR="006E7BBC" w:rsidRPr="006E7BBC" w14:paraId="1775BFF4" w14:textId="77777777" w:rsidTr="00833928">
        <w:trPr>
          <w:trHeight w:val="424"/>
        </w:trPr>
        <w:tc>
          <w:tcPr>
            <w:tcW w:w="2972" w:type="dxa"/>
            <w:vAlign w:val="center"/>
          </w:tcPr>
          <w:p w14:paraId="5F5B48AE" w14:textId="77777777" w:rsidR="006E7BBC" w:rsidRPr="006E7BBC" w:rsidRDefault="006E7BBC" w:rsidP="006E7BBC">
            <w:pPr>
              <w:rPr>
                <w:rFonts w:cstheme="minorHAnsi"/>
                <w:sz w:val="20"/>
                <w:szCs w:val="20"/>
              </w:rPr>
            </w:pPr>
            <w:r w:rsidRPr="006E7BBC">
              <w:rPr>
                <w:rFonts w:cstheme="minorHAnsi"/>
                <w:color w:val="011A3C"/>
                <w:sz w:val="20"/>
                <w:szCs w:val="20"/>
                <w:lang w:val="en"/>
              </w:rPr>
              <w:t>Buildings in poor condition</w:t>
            </w:r>
            <w:r w:rsidRPr="006E7BBC">
              <w:rPr>
                <w:rFonts w:cstheme="minorHAnsi"/>
                <w:color w:val="011A3C"/>
                <w:sz w:val="20"/>
                <w:szCs w:val="20"/>
              </w:rPr>
              <w:t> </w:t>
            </w:r>
          </w:p>
        </w:tc>
        <w:tc>
          <w:tcPr>
            <w:tcW w:w="2268" w:type="dxa"/>
            <w:vAlign w:val="center"/>
          </w:tcPr>
          <w:p w14:paraId="4C0027EE" w14:textId="77777777" w:rsidR="006E7BBC" w:rsidRPr="006E7BBC" w:rsidRDefault="006E7BBC" w:rsidP="006E7BBC">
            <w:pPr>
              <w:spacing w:before="100" w:beforeAutospacing="1" w:after="100" w:afterAutospacing="1"/>
              <w:textAlignment w:val="baseline"/>
              <w:rPr>
                <w:rFonts w:eastAsia="Times New Roman" w:cstheme="minorHAnsi"/>
                <w:sz w:val="20"/>
                <w:szCs w:val="20"/>
                <w:lang w:eastAsia="en-AU"/>
              </w:rPr>
            </w:pPr>
            <w:r w:rsidRPr="006E7BBC">
              <w:rPr>
                <w:rFonts w:eastAsia="Times New Roman" w:cstheme="minorHAnsi"/>
                <w:sz w:val="20"/>
                <w:szCs w:val="20"/>
                <w:lang w:eastAsia="en-AU"/>
              </w:rPr>
              <w:t>Building</w:t>
            </w:r>
          </w:p>
        </w:tc>
        <w:tc>
          <w:tcPr>
            <w:tcW w:w="1985" w:type="dxa"/>
            <w:vAlign w:val="center"/>
          </w:tcPr>
          <w:p w14:paraId="3D08C4CE" w14:textId="77777777" w:rsidR="006E7BBC" w:rsidRPr="006E7BBC" w:rsidRDefault="006E7BBC" w:rsidP="006E7BBC">
            <w:pPr>
              <w:spacing w:before="100" w:beforeAutospacing="1" w:after="100" w:afterAutospacing="1"/>
              <w:jc w:val="center"/>
              <w:textAlignment w:val="baseline"/>
              <w:rPr>
                <w:rFonts w:eastAsia="Times New Roman" w:cstheme="minorHAnsi"/>
                <w:sz w:val="20"/>
                <w:szCs w:val="20"/>
                <w:lang w:eastAsia="en-AU"/>
              </w:rPr>
            </w:pPr>
            <w:r w:rsidRPr="006E7BBC">
              <w:rPr>
                <w:rFonts w:eastAsia="Times New Roman" w:cstheme="minorHAnsi"/>
                <w:sz w:val="20"/>
                <w:szCs w:val="20"/>
                <w:lang w:eastAsia="en-AU"/>
              </w:rPr>
              <w:t>20%</w:t>
            </w:r>
          </w:p>
        </w:tc>
        <w:tc>
          <w:tcPr>
            <w:tcW w:w="2268" w:type="dxa"/>
            <w:vAlign w:val="center"/>
          </w:tcPr>
          <w:p w14:paraId="1472E988" w14:textId="77777777" w:rsidR="006E7BBC" w:rsidRPr="006E7BBC" w:rsidRDefault="006E7BBC" w:rsidP="006E7BBC">
            <w:pPr>
              <w:spacing w:before="100" w:beforeAutospacing="1" w:after="100" w:afterAutospacing="1"/>
              <w:jc w:val="right"/>
              <w:textAlignment w:val="baseline"/>
              <w:rPr>
                <w:rFonts w:eastAsia="Times New Roman" w:cstheme="minorHAnsi"/>
                <w:sz w:val="20"/>
                <w:szCs w:val="20"/>
                <w:lang w:eastAsia="en-AU"/>
              </w:rPr>
            </w:pPr>
            <w:r w:rsidRPr="006E7BBC">
              <w:rPr>
                <w:rFonts w:eastAsia="Times New Roman" w:cstheme="minorHAnsi"/>
                <w:sz w:val="20"/>
                <w:szCs w:val="20"/>
                <w:lang w:eastAsia="en-AU"/>
              </w:rPr>
              <w:t>-</w:t>
            </w:r>
          </w:p>
        </w:tc>
      </w:tr>
      <w:tr w:rsidR="006E7BBC" w:rsidRPr="006E7BBC" w14:paraId="2BD22EA8" w14:textId="77777777" w:rsidTr="00833928">
        <w:trPr>
          <w:trHeight w:val="423"/>
        </w:trPr>
        <w:tc>
          <w:tcPr>
            <w:tcW w:w="2972" w:type="dxa"/>
            <w:vAlign w:val="center"/>
          </w:tcPr>
          <w:p w14:paraId="1B51BA4D" w14:textId="77777777" w:rsidR="006E7BBC" w:rsidRPr="006E7BBC" w:rsidRDefault="006E7BBC" w:rsidP="006E7BBC">
            <w:pPr>
              <w:rPr>
                <w:rFonts w:cstheme="minorHAnsi"/>
                <w:sz w:val="20"/>
                <w:szCs w:val="20"/>
              </w:rPr>
            </w:pPr>
            <w:r w:rsidRPr="006E7BBC">
              <w:rPr>
                <w:rFonts w:cstheme="minorHAnsi"/>
                <w:color w:val="011A3C"/>
                <w:sz w:val="20"/>
                <w:szCs w:val="20"/>
                <w:lang w:val="en"/>
              </w:rPr>
              <w:t>Heritage</w:t>
            </w:r>
          </w:p>
        </w:tc>
        <w:tc>
          <w:tcPr>
            <w:tcW w:w="2268" w:type="dxa"/>
            <w:vAlign w:val="center"/>
          </w:tcPr>
          <w:p w14:paraId="2964DA77" w14:textId="77777777" w:rsidR="006E7BBC" w:rsidRPr="006E7BBC" w:rsidRDefault="006E7BBC" w:rsidP="006E7BBC">
            <w:pPr>
              <w:spacing w:before="100" w:beforeAutospacing="1" w:after="100" w:afterAutospacing="1"/>
              <w:textAlignment w:val="baseline"/>
              <w:rPr>
                <w:rFonts w:eastAsia="Times New Roman" w:cstheme="minorHAnsi"/>
                <w:sz w:val="20"/>
                <w:szCs w:val="20"/>
                <w:lang w:eastAsia="en-AU"/>
              </w:rPr>
            </w:pPr>
            <w:r w:rsidRPr="006E7BBC">
              <w:rPr>
                <w:rFonts w:eastAsia="Times New Roman" w:cstheme="minorHAnsi"/>
                <w:sz w:val="20"/>
                <w:szCs w:val="20"/>
                <w:lang w:eastAsia="en-AU"/>
              </w:rPr>
              <w:t>Building</w:t>
            </w:r>
          </w:p>
        </w:tc>
        <w:tc>
          <w:tcPr>
            <w:tcW w:w="1985" w:type="dxa"/>
            <w:vAlign w:val="center"/>
          </w:tcPr>
          <w:p w14:paraId="1D1DCD71" w14:textId="77777777" w:rsidR="006E7BBC" w:rsidRPr="006E7BBC" w:rsidRDefault="006E7BBC" w:rsidP="006E7BBC">
            <w:pPr>
              <w:spacing w:before="100" w:beforeAutospacing="1" w:after="100" w:afterAutospacing="1"/>
              <w:jc w:val="center"/>
              <w:textAlignment w:val="baseline"/>
              <w:rPr>
                <w:rFonts w:eastAsia="Times New Roman" w:cstheme="minorHAnsi"/>
                <w:sz w:val="20"/>
                <w:szCs w:val="20"/>
                <w:lang w:eastAsia="en-AU"/>
              </w:rPr>
            </w:pPr>
            <w:r w:rsidRPr="006E7BBC">
              <w:rPr>
                <w:rFonts w:eastAsia="Times New Roman" w:cstheme="minorHAnsi"/>
                <w:sz w:val="20"/>
                <w:szCs w:val="20"/>
                <w:lang w:eastAsia="en-AU"/>
              </w:rPr>
              <w:t>20%</w:t>
            </w:r>
          </w:p>
        </w:tc>
        <w:tc>
          <w:tcPr>
            <w:tcW w:w="2268" w:type="dxa"/>
            <w:vAlign w:val="center"/>
          </w:tcPr>
          <w:p w14:paraId="1B5F2319" w14:textId="77777777" w:rsidR="006E7BBC" w:rsidRPr="006E7BBC" w:rsidRDefault="006E7BBC" w:rsidP="006E7BBC">
            <w:pPr>
              <w:spacing w:before="100" w:beforeAutospacing="1" w:after="100" w:afterAutospacing="1"/>
              <w:jc w:val="right"/>
              <w:textAlignment w:val="baseline"/>
              <w:rPr>
                <w:rFonts w:eastAsia="Times New Roman" w:cstheme="minorHAnsi"/>
                <w:sz w:val="20"/>
                <w:szCs w:val="20"/>
                <w:lang w:eastAsia="en-AU"/>
              </w:rPr>
            </w:pPr>
            <w:r w:rsidRPr="006E7BBC">
              <w:rPr>
                <w:rFonts w:eastAsia="Times New Roman" w:cstheme="minorHAnsi"/>
                <w:sz w:val="20"/>
                <w:szCs w:val="20"/>
                <w:lang w:eastAsia="en-AU"/>
              </w:rPr>
              <w:t>-</w:t>
            </w:r>
          </w:p>
        </w:tc>
      </w:tr>
      <w:tr w:rsidR="006E7BBC" w:rsidRPr="006E7BBC" w14:paraId="0ECD3808" w14:textId="77777777" w:rsidTr="00833928">
        <w:trPr>
          <w:trHeight w:val="423"/>
        </w:trPr>
        <w:tc>
          <w:tcPr>
            <w:tcW w:w="2972" w:type="dxa"/>
            <w:vAlign w:val="center"/>
          </w:tcPr>
          <w:p w14:paraId="39549BD4" w14:textId="77777777" w:rsidR="006E7BBC" w:rsidRPr="006E7BBC" w:rsidRDefault="006E7BBC" w:rsidP="006E7BBC">
            <w:pPr>
              <w:rPr>
                <w:rFonts w:cstheme="minorHAnsi"/>
                <w:sz w:val="20"/>
                <w:szCs w:val="20"/>
              </w:rPr>
            </w:pPr>
            <w:r w:rsidRPr="006E7BBC">
              <w:rPr>
                <w:rFonts w:cstheme="minorHAnsi"/>
                <w:color w:val="011A3C"/>
                <w:sz w:val="20"/>
                <w:szCs w:val="20"/>
                <w:lang w:val="en"/>
              </w:rPr>
              <w:t>Multi-story buildings</w:t>
            </w:r>
            <w:r w:rsidRPr="006E7BBC">
              <w:rPr>
                <w:rFonts w:cstheme="minorHAnsi"/>
                <w:color w:val="011A3C"/>
                <w:sz w:val="20"/>
                <w:szCs w:val="20"/>
              </w:rPr>
              <w:t> </w:t>
            </w:r>
          </w:p>
        </w:tc>
        <w:tc>
          <w:tcPr>
            <w:tcW w:w="2268" w:type="dxa"/>
            <w:vAlign w:val="center"/>
          </w:tcPr>
          <w:p w14:paraId="7DEAE1B6" w14:textId="77777777" w:rsidR="006E7BBC" w:rsidRPr="006E7BBC" w:rsidRDefault="006E7BBC" w:rsidP="006E7BBC">
            <w:pPr>
              <w:spacing w:before="100" w:beforeAutospacing="1" w:after="100" w:afterAutospacing="1"/>
              <w:textAlignment w:val="baseline"/>
              <w:rPr>
                <w:rFonts w:eastAsia="Times New Roman" w:cstheme="minorHAnsi"/>
                <w:sz w:val="20"/>
                <w:szCs w:val="20"/>
                <w:lang w:eastAsia="en-AU"/>
              </w:rPr>
            </w:pPr>
            <w:r w:rsidRPr="006E7BBC">
              <w:rPr>
                <w:rFonts w:eastAsia="Times New Roman" w:cstheme="minorHAnsi"/>
                <w:sz w:val="20"/>
                <w:szCs w:val="20"/>
                <w:lang w:eastAsia="en-AU"/>
              </w:rPr>
              <w:t>Building</w:t>
            </w:r>
          </w:p>
        </w:tc>
        <w:tc>
          <w:tcPr>
            <w:tcW w:w="1985" w:type="dxa"/>
            <w:vAlign w:val="center"/>
          </w:tcPr>
          <w:p w14:paraId="36E2112F" w14:textId="77777777" w:rsidR="006E7BBC" w:rsidRPr="006E7BBC" w:rsidRDefault="006E7BBC" w:rsidP="006E7BBC">
            <w:pPr>
              <w:spacing w:before="100" w:beforeAutospacing="1" w:after="100" w:afterAutospacing="1"/>
              <w:jc w:val="center"/>
              <w:textAlignment w:val="baseline"/>
              <w:rPr>
                <w:rFonts w:eastAsia="Times New Roman" w:cstheme="minorHAnsi"/>
                <w:sz w:val="20"/>
                <w:szCs w:val="20"/>
                <w:lang w:eastAsia="en-AU"/>
              </w:rPr>
            </w:pPr>
            <w:r w:rsidRPr="006E7BBC">
              <w:rPr>
                <w:rFonts w:eastAsia="Times New Roman" w:cstheme="minorHAnsi"/>
                <w:sz w:val="20"/>
                <w:szCs w:val="20"/>
                <w:lang w:eastAsia="en-AU"/>
              </w:rPr>
              <w:t>-</w:t>
            </w:r>
          </w:p>
        </w:tc>
        <w:tc>
          <w:tcPr>
            <w:tcW w:w="2268" w:type="dxa"/>
            <w:vAlign w:val="center"/>
          </w:tcPr>
          <w:p w14:paraId="19B9FA8A" w14:textId="024E7279" w:rsidR="006E7BBC" w:rsidRPr="006E7BBC" w:rsidRDefault="006E7BBC" w:rsidP="006E7BBC">
            <w:pPr>
              <w:spacing w:before="100" w:beforeAutospacing="1" w:after="100" w:afterAutospacing="1"/>
              <w:jc w:val="right"/>
              <w:textAlignment w:val="baseline"/>
              <w:rPr>
                <w:rFonts w:eastAsia="Times New Roman" w:cstheme="minorHAnsi"/>
                <w:sz w:val="20"/>
                <w:szCs w:val="20"/>
                <w:lang w:eastAsia="en-AU"/>
              </w:rPr>
            </w:pPr>
            <w:r w:rsidRPr="006E7BBC">
              <w:rPr>
                <w:rFonts w:eastAsia="Times New Roman" w:cstheme="minorHAnsi"/>
                <w:sz w:val="20"/>
                <w:szCs w:val="20"/>
                <w:lang w:eastAsia="en-AU"/>
              </w:rPr>
              <w:t>$</w:t>
            </w:r>
            <w:r w:rsidR="00FB5BD1">
              <w:rPr>
                <w:rFonts w:eastAsia="Times New Roman" w:cstheme="minorHAnsi"/>
                <w:sz w:val="20"/>
                <w:szCs w:val="20"/>
                <w:lang w:eastAsia="en-AU"/>
              </w:rPr>
              <w:t>526</w:t>
            </w:r>
            <w:r w:rsidRPr="006E7BBC">
              <w:rPr>
                <w:rFonts w:eastAsia="Times New Roman" w:cstheme="minorHAnsi"/>
                <w:sz w:val="20"/>
                <w:szCs w:val="20"/>
                <w:lang w:eastAsia="en-AU"/>
              </w:rPr>
              <w:t>-</w:t>
            </w:r>
            <w:r w:rsidR="00FB5BD1">
              <w:rPr>
                <w:rFonts w:eastAsia="Times New Roman" w:cstheme="minorHAnsi"/>
                <w:sz w:val="20"/>
                <w:szCs w:val="20"/>
                <w:lang w:eastAsia="en-AU"/>
              </w:rPr>
              <w:t>788</w:t>
            </w:r>
          </w:p>
        </w:tc>
      </w:tr>
      <w:tr w:rsidR="006E7BBC" w:rsidRPr="006E7BBC" w14:paraId="22D797C7" w14:textId="77777777" w:rsidTr="00833928">
        <w:trPr>
          <w:trHeight w:val="424"/>
        </w:trPr>
        <w:tc>
          <w:tcPr>
            <w:tcW w:w="2972" w:type="dxa"/>
            <w:vAlign w:val="center"/>
          </w:tcPr>
          <w:p w14:paraId="71EB51B6" w14:textId="77777777" w:rsidR="006E7BBC" w:rsidRPr="006E7BBC" w:rsidRDefault="006E7BBC" w:rsidP="006E7BBC">
            <w:pPr>
              <w:rPr>
                <w:rFonts w:cstheme="minorHAnsi"/>
                <w:sz w:val="20"/>
                <w:szCs w:val="20"/>
              </w:rPr>
            </w:pPr>
            <w:r w:rsidRPr="006E7BBC">
              <w:rPr>
                <w:rFonts w:cstheme="minorHAnsi"/>
                <w:color w:val="011A3C"/>
                <w:sz w:val="20"/>
                <w:szCs w:val="20"/>
                <w:lang w:val="en"/>
              </w:rPr>
              <w:t>Location – Regional</w:t>
            </w:r>
          </w:p>
        </w:tc>
        <w:tc>
          <w:tcPr>
            <w:tcW w:w="2268" w:type="dxa"/>
            <w:vAlign w:val="center"/>
          </w:tcPr>
          <w:p w14:paraId="6BAAA5E8" w14:textId="77777777" w:rsidR="006E7BBC" w:rsidRPr="006E7BBC" w:rsidRDefault="006E7BBC" w:rsidP="006E7BBC">
            <w:pPr>
              <w:spacing w:before="100" w:beforeAutospacing="1" w:after="100" w:afterAutospacing="1"/>
              <w:textAlignment w:val="baseline"/>
              <w:rPr>
                <w:rFonts w:eastAsia="Times New Roman" w:cstheme="minorHAnsi"/>
                <w:sz w:val="20"/>
                <w:szCs w:val="20"/>
                <w:lang w:eastAsia="en-AU"/>
              </w:rPr>
            </w:pPr>
            <w:r w:rsidRPr="006E7BBC">
              <w:rPr>
                <w:rFonts w:eastAsia="Times New Roman" w:cstheme="minorHAnsi"/>
                <w:sz w:val="20"/>
                <w:szCs w:val="20"/>
                <w:lang w:eastAsia="en-AU"/>
              </w:rPr>
              <w:t>Campus</w:t>
            </w:r>
          </w:p>
        </w:tc>
        <w:tc>
          <w:tcPr>
            <w:tcW w:w="1985" w:type="dxa"/>
            <w:vAlign w:val="center"/>
          </w:tcPr>
          <w:p w14:paraId="0CAB999D" w14:textId="77777777" w:rsidR="006E7BBC" w:rsidRPr="006E7BBC" w:rsidRDefault="006E7BBC" w:rsidP="006E7BBC">
            <w:pPr>
              <w:spacing w:before="100" w:beforeAutospacing="1" w:after="100" w:afterAutospacing="1"/>
              <w:jc w:val="center"/>
              <w:textAlignment w:val="baseline"/>
              <w:rPr>
                <w:rFonts w:eastAsia="Times New Roman" w:cstheme="minorHAnsi"/>
                <w:sz w:val="20"/>
                <w:szCs w:val="20"/>
                <w:lang w:eastAsia="en-AU"/>
              </w:rPr>
            </w:pPr>
            <w:r w:rsidRPr="006E7BBC">
              <w:rPr>
                <w:rFonts w:eastAsia="Times New Roman" w:cstheme="minorHAnsi"/>
                <w:sz w:val="20"/>
                <w:szCs w:val="20"/>
                <w:lang w:eastAsia="en-AU"/>
              </w:rPr>
              <w:t>20%</w:t>
            </w:r>
          </w:p>
        </w:tc>
        <w:tc>
          <w:tcPr>
            <w:tcW w:w="2268" w:type="dxa"/>
            <w:vAlign w:val="center"/>
          </w:tcPr>
          <w:p w14:paraId="2E30D7E7" w14:textId="77777777" w:rsidR="006E7BBC" w:rsidRPr="006E7BBC" w:rsidRDefault="006E7BBC" w:rsidP="006E7BBC">
            <w:pPr>
              <w:spacing w:before="100" w:beforeAutospacing="1" w:after="100" w:afterAutospacing="1"/>
              <w:jc w:val="right"/>
              <w:textAlignment w:val="baseline"/>
              <w:rPr>
                <w:rFonts w:eastAsia="Times New Roman" w:cstheme="minorHAnsi"/>
                <w:sz w:val="20"/>
                <w:szCs w:val="20"/>
                <w:lang w:eastAsia="en-AU"/>
              </w:rPr>
            </w:pPr>
            <w:r w:rsidRPr="006E7BBC">
              <w:rPr>
                <w:rFonts w:eastAsia="Times New Roman" w:cstheme="minorHAnsi"/>
                <w:sz w:val="20"/>
                <w:szCs w:val="20"/>
                <w:lang w:eastAsia="en-AU"/>
              </w:rPr>
              <w:t>-</w:t>
            </w:r>
          </w:p>
        </w:tc>
      </w:tr>
      <w:tr w:rsidR="006E7BBC" w:rsidRPr="006E7BBC" w14:paraId="6357AD35" w14:textId="77777777" w:rsidTr="00833928">
        <w:trPr>
          <w:trHeight w:val="423"/>
        </w:trPr>
        <w:tc>
          <w:tcPr>
            <w:tcW w:w="2972" w:type="dxa"/>
            <w:vAlign w:val="center"/>
          </w:tcPr>
          <w:p w14:paraId="43E6857C" w14:textId="77777777" w:rsidR="006E7BBC" w:rsidRPr="006E7BBC" w:rsidRDefault="006E7BBC" w:rsidP="006E7BBC">
            <w:pPr>
              <w:rPr>
                <w:rFonts w:cstheme="minorHAnsi"/>
                <w:color w:val="011A3C"/>
                <w:sz w:val="20"/>
                <w:szCs w:val="20"/>
                <w:lang w:val="en"/>
              </w:rPr>
            </w:pPr>
            <w:r w:rsidRPr="006E7BBC">
              <w:rPr>
                <w:rFonts w:cstheme="minorHAnsi"/>
                <w:color w:val="011A3C"/>
                <w:sz w:val="20"/>
                <w:szCs w:val="20"/>
                <w:lang w:val="en"/>
              </w:rPr>
              <w:t>Location – Rural</w:t>
            </w:r>
          </w:p>
        </w:tc>
        <w:tc>
          <w:tcPr>
            <w:tcW w:w="2268" w:type="dxa"/>
            <w:vAlign w:val="center"/>
          </w:tcPr>
          <w:p w14:paraId="7D9BB7DD" w14:textId="77777777" w:rsidR="006E7BBC" w:rsidRPr="006E7BBC" w:rsidRDefault="006E7BBC" w:rsidP="006E7BBC">
            <w:pPr>
              <w:spacing w:before="100" w:beforeAutospacing="1" w:after="100" w:afterAutospacing="1"/>
              <w:textAlignment w:val="baseline"/>
              <w:rPr>
                <w:rFonts w:eastAsia="Times New Roman" w:cstheme="minorHAnsi"/>
                <w:sz w:val="20"/>
                <w:szCs w:val="20"/>
                <w:lang w:eastAsia="en-AU"/>
              </w:rPr>
            </w:pPr>
            <w:r w:rsidRPr="006E7BBC">
              <w:rPr>
                <w:rFonts w:eastAsia="Times New Roman" w:cstheme="minorHAnsi"/>
                <w:sz w:val="20"/>
                <w:szCs w:val="20"/>
                <w:lang w:eastAsia="en-AU"/>
              </w:rPr>
              <w:t>Campus</w:t>
            </w:r>
          </w:p>
        </w:tc>
        <w:tc>
          <w:tcPr>
            <w:tcW w:w="1985" w:type="dxa"/>
            <w:vAlign w:val="center"/>
          </w:tcPr>
          <w:p w14:paraId="59E9A6F9" w14:textId="77777777" w:rsidR="006E7BBC" w:rsidRPr="006E7BBC" w:rsidRDefault="006E7BBC" w:rsidP="006E7BBC">
            <w:pPr>
              <w:jc w:val="center"/>
              <w:textAlignment w:val="baseline"/>
              <w:rPr>
                <w:rFonts w:eastAsia="Times New Roman" w:cstheme="minorHAnsi"/>
                <w:sz w:val="20"/>
                <w:szCs w:val="20"/>
                <w:lang w:eastAsia="en-AU"/>
              </w:rPr>
            </w:pPr>
            <w:r w:rsidRPr="006E7BBC">
              <w:rPr>
                <w:rFonts w:eastAsia="Times New Roman" w:cstheme="minorHAnsi"/>
                <w:sz w:val="20"/>
                <w:szCs w:val="20"/>
                <w:lang w:eastAsia="en-AU"/>
              </w:rPr>
              <w:t>25%</w:t>
            </w:r>
          </w:p>
        </w:tc>
        <w:tc>
          <w:tcPr>
            <w:tcW w:w="2268" w:type="dxa"/>
            <w:vAlign w:val="center"/>
          </w:tcPr>
          <w:p w14:paraId="73B78AE0" w14:textId="77777777" w:rsidR="006E7BBC" w:rsidRPr="006E7BBC" w:rsidRDefault="006E7BBC" w:rsidP="006E7BBC">
            <w:pPr>
              <w:spacing w:before="100" w:beforeAutospacing="1" w:after="100" w:afterAutospacing="1"/>
              <w:jc w:val="right"/>
              <w:textAlignment w:val="baseline"/>
              <w:rPr>
                <w:rFonts w:eastAsia="Times New Roman" w:cstheme="minorHAnsi"/>
                <w:sz w:val="20"/>
                <w:szCs w:val="20"/>
                <w:lang w:eastAsia="en-AU"/>
              </w:rPr>
            </w:pPr>
          </w:p>
        </w:tc>
      </w:tr>
      <w:tr w:rsidR="006E7BBC" w:rsidRPr="006E7BBC" w14:paraId="63535CB6" w14:textId="77777777" w:rsidTr="00833928">
        <w:trPr>
          <w:trHeight w:val="424"/>
        </w:trPr>
        <w:tc>
          <w:tcPr>
            <w:tcW w:w="2972" w:type="dxa"/>
            <w:vAlign w:val="center"/>
          </w:tcPr>
          <w:p w14:paraId="359CB195" w14:textId="77777777" w:rsidR="006E7BBC" w:rsidRPr="006E7BBC" w:rsidRDefault="006E7BBC" w:rsidP="006E7BBC">
            <w:pPr>
              <w:rPr>
                <w:rFonts w:cstheme="minorHAnsi"/>
                <w:sz w:val="20"/>
                <w:szCs w:val="20"/>
              </w:rPr>
            </w:pPr>
            <w:r w:rsidRPr="006E7BBC">
              <w:rPr>
                <w:rFonts w:cstheme="minorHAnsi"/>
                <w:color w:val="011A3C"/>
                <w:sz w:val="20"/>
                <w:szCs w:val="20"/>
                <w:lang w:val="en"/>
              </w:rPr>
              <w:t>STEM facilities</w:t>
            </w:r>
            <w:r w:rsidRPr="006E7BBC">
              <w:rPr>
                <w:rFonts w:cstheme="minorHAnsi"/>
                <w:color w:val="011A3C"/>
                <w:sz w:val="20"/>
                <w:szCs w:val="20"/>
              </w:rPr>
              <w:t> </w:t>
            </w:r>
          </w:p>
        </w:tc>
        <w:tc>
          <w:tcPr>
            <w:tcW w:w="2268" w:type="dxa"/>
            <w:vAlign w:val="center"/>
          </w:tcPr>
          <w:p w14:paraId="5755671C" w14:textId="77777777" w:rsidR="006E7BBC" w:rsidRPr="006E7BBC" w:rsidRDefault="006E7BBC" w:rsidP="006E7BBC">
            <w:pPr>
              <w:spacing w:before="100" w:beforeAutospacing="1" w:after="100" w:afterAutospacing="1"/>
              <w:textAlignment w:val="baseline"/>
              <w:rPr>
                <w:rFonts w:eastAsia="Times New Roman" w:cstheme="minorHAnsi"/>
                <w:sz w:val="20"/>
                <w:szCs w:val="20"/>
                <w:lang w:eastAsia="en-AU"/>
              </w:rPr>
            </w:pPr>
            <w:r w:rsidRPr="006E7BBC">
              <w:rPr>
                <w:rFonts w:eastAsia="Times New Roman" w:cstheme="minorHAnsi"/>
                <w:sz w:val="20"/>
                <w:szCs w:val="20"/>
                <w:lang w:eastAsia="en-AU"/>
              </w:rPr>
              <w:t>Campus</w:t>
            </w:r>
          </w:p>
        </w:tc>
        <w:tc>
          <w:tcPr>
            <w:tcW w:w="1985" w:type="dxa"/>
            <w:vAlign w:val="center"/>
          </w:tcPr>
          <w:p w14:paraId="0261900B" w14:textId="77777777" w:rsidR="006E7BBC" w:rsidRPr="006E7BBC" w:rsidRDefault="006E7BBC" w:rsidP="006E7BBC">
            <w:pPr>
              <w:spacing w:before="100" w:beforeAutospacing="1" w:after="100" w:afterAutospacing="1"/>
              <w:jc w:val="center"/>
              <w:textAlignment w:val="baseline"/>
              <w:rPr>
                <w:rFonts w:eastAsia="Times New Roman" w:cstheme="minorHAnsi"/>
                <w:sz w:val="20"/>
                <w:szCs w:val="20"/>
                <w:lang w:eastAsia="en-AU"/>
              </w:rPr>
            </w:pPr>
            <w:r w:rsidRPr="006E7BBC">
              <w:rPr>
                <w:rFonts w:eastAsia="Times New Roman" w:cstheme="minorHAnsi"/>
                <w:sz w:val="20"/>
                <w:szCs w:val="20"/>
                <w:lang w:eastAsia="en-AU"/>
              </w:rPr>
              <w:t>1%</w:t>
            </w:r>
          </w:p>
        </w:tc>
        <w:tc>
          <w:tcPr>
            <w:tcW w:w="2268" w:type="dxa"/>
            <w:vAlign w:val="center"/>
          </w:tcPr>
          <w:p w14:paraId="73DF9490" w14:textId="77777777" w:rsidR="006E7BBC" w:rsidRPr="006E7BBC" w:rsidRDefault="006E7BBC" w:rsidP="006E7BBC">
            <w:pPr>
              <w:spacing w:before="100" w:beforeAutospacing="1" w:after="100" w:afterAutospacing="1"/>
              <w:jc w:val="right"/>
              <w:textAlignment w:val="baseline"/>
              <w:rPr>
                <w:rFonts w:eastAsia="Times New Roman" w:cstheme="minorHAnsi"/>
                <w:sz w:val="20"/>
                <w:szCs w:val="20"/>
                <w:lang w:eastAsia="en-AU"/>
              </w:rPr>
            </w:pPr>
            <w:r w:rsidRPr="006E7BBC">
              <w:rPr>
                <w:rFonts w:eastAsia="Times New Roman" w:cstheme="minorHAnsi"/>
                <w:sz w:val="20"/>
                <w:szCs w:val="20"/>
                <w:lang w:eastAsia="en-AU"/>
              </w:rPr>
              <w:t>-</w:t>
            </w:r>
          </w:p>
        </w:tc>
      </w:tr>
      <w:tr w:rsidR="006E7BBC" w:rsidRPr="006E7BBC" w14:paraId="7D7EC066" w14:textId="77777777" w:rsidTr="00833928">
        <w:trPr>
          <w:trHeight w:val="423"/>
        </w:trPr>
        <w:tc>
          <w:tcPr>
            <w:tcW w:w="2972" w:type="dxa"/>
            <w:vAlign w:val="center"/>
          </w:tcPr>
          <w:p w14:paraId="1018A164" w14:textId="77777777" w:rsidR="006E7BBC" w:rsidRPr="006E7BBC" w:rsidRDefault="006E7BBC" w:rsidP="006E7BBC">
            <w:pPr>
              <w:rPr>
                <w:rFonts w:cstheme="minorHAnsi"/>
                <w:sz w:val="20"/>
                <w:szCs w:val="20"/>
              </w:rPr>
            </w:pPr>
            <w:r w:rsidRPr="006E7BBC">
              <w:rPr>
                <w:rFonts w:cstheme="minorHAnsi"/>
                <w:color w:val="011A3C"/>
                <w:sz w:val="20"/>
                <w:szCs w:val="20"/>
                <w:lang w:val="en"/>
              </w:rPr>
              <w:t>Specialist schools </w:t>
            </w:r>
            <w:r w:rsidRPr="006E7BBC">
              <w:rPr>
                <w:rFonts w:cstheme="minorHAnsi"/>
                <w:color w:val="011A3C"/>
                <w:sz w:val="20"/>
                <w:szCs w:val="20"/>
              </w:rPr>
              <w:t> </w:t>
            </w:r>
          </w:p>
        </w:tc>
        <w:tc>
          <w:tcPr>
            <w:tcW w:w="2268" w:type="dxa"/>
            <w:vAlign w:val="center"/>
          </w:tcPr>
          <w:p w14:paraId="1BF422B1" w14:textId="77777777" w:rsidR="006E7BBC" w:rsidRPr="006E7BBC" w:rsidRDefault="006E7BBC" w:rsidP="006E7BBC">
            <w:pPr>
              <w:spacing w:before="100" w:beforeAutospacing="1" w:after="100" w:afterAutospacing="1"/>
              <w:textAlignment w:val="baseline"/>
              <w:rPr>
                <w:rFonts w:eastAsia="Times New Roman" w:cstheme="minorHAnsi"/>
                <w:sz w:val="20"/>
                <w:szCs w:val="20"/>
                <w:lang w:eastAsia="en-AU"/>
              </w:rPr>
            </w:pPr>
            <w:r w:rsidRPr="006E7BBC">
              <w:rPr>
                <w:rFonts w:eastAsia="Times New Roman" w:cstheme="minorHAnsi"/>
                <w:sz w:val="20"/>
                <w:szCs w:val="20"/>
                <w:lang w:eastAsia="en-AU"/>
              </w:rPr>
              <w:t>Campus</w:t>
            </w:r>
          </w:p>
        </w:tc>
        <w:tc>
          <w:tcPr>
            <w:tcW w:w="1985" w:type="dxa"/>
            <w:vAlign w:val="center"/>
          </w:tcPr>
          <w:p w14:paraId="7FE39DF7" w14:textId="77777777" w:rsidR="006E7BBC" w:rsidRPr="006E7BBC" w:rsidRDefault="006E7BBC" w:rsidP="006E7BBC">
            <w:pPr>
              <w:spacing w:before="100" w:beforeAutospacing="1" w:after="100" w:afterAutospacing="1"/>
              <w:jc w:val="center"/>
              <w:textAlignment w:val="baseline"/>
              <w:rPr>
                <w:rFonts w:eastAsia="Times New Roman" w:cstheme="minorHAnsi"/>
                <w:sz w:val="20"/>
                <w:szCs w:val="20"/>
                <w:lang w:eastAsia="en-AU"/>
              </w:rPr>
            </w:pPr>
            <w:r w:rsidRPr="006E7BBC">
              <w:rPr>
                <w:rFonts w:eastAsia="Times New Roman" w:cstheme="minorHAnsi"/>
                <w:sz w:val="20"/>
                <w:szCs w:val="20"/>
                <w:lang w:eastAsia="en-AU"/>
              </w:rPr>
              <w:t>15%</w:t>
            </w:r>
          </w:p>
        </w:tc>
        <w:tc>
          <w:tcPr>
            <w:tcW w:w="2268" w:type="dxa"/>
            <w:vAlign w:val="center"/>
          </w:tcPr>
          <w:p w14:paraId="5A2FF960" w14:textId="77777777" w:rsidR="006E7BBC" w:rsidRPr="006E7BBC" w:rsidRDefault="006E7BBC" w:rsidP="006E7BBC">
            <w:pPr>
              <w:spacing w:before="100" w:beforeAutospacing="1" w:after="100" w:afterAutospacing="1"/>
              <w:jc w:val="right"/>
              <w:textAlignment w:val="baseline"/>
              <w:rPr>
                <w:rFonts w:eastAsia="Times New Roman" w:cstheme="minorHAnsi"/>
                <w:sz w:val="20"/>
                <w:szCs w:val="20"/>
                <w:lang w:eastAsia="en-AU"/>
              </w:rPr>
            </w:pPr>
            <w:r w:rsidRPr="006E7BBC">
              <w:rPr>
                <w:rFonts w:eastAsia="Times New Roman" w:cstheme="minorHAnsi"/>
                <w:sz w:val="20"/>
                <w:szCs w:val="20"/>
                <w:lang w:eastAsia="en-AU"/>
              </w:rPr>
              <w:t>-</w:t>
            </w:r>
          </w:p>
        </w:tc>
      </w:tr>
      <w:tr w:rsidR="006E7BBC" w:rsidRPr="006E7BBC" w14:paraId="4FE411A8" w14:textId="77777777" w:rsidTr="00833928">
        <w:trPr>
          <w:trHeight w:val="423"/>
        </w:trPr>
        <w:tc>
          <w:tcPr>
            <w:tcW w:w="2972" w:type="dxa"/>
            <w:vAlign w:val="center"/>
          </w:tcPr>
          <w:p w14:paraId="02A7F1CF" w14:textId="77777777" w:rsidR="006E7BBC" w:rsidRPr="006E7BBC" w:rsidRDefault="006E7BBC" w:rsidP="006E7BBC">
            <w:pPr>
              <w:rPr>
                <w:rFonts w:cstheme="minorHAnsi"/>
                <w:sz w:val="20"/>
                <w:szCs w:val="20"/>
              </w:rPr>
            </w:pPr>
            <w:r w:rsidRPr="006E7BBC">
              <w:rPr>
                <w:rFonts w:cstheme="minorHAnsi"/>
                <w:color w:val="011A3C"/>
                <w:sz w:val="20"/>
                <w:szCs w:val="20"/>
                <w:lang w:val="en"/>
              </w:rPr>
              <w:t>Hydro pools</w:t>
            </w:r>
            <w:r w:rsidRPr="006E7BBC">
              <w:rPr>
                <w:rFonts w:cstheme="minorHAnsi"/>
                <w:color w:val="011A3C"/>
                <w:sz w:val="20"/>
                <w:szCs w:val="20"/>
              </w:rPr>
              <w:t> – Special Schools</w:t>
            </w:r>
          </w:p>
        </w:tc>
        <w:tc>
          <w:tcPr>
            <w:tcW w:w="2268" w:type="dxa"/>
            <w:vAlign w:val="center"/>
          </w:tcPr>
          <w:p w14:paraId="7FF44346" w14:textId="77777777" w:rsidR="006E7BBC" w:rsidRPr="006E7BBC" w:rsidRDefault="006E7BBC" w:rsidP="006E7BBC">
            <w:pPr>
              <w:spacing w:before="100" w:beforeAutospacing="1" w:after="100" w:afterAutospacing="1"/>
              <w:textAlignment w:val="baseline"/>
              <w:rPr>
                <w:rFonts w:eastAsia="Times New Roman" w:cstheme="minorHAnsi"/>
                <w:sz w:val="20"/>
                <w:szCs w:val="20"/>
                <w:lang w:eastAsia="en-AU"/>
              </w:rPr>
            </w:pPr>
            <w:r w:rsidRPr="006E7BBC">
              <w:rPr>
                <w:rFonts w:eastAsia="Times New Roman" w:cstheme="minorHAnsi"/>
                <w:sz w:val="20"/>
                <w:szCs w:val="20"/>
                <w:lang w:eastAsia="en-AU"/>
              </w:rPr>
              <w:t>Campus</w:t>
            </w:r>
          </w:p>
        </w:tc>
        <w:tc>
          <w:tcPr>
            <w:tcW w:w="1985" w:type="dxa"/>
            <w:vAlign w:val="center"/>
          </w:tcPr>
          <w:p w14:paraId="58C5D3A9" w14:textId="77777777" w:rsidR="006E7BBC" w:rsidRPr="006E7BBC" w:rsidRDefault="006E7BBC" w:rsidP="006E7BBC">
            <w:pPr>
              <w:spacing w:before="100" w:beforeAutospacing="1" w:after="100" w:afterAutospacing="1"/>
              <w:jc w:val="center"/>
              <w:textAlignment w:val="baseline"/>
              <w:rPr>
                <w:rFonts w:eastAsia="Times New Roman" w:cstheme="minorHAnsi"/>
                <w:sz w:val="20"/>
                <w:szCs w:val="20"/>
                <w:lang w:eastAsia="en-AU"/>
              </w:rPr>
            </w:pPr>
            <w:r w:rsidRPr="006E7BBC">
              <w:rPr>
                <w:rFonts w:eastAsia="Times New Roman" w:cstheme="minorHAnsi"/>
                <w:sz w:val="20"/>
                <w:szCs w:val="20"/>
                <w:lang w:eastAsia="en-AU"/>
              </w:rPr>
              <w:t>-</w:t>
            </w:r>
          </w:p>
        </w:tc>
        <w:tc>
          <w:tcPr>
            <w:tcW w:w="2268" w:type="dxa"/>
            <w:vAlign w:val="center"/>
          </w:tcPr>
          <w:p w14:paraId="3855D549" w14:textId="168A39E4" w:rsidR="006E7BBC" w:rsidRPr="006E7BBC" w:rsidRDefault="006E7BBC" w:rsidP="006E7BBC">
            <w:pPr>
              <w:spacing w:before="100" w:beforeAutospacing="1" w:after="100" w:afterAutospacing="1"/>
              <w:jc w:val="right"/>
              <w:textAlignment w:val="baseline"/>
              <w:rPr>
                <w:rFonts w:eastAsia="Times New Roman" w:cstheme="minorHAnsi"/>
                <w:sz w:val="20"/>
                <w:szCs w:val="20"/>
                <w:lang w:eastAsia="en-AU"/>
              </w:rPr>
            </w:pPr>
            <w:r w:rsidRPr="006E7BBC">
              <w:rPr>
                <w:rFonts w:eastAsia="Times New Roman" w:cstheme="minorHAnsi"/>
                <w:sz w:val="20"/>
                <w:szCs w:val="20"/>
                <w:lang w:eastAsia="en-AU"/>
              </w:rPr>
              <w:t>$</w:t>
            </w:r>
            <w:r w:rsidR="007F2D79">
              <w:rPr>
                <w:rFonts w:eastAsia="Times New Roman" w:cstheme="minorHAnsi"/>
                <w:sz w:val="20"/>
                <w:szCs w:val="20"/>
                <w:lang w:eastAsia="en-AU"/>
              </w:rPr>
              <w:t>8,934</w:t>
            </w:r>
          </w:p>
        </w:tc>
      </w:tr>
      <w:tr w:rsidR="006E7BBC" w:rsidRPr="006E7BBC" w14:paraId="1380D80D" w14:textId="77777777" w:rsidTr="00833928">
        <w:trPr>
          <w:trHeight w:val="424"/>
        </w:trPr>
        <w:tc>
          <w:tcPr>
            <w:tcW w:w="2972" w:type="dxa"/>
            <w:vAlign w:val="center"/>
          </w:tcPr>
          <w:p w14:paraId="7B864673" w14:textId="77777777" w:rsidR="006E7BBC" w:rsidRPr="006E7BBC" w:rsidRDefault="006E7BBC" w:rsidP="006E7BBC">
            <w:pPr>
              <w:rPr>
                <w:rFonts w:cstheme="minorHAnsi"/>
                <w:sz w:val="20"/>
                <w:szCs w:val="20"/>
              </w:rPr>
            </w:pPr>
            <w:r w:rsidRPr="006E7BBC">
              <w:rPr>
                <w:rFonts w:cstheme="minorHAnsi"/>
                <w:color w:val="011A3C"/>
                <w:sz w:val="20"/>
                <w:szCs w:val="20"/>
                <w:lang w:val="en"/>
              </w:rPr>
              <w:t>Lifts – Passenger**</w:t>
            </w:r>
          </w:p>
        </w:tc>
        <w:tc>
          <w:tcPr>
            <w:tcW w:w="2268" w:type="dxa"/>
            <w:vAlign w:val="center"/>
          </w:tcPr>
          <w:p w14:paraId="6949A39C" w14:textId="77777777" w:rsidR="006E7BBC" w:rsidRPr="006E7BBC" w:rsidRDefault="006E7BBC" w:rsidP="006E7BBC">
            <w:pPr>
              <w:spacing w:before="100" w:beforeAutospacing="1" w:after="100" w:afterAutospacing="1"/>
              <w:textAlignment w:val="baseline"/>
              <w:rPr>
                <w:rFonts w:eastAsia="Times New Roman" w:cstheme="minorHAnsi"/>
                <w:sz w:val="20"/>
                <w:szCs w:val="20"/>
                <w:lang w:eastAsia="en-AU"/>
              </w:rPr>
            </w:pPr>
            <w:r w:rsidRPr="006E7BBC">
              <w:rPr>
                <w:rFonts w:eastAsia="Times New Roman" w:cstheme="minorHAnsi"/>
                <w:sz w:val="20"/>
                <w:szCs w:val="20"/>
                <w:lang w:eastAsia="en-AU"/>
              </w:rPr>
              <w:t>Campus</w:t>
            </w:r>
          </w:p>
        </w:tc>
        <w:tc>
          <w:tcPr>
            <w:tcW w:w="1985" w:type="dxa"/>
            <w:vAlign w:val="center"/>
          </w:tcPr>
          <w:p w14:paraId="49167EFF" w14:textId="77777777" w:rsidR="006E7BBC" w:rsidRPr="006E7BBC" w:rsidRDefault="006E7BBC" w:rsidP="006E7BBC">
            <w:pPr>
              <w:spacing w:before="100" w:beforeAutospacing="1" w:after="100" w:afterAutospacing="1"/>
              <w:jc w:val="center"/>
              <w:textAlignment w:val="baseline"/>
              <w:rPr>
                <w:rFonts w:eastAsia="Times New Roman" w:cstheme="minorHAnsi"/>
                <w:sz w:val="20"/>
                <w:szCs w:val="20"/>
                <w:lang w:eastAsia="en-AU"/>
              </w:rPr>
            </w:pPr>
            <w:r w:rsidRPr="006E7BBC">
              <w:rPr>
                <w:rFonts w:eastAsia="Times New Roman" w:cstheme="minorHAnsi"/>
                <w:sz w:val="20"/>
                <w:szCs w:val="20"/>
                <w:lang w:eastAsia="en-AU"/>
              </w:rPr>
              <w:t>-</w:t>
            </w:r>
          </w:p>
        </w:tc>
        <w:tc>
          <w:tcPr>
            <w:tcW w:w="2268" w:type="dxa"/>
            <w:vAlign w:val="center"/>
          </w:tcPr>
          <w:p w14:paraId="7F12E8FB" w14:textId="4FDBA091" w:rsidR="006E7BBC" w:rsidRPr="006E7BBC" w:rsidRDefault="006E7BBC" w:rsidP="006E7BBC">
            <w:pPr>
              <w:spacing w:before="100" w:beforeAutospacing="1" w:after="100" w:afterAutospacing="1"/>
              <w:jc w:val="right"/>
              <w:textAlignment w:val="baseline"/>
              <w:rPr>
                <w:rFonts w:eastAsia="Times New Roman" w:cstheme="minorHAnsi"/>
                <w:sz w:val="20"/>
                <w:szCs w:val="20"/>
                <w:lang w:eastAsia="en-AU"/>
              </w:rPr>
            </w:pPr>
            <w:r w:rsidRPr="006E7BBC">
              <w:rPr>
                <w:rFonts w:eastAsia="Times New Roman" w:cstheme="minorHAnsi"/>
                <w:sz w:val="20"/>
                <w:szCs w:val="20"/>
                <w:lang w:eastAsia="en-AU"/>
              </w:rPr>
              <w:t>$</w:t>
            </w:r>
            <w:r w:rsidR="007F2D79">
              <w:rPr>
                <w:rFonts w:eastAsia="Times New Roman" w:cstheme="minorHAnsi"/>
                <w:sz w:val="20"/>
                <w:szCs w:val="20"/>
                <w:lang w:eastAsia="en-AU"/>
              </w:rPr>
              <w:t>5,855.57</w:t>
            </w:r>
          </w:p>
        </w:tc>
      </w:tr>
      <w:tr w:rsidR="006E7BBC" w:rsidRPr="006E7BBC" w14:paraId="4FF557AE" w14:textId="77777777" w:rsidTr="00833928">
        <w:trPr>
          <w:trHeight w:val="423"/>
        </w:trPr>
        <w:tc>
          <w:tcPr>
            <w:tcW w:w="2972" w:type="dxa"/>
            <w:vAlign w:val="center"/>
          </w:tcPr>
          <w:p w14:paraId="50ED2FBB" w14:textId="77777777" w:rsidR="006E7BBC" w:rsidRPr="006E7BBC" w:rsidRDefault="006E7BBC" w:rsidP="006E7BBC">
            <w:pPr>
              <w:rPr>
                <w:rFonts w:cstheme="minorHAnsi"/>
                <w:color w:val="011A3C"/>
                <w:sz w:val="20"/>
                <w:szCs w:val="20"/>
                <w:lang w:val="en"/>
              </w:rPr>
            </w:pPr>
            <w:r w:rsidRPr="006E7BBC">
              <w:rPr>
                <w:rFonts w:cstheme="minorHAnsi"/>
                <w:color w:val="011A3C"/>
                <w:sz w:val="20"/>
                <w:szCs w:val="20"/>
                <w:lang w:val="en"/>
              </w:rPr>
              <w:t>Lifts – Chair**</w:t>
            </w:r>
          </w:p>
        </w:tc>
        <w:tc>
          <w:tcPr>
            <w:tcW w:w="2268" w:type="dxa"/>
            <w:vAlign w:val="center"/>
          </w:tcPr>
          <w:p w14:paraId="364CFDF0" w14:textId="77777777" w:rsidR="006E7BBC" w:rsidRPr="006E7BBC" w:rsidRDefault="006E7BBC" w:rsidP="006E7BBC">
            <w:pPr>
              <w:spacing w:before="100" w:beforeAutospacing="1" w:after="100" w:afterAutospacing="1"/>
              <w:textAlignment w:val="baseline"/>
              <w:rPr>
                <w:rFonts w:eastAsia="Times New Roman" w:cstheme="minorHAnsi"/>
                <w:sz w:val="20"/>
                <w:szCs w:val="20"/>
                <w:lang w:eastAsia="en-AU"/>
              </w:rPr>
            </w:pPr>
            <w:r w:rsidRPr="006E7BBC">
              <w:rPr>
                <w:rFonts w:eastAsia="Times New Roman" w:cstheme="minorHAnsi"/>
                <w:sz w:val="20"/>
                <w:szCs w:val="20"/>
                <w:lang w:eastAsia="en-AU"/>
              </w:rPr>
              <w:t>Campus</w:t>
            </w:r>
          </w:p>
        </w:tc>
        <w:tc>
          <w:tcPr>
            <w:tcW w:w="1985" w:type="dxa"/>
            <w:vAlign w:val="center"/>
          </w:tcPr>
          <w:p w14:paraId="42B6B455" w14:textId="77777777" w:rsidR="006E7BBC" w:rsidRPr="006E7BBC" w:rsidRDefault="006E7BBC" w:rsidP="006E7BBC">
            <w:pPr>
              <w:jc w:val="center"/>
              <w:textAlignment w:val="baseline"/>
              <w:rPr>
                <w:rFonts w:eastAsia="Times New Roman" w:cstheme="minorHAnsi"/>
                <w:sz w:val="20"/>
                <w:szCs w:val="20"/>
                <w:lang w:eastAsia="en-AU"/>
              </w:rPr>
            </w:pPr>
            <w:r w:rsidRPr="006E7BBC">
              <w:rPr>
                <w:rFonts w:eastAsia="Times New Roman" w:cstheme="minorHAnsi"/>
                <w:sz w:val="20"/>
                <w:szCs w:val="20"/>
                <w:lang w:eastAsia="en-AU"/>
              </w:rPr>
              <w:t>-</w:t>
            </w:r>
          </w:p>
        </w:tc>
        <w:tc>
          <w:tcPr>
            <w:tcW w:w="2268" w:type="dxa"/>
            <w:vAlign w:val="center"/>
          </w:tcPr>
          <w:p w14:paraId="7630FA0A" w14:textId="37ABC91F" w:rsidR="006E7BBC" w:rsidRPr="006E7BBC" w:rsidRDefault="006E7BBC" w:rsidP="006E7BBC">
            <w:pPr>
              <w:spacing w:before="100" w:beforeAutospacing="1" w:after="100" w:afterAutospacing="1"/>
              <w:jc w:val="right"/>
              <w:textAlignment w:val="baseline"/>
              <w:rPr>
                <w:rFonts w:eastAsia="Times New Roman" w:cstheme="minorHAnsi"/>
                <w:sz w:val="20"/>
                <w:szCs w:val="20"/>
                <w:lang w:eastAsia="en-AU"/>
              </w:rPr>
            </w:pPr>
            <w:r w:rsidRPr="006E7BBC">
              <w:rPr>
                <w:rFonts w:eastAsia="Times New Roman" w:cstheme="minorHAnsi"/>
                <w:sz w:val="20"/>
                <w:szCs w:val="20"/>
                <w:lang w:eastAsia="en-AU"/>
              </w:rPr>
              <w:t>$1</w:t>
            </w:r>
            <w:r w:rsidR="00E11A4D">
              <w:rPr>
                <w:rFonts w:eastAsia="Times New Roman" w:cstheme="minorHAnsi"/>
                <w:sz w:val="20"/>
                <w:szCs w:val="20"/>
                <w:lang w:eastAsia="en-AU"/>
              </w:rPr>
              <w:t>,</w:t>
            </w:r>
            <w:r w:rsidR="00535989">
              <w:rPr>
                <w:rFonts w:eastAsia="Times New Roman" w:cstheme="minorHAnsi"/>
                <w:sz w:val="20"/>
                <w:szCs w:val="20"/>
                <w:lang w:eastAsia="en-AU"/>
              </w:rPr>
              <w:t>681</w:t>
            </w:r>
          </w:p>
        </w:tc>
      </w:tr>
      <w:tr w:rsidR="006E7BBC" w:rsidRPr="006E7BBC" w14:paraId="16CF1A59" w14:textId="77777777" w:rsidTr="00833928">
        <w:trPr>
          <w:trHeight w:val="424"/>
        </w:trPr>
        <w:tc>
          <w:tcPr>
            <w:tcW w:w="2972" w:type="dxa"/>
            <w:vAlign w:val="center"/>
          </w:tcPr>
          <w:p w14:paraId="12318668" w14:textId="77777777" w:rsidR="006E7BBC" w:rsidRPr="006E7BBC" w:rsidRDefault="006E7BBC" w:rsidP="006E7BBC">
            <w:pPr>
              <w:rPr>
                <w:rFonts w:cstheme="minorHAnsi"/>
                <w:color w:val="011A3C"/>
                <w:sz w:val="20"/>
                <w:szCs w:val="20"/>
                <w:lang w:val="en"/>
              </w:rPr>
            </w:pPr>
            <w:r w:rsidRPr="006E7BBC">
              <w:rPr>
                <w:rFonts w:cstheme="minorHAnsi"/>
                <w:color w:val="011A3C"/>
                <w:sz w:val="20"/>
                <w:szCs w:val="20"/>
                <w:lang w:val="en"/>
              </w:rPr>
              <w:t>Water Treatment Plant</w:t>
            </w:r>
          </w:p>
        </w:tc>
        <w:tc>
          <w:tcPr>
            <w:tcW w:w="2268" w:type="dxa"/>
            <w:vAlign w:val="center"/>
          </w:tcPr>
          <w:p w14:paraId="10FDEF3E" w14:textId="77777777" w:rsidR="006E7BBC" w:rsidRPr="006E7BBC" w:rsidRDefault="006E7BBC" w:rsidP="006E7BBC">
            <w:pPr>
              <w:spacing w:before="100" w:beforeAutospacing="1" w:after="100" w:afterAutospacing="1"/>
              <w:textAlignment w:val="baseline"/>
              <w:rPr>
                <w:rFonts w:eastAsia="Times New Roman" w:cstheme="minorHAnsi"/>
                <w:sz w:val="20"/>
                <w:szCs w:val="20"/>
                <w:lang w:eastAsia="en-AU"/>
              </w:rPr>
            </w:pPr>
            <w:r w:rsidRPr="006E7BBC">
              <w:rPr>
                <w:rFonts w:eastAsia="Times New Roman" w:cstheme="minorHAnsi"/>
                <w:sz w:val="20"/>
                <w:szCs w:val="20"/>
                <w:lang w:eastAsia="en-AU"/>
              </w:rPr>
              <w:t>Campus</w:t>
            </w:r>
          </w:p>
        </w:tc>
        <w:tc>
          <w:tcPr>
            <w:tcW w:w="1985" w:type="dxa"/>
            <w:vAlign w:val="center"/>
          </w:tcPr>
          <w:p w14:paraId="78CFDE7C" w14:textId="77777777" w:rsidR="006E7BBC" w:rsidRPr="006E7BBC" w:rsidRDefault="006E7BBC" w:rsidP="006E7BBC">
            <w:pPr>
              <w:jc w:val="center"/>
              <w:textAlignment w:val="baseline"/>
              <w:rPr>
                <w:rFonts w:eastAsia="Times New Roman" w:cstheme="minorHAnsi"/>
                <w:sz w:val="20"/>
                <w:szCs w:val="20"/>
                <w:lang w:eastAsia="en-AU"/>
              </w:rPr>
            </w:pPr>
            <w:r w:rsidRPr="006E7BBC">
              <w:rPr>
                <w:rFonts w:eastAsia="Times New Roman" w:cstheme="minorHAnsi"/>
                <w:sz w:val="20"/>
                <w:szCs w:val="20"/>
                <w:lang w:eastAsia="en-AU"/>
              </w:rPr>
              <w:t>-</w:t>
            </w:r>
          </w:p>
        </w:tc>
        <w:tc>
          <w:tcPr>
            <w:tcW w:w="2268" w:type="dxa"/>
            <w:vAlign w:val="center"/>
          </w:tcPr>
          <w:p w14:paraId="59972764" w14:textId="544F7A0F" w:rsidR="006E7BBC" w:rsidRPr="006E7BBC" w:rsidRDefault="006E7BBC" w:rsidP="006E7BBC">
            <w:pPr>
              <w:spacing w:before="100" w:beforeAutospacing="1" w:after="100" w:afterAutospacing="1"/>
              <w:jc w:val="right"/>
              <w:textAlignment w:val="baseline"/>
              <w:rPr>
                <w:rFonts w:eastAsia="Times New Roman" w:cstheme="minorHAnsi"/>
                <w:sz w:val="20"/>
                <w:szCs w:val="20"/>
                <w:lang w:eastAsia="en-AU"/>
              </w:rPr>
            </w:pPr>
            <w:r w:rsidRPr="006E7BBC">
              <w:rPr>
                <w:rFonts w:eastAsia="Times New Roman" w:cstheme="minorHAnsi"/>
                <w:sz w:val="20"/>
                <w:szCs w:val="20"/>
                <w:lang w:eastAsia="en-AU"/>
              </w:rPr>
              <w:t>$</w:t>
            </w:r>
            <w:r w:rsidR="00535989">
              <w:rPr>
                <w:rFonts w:eastAsia="Times New Roman" w:cstheme="minorHAnsi"/>
                <w:sz w:val="20"/>
                <w:szCs w:val="20"/>
                <w:lang w:eastAsia="en-AU"/>
              </w:rPr>
              <w:t>39,097</w:t>
            </w:r>
          </w:p>
        </w:tc>
      </w:tr>
    </w:tbl>
    <w:p w14:paraId="7EC73BC8" w14:textId="48054508" w:rsidR="006E7BBC" w:rsidRPr="006E7BBC" w:rsidRDefault="006E7BBC" w:rsidP="006E7BBC">
      <w:pPr>
        <w:rPr>
          <w:rFonts w:ascii="Calibri" w:eastAsia="Times New Roman" w:hAnsi="Calibri" w:cs="Calibri"/>
          <w:b/>
          <w:bCs/>
          <w:color w:val="011A3C"/>
          <w:sz w:val="24"/>
          <w:szCs w:val="24"/>
          <w:lang w:eastAsia="en-AU"/>
        </w:rPr>
      </w:pPr>
      <w:r w:rsidRPr="006E7BBC">
        <w:rPr>
          <w:rFonts w:ascii="Calibri" w:hAnsi="Calibri" w:cs="Calibri"/>
          <w:i/>
          <w:iCs/>
        </w:rPr>
        <w:t>*As applicable</w:t>
      </w:r>
      <w:r w:rsidRPr="006E7BBC">
        <w:rPr>
          <w:rFonts w:ascii="Calibri" w:hAnsi="Calibri" w:cs="Calibri"/>
          <w:i/>
          <w:iCs/>
        </w:rPr>
        <w:br/>
      </w:r>
      <w:r w:rsidRPr="006E7BBC">
        <w:rPr>
          <w:rFonts w:ascii="Calibri" w:hAnsi="Calibri" w:cs="Calibri"/>
          <w:i/>
          <w:iCs/>
          <w:color w:val="011A3C"/>
          <w:lang w:val="en"/>
        </w:rPr>
        <w:t xml:space="preserve">**This </w:t>
      </w:r>
      <w:r w:rsidRPr="00950CBB">
        <w:rPr>
          <w:rFonts w:ascii="Calibri" w:hAnsi="Calibri"/>
          <w:i/>
          <w:color w:val="011A3C"/>
          <w:lang w:val="en"/>
        </w:rPr>
        <w:t xml:space="preserve">covers the ongoing </w:t>
      </w:r>
      <w:r w:rsidRPr="00950CBB">
        <w:rPr>
          <w:i/>
        </w:rPr>
        <w:t>maintenance</w:t>
      </w:r>
      <w:r w:rsidRPr="00950CBB">
        <w:rPr>
          <w:rFonts w:ascii="Calibri" w:hAnsi="Calibri"/>
          <w:i/>
          <w:color w:val="011A3C"/>
          <w:lang w:val="en"/>
        </w:rPr>
        <w:t xml:space="preserve"> of lifts, </w:t>
      </w:r>
      <w:r w:rsidRPr="006E7BBC">
        <w:rPr>
          <w:rFonts w:ascii="Calibri" w:hAnsi="Calibri" w:cs="Calibri"/>
          <w:i/>
          <w:iCs/>
          <w:color w:val="011A3C"/>
          <w:lang w:val="en"/>
        </w:rPr>
        <w:t xml:space="preserve">noting that </w:t>
      </w:r>
      <w:r w:rsidRPr="00950CBB">
        <w:rPr>
          <w:rFonts w:ascii="Calibri" w:hAnsi="Calibri"/>
          <w:i/>
          <w:color w:val="011A3C"/>
          <w:lang w:val="en"/>
        </w:rPr>
        <w:t>lift inspections are covered through the Annual Contracts allocation</w:t>
      </w:r>
      <w:r w:rsidRPr="006E7BBC">
        <w:rPr>
          <w:rFonts w:ascii="Calibri" w:hAnsi="Calibri" w:cs="Calibri"/>
          <w:i/>
          <w:iCs/>
          <w:color w:val="011A3C"/>
          <w:lang w:val="en"/>
        </w:rPr>
        <w:t>)</w:t>
      </w:r>
      <w:r w:rsidRPr="006E7BBC">
        <w:rPr>
          <w:rFonts w:ascii="Calibri" w:hAnsi="Calibri" w:cs="Calibri"/>
          <w:i/>
          <w:iCs/>
          <w:color w:val="011A3C"/>
        </w:rPr>
        <w:t>.</w:t>
      </w:r>
      <w:r w:rsidRPr="006E7BBC">
        <w:br w:type="page"/>
      </w:r>
    </w:p>
    <w:p w14:paraId="3C4D6E61" w14:textId="362CB75D" w:rsidR="006E7BBC" w:rsidRPr="00950CBB" w:rsidRDefault="006E7BBC" w:rsidP="00950CBB">
      <w:pPr>
        <w:spacing w:before="240" w:after="120" w:line="240" w:lineRule="auto"/>
        <w:textAlignment w:val="baseline"/>
        <w:outlineLvl w:val="2"/>
        <w:rPr>
          <w:rFonts w:ascii="Calibri" w:hAnsi="Calibri"/>
          <w:b/>
          <w:color w:val="011A3C"/>
          <w:lang w:val="en"/>
        </w:rPr>
      </w:pPr>
      <w:r w:rsidRPr="00950CBB">
        <w:rPr>
          <w:rFonts w:ascii="Calibri" w:hAnsi="Calibri"/>
          <w:b/>
          <w:color w:val="011A3C"/>
          <w:sz w:val="24"/>
          <w:lang w:val="en"/>
        </w:rPr>
        <w:lastRenderedPageBreak/>
        <w:t>Step 3: School allocation</w:t>
      </w:r>
      <w:r w:rsidRPr="006E7BBC">
        <w:rPr>
          <w:rFonts w:ascii="Calibri" w:eastAsia="Times New Roman" w:hAnsi="Calibri" w:cs="Calibri"/>
          <w:b/>
          <w:bCs/>
          <w:color w:val="011A3C"/>
          <w:sz w:val="24"/>
          <w:szCs w:val="24"/>
          <w:lang w:val="en" w:eastAsia="en-AU"/>
        </w:rPr>
        <w:t> adjusted</w:t>
      </w:r>
    </w:p>
    <w:p w14:paraId="0190497F" w14:textId="01659164" w:rsidR="006E7BBC" w:rsidRPr="006E7BBC" w:rsidRDefault="006E7BBC" w:rsidP="006E7BBC">
      <w:pPr>
        <w:spacing w:before="120" w:after="120"/>
        <w:rPr>
          <w:rFonts w:ascii="Calibri" w:hAnsi="Calibri" w:cs="Calibri"/>
          <w:i/>
          <w:iCs/>
          <w:color w:val="011A3C"/>
          <w:sz w:val="24"/>
          <w:szCs w:val="24"/>
        </w:rPr>
      </w:pPr>
      <w:r w:rsidRPr="006E7BBC">
        <w:rPr>
          <w:rFonts w:ascii="Calibri" w:hAnsi="Calibri" w:cs="Calibri"/>
          <w:b/>
          <w:bCs/>
          <w:i/>
          <w:iCs/>
          <w:color w:val="011A3C"/>
          <w:sz w:val="24"/>
          <w:szCs w:val="24"/>
          <w:lang w:val="en"/>
        </w:rPr>
        <w:t xml:space="preserve">Final </w:t>
      </w:r>
      <w:r w:rsidR="007A1E56">
        <w:rPr>
          <w:rFonts w:ascii="Calibri" w:hAnsi="Calibri" w:cs="Calibri"/>
          <w:b/>
          <w:bCs/>
          <w:i/>
          <w:iCs/>
          <w:color w:val="011A3C"/>
          <w:sz w:val="24"/>
          <w:szCs w:val="24"/>
          <w:lang w:val="en"/>
        </w:rPr>
        <w:t>s</w:t>
      </w:r>
      <w:r w:rsidRPr="006E7BBC">
        <w:rPr>
          <w:rFonts w:ascii="Calibri" w:hAnsi="Calibri" w:cs="Calibri"/>
          <w:b/>
          <w:bCs/>
          <w:i/>
          <w:iCs/>
          <w:color w:val="011A3C"/>
          <w:sz w:val="24"/>
          <w:szCs w:val="24"/>
          <w:lang w:val="en"/>
        </w:rPr>
        <w:t xml:space="preserve">chool </w:t>
      </w:r>
      <w:r w:rsidR="007A1E56">
        <w:rPr>
          <w:rFonts w:ascii="Calibri" w:hAnsi="Calibri" w:cs="Calibri"/>
          <w:b/>
          <w:bCs/>
          <w:i/>
          <w:iCs/>
          <w:color w:val="011A3C"/>
          <w:sz w:val="24"/>
          <w:szCs w:val="24"/>
          <w:lang w:val="en"/>
        </w:rPr>
        <w:t>a</w:t>
      </w:r>
      <w:r w:rsidRPr="006E7BBC">
        <w:rPr>
          <w:rFonts w:ascii="Calibri" w:hAnsi="Calibri" w:cs="Calibri"/>
          <w:b/>
          <w:bCs/>
          <w:i/>
          <w:iCs/>
          <w:color w:val="011A3C"/>
          <w:sz w:val="24"/>
          <w:szCs w:val="24"/>
          <w:lang w:val="en"/>
        </w:rPr>
        <w:t>llocation =</w:t>
      </w:r>
      <w:r w:rsidRPr="006E7BBC">
        <w:rPr>
          <w:rFonts w:ascii="Calibri" w:hAnsi="Calibri" w:cs="Calibri"/>
          <w:i/>
          <w:iCs/>
          <w:color w:val="011A3C"/>
          <w:sz w:val="24"/>
          <w:szCs w:val="24"/>
          <w:lang w:val="en"/>
        </w:rPr>
        <w:t xml:space="preserve"> All school allocations proportionately adjusted to total available yearly MMW budget (Sum of Campus Allocations (Modified Campus Allocation x Excess Space Weighting %, if applicable + Minimum Allocation, if applicable))</w:t>
      </w:r>
    </w:p>
    <w:p w14:paraId="176040D7" w14:textId="77777777" w:rsidR="006E7BBC" w:rsidRPr="006E7BBC" w:rsidRDefault="006E7BBC" w:rsidP="006E7BBC">
      <w:pPr>
        <w:spacing w:after="0" w:line="240" w:lineRule="auto"/>
        <w:textAlignment w:val="baseline"/>
        <w:rPr>
          <w:rFonts w:ascii="Calibri" w:eastAsia="Times New Roman" w:hAnsi="Calibri" w:cs="Calibri"/>
          <w:sz w:val="24"/>
          <w:szCs w:val="24"/>
          <w:lang w:eastAsia="en-AU"/>
        </w:rPr>
      </w:pPr>
      <w:r w:rsidRPr="006E7BBC">
        <w:rPr>
          <w:rFonts w:ascii="Calibri" w:eastAsia="Times New Roman" w:hAnsi="Calibri" w:cs="Calibri"/>
          <w:color w:val="011A3C"/>
          <w:sz w:val="24"/>
          <w:szCs w:val="24"/>
          <w:lang w:eastAsia="en-AU"/>
        </w:rPr>
        <w:t>To calculate a per school allocation:</w:t>
      </w:r>
    </w:p>
    <w:p w14:paraId="62A43852" w14:textId="10064E73" w:rsidR="006E7BBC" w:rsidRPr="00950CBB" w:rsidRDefault="006E7BBC" w:rsidP="00950CBB">
      <w:pPr>
        <w:numPr>
          <w:ilvl w:val="0"/>
          <w:numId w:val="134"/>
        </w:numPr>
        <w:spacing w:after="0" w:line="240" w:lineRule="auto"/>
        <w:textAlignment w:val="baseline"/>
        <w:rPr>
          <w:rFonts w:ascii="Calibri" w:hAnsi="Calibri"/>
          <w:sz w:val="24"/>
        </w:rPr>
      </w:pPr>
      <w:r w:rsidRPr="00950CBB">
        <w:rPr>
          <w:rFonts w:ascii="Calibri" w:hAnsi="Calibri"/>
          <w:color w:val="011A3C"/>
          <w:sz w:val="24"/>
          <w:lang w:val="en"/>
        </w:rPr>
        <w:t xml:space="preserve">The building-level </w:t>
      </w:r>
      <w:r w:rsidRPr="00950CBB">
        <w:rPr>
          <w:rFonts w:ascii="Times New Roman" w:hAnsi="Times New Roman"/>
          <w:sz w:val="24"/>
        </w:rPr>
        <w:t>maintenance</w:t>
      </w:r>
      <w:r w:rsidRPr="00950CBB">
        <w:rPr>
          <w:rFonts w:ascii="Calibri" w:hAnsi="Calibri"/>
          <w:color w:val="011A3C"/>
          <w:sz w:val="24"/>
          <w:lang w:val="en"/>
        </w:rPr>
        <w:t xml:space="preserve"> allocations </w:t>
      </w:r>
      <w:r w:rsidRPr="006E7BBC">
        <w:rPr>
          <w:rFonts w:ascii="Calibri" w:eastAsia="Times New Roman" w:hAnsi="Calibri" w:cs="Calibri"/>
          <w:color w:val="011A3C"/>
          <w:sz w:val="24"/>
          <w:szCs w:val="24"/>
          <w:lang w:val="en" w:eastAsia="en-AU"/>
        </w:rPr>
        <w:t xml:space="preserve">from Step 2 </w:t>
      </w:r>
      <w:r w:rsidRPr="00950CBB">
        <w:rPr>
          <w:rFonts w:ascii="Calibri" w:hAnsi="Calibri"/>
          <w:color w:val="011A3C"/>
          <w:sz w:val="24"/>
          <w:lang w:val="en"/>
        </w:rPr>
        <w:t xml:space="preserve">are </w:t>
      </w:r>
      <w:r w:rsidRPr="006E7BBC">
        <w:rPr>
          <w:rFonts w:ascii="Calibri" w:eastAsia="Times New Roman" w:hAnsi="Calibri" w:cs="Calibri"/>
          <w:color w:val="011A3C"/>
          <w:sz w:val="24"/>
          <w:szCs w:val="24"/>
          <w:lang w:val="en" w:eastAsia="en-AU"/>
        </w:rPr>
        <w:t xml:space="preserve">then </w:t>
      </w:r>
      <w:r w:rsidRPr="00950CBB">
        <w:rPr>
          <w:rFonts w:ascii="Calibri" w:hAnsi="Calibri"/>
          <w:color w:val="011A3C"/>
          <w:sz w:val="24"/>
          <w:lang w:val="en"/>
        </w:rPr>
        <w:t xml:space="preserve">added to produce an overall </w:t>
      </w:r>
      <w:r w:rsidRPr="00950CBB">
        <w:rPr>
          <w:rFonts w:ascii="Times New Roman" w:hAnsi="Times New Roman"/>
          <w:sz w:val="24"/>
        </w:rPr>
        <w:t>maintenance</w:t>
      </w:r>
      <w:r w:rsidRPr="00950CBB">
        <w:rPr>
          <w:rFonts w:ascii="Calibri" w:hAnsi="Calibri"/>
          <w:color w:val="011A3C"/>
          <w:sz w:val="24"/>
          <w:lang w:val="en"/>
        </w:rPr>
        <w:t xml:space="preserve"> allocation for each campus.</w:t>
      </w:r>
      <w:r w:rsidRPr="006E7BBC">
        <w:rPr>
          <w:rFonts w:ascii="Calibri" w:eastAsia="Times New Roman" w:hAnsi="Calibri" w:cs="Calibri"/>
          <w:color w:val="011A3C"/>
          <w:sz w:val="24"/>
          <w:szCs w:val="24"/>
          <w:lang w:val="en" w:eastAsia="en-AU"/>
        </w:rPr>
        <w:t> </w:t>
      </w:r>
      <w:r w:rsidRPr="006E7BBC">
        <w:rPr>
          <w:rFonts w:ascii="Calibri" w:eastAsia="Times New Roman" w:hAnsi="Calibri" w:cs="Calibri"/>
          <w:color w:val="011A3C"/>
          <w:sz w:val="24"/>
          <w:szCs w:val="24"/>
          <w:lang w:eastAsia="en-AU"/>
        </w:rPr>
        <w:t> </w:t>
      </w:r>
    </w:p>
    <w:p w14:paraId="51117A51" w14:textId="54C022DF" w:rsidR="006E7BBC" w:rsidRPr="00950CBB" w:rsidRDefault="006E7BBC" w:rsidP="00950CBB">
      <w:pPr>
        <w:numPr>
          <w:ilvl w:val="0"/>
          <w:numId w:val="134"/>
        </w:numPr>
        <w:spacing w:after="0" w:line="240" w:lineRule="auto"/>
        <w:textAlignment w:val="baseline"/>
        <w:rPr>
          <w:rFonts w:ascii="Calibri" w:hAnsi="Calibri"/>
          <w:sz w:val="24"/>
        </w:rPr>
      </w:pPr>
      <w:r w:rsidRPr="006E7BBC">
        <w:rPr>
          <w:rFonts w:ascii="Calibri" w:eastAsia="Times New Roman" w:hAnsi="Calibri" w:cs="Calibri"/>
          <w:color w:val="011A3C"/>
          <w:sz w:val="24"/>
          <w:szCs w:val="24"/>
          <w:lang w:val="en" w:eastAsia="en-AU"/>
        </w:rPr>
        <w:t>Campus allocations are then</w:t>
      </w:r>
      <w:r w:rsidRPr="00950CBB">
        <w:rPr>
          <w:rFonts w:ascii="Calibri" w:hAnsi="Calibri"/>
          <w:color w:val="011A3C"/>
          <w:sz w:val="24"/>
          <w:lang w:val="en"/>
        </w:rPr>
        <w:t xml:space="preserve"> scaled for excess space (space in excess to a school’s allocated facility area</w:t>
      </w:r>
      <w:r w:rsidRPr="006E7BBC">
        <w:rPr>
          <w:rFonts w:ascii="Calibri" w:eastAsia="Times New Roman" w:hAnsi="Calibri" w:cs="Calibri"/>
          <w:color w:val="011A3C"/>
          <w:sz w:val="24"/>
          <w:szCs w:val="24"/>
          <w:lang w:val="en" w:eastAsia="en-AU"/>
        </w:rPr>
        <w:t>) — except for Supported Inclusion Schools and new schools opened within 5 years where this scaling does not apply. </w:t>
      </w:r>
      <w:r w:rsidRPr="006E7BBC">
        <w:rPr>
          <w:rFonts w:ascii="Calibri" w:eastAsia="Times New Roman" w:hAnsi="Calibri" w:cs="Calibri"/>
          <w:color w:val="011A3C"/>
          <w:sz w:val="24"/>
          <w:szCs w:val="24"/>
          <w:lang w:eastAsia="en-AU"/>
        </w:rPr>
        <w:t> </w:t>
      </w:r>
      <w:r w:rsidRPr="006E7BBC">
        <w:rPr>
          <w:rFonts w:ascii="Calibri" w:eastAsia="Times New Roman" w:hAnsi="Calibri" w:cs="Calibri"/>
          <w:color w:val="011A3C"/>
          <w:sz w:val="24"/>
          <w:szCs w:val="24"/>
          <w:lang w:eastAsia="en-AU"/>
        </w:rPr>
        <w:br/>
      </w:r>
      <w:r w:rsidRPr="006E7BBC">
        <w:rPr>
          <w:rFonts w:ascii="Calibri" w:eastAsia="Times New Roman" w:hAnsi="Calibri" w:cs="Calibri"/>
          <w:color w:val="011A3C"/>
          <w:sz w:val="24"/>
          <w:szCs w:val="24"/>
          <w:lang w:val="en" w:eastAsia="en-AU"/>
        </w:rPr>
        <w:t xml:space="preserve">For more detail on excess space, see </w:t>
      </w:r>
      <w:hyperlink r:id="rId114" w:tgtFrame="_blank" w:history="1">
        <w:r w:rsidRPr="006E7BBC">
          <w:rPr>
            <w:rFonts w:ascii="Calibri" w:eastAsia="Times New Roman" w:hAnsi="Calibri" w:cs="Calibri"/>
            <w:color w:val="0563C1"/>
            <w:sz w:val="24"/>
            <w:szCs w:val="24"/>
            <w:u w:val="single"/>
            <w:lang w:eastAsia="en-AU"/>
          </w:rPr>
          <w:t>Capacity and Area Allocation</w:t>
        </w:r>
      </w:hyperlink>
      <w:r w:rsidRPr="006E7BBC">
        <w:rPr>
          <w:rFonts w:ascii="Calibri" w:eastAsia="Times New Roman" w:hAnsi="Calibri" w:cs="Calibri"/>
          <w:color w:val="011A3C"/>
          <w:sz w:val="24"/>
          <w:szCs w:val="24"/>
          <w:lang w:val="en" w:eastAsia="en-AU"/>
        </w:rPr>
        <w:t>.</w:t>
      </w:r>
      <w:r w:rsidRPr="006E7BBC">
        <w:rPr>
          <w:rFonts w:ascii="Calibri" w:eastAsia="Times New Roman" w:hAnsi="Calibri" w:cs="Calibri"/>
          <w:color w:val="011A3C"/>
          <w:sz w:val="24"/>
          <w:szCs w:val="24"/>
          <w:lang w:eastAsia="en-AU"/>
        </w:rPr>
        <w:t> </w:t>
      </w:r>
    </w:p>
    <w:p w14:paraId="268E5363" w14:textId="155509F1" w:rsidR="006E7BBC" w:rsidRPr="00950CBB" w:rsidRDefault="006E7BBC" w:rsidP="00950CBB">
      <w:pPr>
        <w:numPr>
          <w:ilvl w:val="0"/>
          <w:numId w:val="134"/>
        </w:numPr>
        <w:spacing w:after="0" w:line="240" w:lineRule="auto"/>
        <w:textAlignment w:val="baseline"/>
        <w:rPr>
          <w:rFonts w:ascii="Calibri" w:hAnsi="Calibri"/>
          <w:sz w:val="24"/>
        </w:rPr>
      </w:pPr>
      <w:r w:rsidRPr="00950CBB">
        <w:rPr>
          <w:rFonts w:ascii="Calibri" w:hAnsi="Calibri"/>
          <w:color w:val="011A3C"/>
          <w:sz w:val="24"/>
          <w:lang w:val="en"/>
        </w:rPr>
        <w:t xml:space="preserve">All campus allocations are then proportionally adjusted to meet the overall </w:t>
      </w:r>
      <w:r w:rsidRPr="00833928">
        <w:rPr>
          <w:rFonts w:ascii="Calibri" w:hAnsi="Calibri"/>
          <w:color w:val="011A3C"/>
          <w:sz w:val="24"/>
          <w:lang w:val="en"/>
        </w:rPr>
        <w:t>maintenance</w:t>
      </w:r>
      <w:r w:rsidRPr="00950CBB">
        <w:rPr>
          <w:rFonts w:ascii="Calibri" w:hAnsi="Calibri"/>
          <w:color w:val="011A3C"/>
          <w:sz w:val="24"/>
          <w:lang w:val="en"/>
        </w:rPr>
        <w:t xml:space="preserve"> budget available for that year</w:t>
      </w:r>
      <w:r w:rsidRPr="006E7BBC">
        <w:rPr>
          <w:rFonts w:ascii="Calibri" w:eastAsia="Times New Roman" w:hAnsi="Calibri" w:cs="Calibri"/>
          <w:color w:val="011A3C"/>
          <w:sz w:val="24"/>
          <w:szCs w:val="24"/>
          <w:lang w:val="en" w:eastAsia="en-AU"/>
        </w:rPr>
        <w:t xml:space="preserve"> and for all eligible schools to receive a set minimum allocation to cover basic operating costs (</w:t>
      </w:r>
      <w:r w:rsidR="002D6C17" w:rsidRPr="006E7BBC">
        <w:rPr>
          <w:rFonts w:ascii="Calibri" w:eastAsia="Times New Roman" w:hAnsi="Calibri" w:cs="Calibri"/>
          <w:color w:val="011A3C"/>
          <w:sz w:val="24"/>
          <w:szCs w:val="24"/>
          <w:lang w:val="en" w:eastAsia="en-AU"/>
        </w:rPr>
        <w:t>202</w:t>
      </w:r>
      <w:r w:rsidR="002D6C17">
        <w:rPr>
          <w:rFonts w:ascii="Calibri" w:eastAsia="Times New Roman" w:hAnsi="Calibri" w:cs="Calibri"/>
          <w:color w:val="011A3C"/>
          <w:sz w:val="24"/>
          <w:szCs w:val="24"/>
          <w:lang w:val="en" w:eastAsia="en-AU"/>
        </w:rPr>
        <w:t>4</w:t>
      </w:r>
      <w:r w:rsidR="002D6C17" w:rsidRPr="006E7BBC">
        <w:rPr>
          <w:rFonts w:ascii="Calibri" w:eastAsia="Times New Roman" w:hAnsi="Calibri" w:cs="Calibri"/>
          <w:color w:val="011A3C"/>
          <w:sz w:val="24"/>
          <w:szCs w:val="24"/>
          <w:lang w:val="en" w:eastAsia="en-AU"/>
        </w:rPr>
        <w:t xml:space="preserve"> </w:t>
      </w:r>
      <w:r w:rsidRPr="006E7BBC">
        <w:rPr>
          <w:rFonts w:ascii="Calibri" w:eastAsia="Times New Roman" w:hAnsi="Calibri" w:cs="Calibri"/>
          <w:color w:val="011A3C"/>
          <w:sz w:val="24"/>
          <w:szCs w:val="24"/>
          <w:lang w:val="en" w:eastAsia="en-AU"/>
        </w:rPr>
        <w:t xml:space="preserve">Minimum </w:t>
      </w:r>
      <w:proofErr w:type="spellStart"/>
      <w:r w:rsidRPr="006E7BBC">
        <w:rPr>
          <w:rFonts w:ascii="Calibri" w:eastAsia="Times New Roman" w:hAnsi="Calibri" w:cs="Calibri"/>
          <w:color w:val="011A3C"/>
          <w:sz w:val="24"/>
          <w:szCs w:val="24"/>
          <w:lang w:val="en" w:eastAsia="en-AU"/>
        </w:rPr>
        <w:t>Alloc</w:t>
      </w:r>
      <w:proofErr w:type="spellEnd"/>
      <w:r w:rsidRPr="006E7BBC">
        <w:rPr>
          <w:rFonts w:ascii="Calibri" w:eastAsia="Times New Roman" w:hAnsi="Calibri" w:cs="Calibri"/>
          <w:color w:val="011A3C"/>
          <w:sz w:val="24"/>
          <w:szCs w:val="24"/>
          <w:lang w:val="en" w:eastAsia="en-AU"/>
        </w:rPr>
        <w:t>. = $3,</w:t>
      </w:r>
      <w:r w:rsidR="001107D5">
        <w:rPr>
          <w:rFonts w:ascii="Calibri" w:eastAsia="Times New Roman" w:hAnsi="Calibri" w:cs="Calibri"/>
          <w:color w:val="011A3C"/>
          <w:sz w:val="24"/>
          <w:szCs w:val="24"/>
          <w:lang w:val="en" w:eastAsia="en-AU"/>
        </w:rPr>
        <w:t>993</w:t>
      </w:r>
      <w:r w:rsidRPr="006E7BBC">
        <w:rPr>
          <w:rFonts w:ascii="Calibri" w:eastAsia="Times New Roman" w:hAnsi="Calibri" w:cs="Calibri"/>
          <w:color w:val="011A3C"/>
          <w:sz w:val="24"/>
          <w:szCs w:val="24"/>
          <w:lang w:val="en" w:eastAsia="en-AU"/>
        </w:rPr>
        <w:t>).</w:t>
      </w:r>
      <w:r w:rsidRPr="006E7BBC">
        <w:rPr>
          <w:rFonts w:ascii="Calibri" w:eastAsia="Times New Roman" w:hAnsi="Calibri" w:cs="Calibri"/>
          <w:color w:val="011A3C"/>
          <w:sz w:val="24"/>
          <w:szCs w:val="24"/>
          <w:lang w:eastAsia="en-AU"/>
        </w:rPr>
        <w:t> </w:t>
      </w:r>
    </w:p>
    <w:p w14:paraId="3D21CE43" w14:textId="20F4940E" w:rsidR="006E7BBC" w:rsidRPr="00950CBB" w:rsidRDefault="006E7BBC" w:rsidP="00950CBB">
      <w:pPr>
        <w:numPr>
          <w:ilvl w:val="0"/>
          <w:numId w:val="134"/>
        </w:numPr>
        <w:spacing w:after="0" w:line="240" w:lineRule="auto"/>
        <w:textAlignment w:val="baseline"/>
        <w:rPr>
          <w:rFonts w:ascii="Calibri" w:hAnsi="Calibri"/>
          <w:sz w:val="24"/>
        </w:rPr>
      </w:pPr>
      <w:r w:rsidRPr="006E7BBC">
        <w:rPr>
          <w:rFonts w:ascii="Calibri" w:eastAsia="Times New Roman" w:hAnsi="Calibri" w:cs="Calibri"/>
          <w:color w:val="011A3C"/>
          <w:sz w:val="24"/>
          <w:szCs w:val="24"/>
          <w:lang w:val="en" w:eastAsia="en-AU"/>
        </w:rPr>
        <w:t>Where multi-</w:t>
      </w:r>
      <w:r w:rsidRPr="00950CBB">
        <w:rPr>
          <w:rFonts w:ascii="Calibri" w:hAnsi="Calibri"/>
          <w:color w:val="011A3C"/>
          <w:sz w:val="24"/>
          <w:lang w:val="en"/>
        </w:rPr>
        <w:t xml:space="preserve">campus, the </w:t>
      </w:r>
      <w:r w:rsidRPr="006E7BBC">
        <w:rPr>
          <w:rFonts w:ascii="Calibri" w:eastAsia="Times New Roman" w:hAnsi="Calibri" w:cs="Calibri"/>
          <w:color w:val="011A3C"/>
          <w:sz w:val="24"/>
          <w:szCs w:val="24"/>
          <w:lang w:val="en" w:eastAsia="en-AU"/>
        </w:rPr>
        <w:t>school’s</w:t>
      </w:r>
      <w:r w:rsidRPr="00950CBB">
        <w:rPr>
          <w:rFonts w:ascii="Calibri" w:hAnsi="Calibri"/>
          <w:color w:val="011A3C"/>
          <w:sz w:val="24"/>
          <w:lang w:val="en"/>
        </w:rPr>
        <w:t xml:space="preserve"> allocation is the sum of all individual campus allocations.</w:t>
      </w:r>
      <w:r w:rsidRPr="006E7BBC">
        <w:rPr>
          <w:rFonts w:ascii="Calibri" w:eastAsia="Times New Roman" w:hAnsi="Calibri" w:cs="Calibri"/>
          <w:color w:val="011A3C"/>
          <w:sz w:val="24"/>
          <w:szCs w:val="24"/>
          <w:lang w:eastAsia="en-AU"/>
        </w:rPr>
        <w:t> </w:t>
      </w:r>
    </w:p>
    <w:p w14:paraId="52195F9A" w14:textId="77777777" w:rsidR="003A0330" w:rsidRDefault="003A0330" w:rsidP="009B4DE1"/>
    <w:p w14:paraId="54F2BD40" w14:textId="78A7A2B1" w:rsidR="006E7BBC" w:rsidRPr="006E7BBC" w:rsidRDefault="006E7BBC" w:rsidP="006E7BBC">
      <w:pPr>
        <w:spacing w:before="120" w:after="120" w:line="240" w:lineRule="auto"/>
        <w:outlineLvl w:val="1"/>
        <w:rPr>
          <w:rFonts w:eastAsia="Segoe UI" w:cstheme="minorHAnsi"/>
          <w:b/>
          <w:sz w:val="27"/>
          <w:szCs w:val="27"/>
        </w:rPr>
      </w:pPr>
      <w:r w:rsidRPr="006E7BBC">
        <w:rPr>
          <w:rFonts w:eastAsia="Segoe UI" w:cstheme="minorHAnsi"/>
          <w:b/>
          <w:sz w:val="27"/>
          <w:szCs w:val="27"/>
        </w:rPr>
        <w:t xml:space="preserve">Payments to </w:t>
      </w:r>
      <w:r w:rsidR="007A1E56">
        <w:rPr>
          <w:rFonts w:eastAsia="Segoe UI" w:cstheme="minorHAnsi"/>
          <w:b/>
          <w:sz w:val="27"/>
          <w:szCs w:val="27"/>
        </w:rPr>
        <w:t>s</w:t>
      </w:r>
      <w:r w:rsidRPr="006E7BBC">
        <w:rPr>
          <w:rFonts w:eastAsia="Segoe UI" w:cstheme="minorHAnsi"/>
          <w:b/>
          <w:sz w:val="27"/>
          <w:szCs w:val="27"/>
        </w:rPr>
        <w:t>chools</w:t>
      </w:r>
    </w:p>
    <w:p w14:paraId="7F532314" w14:textId="4D81990E" w:rsidR="006E7BBC" w:rsidRPr="006E7BBC" w:rsidRDefault="006E7BBC" w:rsidP="00950CBB">
      <w:pPr>
        <w:spacing w:before="120" w:beforeAutospacing="1" w:after="120" w:afterAutospacing="1" w:line="240" w:lineRule="auto"/>
        <w:textAlignment w:val="baseline"/>
        <w:rPr>
          <w:rFonts w:eastAsia="Times New Roman" w:cstheme="minorHAnsi"/>
          <w:bCs/>
          <w:color w:val="011A3C"/>
          <w:sz w:val="24"/>
          <w:szCs w:val="24"/>
          <w:lang w:val="en" w:eastAsia="en-AU"/>
        </w:rPr>
      </w:pPr>
      <w:r w:rsidRPr="006E7BBC">
        <w:rPr>
          <w:rFonts w:eastAsia="Times New Roman" w:cstheme="minorHAnsi"/>
          <w:bCs/>
          <w:color w:val="011A3C"/>
          <w:sz w:val="24"/>
          <w:szCs w:val="24"/>
          <w:lang w:val="en" w:eastAsia="en-AU"/>
        </w:rPr>
        <w:t xml:space="preserve">The Student Resource Package </w:t>
      </w:r>
      <w:r w:rsidRPr="00950CBB">
        <w:rPr>
          <w:sz w:val="24"/>
        </w:rPr>
        <w:t>Maintenance</w:t>
      </w:r>
      <w:r w:rsidRPr="006E7BBC">
        <w:rPr>
          <w:rFonts w:eastAsia="Times New Roman" w:cstheme="minorHAnsi"/>
          <w:bCs/>
          <w:color w:val="011A3C"/>
          <w:sz w:val="24"/>
          <w:szCs w:val="24"/>
          <w:lang w:val="en" w:eastAsia="en-AU"/>
        </w:rPr>
        <w:t xml:space="preserve"> and Minor Works</w:t>
      </w:r>
      <w:r w:rsidR="002D4A73">
        <w:rPr>
          <w:rFonts w:eastAsia="Times New Roman" w:cstheme="minorHAnsi"/>
          <w:bCs/>
          <w:color w:val="011A3C"/>
          <w:sz w:val="24"/>
          <w:szCs w:val="24"/>
          <w:lang w:val="en" w:eastAsia="en-AU"/>
        </w:rPr>
        <w:t xml:space="preserve"> (MMW)</w:t>
      </w:r>
      <w:r w:rsidRPr="006E7BBC">
        <w:rPr>
          <w:rFonts w:eastAsia="Times New Roman" w:cstheme="minorHAnsi"/>
          <w:bCs/>
          <w:color w:val="011A3C"/>
          <w:sz w:val="24"/>
          <w:szCs w:val="24"/>
          <w:lang w:val="en" w:eastAsia="en-AU"/>
        </w:rPr>
        <w:t xml:space="preserve"> allocation is paid on a quarterly basis as part of the SRP budget cash grant.</w:t>
      </w:r>
      <w:r w:rsidRPr="006E7BBC">
        <w:rPr>
          <w:rFonts w:eastAsia="Times New Roman" w:cstheme="minorHAnsi"/>
          <w:bCs/>
          <w:sz w:val="24"/>
          <w:szCs w:val="24"/>
          <w:lang w:val="en" w:eastAsia="en-AU"/>
        </w:rPr>
        <w:t> </w:t>
      </w:r>
    </w:p>
    <w:p w14:paraId="3375A682" w14:textId="1DBBA387" w:rsidR="006E7BBC" w:rsidRPr="006E7BBC" w:rsidRDefault="006E7BBC" w:rsidP="00950CBB">
      <w:pPr>
        <w:spacing w:before="120" w:beforeAutospacing="1" w:after="120" w:afterAutospacing="1" w:line="240" w:lineRule="auto"/>
        <w:textAlignment w:val="baseline"/>
        <w:rPr>
          <w:rFonts w:eastAsia="Times New Roman" w:cstheme="minorHAnsi"/>
          <w:bCs/>
          <w:color w:val="011A3C"/>
          <w:sz w:val="24"/>
          <w:szCs w:val="24"/>
          <w:lang w:val="en" w:eastAsia="en-AU"/>
        </w:rPr>
      </w:pPr>
      <w:r w:rsidRPr="006E7BBC">
        <w:rPr>
          <w:rFonts w:eastAsia="Times New Roman" w:cstheme="minorHAnsi"/>
          <w:bCs/>
          <w:color w:val="011A3C"/>
          <w:sz w:val="24"/>
          <w:szCs w:val="24"/>
          <w:lang w:val="en" w:eastAsia="en-AU"/>
        </w:rPr>
        <w:t xml:space="preserve">Changes to a school’s </w:t>
      </w:r>
      <w:r w:rsidR="002D4A73">
        <w:rPr>
          <w:sz w:val="24"/>
        </w:rPr>
        <w:t>MMW</w:t>
      </w:r>
      <w:r w:rsidRPr="006E7BBC">
        <w:rPr>
          <w:rFonts w:eastAsia="Times New Roman" w:cstheme="minorHAnsi"/>
          <w:bCs/>
          <w:color w:val="011A3C"/>
          <w:sz w:val="24"/>
          <w:szCs w:val="24"/>
          <w:lang w:val="en" w:eastAsia="en-AU"/>
        </w:rPr>
        <w:t xml:space="preserve"> funding allocation between calendar years and/or between Indicative and Confirmed allocations may have occurred due to:</w:t>
      </w:r>
      <w:r w:rsidRPr="006E7BBC">
        <w:rPr>
          <w:rFonts w:eastAsia="Times New Roman" w:cstheme="minorHAnsi"/>
          <w:bCs/>
          <w:sz w:val="24"/>
          <w:szCs w:val="24"/>
          <w:lang w:val="en" w:eastAsia="en-AU"/>
        </w:rPr>
        <w:t> </w:t>
      </w:r>
    </w:p>
    <w:p w14:paraId="4381A6F6" w14:textId="56518E45" w:rsidR="006E7BBC" w:rsidRPr="00950CBB" w:rsidRDefault="002D4A73" w:rsidP="00950CBB">
      <w:pPr>
        <w:numPr>
          <w:ilvl w:val="0"/>
          <w:numId w:val="130"/>
        </w:numPr>
        <w:spacing w:after="0" w:line="240" w:lineRule="auto"/>
        <w:ind w:left="1080" w:firstLine="0"/>
        <w:textAlignment w:val="baseline"/>
        <w:rPr>
          <w:sz w:val="24"/>
        </w:rPr>
      </w:pPr>
      <w:r>
        <w:rPr>
          <w:rFonts w:eastAsia="Times New Roman" w:cstheme="minorHAnsi"/>
          <w:color w:val="011A3C"/>
          <w:sz w:val="24"/>
          <w:szCs w:val="24"/>
          <w:lang w:val="en" w:eastAsia="en-AU"/>
        </w:rPr>
        <w:t>c</w:t>
      </w:r>
      <w:r w:rsidR="006E7BBC" w:rsidRPr="006E7BBC">
        <w:rPr>
          <w:rFonts w:eastAsia="Times New Roman" w:cstheme="minorHAnsi"/>
          <w:color w:val="011A3C"/>
          <w:sz w:val="24"/>
          <w:szCs w:val="24"/>
          <w:lang w:val="en" w:eastAsia="en-AU"/>
        </w:rPr>
        <w:t>hanges to building data</w:t>
      </w:r>
      <w:r w:rsidR="006E7BBC" w:rsidRPr="006E7BBC">
        <w:rPr>
          <w:rFonts w:eastAsia="Times New Roman" w:cstheme="minorHAnsi"/>
          <w:color w:val="011A3C"/>
          <w:sz w:val="24"/>
          <w:szCs w:val="24"/>
          <w:lang w:eastAsia="en-AU"/>
        </w:rPr>
        <w:t> </w:t>
      </w:r>
    </w:p>
    <w:p w14:paraId="5FEF0E1F" w14:textId="55D07374" w:rsidR="006E7BBC" w:rsidRPr="00950CBB" w:rsidRDefault="002D4A73" w:rsidP="00950CBB">
      <w:pPr>
        <w:numPr>
          <w:ilvl w:val="0"/>
          <w:numId w:val="130"/>
        </w:numPr>
        <w:spacing w:after="0" w:line="240" w:lineRule="auto"/>
        <w:ind w:left="1080" w:firstLine="0"/>
        <w:textAlignment w:val="baseline"/>
        <w:rPr>
          <w:sz w:val="24"/>
        </w:rPr>
      </w:pPr>
      <w:r>
        <w:rPr>
          <w:rFonts w:eastAsia="Times New Roman" w:cstheme="minorHAnsi"/>
          <w:color w:val="011A3C"/>
          <w:sz w:val="24"/>
          <w:szCs w:val="24"/>
          <w:lang w:val="en" w:eastAsia="en-AU"/>
        </w:rPr>
        <w:t>c</w:t>
      </w:r>
      <w:r w:rsidR="006E7BBC" w:rsidRPr="006E7BBC">
        <w:rPr>
          <w:rFonts w:eastAsia="Times New Roman" w:cstheme="minorHAnsi"/>
          <w:color w:val="011A3C"/>
          <w:sz w:val="24"/>
          <w:szCs w:val="24"/>
          <w:lang w:val="en" w:eastAsia="en-AU"/>
        </w:rPr>
        <w:t>hanges to enrolment</w:t>
      </w:r>
      <w:r w:rsidR="006E7BBC" w:rsidRPr="006E7BBC">
        <w:rPr>
          <w:rFonts w:eastAsia="Times New Roman" w:cstheme="minorHAnsi"/>
          <w:color w:val="011A3C"/>
          <w:sz w:val="24"/>
          <w:szCs w:val="24"/>
          <w:lang w:eastAsia="en-AU"/>
        </w:rPr>
        <w:t> </w:t>
      </w:r>
    </w:p>
    <w:p w14:paraId="70FDA489" w14:textId="088EDA2C" w:rsidR="006E7BBC" w:rsidRPr="00950CBB" w:rsidRDefault="002D4A73" w:rsidP="00950CBB">
      <w:pPr>
        <w:numPr>
          <w:ilvl w:val="0"/>
          <w:numId w:val="130"/>
        </w:numPr>
        <w:spacing w:after="0" w:line="240" w:lineRule="auto"/>
        <w:ind w:left="1080" w:firstLine="0"/>
        <w:textAlignment w:val="baseline"/>
        <w:rPr>
          <w:sz w:val="24"/>
        </w:rPr>
      </w:pPr>
      <w:r>
        <w:rPr>
          <w:rFonts w:eastAsia="Times New Roman" w:cstheme="minorHAnsi"/>
          <w:color w:val="011A3C"/>
          <w:sz w:val="24"/>
          <w:szCs w:val="24"/>
          <w:lang w:val="en" w:eastAsia="en-AU"/>
        </w:rPr>
        <w:t>c</w:t>
      </w:r>
      <w:r w:rsidR="006E7BBC" w:rsidRPr="006E7BBC">
        <w:rPr>
          <w:rFonts w:eastAsia="Times New Roman" w:cstheme="minorHAnsi"/>
          <w:color w:val="011A3C"/>
          <w:sz w:val="24"/>
          <w:szCs w:val="24"/>
          <w:lang w:val="en" w:eastAsia="en-AU"/>
        </w:rPr>
        <w:t>hanges in relocatable buildings</w:t>
      </w:r>
      <w:r w:rsidR="006E7BBC" w:rsidRPr="006E7BBC">
        <w:rPr>
          <w:rFonts w:eastAsia="Times New Roman" w:cstheme="minorHAnsi"/>
          <w:color w:val="011A3C"/>
          <w:sz w:val="24"/>
          <w:szCs w:val="24"/>
          <w:lang w:eastAsia="en-AU"/>
        </w:rPr>
        <w:t> </w:t>
      </w:r>
    </w:p>
    <w:p w14:paraId="4D9DFD7A" w14:textId="6C09A468" w:rsidR="006E7BBC" w:rsidRPr="00950CBB" w:rsidRDefault="002D4A73" w:rsidP="00950CBB">
      <w:pPr>
        <w:numPr>
          <w:ilvl w:val="0"/>
          <w:numId w:val="130"/>
        </w:numPr>
        <w:spacing w:after="0" w:line="240" w:lineRule="auto"/>
        <w:ind w:left="1080" w:firstLine="0"/>
        <w:textAlignment w:val="baseline"/>
        <w:rPr>
          <w:sz w:val="24"/>
        </w:rPr>
      </w:pPr>
      <w:r>
        <w:rPr>
          <w:rFonts w:eastAsia="Times New Roman" w:cstheme="minorHAnsi"/>
          <w:color w:val="011A3C"/>
          <w:sz w:val="24"/>
          <w:szCs w:val="24"/>
          <w:lang w:val="en" w:eastAsia="en-AU"/>
        </w:rPr>
        <w:t>c</w:t>
      </w:r>
      <w:r w:rsidR="006E7BBC" w:rsidRPr="006E7BBC">
        <w:rPr>
          <w:rFonts w:eastAsia="Times New Roman" w:cstheme="minorHAnsi"/>
          <w:color w:val="011A3C"/>
          <w:sz w:val="24"/>
          <w:szCs w:val="24"/>
          <w:lang w:val="en" w:eastAsia="en-AU"/>
        </w:rPr>
        <w:t xml:space="preserve">hanges in the state-wide </w:t>
      </w:r>
      <w:r w:rsidR="006E7BBC" w:rsidRPr="00950CBB">
        <w:rPr>
          <w:sz w:val="24"/>
        </w:rPr>
        <w:t>maintenance</w:t>
      </w:r>
      <w:r w:rsidR="006E7BBC" w:rsidRPr="006E7BBC">
        <w:rPr>
          <w:rFonts w:eastAsia="Times New Roman" w:cstheme="minorHAnsi"/>
          <w:color w:val="011A3C"/>
          <w:sz w:val="24"/>
          <w:szCs w:val="24"/>
          <w:lang w:val="en" w:eastAsia="en-AU"/>
        </w:rPr>
        <w:t xml:space="preserve"> budget</w:t>
      </w:r>
      <w:r>
        <w:rPr>
          <w:rFonts w:eastAsia="Times New Roman" w:cstheme="minorHAnsi"/>
          <w:color w:val="011A3C"/>
          <w:sz w:val="24"/>
          <w:szCs w:val="24"/>
          <w:lang w:val="en" w:eastAsia="en-AU"/>
        </w:rPr>
        <w:t>.</w:t>
      </w:r>
    </w:p>
    <w:p w14:paraId="3C4CB609" w14:textId="77777777" w:rsidR="003A0330" w:rsidRDefault="003A0330" w:rsidP="009B4DE1"/>
    <w:p w14:paraId="46A506CC" w14:textId="7A6B24EF" w:rsidR="009064DB" w:rsidRPr="006E7BBC" w:rsidRDefault="009064DB" w:rsidP="009064DB">
      <w:pPr>
        <w:spacing w:before="120" w:after="120" w:line="240" w:lineRule="auto"/>
        <w:outlineLvl w:val="1"/>
        <w:rPr>
          <w:rFonts w:ascii="Calibri" w:hAnsi="Calibri" w:cs="Calibri"/>
          <w:b/>
          <w:color w:val="011A3C"/>
          <w:lang w:val="en"/>
        </w:rPr>
      </w:pPr>
      <w:r w:rsidRPr="006E7BBC">
        <w:rPr>
          <w:rFonts w:ascii="Calibri" w:eastAsia="Segoe UI" w:hAnsi="Calibri" w:cs="Calibri"/>
          <w:b/>
          <w:color w:val="011A3C"/>
          <w:sz w:val="27"/>
          <w:szCs w:val="27"/>
        </w:rPr>
        <w:t>Reporting in CASES21</w:t>
      </w:r>
    </w:p>
    <w:p w14:paraId="4402A929" w14:textId="6F945A08" w:rsidR="009064DB" w:rsidRPr="006E7BBC" w:rsidRDefault="009064DB" w:rsidP="009064DB">
      <w:pPr>
        <w:spacing w:after="0" w:line="240" w:lineRule="auto"/>
        <w:textAlignment w:val="baseline"/>
        <w:rPr>
          <w:rFonts w:eastAsia="Times New Roman" w:cstheme="minorHAnsi"/>
          <w:sz w:val="24"/>
          <w:szCs w:val="24"/>
          <w:lang w:eastAsia="en-AU"/>
        </w:rPr>
      </w:pPr>
      <w:r w:rsidRPr="006E7BBC">
        <w:rPr>
          <w:rFonts w:eastAsia="Times New Roman" w:cstheme="minorHAnsi"/>
          <w:color w:val="011A3C"/>
          <w:sz w:val="24"/>
          <w:szCs w:val="24"/>
          <w:lang w:val="en" w:eastAsia="en-AU"/>
        </w:rPr>
        <w:t>M</w:t>
      </w:r>
      <w:r>
        <w:rPr>
          <w:rFonts w:eastAsia="Times New Roman" w:cstheme="minorHAnsi"/>
          <w:color w:val="011A3C"/>
          <w:sz w:val="24"/>
          <w:szCs w:val="24"/>
          <w:lang w:val="en" w:eastAsia="en-AU"/>
        </w:rPr>
        <w:t xml:space="preserve">aintenance and </w:t>
      </w:r>
      <w:r w:rsidRPr="006E7BBC">
        <w:rPr>
          <w:rFonts w:eastAsia="Times New Roman" w:cstheme="minorHAnsi"/>
          <w:color w:val="011A3C"/>
          <w:sz w:val="24"/>
          <w:szCs w:val="24"/>
          <w:lang w:val="en" w:eastAsia="en-AU"/>
        </w:rPr>
        <w:t>M</w:t>
      </w:r>
      <w:r>
        <w:rPr>
          <w:rFonts w:eastAsia="Times New Roman" w:cstheme="minorHAnsi"/>
          <w:color w:val="011A3C"/>
          <w:sz w:val="24"/>
          <w:szCs w:val="24"/>
          <w:lang w:val="en" w:eastAsia="en-AU"/>
        </w:rPr>
        <w:t xml:space="preserve">inor </w:t>
      </w:r>
      <w:r w:rsidRPr="006E7BBC">
        <w:rPr>
          <w:rFonts w:eastAsia="Times New Roman" w:cstheme="minorHAnsi"/>
          <w:color w:val="011A3C"/>
          <w:sz w:val="24"/>
          <w:szCs w:val="24"/>
          <w:lang w:val="en" w:eastAsia="en-AU"/>
        </w:rPr>
        <w:t>W</w:t>
      </w:r>
      <w:r>
        <w:rPr>
          <w:rFonts w:eastAsia="Times New Roman" w:cstheme="minorHAnsi"/>
          <w:color w:val="011A3C"/>
          <w:sz w:val="24"/>
          <w:szCs w:val="24"/>
          <w:lang w:val="en" w:eastAsia="en-AU"/>
        </w:rPr>
        <w:t>orks</w:t>
      </w:r>
      <w:r w:rsidRPr="006E7BBC">
        <w:rPr>
          <w:rFonts w:eastAsia="Times New Roman" w:cstheme="minorHAnsi"/>
          <w:color w:val="011A3C"/>
          <w:sz w:val="24"/>
          <w:szCs w:val="24"/>
          <w:lang w:val="en" w:eastAsia="en-AU"/>
        </w:rPr>
        <w:t xml:space="preserve"> expenditure should be allocated in CASES21 to:</w:t>
      </w:r>
      <w:r w:rsidRPr="006E7BBC">
        <w:rPr>
          <w:rFonts w:eastAsia="Times New Roman" w:cstheme="minorHAnsi"/>
          <w:color w:val="011A3C"/>
          <w:sz w:val="24"/>
          <w:szCs w:val="24"/>
          <w:lang w:eastAsia="en-AU"/>
        </w:rPr>
        <w:t> </w:t>
      </w:r>
    </w:p>
    <w:p w14:paraId="352056B2" w14:textId="77777777" w:rsidR="009064DB" w:rsidRPr="00657F68" w:rsidRDefault="009064DB" w:rsidP="009064DB">
      <w:pPr>
        <w:spacing w:before="240" w:after="0" w:line="240" w:lineRule="auto"/>
        <w:ind w:firstLine="720"/>
        <w:textAlignment w:val="baseline"/>
        <w:rPr>
          <w:rFonts w:eastAsia="Times New Roman" w:cstheme="minorHAnsi"/>
          <w:color w:val="011A3C"/>
          <w:sz w:val="24"/>
          <w:szCs w:val="24"/>
          <w:lang w:val="en" w:eastAsia="en-AU"/>
        </w:rPr>
      </w:pPr>
      <w:r w:rsidRPr="006E7BBC">
        <w:rPr>
          <w:rFonts w:eastAsia="Times New Roman" w:cstheme="minorHAnsi"/>
          <w:color w:val="011A3C"/>
          <w:sz w:val="24"/>
          <w:szCs w:val="24"/>
          <w:lang w:val="en" w:eastAsia="en-AU"/>
        </w:rPr>
        <w:t xml:space="preserve">Sub Program Code: 6201 – </w:t>
      </w:r>
      <w:r w:rsidRPr="00657F68">
        <w:rPr>
          <w:rFonts w:eastAsia="Times New Roman" w:cstheme="minorHAnsi"/>
          <w:color w:val="011A3C"/>
          <w:sz w:val="24"/>
          <w:szCs w:val="24"/>
          <w:lang w:val="en" w:eastAsia="en-AU"/>
        </w:rPr>
        <w:t>Maintenance</w:t>
      </w:r>
      <w:r w:rsidRPr="006E7BBC">
        <w:rPr>
          <w:rFonts w:eastAsia="Times New Roman" w:cstheme="minorHAnsi"/>
          <w:color w:val="011A3C"/>
          <w:sz w:val="24"/>
          <w:szCs w:val="24"/>
          <w:lang w:val="en" w:eastAsia="en-AU"/>
        </w:rPr>
        <w:t xml:space="preserve"> and Minor Works</w:t>
      </w:r>
      <w:r w:rsidRPr="00657F68">
        <w:rPr>
          <w:rFonts w:eastAsia="Times New Roman" w:cstheme="minorHAnsi"/>
          <w:color w:val="011A3C"/>
          <w:sz w:val="24"/>
          <w:szCs w:val="24"/>
          <w:lang w:val="en" w:eastAsia="en-AU"/>
        </w:rPr>
        <w:t> </w:t>
      </w:r>
    </w:p>
    <w:p w14:paraId="34AACB79" w14:textId="77777777" w:rsidR="009064DB" w:rsidRPr="00657F68" w:rsidRDefault="009064DB" w:rsidP="00833928">
      <w:pPr>
        <w:pStyle w:val="ListParagraph"/>
        <w:numPr>
          <w:ilvl w:val="1"/>
          <w:numId w:val="132"/>
        </w:numPr>
        <w:spacing w:after="100" w:afterAutospacing="1" w:line="360" w:lineRule="atLeast"/>
        <w:rPr>
          <w:rFonts w:eastAsia="Times New Roman" w:cstheme="minorHAnsi"/>
          <w:color w:val="011A3C"/>
          <w:sz w:val="24"/>
          <w:szCs w:val="24"/>
          <w:lang w:val="en" w:eastAsia="en-AU"/>
        </w:rPr>
      </w:pPr>
      <w:r w:rsidRPr="00657F68">
        <w:rPr>
          <w:rFonts w:eastAsia="Times New Roman" w:cstheme="minorHAnsi"/>
          <w:color w:val="011A3C"/>
          <w:sz w:val="24"/>
          <w:szCs w:val="24"/>
          <w:lang w:val="en" w:eastAsia="en-AU"/>
        </w:rPr>
        <w:t>General Ledger Account Code: 86500 – Security/Safety/Fire Prevention</w:t>
      </w:r>
    </w:p>
    <w:p w14:paraId="174CAE83" w14:textId="72DFF5C7" w:rsidR="009064DB" w:rsidRDefault="009064DB" w:rsidP="009064DB">
      <w:pPr>
        <w:numPr>
          <w:ilvl w:val="0"/>
          <w:numId w:val="132"/>
        </w:numPr>
        <w:spacing w:after="0" w:line="240" w:lineRule="auto"/>
        <w:ind w:left="1080" w:firstLine="0"/>
        <w:textAlignment w:val="baseline"/>
        <w:rPr>
          <w:rFonts w:eastAsia="Times New Roman" w:cstheme="minorHAnsi"/>
          <w:color w:val="011A3C"/>
          <w:sz w:val="24"/>
          <w:szCs w:val="24"/>
          <w:lang w:val="en" w:eastAsia="en-AU"/>
        </w:rPr>
      </w:pPr>
      <w:r w:rsidRPr="006E7BBC">
        <w:rPr>
          <w:rFonts w:eastAsia="Times New Roman" w:cstheme="minorHAnsi"/>
          <w:color w:val="011A3C"/>
          <w:sz w:val="24"/>
          <w:szCs w:val="24"/>
          <w:lang w:val="en" w:eastAsia="en-AU"/>
        </w:rPr>
        <w:t>General Ledger Account Code: 86504 – Building Works</w:t>
      </w:r>
    </w:p>
    <w:p w14:paraId="73CF8AFD" w14:textId="77777777" w:rsidR="009064DB" w:rsidRDefault="009064DB" w:rsidP="009064DB">
      <w:pPr>
        <w:pStyle w:val="ListParagraph"/>
        <w:numPr>
          <w:ilvl w:val="1"/>
          <w:numId w:val="132"/>
        </w:numPr>
        <w:spacing w:after="0" w:line="360" w:lineRule="atLeast"/>
        <w:rPr>
          <w:rFonts w:eastAsia="Segoe UI" w:cstheme="minorHAnsi"/>
          <w:color w:val="011A3C"/>
          <w:sz w:val="24"/>
          <w:szCs w:val="24"/>
          <w:lang w:val="en" w:eastAsia="en-AU"/>
        </w:rPr>
      </w:pPr>
      <w:r w:rsidRPr="0082534A">
        <w:rPr>
          <w:rFonts w:eastAsia="Segoe UI" w:cstheme="minorHAnsi"/>
          <w:color w:val="011A3C"/>
          <w:sz w:val="24"/>
          <w:szCs w:val="24"/>
          <w:lang w:val="en" w:eastAsia="en-AU"/>
        </w:rPr>
        <w:t xml:space="preserve">General Ledger Account Code: </w:t>
      </w:r>
      <w:r>
        <w:rPr>
          <w:rFonts w:eastAsia="Segoe UI" w:cstheme="minorHAnsi"/>
          <w:color w:val="011A3C"/>
          <w:sz w:val="24"/>
          <w:szCs w:val="24"/>
          <w:lang w:val="en" w:eastAsia="en-AU"/>
        </w:rPr>
        <w:t>26501</w:t>
      </w:r>
      <w:r w:rsidRPr="0082534A">
        <w:rPr>
          <w:rFonts w:eastAsia="Segoe UI" w:cstheme="minorHAnsi"/>
          <w:color w:val="011A3C"/>
          <w:sz w:val="24"/>
          <w:szCs w:val="24"/>
          <w:lang w:val="en" w:eastAsia="en-AU"/>
        </w:rPr>
        <w:t xml:space="preserve"> – </w:t>
      </w:r>
      <w:r w:rsidRPr="0037355B">
        <w:rPr>
          <w:rFonts w:eastAsia="Segoe UI" w:cstheme="minorHAnsi"/>
          <w:color w:val="011A3C"/>
          <w:sz w:val="24"/>
          <w:szCs w:val="24"/>
          <w:lang w:val="en" w:eastAsia="en-AU"/>
        </w:rPr>
        <w:t>Building &amp; Land Clearing Account</w:t>
      </w:r>
    </w:p>
    <w:p w14:paraId="7C13FCF9" w14:textId="3AE4C0E8" w:rsidR="009064DB" w:rsidRDefault="009064DB" w:rsidP="009064DB">
      <w:pPr>
        <w:pStyle w:val="ListParagraph"/>
        <w:spacing w:after="0" w:line="360" w:lineRule="atLeast"/>
        <w:ind w:left="1440"/>
        <w:rPr>
          <w:rFonts w:eastAsia="Segoe UI" w:cstheme="minorHAnsi"/>
          <w:color w:val="011A3C"/>
          <w:sz w:val="24"/>
          <w:szCs w:val="24"/>
          <w:lang w:val="en" w:eastAsia="en-AU"/>
        </w:rPr>
      </w:pPr>
      <w:r w:rsidRPr="0037355B">
        <w:rPr>
          <w:rFonts w:eastAsia="Segoe UI" w:cstheme="minorHAnsi"/>
          <w:color w:val="011A3C"/>
          <w:sz w:val="24"/>
          <w:szCs w:val="24"/>
          <w:lang w:val="en" w:eastAsia="en-AU"/>
        </w:rPr>
        <w:t xml:space="preserve">Refer to the </w:t>
      </w:r>
      <w:hyperlink r:id="rId115" w:history="1">
        <w:r w:rsidRPr="0037355B">
          <w:rPr>
            <w:rStyle w:val="Hyperlink"/>
            <w:rFonts w:eastAsia="Segoe UI" w:cstheme="minorHAnsi"/>
            <w:sz w:val="24"/>
            <w:szCs w:val="24"/>
            <w:lang w:val="en" w:eastAsia="en-AU"/>
          </w:rPr>
          <w:t>Finance Manual</w:t>
        </w:r>
        <w:r w:rsidRPr="0028439E">
          <w:rPr>
            <w:rStyle w:val="Hyperlink"/>
            <w:rFonts w:eastAsia="Segoe UI" w:cstheme="minorHAnsi"/>
            <w:sz w:val="24"/>
            <w:szCs w:val="24"/>
            <w:lang w:val="en" w:eastAsia="en-AU"/>
          </w:rPr>
          <w:t xml:space="preserve"> for Schools</w:t>
        </w:r>
      </w:hyperlink>
      <w:r>
        <w:rPr>
          <w:rFonts w:eastAsia="Segoe UI" w:cstheme="minorHAnsi"/>
          <w:color w:val="011A3C"/>
          <w:sz w:val="24"/>
          <w:szCs w:val="24"/>
          <w:lang w:val="en" w:eastAsia="en-AU"/>
        </w:rPr>
        <w:t xml:space="preserve"> -</w:t>
      </w:r>
      <w:r w:rsidRPr="0037355B">
        <w:rPr>
          <w:rFonts w:eastAsia="Segoe UI" w:cstheme="minorHAnsi"/>
          <w:color w:val="011A3C"/>
          <w:sz w:val="24"/>
          <w:szCs w:val="24"/>
          <w:lang w:val="en" w:eastAsia="en-AU"/>
        </w:rPr>
        <w:t xml:space="preserve"> Section 13 – Asset and Inventory Management on PAL to establish if works </w:t>
      </w:r>
      <w:r w:rsidRPr="009B4DE1">
        <w:rPr>
          <w:rFonts w:eastAsia="Segoe UI" w:cstheme="minorHAnsi"/>
          <w:b/>
          <w:bCs/>
          <w:color w:val="011A3C"/>
          <w:sz w:val="24"/>
          <w:szCs w:val="24"/>
          <w:lang w:val="en" w:eastAsia="en-AU"/>
        </w:rPr>
        <w:t xml:space="preserve">should be </w:t>
      </w:r>
      <w:proofErr w:type="spellStart"/>
      <w:r w:rsidRPr="009B4DE1">
        <w:rPr>
          <w:rFonts w:eastAsia="Segoe UI" w:cstheme="minorHAnsi"/>
          <w:b/>
          <w:bCs/>
          <w:color w:val="011A3C"/>
          <w:sz w:val="24"/>
          <w:szCs w:val="24"/>
          <w:lang w:val="en" w:eastAsia="en-AU"/>
        </w:rPr>
        <w:t>capitalised</w:t>
      </w:r>
      <w:proofErr w:type="spellEnd"/>
      <w:r>
        <w:rPr>
          <w:rFonts w:eastAsia="Segoe UI" w:cstheme="minorHAnsi"/>
          <w:color w:val="011A3C"/>
          <w:sz w:val="24"/>
          <w:szCs w:val="24"/>
          <w:lang w:val="en" w:eastAsia="en-AU"/>
        </w:rPr>
        <w:t>.</w:t>
      </w:r>
    </w:p>
    <w:p w14:paraId="06C2A5FF" w14:textId="77777777" w:rsidR="00947D4A" w:rsidRDefault="00947D4A" w:rsidP="00947D4A">
      <w:pPr>
        <w:spacing w:after="0" w:line="240" w:lineRule="auto"/>
        <w:textAlignment w:val="baseline"/>
        <w:rPr>
          <w:rFonts w:eastAsia="Times New Roman" w:cstheme="minorHAnsi"/>
          <w:color w:val="011A3C"/>
          <w:sz w:val="24"/>
          <w:szCs w:val="24"/>
          <w:lang w:val="en" w:eastAsia="en-AU"/>
        </w:rPr>
      </w:pPr>
    </w:p>
    <w:p w14:paraId="349A6613" w14:textId="6DEF0C95" w:rsidR="00947D4A" w:rsidRPr="009B4DE1" w:rsidRDefault="00947D4A" w:rsidP="00947D4A">
      <w:pPr>
        <w:spacing w:after="0" w:line="240" w:lineRule="auto"/>
        <w:textAlignment w:val="baseline"/>
        <w:rPr>
          <w:rFonts w:eastAsia="Times New Roman" w:cstheme="minorHAnsi"/>
          <w:b/>
          <w:bCs/>
          <w:color w:val="011A3C"/>
          <w:sz w:val="24"/>
          <w:szCs w:val="24"/>
          <w:lang w:val="en" w:eastAsia="en-AU"/>
        </w:rPr>
      </w:pPr>
      <w:r w:rsidRPr="009B4DE1">
        <w:rPr>
          <w:rFonts w:eastAsia="Times New Roman" w:cstheme="minorHAnsi"/>
          <w:b/>
          <w:bCs/>
          <w:color w:val="011A3C"/>
          <w:sz w:val="24"/>
          <w:szCs w:val="24"/>
          <w:lang w:val="en" w:eastAsia="en-AU"/>
        </w:rPr>
        <w:t>Maintenance Programs:</w:t>
      </w:r>
    </w:p>
    <w:p w14:paraId="3E35A41B" w14:textId="294ECF9B" w:rsidR="003A0330" w:rsidRDefault="003A0330" w:rsidP="003A0330">
      <w:pPr>
        <w:spacing w:after="0" w:line="240" w:lineRule="auto"/>
        <w:textAlignment w:val="baseline"/>
        <w:rPr>
          <w:rFonts w:eastAsia="Times New Roman" w:cstheme="minorHAnsi"/>
          <w:color w:val="011A3C"/>
          <w:sz w:val="24"/>
          <w:szCs w:val="24"/>
          <w:lang w:val="en" w:eastAsia="en-AU"/>
        </w:rPr>
      </w:pPr>
      <w:r w:rsidRPr="006E7BBC">
        <w:rPr>
          <w:rFonts w:eastAsia="Times New Roman" w:cstheme="minorHAnsi"/>
          <w:color w:val="011A3C"/>
          <w:sz w:val="24"/>
          <w:szCs w:val="24"/>
          <w:lang w:val="en" w:eastAsia="en-AU"/>
        </w:rPr>
        <w:t xml:space="preserve">The </w:t>
      </w:r>
      <w:r w:rsidRPr="00833928">
        <w:rPr>
          <w:b/>
          <w:color w:val="011A3C"/>
          <w:sz w:val="24"/>
          <w:lang w:val="en"/>
        </w:rPr>
        <w:t xml:space="preserve">exception is where </w:t>
      </w:r>
      <w:r w:rsidRPr="006E7BBC">
        <w:rPr>
          <w:rFonts w:eastAsia="Times New Roman" w:cstheme="minorHAnsi"/>
          <w:color w:val="011A3C"/>
          <w:sz w:val="24"/>
          <w:szCs w:val="24"/>
          <w:lang w:val="en" w:eastAsia="en-AU"/>
        </w:rPr>
        <w:t>Victorian School Building Authority provides additional funding</w:t>
      </w:r>
      <w:r>
        <w:rPr>
          <w:rFonts w:eastAsia="Times New Roman" w:cstheme="minorHAnsi"/>
          <w:color w:val="011A3C"/>
          <w:sz w:val="24"/>
          <w:szCs w:val="24"/>
          <w:lang w:val="en" w:eastAsia="en-AU"/>
        </w:rPr>
        <w:t xml:space="preserve"> for the maintenance programs </w:t>
      </w:r>
      <w:r w:rsidRPr="009B4DE1">
        <w:rPr>
          <w:rFonts w:eastAsia="Times New Roman" w:cstheme="minorHAnsi"/>
          <w:b/>
          <w:bCs/>
          <w:color w:val="011A3C"/>
          <w:sz w:val="24"/>
          <w:szCs w:val="24"/>
          <w:lang w:val="en" w:eastAsia="en-AU"/>
        </w:rPr>
        <w:t>listed below</w:t>
      </w:r>
      <w:r>
        <w:rPr>
          <w:rFonts w:eastAsia="Times New Roman" w:cstheme="minorHAnsi"/>
          <w:color w:val="011A3C"/>
          <w:sz w:val="24"/>
          <w:szCs w:val="24"/>
          <w:lang w:val="en" w:eastAsia="en-AU"/>
        </w:rPr>
        <w:t xml:space="preserve"> which can be one off or ongoing.</w:t>
      </w:r>
    </w:p>
    <w:p w14:paraId="778B90BD" w14:textId="4F7F39F6" w:rsidR="00947D4A" w:rsidRDefault="00947D4A" w:rsidP="003A0330">
      <w:pPr>
        <w:spacing w:after="0" w:line="240" w:lineRule="auto"/>
        <w:textAlignment w:val="baseline"/>
        <w:rPr>
          <w:rFonts w:eastAsia="Times New Roman" w:cstheme="minorHAnsi"/>
          <w:color w:val="011A3C"/>
          <w:sz w:val="24"/>
          <w:szCs w:val="24"/>
          <w:lang w:val="en" w:eastAsia="en-AU"/>
        </w:rPr>
      </w:pPr>
    </w:p>
    <w:p w14:paraId="30DC4A75" w14:textId="77777777" w:rsidR="003A0330" w:rsidRPr="006E7BBC" w:rsidRDefault="003A0330" w:rsidP="003A0330">
      <w:pPr>
        <w:spacing w:after="0" w:line="240" w:lineRule="auto"/>
        <w:textAlignment w:val="baseline"/>
        <w:rPr>
          <w:rFonts w:eastAsia="Times New Roman" w:cstheme="minorHAnsi"/>
          <w:color w:val="011A3C"/>
          <w:sz w:val="24"/>
          <w:szCs w:val="24"/>
          <w:lang w:val="en" w:eastAsia="en-AU"/>
        </w:rPr>
      </w:pPr>
      <w:r>
        <w:rPr>
          <w:rFonts w:eastAsia="Times New Roman" w:cstheme="minorHAnsi"/>
          <w:color w:val="011A3C"/>
          <w:sz w:val="24"/>
          <w:szCs w:val="24"/>
          <w:lang w:val="en" w:eastAsia="en-AU"/>
        </w:rPr>
        <w:t>Maintenance Programs:</w:t>
      </w:r>
    </w:p>
    <w:p w14:paraId="0E213523" w14:textId="77777777" w:rsidR="003A0330" w:rsidRDefault="003A0330" w:rsidP="003A0330">
      <w:pPr>
        <w:numPr>
          <w:ilvl w:val="0"/>
          <w:numId w:val="135"/>
        </w:numPr>
        <w:contextualSpacing/>
        <w:rPr>
          <w:rFonts w:cstheme="minorHAnsi"/>
          <w:color w:val="011A3C"/>
          <w:sz w:val="24"/>
          <w:szCs w:val="24"/>
          <w:lang w:val="en"/>
        </w:rPr>
      </w:pPr>
      <w:r w:rsidRPr="006E7BBC">
        <w:rPr>
          <w:rFonts w:cstheme="minorHAnsi"/>
          <w:color w:val="011A3C"/>
          <w:sz w:val="24"/>
          <w:szCs w:val="24"/>
          <w:lang w:val="en"/>
        </w:rPr>
        <w:t>Planned Maintenance Program (PMP) targeted to address Priority One and Two defects identified by the RFE.</w:t>
      </w:r>
    </w:p>
    <w:p w14:paraId="2B002FE5" w14:textId="3B3BAAF4" w:rsidR="003A0330" w:rsidRDefault="003A0330" w:rsidP="003A0330">
      <w:pPr>
        <w:numPr>
          <w:ilvl w:val="0"/>
          <w:numId w:val="135"/>
        </w:numPr>
        <w:contextualSpacing/>
        <w:rPr>
          <w:rFonts w:cstheme="minorHAnsi"/>
          <w:color w:val="011A3C"/>
          <w:sz w:val="24"/>
          <w:szCs w:val="24"/>
          <w:lang w:val="en"/>
        </w:rPr>
      </w:pPr>
      <w:r w:rsidRPr="006E7BBC">
        <w:rPr>
          <w:rFonts w:cstheme="minorHAnsi"/>
          <w:color w:val="011A3C"/>
          <w:sz w:val="24"/>
          <w:szCs w:val="24"/>
          <w:lang w:val="en"/>
        </w:rPr>
        <w:lastRenderedPageBreak/>
        <w:t>Accessible Buildings Program (ABP)</w:t>
      </w:r>
    </w:p>
    <w:p w14:paraId="413A362A" w14:textId="77777777" w:rsidR="003A0330" w:rsidRDefault="003A0330" w:rsidP="003A0330">
      <w:pPr>
        <w:numPr>
          <w:ilvl w:val="0"/>
          <w:numId w:val="135"/>
        </w:numPr>
        <w:contextualSpacing/>
        <w:rPr>
          <w:rFonts w:cstheme="minorHAnsi"/>
          <w:color w:val="011A3C"/>
          <w:sz w:val="24"/>
          <w:szCs w:val="24"/>
          <w:lang w:val="en"/>
        </w:rPr>
      </w:pPr>
      <w:r w:rsidRPr="006E7BBC">
        <w:rPr>
          <w:rFonts w:cstheme="minorHAnsi"/>
          <w:color w:val="011A3C"/>
          <w:sz w:val="24"/>
          <w:szCs w:val="24"/>
          <w:lang w:val="en"/>
        </w:rPr>
        <w:t>Safe Trees Program</w:t>
      </w:r>
    </w:p>
    <w:p w14:paraId="713CB828" w14:textId="36099DC7" w:rsidR="003A0330" w:rsidRDefault="003A0330" w:rsidP="003A0330">
      <w:pPr>
        <w:numPr>
          <w:ilvl w:val="0"/>
          <w:numId w:val="135"/>
        </w:numPr>
        <w:contextualSpacing/>
        <w:rPr>
          <w:rFonts w:cstheme="minorHAnsi"/>
          <w:color w:val="011A3C"/>
          <w:sz w:val="24"/>
          <w:szCs w:val="24"/>
          <w:lang w:val="en"/>
        </w:rPr>
      </w:pPr>
      <w:r w:rsidRPr="006E7BBC">
        <w:rPr>
          <w:rFonts w:cstheme="minorHAnsi"/>
          <w:color w:val="011A3C"/>
          <w:sz w:val="24"/>
          <w:szCs w:val="24"/>
          <w:lang w:val="en"/>
        </w:rPr>
        <w:t>Inclusions Schools Fund (ISF)</w:t>
      </w:r>
    </w:p>
    <w:p w14:paraId="4171BAA3" w14:textId="77777777" w:rsidR="003A0330" w:rsidRDefault="003A0330" w:rsidP="003A0330">
      <w:pPr>
        <w:numPr>
          <w:ilvl w:val="0"/>
          <w:numId w:val="135"/>
        </w:numPr>
        <w:contextualSpacing/>
        <w:rPr>
          <w:rFonts w:cstheme="minorHAnsi"/>
          <w:color w:val="011A3C"/>
          <w:sz w:val="24"/>
          <w:szCs w:val="24"/>
          <w:lang w:val="en"/>
        </w:rPr>
      </w:pPr>
      <w:r w:rsidRPr="006E7BBC">
        <w:rPr>
          <w:rFonts w:cstheme="minorHAnsi"/>
          <w:color w:val="011A3C"/>
          <w:sz w:val="24"/>
          <w:szCs w:val="24"/>
          <w:lang w:val="en"/>
        </w:rPr>
        <w:t>Emergency Maintenance Program (EMP)</w:t>
      </w:r>
    </w:p>
    <w:p w14:paraId="4311CC77" w14:textId="798C9FA4" w:rsidR="003A0330" w:rsidRDefault="003A0330" w:rsidP="003A0330">
      <w:pPr>
        <w:numPr>
          <w:ilvl w:val="0"/>
          <w:numId w:val="135"/>
        </w:numPr>
        <w:contextualSpacing/>
        <w:rPr>
          <w:rFonts w:cstheme="minorHAnsi"/>
          <w:color w:val="011A3C"/>
          <w:sz w:val="24"/>
          <w:szCs w:val="24"/>
          <w:lang w:val="en"/>
        </w:rPr>
      </w:pPr>
      <w:r w:rsidRPr="006E7BBC">
        <w:rPr>
          <w:rFonts w:cstheme="minorHAnsi"/>
          <w:color w:val="011A3C"/>
          <w:sz w:val="24"/>
          <w:szCs w:val="24"/>
          <w:lang w:val="en"/>
        </w:rPr>
        <w:t>Bushfire Preparedness (Vegetation) Program (BPVP)</w:t>
      </w:r>
      <w:r>
        <w:rPr>
          <w:rFonts w:cstheme="minorHAnsi"/>
          <w:color w:val="011A3C"/>
          <w:sz w:val="24"/>
          <w:szCs w:val="24"/>
          <w:lang w:val="en"/>
        </w:rPr>
        <w:t>.</w:t>
      </w:r>
    </w:p>
    <w:p w14:paraId="024A127C" w14:textId="22D544F3" w:rsidR="00132E01" w:rsidRPr="006E7BBC" w:rsidRDefault="00132E01" w:rsidP="006E7BBC">
      <w:pPr>
        <w:spacing w:after="0" w:line="240" w:lineRule="auto"/>
        <w:textAlignment w:val="baseline"/>
        <w:rPr>
          <w:rFonts w:eastAsia="Times New Roman" w:cstheme="minorHAnsi"/>
          <w:color w:val="011A3C"/>
          <w:sz w:val="24"/>
          <w:szCs w:val="24"/>
          <w:lang w:val="en" w:eastAsia="en-AU"/>
        </w:rPr>
      </w:pPr>
    </w:p>
    <w:p w14:paraId="353614C9" w14:textId="0C690317" w:rsidR="00345CDA" w:rsidRPr="006E7BBC" w:rsidRDefault="00345CDA" w:rsidP="00345CDA">
      <w:pPr>
        <w:spacing w:before="120" w:after="0" w:line="240" w:lineRule="auto"/>
        <w:outlineLvl w:val="1"/>
        <w:rPr>
          <w:rFonts w:ascii="Calibri" w:hAnsi="Calibri" w:cs="Calibri"/>
          <w:b/>
          <w:color w:val="011A3C"/>
          <w:lang w:val="en"/>
        </w:rPr>
      </w:pPr>
      <w:r w:rsidRPr="006E7BBC">
        <w:rPr>
          <w:rFonts w:ascii="Calibri" w:eastAsia="Segoe UI" w:hAnsi="Calibri" w:cs="Calibri"/>
          <w:b/>
          <w:color w:val="011A3C"/>
          <w:sz w:val="27"/>
          <w:szCs w:val="27"/>
        </w:rPr>
        <w:t>Reporting in CASES21</w:t>
      </w:r>
    </w:p>
    <w:p w14:paraId="76C82E18" w14:textId="77777777" w:rsidR="00345CDA" w:rsidRPr="006E7BBC" w:rsidRDefault="00345CDA" w:rsidP="00833928">
      <w:pPr>
        <w:spacing w:before="120" w:after="0" w:line="240" w:lineRule="auto"/>
        <w:textAlignment w:val="baseline"/>
        <w:rPr>
          <w:rFonts w:eastAsia="Times New Roman" w:cstheme="minorHAnsi"/>
          <w:color w:val="011A3C"/>
          <w:sz w:val="24"/>
          <w:szCs w:val="24"/>
          <w:lang w:val="en" w:eastAsia="en-AU"/>
        </w:rPr>
      </w:pPr>
      <w:r>
        <w:rPr>
          <w:rFonts w:eastAsia="Times New Roman" w:cstheme="minorHAnsi"/>
          <w:color w:val="011A3C"/>
          <w:sz w:val="24"/>
          <w:szCs w:val="24"/>
          <w:lang w:val="en" w:eastAsia="en-AU"/>
        </w:rPr>
        <w:t xml:space="preserve">Maintenance program </w:t>
      </w:r>
      <w:r w:rsidRPr="006E7BBC">
        <w:rPr>
          <w:rFonts w:eastAsia="Times New Roman" w:cstheme="minorHAnsi"/>
          <w:color w:val="011A3C"/>
          <w:sz w:val="24"/>
          <w:szCs w:val="24"/>
          <w:lang w:val="en" w:eastAsia="en-AU"/>
        </w:rPr>
        <w:t>expenditure should be allocated in CASES21 to:</w:t>
      </w:r>
    </w:p>
    <w:p w14:paraId="789D4F11" w14:textId="77777777" w:rsidR="00345CDA" w:rsidRPr="006E7BBC" w:rsidRDefault="00345CDA" w:rsidP="00833928">
      <w:pPr>
        <w:spacing w:before="120" w:after="0" w:line="240" w:lineRule="auto"/>
        <w:ind w:firstLine="720"/>
        <w:textAlignment w:val="baseline"/>
        <w:rPr>
          <w:rFonts w:eastAsia="Times New Roman" w:cstheme="minorHAnsi"/>
          <w:sz w:val="24"/>
          <w:szCs w:val="24"/>
          <w:lang w:eastAsia="en-AU"/>
        </w:rPr>
      </w:pPr>
      <w:r w:rsidRPr="006E7BBC">
        <w:rPr>
          <w:rFonts w:eastAsia="Times New Roman" w:cstheme="minorHAnsi"/>
          <w:color w:val="011A3C"/>
          <w:sz w:val="24"/>
          <w:szCs w:val="24"/>
          <w:lang w:val="en" w:eastAsia="en-AU"/>
        </w:rPr>
        <w:t xml:space="preserve">Sub Program Code: 6222 – </w:t>
      </w:r>
      <w:r w:rsidRPr="006E7BBC">
        <w:rPr>
          <w:rFonts w:eastAsia="Times New Roman" w:cstheme="minorHAnsi"/>
          <w:sz w:val="24"/>
          <w:szCs w:val="24"/>
          <w:lang w:eastAsia="en-AU"/>
        </w:rPr>
        <w:t>Maintenance</w:t>
      </w:r>
      <w:r w:rsidRPr="006E7BBC">
        <w:rPr>
          <w:rFonts w:eastAsia="Times New Roman" w:cstheme="minorHAnsi"/>
          <w:color w:val="011A3C"/>
          <w:sz w:val="24"/>
          <w:szCs w:val="24"/>
          <w:lang w:val="en" w:eastAsia="en-AU"/>
        </w:rPr>
        <w:t xml:space="preserve"> Programs</w:t>
      </w:r>
    </w:p>
    <w:p w14:paraId="45EF4539" w14:textId="77777777" w:rsidR="00345CDA" w:rsidRPr="00657F68" w:rsidRDefault="00345CDA" w:rsidP="00833928">
      <w:pPr>
        <w:numPr>
          <w:ilvl w:val="0"/>
          <w:numId w:val="132"/>
        </w:numPr>
        <w:tabs>
          <w:tab w:val="clear" w:pos="720"/>
          <w:tab w:val="num" w:pos="1440"/>
        </w:tabs>
        <w:spacing w:after="0" w:line="240" w:lineRule="auto"/>
        <w:ind w:left="1800" w:hanging="666"/>
        <w:textAlignment w:val="baseline"/>
        <w:rPr>
          <w:rFonts w:ascii="Times New Roman" w:hAnsi="Times New Roman"/>
          <w:sz w:val="24"/>
        </w:rPr>
      </w:pPr>
      <w:r w:rsidRPr="006E7BBC">
        <w:rPr>
          <w:rFonts w:eastAsia="Times New Roman" w:cstheme="minorHAnsi"/>
          <w:color w:val="011A3C"/>
          <w:sz w:val="24"/>
          <w:szCs w:val="24"/>
          <w:lang w:val="en" w:eastAsia="en-AU"/>
        </w:rPr>
        <w:t>General Ledger Account Code: 86504 – Building Works</w:t>
      </w:r>
    </w:p>
    <w:p w14:paraId="073F73E7" w14:textId="77777777" w:rsidR="00345CDA" w:rsidRPr="00657F68" w:rsidRDefault="00345CDA" w:rsidP="00345CDA">
      <w:pPr>
        <w:numPr>
          <w:ilvl w:val="0"/>
          <w:numId w:val="132"/>
        </w:numPr>
        <w:tabs>
          <w:tab w:val="clear" w:pos="720"/>
          <w:tab w:val="num" w:pos="1440"/>
        </w:tabs>
        <w:spacing w:after="0" w:line="240" w:lineRule="auto"/>
        <w:ind w:left="1800" w:hanging="666"/>
        <w:textAlignment w:val="baseline"/>
        <w:rPr>
          <w:rFonts w:ascii="Times New Roman" w:hAnsi="Times New Roman"/>
          <w:sz w:val="24"/>
        </w:rPr>
      </w:pPr>
      <w:r w:rsidRPr="00241296">
        <w:rPr>
          <w:rFonts w:eastAsia="Times New Roman" w:cstheme="minorHAnsi"/>
          <w:color w:val="011A3C"/>
          <w:sz w:val="24"/>
          <w:szCs w:val="24"/>
          <w:lang w:val="en" w:eastAsia="en-AU"/>
        </w:rPr>
        <w:t>General Ledger Account Code: 86505 – Ground Works</w:t>
      </w:r>
    </w:p>
    <w:p w14:paraId="284E1061" w14:textId="77777777" w:rsidR="00345CDA" w:rsidRDefault="00345CDA" w:rsidP="00345CDA">
      <w:pPr>
        <w:pStyle w:val="ListParagraph"/>
        <w:numPr>
          <w:ilvl w:val="1"/>
          <w:numId w:val="132"/>
        </w:numPr>
        <w:spacing w:after="0" w:line="360" w:lineRule="atLeast"/>
        <w:rPr>
          <w:rFonts w:eastAsia="Segoe UI" w:cstheme="minorHAnsi"/>
          <w:color w:val="011A3C"/>
          <w:sz w:val="24"/>
          <w:szCs w:val="24"/>
          <w:lang w:val="en" w:eastAsia="en-AU"/>
        </w:rPr>
      </w:pPr>
      <w:r w:rsidRPr="0082534A">
        <w:rPr>
          <w:rFonts w:eastAsia="Segoe UI" w:cstheme="minorHAnsi"/>
          <w:color w:val="011A3C"/>
          <w:sz w:val="24"/>
          <w:szCs w:val="24"/>
          <w:lang w:val="en" w:eastAsia="en-AU"/>
        </w:rPr>
        <w:t xml:space="preserve">General Ledger Account Code: </w:t>
      </w:r>
      <w:r>
        <w:rPr>
          <w:rFonts w:eastAsia="Segoe UI" w:cstheme="minorHAnsi"/>
          <w:color w:val="011A3C"/>
          <w:sz w:val="24"/>
          <w:szCs w:val="24"/>
          <w:lang w:val="en" w:eastAsia="en-AU"/>
        </w:rPr>
        <w:t>26501</w:t>
      </w:r>
      <w:r w:rsidRPr="0082534A">
        <w:rPr>
          <w:rFonts w:eastAsia="Segoe UI" w:cstheme="minorHAnsi"/>
          <w:color w:val="011A3C"/>
          <w:sz w:val="24"/>
          <w:szCs w:val="24"/>
          <w:lang w:val="en" w:eastAsia="en-AU"/>
        </w:rPr>
        <w:t xml:space="preserve"> – </w:t>
      </w:r>
      <w:r w:rsidRPr="0037355B">
        <w:rPr>
          <w:rFonts w:eastAsia="Segoe UI" w:cstheme="minorHAnsi"/>
          <w:color w:val="011A3C"/>
          <w:sz w:val="24"/>
          <w:szCs w:val="24"/>
          <w:lang w:val="en" w:eastAsia="en-AU"/>
        </w:rPr>
        <w:t>Building &amp; Land Clearing Account</w:t>
      </w:r>
    </w:p>
    <w:p w14:paraId="55D71A33" w14:textId="25A4FE19" w:rsidR="00345CDA" w:rsidRDefault="00345CDA" w:rsidP="00345CDA">
      <w:pPr>
        <w:pStyle w:val="ListParagraph"/>
        <w:spacing w:after="0" w:line="360" w:lineRule="atLeast"/>
        <w:ind w:left="1440"/>
        <w:rPr>
          <w:rFonts w:eastAsia="Segoe UI" w:cstheme="minorHAnsi"/>
          <w:color w:val="011A3C"/>
          <w:sz w:val="24"/>
          <w:szCs w:val="24"/>
          <w:lang w:val="en" w:eastAsia="en-AU"/>
        </w:rPr>
      </w:pPr>
      <w:r w:rsidRPr="0037355B">
        <w:rPr>
          <w:rFonts w:eastAsia="Segoe UI" w:cstheme="minorHAnsi"/>
          <w:color w:val="011A3C"/>
          <w:sz w:val="24"/>
          <w:szCs w:val="24"/>
          <w:lang w:val="en" w:eastAsia="en-AU"/>
        </w:rPr>
        <w:t xml:space="preserve">Refer to </w:t>
      </w:r>
      <w:r>
        <w:rPr>
          <w:rFonts w:eastAsia="Segoe UI" w:cstheme="minorHAnsi"/>
          <w:color w:val="011A3C"/>
          <w:sz w:val="24"/>
          <w:szCs w:val="24"/>
          <w:lang w:val="en" w:eastAsia="en-AU"/>
        </w:rPr>
        <w:t xml:space="preserve">the </w:t>
      </w:r>
      <w:hyperlink r:id="rId116" w:history="1">
        <w:r w:rsidRPr="0037355B">
          <w:rPr>
            <w:rStyle w:val="Hyperlink"/>
            <w:rFonts w:eastAsia="Segoe UI" w:cstheme="minorHAnsi"/>
            <w:sz w:val="24"/>
            <w:szCs w:val="24"/>
            <w:lang w:val="en" w:eastAsia="en-AU"/>
          </w:rPr>
          <w:t>Finance Manual</w:t>
        </w:r>
        <w:r w:rsidRPr="0028439E">
          <w:rPr>
            <w:rStyle w:val="Hyperlink"/>
            <w:rFonts w:eastAsia="Segoe UI" w:cstheme="minorHAnsi"/>
            <w:sz w:val="24"/>
            <w:szCs w:val="24"/>
            <w:lang w:val="en" w:eastAsia="en-AU"/>
          </w:rPr>
          <w:t xml:space="preserve"> for Schools</w:t>
        </w:r>
      </w:hyperlink>
      <w:r>
        <w:rPr>
          <w:rFonts w:eastAsia="Segoe UI" w:cstheme="minorHAnsi"/>
          <w:color w:val="011A3C"/>
          <w:sz w:val="24"/>
          <w:szCs w:val="24"/>
          <w:lang w:val="en" w:eastAsia="en-AU"/>
        </w:rPr>
        <w:t xml:space="preserve"> -</w:t>
      </w:r>
      <w:r w:rsidRPr="0037355B">
        <w:rPr>
          <w:rFonts w:eastAsia="Segoe UI" w:cstheme="minorHAnsi"/>
          <w:color w:val="011A3C"/>
          <w:sz w:val="24"/>
          <w:szCs w:val="24"/>
          <w:lang w:val="en" w:eastAsia="en-AU"/>
        </w:rPr>
        <w:t xml:space="preserve"> Section 13 – Asset and Inventory Management on PAL to establish if works </w:t>
      </w:r>
      <w:r w:rsidRPr="009B4DE1">
        <w:rPr>
          <w:rFonts w:eastAsia="Segoe UI" w:cstheme="minorHAnsi"/>
          <w:b/>
          <w:bCs/>
          <w:color w:val="011A3C"/>
          <w:sz w:val="24"/>
          <w:szCs w:val="24"/>
          <w:lang w:val="en" w:eastAsia="en-AU"/>
        </w:rPr>
        <w:t xml:space="preserve">should be </w:t>
      </w:r>
      <w:proofErr w:type="spellStart"/>
      <w:r w:rsidRPr="009B4DE1">
        <w:rPr>
          <w:rFonts w:eastAsia="Segoe UI" w:cstheme="minorHAnsi"/>
          <w:b/>
          <w:bCs/>
          <w:color w:val="011A3C"/>
          <w:sz w:val="24"/>
          <w:szCs w:val="24"/>
          <w:lang w:val="en" w:eastAsia="en-AU"/>
        </w:rPr>
        <w:t>capitalised</w:t>
      </w:r>
      <w:proofErr w:type="spellEnd"/>
      <w:r>
        <w:rPr>
          <w:rFonts w:eastAsia="Segoe UI" w:cstheme="minorHAnsi"/>
          <w:color w:val="011A3C"/>
          <w:sz w:val="24"/>
          <w:szCs w:val="24"/>
          <w:lang w:val="en" w:eastAsia="en-AU"/>
        </w:rPr>
        <w:t>.</w:t>
      </w:r>
    </w:p>
    <w:p w14:paraId="6BCBE16C" w14:textId="77777777" w:rsidR="009B6DA2" w:rsidRDefault="009B6DA2">
      <w:pPr>
        <w:rPr>
          <w:rFonts w:ascii="Calibri" w:eastAsia="Calibri Light" w:hAnsi="Calibri" w:cs="Calibri"/>
          <w:b/>
          <w:bCs/>
          <w:i/>
          <w:iCs/>
          <w:color w:val="2F5496" w:themeColor="accent1" w:themeShade="BF"/>
          <w:sz w:val="36"/>
          <w:szCs w:val="36"/>
          <w:lang w:val="en" w:eastAsia="en-AU"/>
        </w:rPr>
      </w:pPr>
      <w:r>
        <w:rPr>
          <w:rFonts w:ascii="Calibri" w:hAnsi="Calibri" w:cs="Calibri"/>
          <w:i/>
          <w:iCs/>
        </w:rPr>
        <w:br w:type="page"/>
      </w:r>
    </w:p>
    <w:p w14:paraId="1867B7A3" w14:textId="6AC2E72E" w:rsidR="00F01BB5" w:rsidRPr="00260C1D" w:rsidRDefault="00F01BB5" w:rsidP="00532A33">
      <w:pPr>
        <w:pStyle w:val="Heading2"/>
      </w:pPr>
      <w:bookmarkStart w:id="146" w:name="_Toc141965262"/>
      <w:bookmarkStart w:id="147" w:name="_Toc145339592"/>
      <w:bookmarkStart w:id="148" w:name="_Toc153791915"/>
      <w:bookmarkStart w:id="149" w:name="_Hlk97907990"/>
      <w:r w:rsidRPr="00260C1D">
        <w:lastRenderedPageBreak/>
        <w:t>Annual Contracts (Reference 36)</w:t>
      </w:r>
      <w:bookmarkEnd w:id="146"/>
      <w:bookmarkEnd w:id="147"/>
      <w:bookmarkEnd w:id="148"/>
    </w:p>
    <w:p w14:paraId="5DFC959F" w14:textId="77777777" w:rsidR="00F01BB5" w:rsidRPr="00260C1D" w:rsidRDefault="00F01BB5" w:rsidP="00F01BB5">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 xml:space="preserve">Annual Contracts </w:t>
      </w:r>
    </w:p>
    <w:p w14:paraId="3E04E874" w14:textId="6AC2206B" w:rsidR="00F01BB5" w:rsidRPr="00260C1D" w:rsidRDefault="00F01BB5" w:rsidP="00F01BB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Annual Contracts allocation provides for the routine servicing, inspection, and testing of various items</w:t>
      </w:r>
      <w:r w:rsidR="00FF7617">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both essential and mandatory. These tasks are: </w:t>
      </w:r>
    </w:p>
    <w:p w14:paraId="5D566F00" w14:textId="77777777" w:rsidR="00F01BB5" w:rsidRPr="00260C1D" w:rsidRDefault="00F01BB5" w:rsidP="00F56244">
      <w:pPr>
        <w:numPr>
          <w:ilvl w:val="0"/>
          <w:numId w:val="1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Hygiene requirements (sanitary bins, nappy bins, sharps containers)</w:t>
      </w:r>
    </w:p>
    <w:p w14:paraId="57ED2A11" w14:textId="77777777" w:rsidR="00F01BB5" w:rsidRPr="00260C1D" w:rsidRDefault="00F01BB5" w:rsidP="00F56244">
      <w:pPr>
        <w:numPr>
          <w:ilvl w:val="0"/>
          <w:numId w:val="1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Onsite Wastewater Management Systems (OWMS)</w:t>
      </w:r>
    </w:p>
    <w:p w14:paraId="4073AA90" w14:textId="77777777" w:rsidR="00F01BB5" w:rsidRPr="00260C1D" w:rsidRDefault="00F01BB5" w:rsidP="00F56244">
      <w:pPr>
        <w:numPr>
          <w:ilvl w:val="0"/>
          <w:numId w:val="1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Private Drinking Water (PDW) </w:t>
      </w:r>
    </w:p>
    <w:p w14:paraId="30632EBB" w14:textId="74500723" w:rsidR="00F01BB5" w:rsidRPr="00260C1D" w:rsidRDefault="00F01BB5" w:rsidP="00F56244">
      <w:pPr>
        <w:numPr>
          <w:ilvl w:val="0"/>
          <w:numId w:val="1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Lifts </w:t>
      </w:r>
    </w:p>
    <w:p w14:paraId="68047C4B" w14:textId="4678606C" w:rsidR="00F01BB5" w:rsidRPr="00260C1D" w:rsidRDefault="00F01BB5" w:rsidP="00F56244">
      <w:pPr>
        <w:numPr>
          <w:ilvl w:val="0"/>
          <w:numId w:val="1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Termite inspections</w:t>
      </w:r>
      <w:r w:rsidR="00A20040">
        <w:rPr>
          <w:rFonts w:eastAsia="Segoe UI" w:cstheme="minorHAnsi"/>
          <w:color w:val="011A3C"/>
          <w:sz w:val="24"/>
          <w:szCs w:val="24"/>
          <w:lang w:val="en" w:eastAsia="en-AU"/>
        </w:rPr>
        <w:t xml:space="preserve"> (not pest control)</w:t>
      </w:r>
    </w:p>
    <w:p w14:paraId="0F214A93" w14:textId="3A345FAA" w:rsidR="00F01BB5" w:rsidRPr="00260C1D" w:rsidRDefault="00F01BB5" w:rsidP="00F56244">
      <w:pPr>
        <w:numPr>
          <w:ilvl w:val="0"/>
          <w:numId w:val="1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Heaters</w:t>
      </w:r>
      <w:r w:rsidR="00126D4B">
        <w:rPr>
          <w:rFonts w:eastAsia="Segoe UI" w:cstheme="minorHAnsi"/>
          <w:color w:val="011A3C"/>
          <w:sz w:val="24"/>
          <w:szCs w:val="24"/>
          <w:lang w:val="en" w:eastAsia="en-AU"/>
        </w:rPr>
        <w:t>, boilers</w:t>
      </w:r>
      <w:r w:rsidRPr="00260C1D">
        <w:rPr>
          <w:rFonts w:eastAsia="Segoe UI" w:cstheme="minorHAnsi"/>
          <w:color w:val="011A3C"/>
          <w:sz w:val="24"/>
          <w:szCs w:val="24"/>
          <w:lang w:val="en" w:eastAsia="en-AU"/>
        </w:rPr>
        <w:t xml:space="preserve"> (Type A and</w:t>
      </w:r>
      <w:r w:rsidR="00FF7617">
        <w:rPr>
          <w:rFonts w:eastAsia="Segoe UI" w:cstheme="minorHAnsi"/>
          <w:color w:val="011A3C"/>
          <w:sz w:val="24"/>
          <w:szCs w:val="24"/>
          <w:lang w:val="en" w:eastAsia="en-AU"/>
        </w:rPr>
        <w:t xml:space="preserve"> Type </w:t>
      </w:r>
      <w:r w:rsidRPr="00260C1D">
        <w:rPr>
          <w:rFonts w:eastAsia="Segoe UI" w:cstheme="minorHAnsi"/>
          <w:color w:val="011A3C"/>
          <w:sz w:val="24"/>
          <w:szCs w:val="24"/>
          <w:lang w:val="en" w:eastAsia="en-AU"/>
        </w:rPr>
        <w:t>B Gas Appliances)</w:t>
      </w:r>
    </w:p>
    <w:p w14:paraId="0B36B083" w14:textId="53F22D5B" w:rsidR="00F01BB5" w:rsidRPr="00260C1D" w:rsidRDefault="00F01BB5" w:rsidP="00F56244">
      <w:pPr>
        <w:numPr>
          <w:ilvl w:val="0"/>
          <w:numId w:val="1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Air conditioning </w:t>
      </w:r>
      <w:r w:rsidR="00126D4B">
        <w:rPr>
          <w:rFonts w:eastAsia="Segoe UI" w:cstheme="minorHAnsi"/>
          <w:color w:val="011A3C"/>
          <w:sz w:val="24"/>
          <w:szCs w:val="24"/>
          <w:lang w:val="en" w:eastAsia="en-AU"/>
        </w:rPr>
        <w:t>(including evaporative cooling systems)</w:t>
      </w:r>
    </w:p>
    <w:p w14:paraId="4C1E5387" w14:textId="013347A2" w:rsidR="00F01BB5" w:rsidRPr="00260C1D" w:rsidRDefault="00F01BB5" w:rsidP="00F56244">
      <w:pPr>
        <w:numPr>
          <w:ilvl w:val="0"/>
          <w:numId w:val="1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Vertical school systems (i.e. </w:t>
      </w:r>
      <w:proofErr w:type="spellStart"/>
      <w:r w:rsidRPr="00260C1D">
        <w:rPr>
          <w:rFonts w:eastAsia="Segoe UI" w:cstheme="minorHAnsi"/>
          <w:color w:val="011A3C"/>
          <w:sz w:val="24"/>
          <w:szCs w:val="24"/>
          <w:lang w:val="en" w:eastAsia="en-AU"/>
        </w:rPr>
        <w:t>centralised</w:t>
      </w:r>
      <w:proofErr w:type="spellEnd"/>
      <w:r w:rsidRPr="00260C1D">
        <w:rPr>
          <w:rFonts w:eastAsia="Segoe UI" w:cstheme="minorHAnsi"/>
          <w:color w:val="011A3C"/>
          <w:sz w:val="24"/>
          <w:szCs w:val="24"/>
          <w:lang w:val="en" w:eastAsia="en-AU"/>
        </w:rPr>
        <w:t xml:space="preserve"> Heating, Ventilation, and Air Conditioning systems)</w:t>
      </w:r>
      <w:r w:rsidR="006C3C0D" w:rsidRPr="00260C1D">
        <w:rPr>
          <w:rFonts w:eastAsia="Segoe UI" w:cstheme="minorHAnsi"/>
          <w:color w:val="011A3C"/>
          <w:sz w:val="24"/>
          <w:szCs w:val="24"/>
          <w:lang w:val="en" w:eastAsia="en-AU"/>
        </w:rPr>
        <w:t>.</w:t>
      </w:r>
    </w:p>
    <w:p w14:paraId="427735E3" w14:textId="0646D40E" w:rsidR="00F01BB5" w:rsidRPr="00260C1D" w:rsidRDefault="00F01BB5" w:rsidP="00F01BB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Costs associated with repairs for any of the equipment serviced under this component are funded within the </w:t>
      </w:r>
      <w:r w:rsidR="00FF7617">
        <w:rPr>
          <w:rFonts w:eastAsia="Segoe UI" w:cstheme="minorHAnsi"/>
          <w:color w:val="011A3C"/>
          <w:sz w:val="24"/>
          <w:szCs w:val="24"/>
          <w:lang w:val="en" w:eastAsia="en-AU"/>
        </w:rPr>
        <w:t>M</w:t>
      </w:r>
      <w:r w:rsidRPr="00260C1D">
        <w:rPr>
          <w:rFonts w:eastAsia="Segoe UI" w:cstheme="minorHAnsi"/>
          <w:color w:val="011A3C"/>
          <w:sz w:val="24"/>
          <w:szCs w:val="24"/>
          <w:lang w:val="en" w:eastAsia="en-AU"/>
        </w:rPr>
        <w:t xml:space="preserve">aintenance </w:t>
      </w:r>
      <w:r w:rsidR="005A0B6E">
        <w:rPr>
          <w:rFonts w:eastAsia="Segoe UI" w:cstheme="minorHAnsi"/>
          <w:color w:val="011A3C"/>
          <w:sz w:val="24"/>
          <w:szCs w:val="24"/>
          <w:lang w:val="en" w:eastAsia="en-AU"/>
        </w:rPr>
        <w:t xml:space="preserve">and Minor </w:t>
      </w:r>
      <w:r w:rsidR="003A19D4">
        <w:rPr>
          <w:rFonts w:eastAsia="Segoe UI" w:cstheme="minorHAnsi"/>
          <w:color w:val="011A3C"/>
          <w:sz w:val="24"/>
          <w:szCs w:val="24"/>
          <w:lang w:val="en" w:eastAsia="en-AU"/>
        </w:rPr>
        <w:t>W</w:t>
      </w:r>
      <w:r w:rsidR="005A0B6E">
        <w:rPr>
          <w:rFonts w:eastAsia="Segoe UI" w:cstheme="minorHAnsi"/>
          <w:color w:val="011A3C"/>
          <w:sz w:val="24"/>
          <w:szCs w:val="24"/>
          <w:lang w:val="en" w:eastAsia="en-AU"/>
        </w:rPr>
        <w:t>orks</w:t>
      </w:r>
      <w:r w:rsidRPr="00260C1D">
        <w:rPr>
          <w:rFonts w:eastAsia="Segoe UI" w:cstheme="minorHAnsi"/>
          <w:color w:val="011A3C"/>
          <w:sz w:val="24"/>
          <w:szCs w:val="24"/>
          <w:lang w:val="en" w:eastAsia="en-AU"/>
        </w:rPr>
        <w:t xml:space="preserve"> portion of the Student Resource Package (SRP).</w:t>
      </w:r>
    </w:p>
    <w:p w14:paraId="725B291E" w14:textId="77777777" w:rsidR="00F01BB5" w:rsidRPr="00260C1D" w:rsidRDefault="00F01BB5" w:rsidP="00F01BB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allocation for SRP Annual Contracts includes funding for the servicing of existing annual contracts items mentioned above at eligible schools. This does not include funding for new annual contacts items (for example, funding is to service air conditioning units and not to purchase new air conditioning units).</w:t>
      </w:r>
    </w:p>
    <w:p w14:paraId="4570D471" w14:textId="77777777" w:rsidR="000714F6" w:rsidRDefault="000714F6" w:rsidP="000714F6">
      <w:pPr>
        <w:spacing w:before="120" w:after="120" w:line="360" w:lineRule="atLeast"/>
        <w:rPr>
          <w:rFonts w:eastAsia="Segoe UI" w:cstheme="minorHAnsi"/>
          <w:color w:val="011A3C"/>
          <w:sz w:val="24"/>
          <w:szCs w:val="24"/>
          <w:lang w:eastAsia="en-AU"/>
        </w:rPr>
      </w:pPr>
      <w:r>
        <w:rPr>
          <w:rFonts w:eastAsia="Segoe UI" w:cstheme="minorHAnsi"/>
          <w:color w:val="011A3C"/>
          <w:sz w:val="24"/>
          <w:szCs w:val="24"/>
          <w:lang w:eastAsia="en-AU"/>
        </w:rPr>
        <w:t xml:space="preserve">Annual Contracts should be managed in </w:t>
      </w:r>
      <w:hyperlink r:id="rId117" w:history="1">
        <w:r w:rsidRPr="006E7BBC">
          <w:rPr>
            <w:rFonts w:eastAsia="Segoe UI" w:cstheme="minorHAnsi"/>
            <w:color w:val="0563C1" w:themeColor="hyperlink"/>
            <w:sz w:val="24"/>
            <w:szCs w:val="24"/>
            <w:u w:val="single"/>
            <w:lang w:eastAsia="en-AU"/>
          </w:rPr>
          <w:t>Asset Information Management System (AIMS)</w:t>
        </w:r>
      </w:hyperlink>
      <w:r w:rsidRPr="006E7BBC">
        <w:rPr>
          <w:rFonts w:eastAsia="Segoe UI" w:cstheme="minorHAnsi"/>
          <w:color w:val="011A3C"/>
          <w:sz w:val="24"/>
          <w:szCs w:val="24"/>
          <w:lang w:eastAsia="en-AU"/>
        </w:rPr>
        <w:t> (</w:t>
      </w:r>
      <w:r>
        <w:rPr>
          <w:rFonts w:eastAsia="Segoe UI" w:cstheme="minorHAnsi"/>
          <w:color w:val="011A3C"/>
          <w:sz w:val="24"/>
          <w:szCs w:val="24"/>
          <w:lang w:eastAsia="en-AU"/>
        </w:rPr>
        <w:t xml:space="preserve">staff </w:t>
      </w:r>
      <w:r w:rsidRPr="006E7BBC">
        <w:rPr>
          <w:rFonts w:eastAsia="Segoe UI" w:cstheme="minorHAnsi"/>
          <w:color w:val="011A3C"/>
          <w:sz w:val="24"/>
          <w:szCs w:val="24"/>
          <w:lang w:eastAsia="en-AU"/>
        </w:rPr>
        <w:t>login required)</w:t>
      </w:r>
      <w:r>
        <w:rPr>
          <w:rFonts w:eastAsia="Segoe UI" w:cstheme="minorHAnsi"/>
          <w:color w:val="011A3C"/>
          <w:sz w:val="24"/>
          <w:szCs w:val="24"/>
          <w:lang w:eastAsia="en-AU"/>
        </w:rPr>
        <w:t xml:space="preserve">.  </w:t>
      </w:r>
    </w:p>
    <w:p w14:paraId="1492C673" w14:textId="7991C593" w:rsidR="000714F6" w:rsidRPr="00260C1D" w:rsidRDefault="000714F6" w:rsidP="000714F6">
      <w:pPr>
        <w:spacing w:before="120" w:after="120" w:line="360" w:lineRule="atLeast"/>
        <w:rPr>
          <w:rFonts w:eastAsia="Segoe UI" w:cstheme="minorHAnsi"/>
          <w:color w:val="011A3C"/>
          <w:sz w:val="24"/>
          <w:szCs w:val="24"/>
          <w:lang w:val="en" w:eastAsia="en-AU"/>
        </w:rPr>
      </w:pPr>
      <w:r w:rsidRPr="4A001B43">
        <w:rPr>
          <w:rFonts w:eastAsia="Segoe UI"/>
          <w:color w:val="011A3C"/>
          <w:sz w:val="24"/>
          <w:szCs w:val="24"/>
          <w:lang w:val="en" w:eastAsia="en-AU"/>
        </w:rPr>
        <w:t xml:space="preserve">For further information, refer to: </w:t>
      </w:r>
      <w:r w:rsidRPr="0082534A">
        <w:rPr>
          <w:rFonts w:eastAsia="Segoe UI" w:cstheme="minorHAnsi"/>
          <w:color w:val="011A3C"/>
          <w:sz w:val="24"/>
          <w:szCs w:val="24"/>
          <w:lang w:val="en" w:eastAsia="en-AU"/>
        </w:rPr>
        <w:t>Annual</w:t>
      </w:r>
      <w:r w:rsidRPr="00260C1D">
        <w:rPr>
          <w:rFonts w:cstheme="minorHAnsi"/>
        </w:rPr>
        <w:t xml:space="preserve"> Contracts</w:t>
      </w:r>
      <w:r>
        <w:rPr>
          <w:rFonts w:cstheme="minorHAnsi"/>
        </w:rPr>
        <w:t>:</w:t>
      </w:r>
      <w:r w:rsidRPr="00260C1D">
        <w:rPr>
          <w:rFonts w:cstheme="minorHAnsi"/>
        </w:rPr>
        <w:t xml:space="preserve"> </w:t>
      </w:r>
      <w:r w:rsidRPr="00260C1D">
        <w:rPr>
          <w:rFonts w:cstheme="minorHAnsi"/>
          <w:b/>
          <w:color w:val="696B6D"/>
          <w:sz w:val="16"/>
          <w:szCs w:val="16"/>
          <w:lang w:eastAsia="en-AU"/>
        </w:rPr>
        <w:t> </w:t>
      </w:r>
      <w:hyperlink r:id="rId118" w:history="1">
        <w:r w:rsidRPr="00260C1D">
          <w:rPr>
            <w:rStyle w:val="Hyperlink"/>
            <w:rFonts w:eastAsia="Segoe UI" w:cstheme="minorHAnsi"/>
            <w:sz w:val="24"/>
            <w:szCs w:val="24"/>
            <w:lang w:val="en" w:eastAsia="en-AU"/>
          </w:rPr>
          <w:t>vsba.annual.contracts@education.vic.gov.au</w:t>
        </w:r>
      </w:hyperlink>
      <w:r w:rsidRPr="00260C1D">
        <w:rPr>
          <w:rStyle w:val="Hyperlink"/>
          <w:rFonts w:eastAsia="Segoe UI" w:cstheme="minorHAnsi"/>
          <w:sz w:val="24"/>
          <w:szCs w:val="24"/>
          <w:u w:val="none"/>
          <w:lang w:val="en"/>
        </w:rPr>
        <w:t xml:space="preserve"> </w:t>
      </w:r>
      <w:r w:rsidRPr="00260C1D">
        <w:rPr>
          <w:rFonts w:cstheme="minorHAnsi"/>
          <w:color w:val="011A3C"/>
          <w:lang w:eastAsia="en-AU"/>
        </w:rPr>
        <w:t xml:space="preserve">or </w:t>
      </w:r>
      <w:r w:rsidRPr="00260C1D">
        <w:rPr>
          <w:rFonts w:eastAsia="Segoe UI" w:cstheme="minorHAnsi"/>
          <w:color w:val="011A3C"/>
          <w:sz w:val="24"/>
          <w:szCs w:val="24"/>
          <w:lang w:val="en" w:eastAsia="en-AU"/>
        </w:rPr>
        <w:t>03 7022 5800</w:t>
      </w:r>
      <w:r w:rsidR="007B321A">
        <w:rPr>
          <w:rFonts w:eastAsia="Segoe UI" w:cstheme="minorHAnsi"/>
          <w:color w:val="011A3C"/>
          <w:sz w:val="24"/>
          <w:szCs w:val="24"/>
          <w:lang w:val="en" w:eastAsia="en-AU"/>
        </w:rPr>
        <w:t>.</w:t>
      </w:r>
    </w:p>
    <w:p w14:paraId="59A5DE9B" w14:textId="77777777" w:rsidR="00F01BB5" w:rsidRPr="00260C1D" w:rsidRDefault="00F01BB5" w:rsidP="00F01BB5">
      <w:pPr>
        <w:keepNext/>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Funding allocation</w:t>
      </w:r>
    </w:p>
    <w:p w14:paraId="4B59C529" w14:textId="6FFF763B" w:rsidR="00F01BB5" w:rsidRPr="00260C1D" w:rsidRDefault="00F01BB5" w:rsidP="00F01BB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w:t>
      </w:r>
      <w:r w:rsidR="00FD1AF0">
        <w:rPr>
          <w:rFonts w:eastAsia="Segoe UI" w:cstheme="minorHAnsi"/>
          <w:color w:val="011A3C"/>
          <w:sz w:val="24"/>
          <w:szCs w:val="24"/>
          <w:lang w:val="en" w:eastAsia="en-AU"/>
        </w:rPr>
        <w:t xml:space="preserve">nnual </w:t>
      </w:r>
      <w:r w:rsidR="00603298">
        <w:rPr>
          <w:rFonts w:eastAsia="Segoe UI" w:cstheme="minorHAnsi"/>
          <w:color w:val="011A3C"/>
          <w:sz w:val="24"/>
          <w:szCs w:val="24"/>
          <w:lang w:val="en" w:eastAsia="en-AU"/>
        </w:rPr>
        <w:t xml:space="preserve">Contracts </w:t>
      </w:r>
      <w:r w:rsidR="00603298" w:rsidRPr="00260C1D">
        <w:rPr>
          <w:rFonts w:eastAsia="Segoe UI" w:cstheme="minorHAnsi"/>
          <w:color w:val="011A3C"/>
          <w:sz w:val="24"/>
          <w:szCs w:val="24"/>
          <w:lang w:val="en" w:eastAsia="en-AU"/>
        </w:rPr>
        <w:t>SRP</w:t>
      </w:r>
      <w:r w:rsidRPr="00260C1D">
        <w:rPr>
          <w:rFonts w:eastAsia="Segoe UI" w:cstheme="minorHAnsi"/>
          <w:color w:val="011A3C"/>
          <w:sz w:val="24"/>
          <w:szCs w:val="24"/>
          <w:lang w:val="en" w:eastAsia="en-AU"/>
        </w:rPr>
        <w:t xml:space="preserve"> funding for any eligible school is allocated </w:t>
      </w:r>
      <w:r w:rsidR="005D2C80" w:rsidRPr="00260C1D">
        <w:rPr>
          <w:rFonts w:eastAsia="Segoe UI" w:cstheme="minorHAnsi"/>
          <w:color w:val="011A3C"/>
          <w:sz w:val="24"/>
          <w:szCs w:val="24"/>
          <w:lang w:val="en" w:eastAsia="en-AU"/>
        </w:rPr>
        <w:t>to</w:t>
      </w:r>
      <w:r w:rsidRPr="00260C1D">
        <w:rPr>
          <w:rFonts w:eastAsia="Segoe UI" w:cstheme="minorHAnsi"/>
          <w:color w:val="011A3C"/>
          <w:sz w:val="24"/>
          <w:szCs w:val="24"/>
          <w:lang w:val="en" w:eastAsia="en-AU"/>
        </w:rPr>
        <w:t xml:space="preserve"> cover costs of Annual Contracts.  Adjustments to the </w:t>
      </w:r>
      <w:r w:rsidR="00E7225C" w:rsidRPr="00260C1D">
        <w:rPr>
          <w:rFonts w:eastAsia="Segoe UI" w:cstheme="minorHAnsi"/>
          <w:color w:val="011A3C"/>
          <w:sz w:val="24"/>
          <w:szCs w:val="24"/>
          <w:lang w:val="en" w:eastAsia="en-AU"/>
        </w:rPr>
        <w:t>A</w:t>
      </w:r>
      <w:r w:rsidR="00E7225C">
        <w:rPr>
          <w:rFonts w:eastAsia="Segoe UI" w:cstheme="minorHAnsi"/>
          <w:color w:val="011A3C"/>
          <w:sz w:val="24"/>
          <w:szCs w:val="24"/>
          <w:lang w:val="en" w:eastAsia="en-AU"/>
        </w:rPr>
        <w:t xml:space="preserve">nnual </w:t>
      </w:r>
      <w:r w:rsidR="00FA520A">
        <w:rPr>
          <w:rFonts w:eastAsia="Segoe UI" w:cstheme="minorHAnsi"/>
          <w:color w:val="011A3C"/>
          <w:sz w:val="24"/>
          <w:szCs w:val="24"/>
          <w:lang w:val="en" w:eastAsia="en-AU"/>
        </w:rPr>
        <w:t>Contracts</w:t>
      </w:r>
      <w:r w:rsidRPr="00260C1D">
        <w:rPr>
          <w:rFonts w:eastAsia="Segoe UI" w:cstheme="minorHAnsi"/>
          <w:color w:val="011A3C"/>
          <w:sz w:val="24"/>
          <w:szCs w:val="24"/>
          <w:lang w:val="en" w:eastAsia="en-AU"/>
        </w:rPr>
        <w:t xml:space="preserve"> SRP allocation will be made </w:t>
      </w:r>
      <w:r w:rsidR="005D2C80" w:rsidRPr="00260C1D">
        <w:rPr>
          <w:rFonts w:eastAsia="Segoe UI" w:cstheme="minorHAnsi"/>
          <w:color w:val="011A3C"/>
          <w:sz w:val="24"/>
          <w:szCs w:val="24"/>
          <w:lang w:val="en" w:eastAsia="en-AU"/>
        </w:rPr>
        <w:t>based on</w:t>
      </w:r>
      <w:r w:rsidRPr="00260C1D">
        <w:rPr>
          <w:rFonts w:eastAsia="Segoe UI" w:cstheme="minorHAnsi"/>
          <w:color w:val="011A3C"/>
          <w:sz w:val="24"/>
          <w:szCs w:val="24"/>
          <w:lang w:val="en" w:eastAsia="en-AU"/>
        </w:rPr>
        <w:t xml:space="preserve"> enrolment/entitlement area or the provision of new equipment. </w:t>
      </w:r>
    </w:p>
    <w:p w14:paraId="4DEDA277" w14:textId="64A34423" w:rsidR="00F01BB5" w:rsidRPr="00260C1D" w:rsidRDefault="00F01BB5" w:rsidP="00F01BB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Annual Contracts are calculated using a ‘bottom-up’ formula involving </w:t>
      </w:r>
      <w:r w:rsidR="00FF7617">
        <w:rPr>
          <w:rFonts w:eastAsia="Segoe UI" w:cstheme="minorHAnsi"/>
          <w:color w:val="011A3C"/>
          <w:sz w:val="24"/>
          <w:szCs w:val="24"/>
          <w:lang w:val="en" w:eastAsia="en-AU"/>
        </w:rPr>
        <w:t>seven</w:t>
      </w:r>
      <w:r w:rsidRPr="00260C1D">
        <w:rPr>
          <w:rFonts w:eastAsia="Segoe UI" w:cstheme="minorHAnsi"/>
          <w:color w:val="011A3C"/>
          <w:sz w:val="24"/>
          <w:szCs w:val="24"/>
          <w:lang w:val="en" w:eastAsia="en-AU"/>
        </w:rPr>
        <w:t xml:space="preserve"> base contracts (as outlined in the Annual Contracts section above, excluding the vertical school allocation).  The formula used to calculate each of the individual contracts is either based on fixed tiers, or a specific funding amount per individual unit present at the school.  </w:t>
      </w:r>
    </w:p>
    <w:p w14:paraId="307E90A3" w14:textId="77777777" w:rsidR="00F01BB5" w:rsidRPr="00260C1D" w:rsidRDefault="00F01BB5" w:rsidP="00F01BB5">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For each of the annual contract items listed below, a pre-determined dollar/unit rate (with both metro and regional rates) is multiplied by every unit recorded at the school:</w:t>
      </w:r>
    </w:p>
    <w:p w14:paraId="027F9C27" w14:textId="77777777" w:rsidR="00F01BB5" w:rsidRPr="00260C1D" w:rsidRDefault="00F01BB5" w:rsidP="00F56244">
      <w:pPr>
        <w:numPr>
          <w:ilvl w:val="0"/>
          <w:numId w:val="1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Onsite Wastewater Management Systems (OWMS) – the number of septic tank units</w:t>
      </w:r>
    </w:p>
    <w:p w14:paraId="74963CF6" w14:textId="77777777" w:rsidR="00F01BB5" w:rsidRPr="00260C1D" w:rsidRDefault="00F01BB5" w:rsidP="00F56244">
      <w:pPr>
        <w:numPr>
          <w:ilvl w:val="0"/>
          <w:numId w:val="1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Private Drinking Water (PDW) – the number of potable water drinking tanks </w:t>
      </w:r>
    </w:p>
    <w:p w14:paraId="42AD9D6F" w14:textId="77777777" w:rsidR="00F01BB5" w:rsidRPr="00260C1D" w:rsidRDefault="00F01BB5" w:rsidP="00F56244">
      <w:pPr>
        <w:numPr>
          <w:ilvl w:val="0"/>
          <w:numId w:val="1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Lifts - the number of passenger and/or document lifts </w:t>
      </w:r>
    </w:p>
    <w:p w14:paraId="197D83AB" w14:textId="77777777" w:rsidR="00F01BB5" w:rsidRPr="00260C1D" w:rsidRDefault="00F01BB5" w:rsidP="00F56244">
      <w:pPr>
        <w:numPr>
          <w:ilvl w:val="0"/>
          <w:numId w:val="1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Heating units – the number of furnace heating units and/or boiling water units </w:t>
      </w:r>
    </w:p>
    <w:p w14:paraId="7F30F083" w14:textId="77777777" w:rsidR="00F01BB5" w:rsidRPr="00260C1D" w:rsidRDefault="00F01BB5" w:rsidP="00F56244">
      <w:pPr>
        <w:numPr>
          <w:ilvl w:val="0"/>
          <w:numId w:val="1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Air conditioning units – including evaporative and refrigerative units. </w:t>
      </w:r>
    </w:p>
    <w:p w14:paraId="1387D70A" w14:textId="6679CF40" w:rsidR="00F01BB5" w:rsidRPr="00260C1D" w:rsidRDefault="00F01BB5" w:rsidP="00F01BB5">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following annual contract items are calculated based on the enrolment or building area.  If the school’s enrolment/building area goes above a certain number, the school will receive an increased funding allowance.</w:t>
      </w:r>
    </w:p>
    <w:p w14:paraId="5D516170" w14:textId="77777777" w:rsidR="00F01BB5" w:rsidRPr="00260C1D" w:rsidRDefault="00F01BB5" w:rsidP="00F56244">
      <w:pPr>
        <w:numPr>
          <w:ilvl w:val="0"/>
          <w:numId w:val="1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Hygiene requirements (sanitary bins, nappy bins, sharps containers)</w:t>
      </w:r>
    </w:p>
    <w:p w14:paraId="1613F87B" w14:textId="77777777" w:rsidR="00F01BB5" w:rsidRPr="00260C1D" w:rsidRDefault="00F01BB5" w:rsidP="00F56244">
      <w:pPr>
        <w:pStyle w:val="ListParagraph"/>
        <w:numPr>
          <w:ilvl w:val="1"/>
          <w:numId w:val="12"/>
        </w:numPr>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allocation is a fixed amount for schools with less than 400 students, and an increased fixed amount for schools with greater than or equal to 400 students. The amounts are dependent on if the school is metro or rural based.</w:t>
      </w:r>
    </w:p>
    <w:p w14:paraId="173044A7" w14:textId="77777777" w:rsidR="00F01BB5" w:rsidRPr="00260C1D" w:rsidRDefault="00F01BB5" w:rsidP="00F56244">
      <w:pPr>
        <w:numPr>
          <w:ilvl w:val="0"/>
          <w:numId w:val="1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Termite inspections</w:t>
      </w:r>
    </w:p>
    <w:p w14:paraId="31C67676" w14:textId="3F93EF4C" w:rsidR="00F01BB5" w:rsidRPr="00260C1D" w:rsidRDefault="00F01BB5" w:rsidP="00F56244">
      <w:pPr>
        <w:pStyle w:val="ListParagraph"/>
        <w:numPr>
          <w:ilvl w:val="1"/>
          <w:numId w:val="12"/>
        </w:numPr>
        <w:rPr>
          <w:rFonts w:eastAsia="Segoe UI"/>
          <w:color w:val="011A3C"/>
          <w:sz w:val="24"/>
          <w:szCs w:val="24"/>
          <w:lang w:val="en" w:eastAsia="en-AU"/>
        </w:rPr>
      </w:pPr>
      <w:r w:rsidRPr="08CBD60C">
        <w:rPr>
          <w:rFonts w:eastAsia="Segoe UI"/>
          <w:color w:val="011A3C"/>
          <w:sz w:val="24"/>
          <w:szCs w:val="24"/>
          <w:lang w:val="en" w:eastAsia="en-AU"/>
        </w:rPr>
        <w:t>The allocation is dependent on the school's total internal floor area. Schools with an area below 2,000m</w:t>
      </w:r>
      <w:r w:rsidRPr="08CBD60C">
        <w:rPr>
          <w:rFonts w:eastAsia="Segoe UI"/>
          <w:color w:val="011A3C"/>
          <w:sz w:val="24"/>
          <w:szCs w:val="24"/>
          <w:vertAlign w:val="superscript"/>
          <w:lang w:val="en" w:eastAsia="en-AU"/>
        </w:rPr>
        <w:t>2</w:t>
      </w:r>
      <w:r w:rsidRPr="08CBD60C">
        <w:rPr>
          <w:rFonts w:eastAsia="Segoe UI"/>
          <w:color w:val="011A3C"/>
          <w:sz w:val="24"/>
          <w:szCs w:val="24"/>
          <w:lang w:val="en" w:eastAsia="en-AU"/>
        </w:rPr>
        <w:t xml:space="preserve"> receive a fixed base amount. Schools with an area between 2,000m</w:t>
      </w:r>
      <w:r w:rsidRPr="08CBD60C">
        <w:rPr>
          <w:rFonts w:eastAsia="Segoe UI"/>
          <w:color w:val="011A3C"/>
          <w:sz w:val="24"/>
          <w:szCs w:val="24"/>
          <w:vertAlign w:val="superscript"/>
          <w:lang w:val="en" w:eastAsia="en-AU"/>
        </w:rPr>
        <w:t>2</w:t>
      </w:r>
      <w:r w:rsidRPr="08CBD60C">
        <w:rPr>
          <w:rFonts w:eastAsia="Segoe UI"/>
          <w:color w:val="011A3C"/>
          <w:sz w:val="24"/>
          <w:szCs w:val="24"/>
          <w:lang w:val="en" w:eastAsia="en-AU"/>
        </w:rPr>
        <w:t xml:space="preserve"> and 8,000m</w:t>
      </w:r>
      <w:r w:rsidRPr="08CBD60C">
        <w:rPr>
          <w:rFonts w:eastAsia="Segoe UI"/>
          <w:color w:val="011A3C"/>
          <w:sz w:val="24"/>
          <w:szCs w:val="24"/>
          <w:vertAlign w:val="superscript"/>
          <w:lang w:val="en" w:eastAsia="en-AU"/>
        </w:rPr>
        <w:t>2</w:t>
      </w:r>
      <w:r w:rsidRPr="08CBD60C">
        <w:rPr>
          <w:rFonts w:eastAsia="Segoe UI"/>
          <w:color w:val="011A3C"/>
          <w:sz w:val="24"/>
          <w:szCs w:val="24"/>
          <w:lang w:val="en" w:eastAsia="en-AU"/>
        </w:rPr>
        <w:t xml:space="preserve"> receive an additional $1,</w:t>
      </w:r>
      <w:r w:rsidR="00512BD6">
        <w:rPr>
          <w:rFonts w:eastAsia="Segoe UI"/>
          <w:color w:val="011A3C"/>
          <w:sz w:val="24"/>
          <w:szCs w:val="24"/>
          <w:lang w:val="en" w:eastAsia="en-AU"/>
        </w:rPr>
        <w:t>115</w:t>
      </w:r>
      <w:r w:rsidRPr="08CBD60C">
        <w:rPr>
          <w:rFonts w:eastAsia="Segoe UI"/>
          <w:color w:val="011A3C"/>
          <w:sz w:val="24"/>
          <w:szCs w:val="24"/>
          <w:lang w:val="en" w:eastAsia="en-AU"/>
        </w:rPr>
        <w:t xml:space="preserve"> on top of the base amount. Schools with an area between 8,000m</w:t>
      </w:r>
      <w:r w:rsidRPr="08CBD60C">
        <w:rPr>
          <w:rFonts w:eastAsia="Segoe UI"/>
          <w:color w:val="011A3C"/>
          <w:sz w:val="24"/>
          <w:szCs w:val="24"/>
          <w:vertAlign w:val="superscript"/>
          <w:lang w:val="en" w:eastAsia="en-AU"/>
        </w:rPr>
        <w:t>2</w:t>
      </w:r>
      <w:r w:rsidRPr="08CBD60C">
        <w:rPr>
          <w:rFonts w:eastAsia="Segoe UI"/>
          <w:color w:val="011A3C"/>
          <w:sz w:val="24"/>
          <w:szCs w:val="24"/>
          <w:lang w:val="en" w:eastAsia="en-AU"/>
        </w:rPr>
        <w:t xml:space="preserve"> and 14,000m</w:t>
      </w:r>
      <w:r w:rsidRPr="08CBD60C">
        <w:rPr>
          <w:rFonts w:eastAsia="Segoe UI"/>
          <w:color w:val="011A3C"/>
          <w:sz w:val="24"/>
          <w:szCs w:val="24"/>
          <w:vertAlign w:val="superscript"/>
          <w:lang w:val="en" w:eastAsia="en-AU"/>
        </w:rPr>
        <w:t>2</w:t>
      </w:r>
      <w:r w:rsidRPr="08CBD60C">
        <w:rPr>
          <w:rFonts w:eastAsia="Segoe UI"/>
          <w:color w:val="011A3C"/>
          <w:sz w:val="24"/>
          <w:szCs w:val="24"/>
          <w:lang w:val="en" w:eastAsia="en-AU"/>
        </w:rPr>
        <w:t xml:space="preserve"> receive a further $1,</w:t>
      </w:r>
      <w:r w:rsidR="00512BD6">
        <w:rPr>
          <w:rFonts w:eastAsia="Segoe UI"/>
          <w:color w:val="011A3C"/>
          <w:sz w:val="24"/>
          <w:szCs w:val="24"/>
          <w:lang w:val="en" w:eastAsia="en-AU"/>
        </w:rPr>
        <w:t>115</w:t>
      </w:r>
      <w:r w:rsidRPr="08CBD60C">
        <w:rPr>
          <w:rFonts w:eastAsia="Segoe UI"/>
          <w:color w:val="011A3C"/>
          <w:sz w:val="24"/>
          <w:szCs w:val="24"/>
          <w:lang w:val="en" w:eastAsia="en-AU"/>
        </w:rPr>
        <w:t>, with the allocation continuously increasing by $1,000 for every subsequent 6,</w:t>
      </w:r>
      <w:r w:rsidR="1051F5AB" w:rsidRPr="08CBD60C">
        <w:rPr>
          <w:rFonts w:eastAsia="Segoe UI"/>
          <w:color w:val="011A3C"/>
          <w:sz w:val="24"/>
          <w:szCs w:val="24"/>
          <w:lang w:val="en" w:eastAsia="en-AU"/>
        </w:rPr>
        <w:t>000m</w:t>
      </w:r>
      <w:r w:rsidR="1051F5AB" w:rsidRPr="08CBD60C">
        <w:rPr>
          <w:rFonts w:eastAsia="Segoe UI"/>
          <w:color w:val="011A3C"/>
          <w:sz w:val="24"/>
          <w:szCs w:val="24"/>
          <w:vertAlign w:val="superscript"/>
          <w:lang w:val="en" w:eastAsia="en-AU"/>
        </w:rPr>
        <w:t>2</w:t>
      </w:r>
      <w:r w:rsidRPr="08CBD60C">
        <w:rPr>
          <w:rFonts w:eastAsia="Segoe UI"/>
          <w:color w:val="011A3C"/>
          <w:sz w:val="24"/>
          <w:szCs w:val="24"/>
          <w:lang w:val="en" w:eastAsia="en-AU"/>
        </w:rPr>
        <w:t xml:space="preserve"> threshold crossed.</w:t>
      </w:r>
    </w:p>
    <w:p w14:paraId="25BB64C3" w14:textId="77777777" w:rsidR="00F01BB5" w:rsidRPr="00260C1D" w:rsidRDefault="00F01BB5" w:rsidP="00F56244">
      <w:pPr>
        <w:numPr>
          <w:ilvl w:val="0"/>
          <w:numId w:val="12"/>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Instant hot water heating units</w:t>
      </w:r>
    </w:p>
    <w:p w14:paraId="211542CA" w14:textId="77777777" w:rsidR="00F01BB5" w:rsidRPr="00260C1D" w:rsidRDefault="00F01BB5" w:rsidP="00F56244">
      <w:pPr>
        <w:pStyle w:val="ListParagraph"/>
        <w:numPr>
          <w:ilvl w:val="1"/>
          <w:numId w:val="12"/>
        </w:numPr>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allocation is a fixed amount for schools with less than 400 students, and an increased fixed amount for schools with greater than or equal to 400 students. The amounts are dependent on if the school is metro or rural based.</w:t>
      </w:r>
    </w:p>
    <w:p w14:paraId="47B010D4" w14:textId="77777777" w:rsidR="00F01BB5" w:rsidRPr="00260C1D" w:rsidRDefault="00F01BB5" w:rsidP="00F01BB5">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Distinct rates have been established for metro versus regional schools to accommodate extra travel requirements by maintenance contractors.</w:t>
      </w:r>
    </w:p>
    <w:p w14:paraId="48827FDD" w14:textId="77777777" w:rsidR="00F01BB5" w:rsidRPr="00260C1D" w:rsidRDefault="00F01BB5" w:rsidP="00F01BB5">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 school’s eligibility to receive air conditioning funding is determined by the VSBA Heating and Cooling policy in conjunction with the </w:t>
      </w:r>
      <w:proofErr w:type="spellStart"/>
      <w:r w:rsidRPr="00260C1D">
        <w:rPr>
          <w:rFonts w:eastAsia="Segoe UI" w:cstheme="minorHAnsi"/>
          <w:color w:val="011A3C"/>
          <w:sz w:val="24"/>
          <w:szCs w:val="24"/>
          <w:lang w:val="en" w:eastAsia="en-AU"/>
        </w:rPr>
        <w:t>NatHERS</w:t>
      </w:r>
      <w:proofErr w:type="spellEnd"/>
      <w:r w:rsidRPr="00260C1D">
        <w:rPr>
          <w:rFonts w:eastAsia="Segoe UI" w:cstheme="minorHAnsi"/>
          <w:color w:val="011A3C"/>
          <w:sz w:val="24"/>
          <w:szCs w:val="24"/>
          <w:lang w:val="en" w:eastAsia="en-AU"/>
        </w:rPr>
        <w:t xml:space="preserve"> zones 20 and 27 as outlined on the </w:t>
      </w:r>
      <w:hyperlink r:id="rId119" w:history="1">
        <w:r w:rsidRPr="00260C1D">
          <w:rPr>
            <w:rStyle w:val="Hyperlink"/>
            <w:rFonts w:eastAsia="Segoe UI" w:cstheme="minorHAnsi"/>
            <w:sz w:val="24"/>
            <w:szCs w:val="24"/>
            <w:lang w:val="en" w:eastAsia="en-AU"/>
          </w:rPr>
          <w:t>Nationwide House Energy Rating Scheme site.</w:t>
        </w:r>
      </w:hyperlink>
    </w:p>
    <w:p w14:paraId="51701BDF" w14:textId="77777777" w:rsidR="00F01BB5" w:rsidRPr="00260C1D" w:rsidRDefault="00F01BB5" w:rsidP="00F01BB5">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Vertical schools receive a single additional payment to accommodate increased servicing costs associated with residing in a high-rise building. </w:t>
      </w:r>
    </w:p>
    <w:p w14:paraId="7AE4B1BC" w14:textId="77777777" w:rsidR="00421A09" w:rsidRPr="006E7BBC" w:rsidRDefault="00421A09" w:rsidP="00421A09">
      <w:pPr>
        <w:spacing w:after="0" w:line="240" w:lineRule="auto"/>
        <w:outlineLvl w:val="1"/>
        <w:rPr>
          <w:rFonts w:ascii="Calibri" w:hAnsi="Calibri" w:cs="Calibri"/>
          <w:b/>
          <w:color w:val="011A3C"/>
          <w:lang w:val="en"/>
        </w:rPr>
      </w:pPr>
      <w:r w:rsidRPr="006E7BBC">
        <w:rPr>
          <w:rFonts w:ascii="Calibri" w:eastAsia="Segoe UI" w:hAnsi="Calibri" w:cs="Calibri"/>
          <w:b/>
          <w:color w:val="011A3C"/>
          <w:sz w:val="27"/>
          <w:szCs w:val="27"/>
        </w:rPr>
        <w:t>Reporting in CASES21</w:t>
      </w:r>
    </w:p>
    <w:p w14:paraId="32836BB7" w14:textId="77777777" w:rsidR="00421A09" w:rsidRPr="00260C1D" w:rsidDel="00426FF6" w:rsidRDefault="00421A09" w:rsidP="00421A09">
      <w:pPr>
        <w:spacing w:after="0"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Annual Contract e</w:t>
      </w:r>
      <w:r w:rsidRPr="00260C1D">
        <w:rPr>
          <w:rFonts w:eastAsia="Segoe UI" w:cstheme="minorHAnsi"/>
          <w:color w:val="011A3C"/>
          <w:sz w:val="24"/>
          <w:szCs w:val="24"/>
          <w:lang w:val="en" w:eastAsia="en-AU"/>
        </w:rPr>
        <w:t>xpenditure should be allocated in CASES21 to:</w:t>
      </w:r>
    </w:p>
    <w:p w14:paraId="76C80D0A" w14:textId="1C4C94ED" w:rsidR="00421A09" w:rsidRPr="00657F68" w:rsidRDefault="00421A09" w:rsidP="00833928">
      <w:pPr>
        <w:spacing w:after="0"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ab/>
      </w:r>
      <w:r w:rsidRPr="00657F68">
        <w:rPr>
          <w:rFonts w:eastAsia="Segoe UI" w:cstheme="minorHAnsi"/>
          <w:color w:val="011A3C"/>
          <w:sz w:val="24"/>
          <w:szCs w:val="24"/>
          <w:lang w:val="en" w:eastAsia="en-AU"/>
        </w:rPr>
        <w:t xml:space="preserve">Sub Program Code: 6401 – Annual Contracts </w:t>
      </w:r>
    </w:p>
    <w:p w14:paraId="73A9365C" w14:textId="77777777" w:rsidR="00421A09" w:rsidRPr="00260C1D" w:rsidRDefault="00421A09" w:rsidP="009B4DE1">
      <w:pPr>
        <w:pStyle w:val="ListParagraph"/>
        <w:numPr>
          <w:ilvl w:val="0"/>
          <w:numId w:val="88"/>
        </w:numPr>
        <w:tabs>
          <w:tab w:val="clear" w:pos="720"/>
          <w:tab w:val="num" w:pos="1440"/>
        </w:tabs>
        <w:spacing w:after="0" w:line="360" w:lineRule="atLeast"/>
        <w:ind w:left="1440"/>
        <w:rPr>
          <w:rFonts w:eastAsia="Segoe UI" w:cstheme="minorHAnsi"/>
          <w:color w:val="011A3C"/>
          <w:sz w:val="24"/>
          <w:szCs w:val="24"/>
          <w:lang w:val="en" w:eastAsia="en-AU"/>
        </w:rPr>
      </w:pPr>
      <w:r>
        <w:rPr>
          <w:rFonts w:eastAsia="Segoe UI" w:cstheme="minorHAnsi"/>
          <w:color w:val="011A3C"/>
          <w:sz w:val="24"/>
          <w:szCs w:val="24"/>
          <w:lang w:val="en" w:eastAsia="en-AU"/>
        </w:rPr>
        <w:t>General Ledger Account Code: 86501 – Sanitation (includes septic tanks)</w:t>
      </w:r>
    </w:p>
    <w:p w14:paraId="3D975FD5" w14:textId="77777777" w:rsidR="00421A09" w:rsidRDefault="00421A09" w:rsidP="00833928">
      <w:pPr>
        <w:pStyle w:val="ListParagraph"/>
        <w:numPr>
          <w:ilvl w:val="0"/>
          <w:numId w:val="88"/>
        </w:numPr>
        <w:tabs>
          <w:tab w:val="clear" w:pos="720"/>
          <w:tab w:val="num" w:pos="1440"/>
        </w:tabs>
        <w:spacing w:after="0" w:line="360" w:lineRule="atLeast"/>
        <w:ind w:left="1440"/>
        <w:rPr>
          <w:rFonts w:eastAsia="Segoe UI" w:cstheme="minorHAnsi"/>
          <w:color w:val="011A3C"/>
          <w:sz w:val="24"/>
          <w:szCs w:val="24"/>
          <w:lang w:val="en" w:eastAsia="en-AU"/>
        </w:rPr>
      </w:pPr>
      <w:r w:rsidRPr="00260C1D">
        <w:rPr>
          <w:rFonts w:eastAsia="Segoe UI" w:cstheme="minorHAnsi"/>
          <w:color w:val="011A3C"/>
          <w:sz w:val="24"/>
          <w:szCs w:val="24"/>
          <w:lang w:val="en" w:eastAsia="en-AU"/>
        </w:rPr>
        <w:t>General Ledger Account Code: 86504 – Building works</w:t>
      </w:r>
    </w:p>
    <w:p w14:paraId="64758DD0" w14:textId="77777777" w:rsidR="006A1996" w:rsidRPr="00260C1D" w:rsidRDefault="006A1996" w:rsidP="009B4DE1">
      <w:pPr>
        <w:pStyle w:val="ListParagraph"/>
        <w:spacing w:after="0" w:line="360" w:lineRule="atLeast"/>
        <w:ind w:left="1440"/>
        <w:rPr>
          <w:rFonts w:eastAsia="Segoe UI" w:cstheme="minorHAnsi"/>
          <w:color w:val="011A3C"/>
          <w:sz w:val="24"/>
          <w:szCs w:val="24"/>
          <w:lang w:val="en" w:eastAsia="en-AU"/>
        </w:rPr>
      </w:pPr>
    </w:p>
    <w:p w14:paraId="2314D1FC" w14:textId="121B1239" w:rsidR="00811852" w:rsidRPr="00260C1D" w:rsidRDefault="00F01BB5" w:rsidP="00833928">
      <w:pPr>
        <w:pStyle w:val="ListParagraph"/>
        <w:ind w:left="0"/>
      </w:pPr>
      <w:r w:rsidRPr="00260C1D">
        <w:rPr>
          <w:rFonts w:eastAsia="Segoe UI" w:cstheme="minorHAnsi"/>
          <w:color w:val="011A3C"/>
          <w:sz w:val="24"/>
          <w:szCs w:val="24"/>
          <w:lang w:val="en" w:eastAsia="en-AU"/>
        </w:rPr>
        <w:t>SRP funding for Annual Contracts is calculated at the Indicative and Confirmed cycle</w:t>
      </w:r>
      <w:r w:rsidR="00095AF1">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 and may be updated at the Revised cycle</w:t>
      </w:r>
      <w:r w:rsidR="00095AF1">
        <w:rPr>
          <w:rFonts w:eastAsia="Segoe UI" w:cstheme="minorHAnsi"/>
          <w:color w:val="011A3C"/>
          <w:sz w:val="24"/>
          <w:szCs w:val="24"/>
          <w:lang w:val="en" w:eastAsia="en-AU"/>
        </w:rPr>
        <w:t>. Funding</w:t>
      </w:r>
      <w:r w:rsidRPr="00260C1D">
        <w:rPr>
          <w:rFonts w:eastAsia="Segoe UI" w:cstheme="minorHAnsi"/>
          <w:color w:val="011A3C"/>
          <w:sz w:val="24"/>
          <w:szCs w:val="24"/>
          <w:lang w:val="en" w:eastAsia="en-AU"/>
        </w:rPr>
        <w:t xml:space="preserve"> is allocated through cash funding.</w:t>
      </w:r>
      <w:bookmarkEnd w:id="144"/>
      <w:bookmarkEnd w:id="149"/>
      <w:r w:rsidR="00811852" w:rsidRPr="00260C1D">
        <w:br w:type="page"/>
      </w:r>
    </w:p>
    <w:p w14:paraId="63399E55" w14:textId="350FCAC1" w:rsidR="0076693A" w:rsidRPr="00260C1D" w:rsidRDefault="0076693A" w:rsidP="00532A33">
      <w:pPr>
        <w:pStyle w:val="Heading2"/>
      </w:pPr>
      <w:bookmarkStart w:id="150" w:name="_Toc141965263"/>
      <w:bookmarkStart w:id="151" w:name="_Toc145339593"/>
      <w:bookmarkStart w:id="152" w:name="_Toc153791916"/>
      <w:r w:rsidRPr="00260C1D">
        <w:lastRenderedPageBreak/>
        <w:t>Workers’ Compensation (Reference 37)</w:t>
      </w:r>
      <w:bookmarkEnd w:id="150"/>
      <w:bookmarkEnd w:id="151"/>
      <w:bookmarkEnd w:id="152"/>
    </w:p>
    <w:p w14:paraId="347BFFF1" w14:textId="5F667B8E" w:rsidR="0076693A" w:rsidRPr="00260C1D" w:rsidRDefault="0076693A" w:rsidP="0076693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Each school</w:t>
      </w:r>
      <w:r w:rsidR="00E10549"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s </w:t>
      </w:r>
      <w:r w:rsidR="00242599" w:rsidRPr="00260C1D">
        <w:rPr>
          <w:rFonts w:eastAsia="Segoe UI" w:cstheme="minorHAnsi"/>
          <w:color w:val="011A3C"/>
          <w:sz w:val="24"/>
          <w:szCs w:val="24"/>
          <w:lang w:val="en" w:eastAsia="en-AU"/>
        </w:rPr>
        <w:t>w</w:t>
      </w:r>
      <w:r w:rsidRPr="00260C1D">
        <w:rPr>
          <w:rFonts w:eastAsia="Segoe UI" w:cstheme="minorHAnsi"/>
          <w:color w:val="011A3C"/>
          <w:sz w:val="24"/>
          <w:szCs w:val="24"/>
          <w:lang w:val="en" w:eastAsia="en-AU"/>
        </w:rPr>
        <w:t>orkers’</w:t>
      </w:r>
      <w:r w:rsidR="00E10549" w:rsidRPr="00260C1D">
        <w:rPr>
          <w:rFonts w:eastAsia="Segoe UI" w:cstheme="minorHAnsi"/>
          <w:color w:val="011A3C"/>
          <w:sz w:val="24"/>
          <w:szCs w:val="24"/>
          <w:lang w:val="en" w:eastAsia="en-AU"/>
        </w:rPr>
        <w:t xml:space="preserve"> </w:t>
      </w:r>
      <w:r w:rsidR="00242599" w:rsidRPr="00260C1D">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ompensation budget allocation has been determined by applying an averaged claim cost rate for each school type to the remuneration of each school.</w:t>
      </w:r>
    </w:p>
    <w:p w14:paraId="14168AF5" w14:textId="32387950" w:rsidR="0076693A" w:rsidRPr="00260C1D" w:rsidRDefault="0076693A" w:rsidP="0076693A">
      <w:pPr>
        <w:spacing w:before="100" w:beforeAutospacing="1" w:after="100" w:afterAutospacing="1" w:line="360" w:lineRule="atLeast"/>
        <w:rPr>
          <w:rFonts w:eastAsia="Segoe UI"/>
          <w:color w:val="011A3C"/>
          <w:sz w:val="24"/>
          <w:szCs w:val="24"/>
          <w:lang w:val="en" w:eastAsia="en-AU"/>
        </w:rPr>
      </w:pPr>
      <w:r w:rsidRPr="242DE752">
        <w:rPr>
          <w:rFonts w:eastAsia="Segoe UI"/>
          <w:color w:val="011A3C"/>
          <w:sz w:val="24"/>
          <w:szCs w:val="24"/>
          <w:lang w:val="en" w:eastAsia="en-AU"/>
        </w:rPr>
        <w:t>The amount charged against a school</w:t>
      </w:r>
      <w:r w:rsidR="00AF3A45" w:rsidRPr="242DE752">
        <w:rPr>
          <w:rFonts w:eastAsia="Segoe UI"/>
          <w:color w:val="011A3C"/>
          <w:sz w:val="24"/>
          <w:szCs w:val="24"/>
          <w:lang w:val="en" w:eastAsia="en-AU"/>
        </w:rPr>
        <w:t>’</w:t>
      </w:r>
      <w:r w:rsidRPr="242DE752">
        <w:rPr>
          <w:rFonts w:eastAsia="Segoe UI"/>
          <w:color w:val="011A3C"/>
          <w:sz w:val="24"/>
          <w:szCs w:val="24"/>
          <w:lang w:val="en" w:eastAsia="en-AU"/>
        </w:rPr>
        <w:t xml:space="preserve">s </w:t>
      </w:r>
      <w:r w:rsidR="001E12C0" w:rsidRPr="242DE752">
        <w:rPr>
          <w:rFonts w:eastAsia="Segoe UI"/>
          <w:color w:val="011A3C"/>
          <w:sz w:val="24"/>
          <w:szCs w:val="24"/>
          <w:lang w:val="en" w:eastAsia="en-AU"/>
        </w:rPr>
        <w:t>w</w:t>
      </w:r>
      <w:r w:rsidRPr="242DE752">
        <w:rPr>
          <w:rFonts w:eastAsia="Segoe UI"/>
          <w:color w:val="011A3C"/>
          <w:sz w:val="24"/>
          <w:szCs w:val="24"/>
          <w:lang w:val="en" w:eastAsia="en-AU"/>
        </w:rPr>
        <w:t>orkers’</w:t>
      </w:r>
      <w:r w:rsidR="00AF3A45" w:rsidRPr="242DE752">
        <w:rPr>
          <w:rFonts w:eastAsia="Segoe UI"/>
          <w:color w:val="011A3C"/>
          <w:sz w:val="24"/>
          <w:szCs w:val="24"/>
          <w:lang w:val="en" w:eastAsia="en-AU"/>
        </w:rPr>
        <w:t xml:space="preserve"> </w:t>
      </w:r>
      <w:r w:rsidR="001E12C0" w:rsidRPr="242DE752">
        <w:rPr>
          <w:rFonts w:eastAsia="Segoe UI"/>
          <w:color w:val="011A3C"/>
          <w:sz w:val="24"/>
          <w:szCs w:val="24"/>
          <w:lang w:val="en" w:eastAsia="en-AU"/>
        </w:rPr>
        <w:t>c</w:t>
      </w:r>
      <w:r w:rsidRPr="242DE752">
        <w:rPr>
          <w:rFonts w:eastAsia="Segoe UI"/>
          <w:color w:val="011A3C"/>
          <w:sz w:val="24"/>
          <w:szCs w:val="24"/>
          <w:lang w:val="en" w:eastAsia="en-AU"/>
        </w:rPr>
        <w:t>ompensation budget allocation is based on the actual incurred costs of claims that have been lodged at the school during the 20</w:t>
      </w:r>
      <w:r w:rsidR="00990116" w:rsidRPr="242DE752">
        <w:rPr>
          <w:rFonts w:eastAsia="Segoe UI"/>
          <w:color w:val="011A3C"/>
          <w:sz w:val="24"/>
          <w:szCs w:val="24"/>
          <w:lang w:val="en" w:eastAsia="en-AU"/>
        </w:rPr>
        <w:t>2</w:t>
      </w:r>
      <w:r w:rsidR="001E0703">
        <w:rPr>
          <w:rFonts w:eastAsia="Segoe UI"/>
          <w:color w:val="011A3C"/>
          <w:sz w:val="24"/>
          <w:szCs w:val="24"/>
          <w:lang w:val="en" w:eastAsia="en-AU"/>
        </w:rPr>
        <w:t>4</w:t>
      </w:r>
      <w:r w:rsidRPr="242DE752">
        <w:rPr>
          <w:rFonts w:eastAsia="Segoe UI"/>
          <w:color w:val="011A3C"/>
          <w:sz w:val="24"/>
          <w:szCs w:val="24"/>
          <w:lang w:val="en" w:eastAsia="en-AU"/>
        </w:rPr>
        <w:t>/202</w:t>
      </w:r>
      <w:r w:rsidR="001E0703">
        <w:rPr>
          <w:rFonts w:eastAsia="Segoe UI"/>
          <w:color w:val="011A3C"/>
          <w:sz w:val="24"/>
          <w:szCs w:val="24"/>
          <w:lang w:val="en" w:eastAsia="en-AU"/>
        </w:rPr>
        <w:t>5</w:t>
      </w:r>
      <w:r w:rsidRPr="242DE752">
        <w:rPr>
          <w:rFonts w:eastAsia="Segoe UI"/>
          <w:color w:val="011A3C"/>
          <w:sz w:val="24"/>
          <w:szCs w:val="24"/>
          <w:lang w:val="en" w:eastAsia="en-AU"/>
        </w:rPr>
        <w:t xml:space="preserve"> Workers</w:t>
      </w:r>
      <w:r w:rsidR="00AF3A45" w:rsidRPr="242DE752">
        <w:rPr>
          <w:rFonts w:eastAsia="Segoe UI"/>
          <w:color w:val="011A3C"/>
          <w:sz w:val="24"/>
          <w:szCs w:val="24"/>
          <w:lang w:val="en" w:eastAsia="en-AU"/>
        </w:rPr>
        <w:t>’</w:t>
      </w:r>
      <w:r w:rsidRPr="242DE752">
        <w:rPr>
          <w:rFonts w:eastAsia="Segoe UI"/>
          <w:color w:val="011A3C"/>
          <w:sz w:val="24"/>
          <w:szCs w:val="24"/>
          <w:lang w:val="en" w:eastAsia="en-AU"/>
        </w:rPr>
        <w:t xml:space="preserve"> Compensation premium calculation period from 01 January 20</w:t>
      </w:r>
      <w:r w:rsidR="57C0A1DF" w:rsidRPr="242DE752">
        <w:rPr>
          <w:rFonts w:eastAsia="Segoe UI"/>
          <w:color w:val="011A3C"/>
          <w:sz w:val="24"/>
          <w:szCs w:val="24"/>
          <w:lang w:val="en" w:eastAsia="en-AU"/>
        </w:rPr>
        <w:t>2</w:t>
      </w:r>
      <w:r w:rsidR="00CE5096">
        <w:rPr>
          <w:rFonts w:eastAsia="Segoe UI"/>
          <w:color w:val="011A3C"/>
          <w:sz w:val="24"/>
          <w:szCs w:val="24"/>
          <w:lang w:val="en" w:eastAsia="en-AU"/>
        </w:rPr>
        <w:t>1</w:t>
      </w:r>
      <w:r w:rsidRPr="242DE752">
        <w:rPr>
          <w:rFonts w:eastAsia="Segoe UI"/>
          <w:color w:val="011A3C"/>
          <w:sz w:val="24"/>
          <w:szCs w:val="24"/>
          <w:lang w:val="en" w:eastAsia="en-AU"/>
        </w:rPr>
        <w:t xml:space="preserve"> to 30 June 20</w:t>
      </w:r>
      <w:r w:rsidR="001E12C0" w:rsidRPr="242DE752">
        <w:rPr>
          <w:rFonts w:eastAsia="Segoe UI"/>
          <w:color w:val="011A3C"/>
          <w:sz w:val="24"/>
          <w:szCs w:val="24"/>
          <w:lang w:val="en" w:eastAsia="en-AU"/>
        </w:rPr>
        <w:t>2</w:t>
      </w:r>
      <w:r w:rsidR="00CE5096">
        <w:rPr>
          <w:rFonts w:eastAsia="Segoe UI"/>
          <w:color w:val="011A3C"/>
          <w:sz w:val="24"/>
          <w:szCs w:val="24"/>
          <w:lang w:val="en" w:eastAsia="en-AU"/>
        </w:rPr>
        <w:t>3</w:t>
      </w:r>
      <w:r w:rsidRPr="242DE752">
        <w:rPr>
          <w:rFonts w:eastAsia="Segoe UI"/>
          <w:color w:val="011A3C"/>
          <w:sz w:val="24"/>
          <w:szCs w:val="24"/>
          <w:lang w:val="en" w:eastAsia="en-AU"/>
        </w:rPr>
        <w:t>. </w:t>
      </w:r>
    </w:p>
    <w:p w14:paraId="3FDD9AA4" w14:textId="10516B07" w:rsidR="0076693A" w:rsidRPr="00260C1D" w:rsidRDefault="0076693A" w:rsidP="0076693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If the total cost of these claims is greater than a school</w:t>
      </w:r>
      <w:r w:rsidR="00AF3A45"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s </w:t>
      </w:r>
      <w:r w:rsidR="001E12C0" w:rsidRPr="00260C1D">
        <w:rPr>
          <w:rFonts w:eastAsia="Segoe UI" w:cstheme="minorHAnsi"/>
          <w:color w:val="011A3C"/>
          <w:sz w:val="24"/>
          <w:szCs w:val="24"/>
          <w:lang w:val="en" w:eastAsia="en-AU"/>
        </w:rPr>
        <w:t>w</w:t>
      </w:r>
      <w:r w:rsidRPr="00260C1D">
        <w:rPr>
          <w:rFonts w:eastAsia="Segoe UI" w:cstheme="minorHAnsi"/>
          <w:color w:val="011A3C"/>
          <w:sz w:val="24"/>
          <w:szCs w:val="24"/>
          <w:lang w:val="en" w:eastAsia="en-AU"/>
        </w:rPr>
        <w:t>orkers</w:t>
      </w:r>
      <w:r w:rsidR="00AF3A45"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1E12C0" w:rsidRPr="00260C1D">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ompensation budget allocation, the school is required to pay all or part of the difference, capped at 0.5% of its remuneration up to a maximum of $25,000. </w:t>
      </w:r>
    </w:p>
    <w:p w14:paraId="338263EA" w14:textId="08C7D88D" w:rsidR="0076693A" w:rsidRPr="00260C1D" w:rsidRDefault="0076693A" w:rsidP="0076693A">
      <w:pPr>
        <w:spacing w:before="100" w:beforeAutospacing="1" w:after="100" w:afterAutospacing="1" w:line="360" w:lineRule="atLeast"/>
        <w:rPr>
          <w:rFonts w:eastAsia="Segoe UI"/>
          <w:color w:val="011A3C"/>
          <w:sz w:val="24"/>
          <w:szCs w:val="24"/>
          <w:lang w:val="en" w:eastAsia="en-AU"/>
        </w:rPr>
      </w:pPr>
      <w:r w:rsidRPr="242DE752">
        <w:rPr>
          <w:rFonts w:eastAsia="Segoe UI"/>
          <w:color w:val="011A3C"/>
          <w:sz w:val="24"/>
          <w:szCs w:val="24"/>
          <w:lang w:val="en" w:eastAsia="en-AU"/>
        </w:rPr>
        <w:t xml:space="preserve">Savings capped at 0.5% of remuneration, up to a maximum of $25,000 accrue to those schools with claims costs less than their </w:t>
      </w:r>
      <w:r w:rsidR="001E12C0" w:rsidRPr="242DE752">
        <w:rPr>
          <w:rFonts w:eastAsia="Segoe UI"/>
          <w:color w:val="011A3C"/>
          <w:sz w:val="24"/>
          <w:szCs w:val="24"/>
          <w:lang w:val="en" w:eastAsia="en-AU"/>
        </w:rPr>
        <w:t>w</w:t>
      </w:r>
      <w:r w:rsidRPr="242DE752">
        <w:rPr>
          <w:rFonts w:eastAsia="Segoe UI"/>
          <w:color w:val="011A3C"/>
          <w:sz w:val="24"/>
          <w:szCs w:val="24"/>
          <w:lang w:val="en" w:eastAsia="en-AU"/>
        </w:rPr>
        <w:t>orkers</w:t>
      </w:r>
      <w:r w:rsidR="00AF3A45" w:rsidRPr="242DE752">
        <w:rPr>
          <w:rFonts w:eastAsia="Segoe UI"/>
          <w:color w:val="011A3C"/>
          <w:sz w:val="24"/>
          <w:szCs w:val="24"/>
          <w:lang w:val="en" w:eastAsia="en-AU"/>
        </w:rPr>
        <w:t>’</w:t>
      </w:r>
      <w:r w:rsidRPr="242DE752">
        <w:rPr>
          <w:rFonts w:eastAsia="Segoe UI"/>
          <w:color w:val="011A3C"/>
          <w:sz w:val="24"/>
          <w:szCs w:val="24"/>
          <w:lang w:val="en" w:eastAsia="en-AU"/>
        </w:rPr>
        <w:t xml:space="preserve"> </w:t>
      </w:r>
      <w:r w:rsidR="001E12C0" w:rsidRPr="242DE752">
        <w:rPr>
          <w:rFonts w:eastAsia="Segoe UI"/>
          <w:color w:val="011A3C"/>
          <w:sz w:val="24"/>
          <w:szCs w:val="24"/>
          <w:lang w:val="en" w:eastAsia="en-AU"/>
        </w:rPr>
        <w:t>c</w:t>
      </w:r>
      <w:r w:rsidRPr="242DE752">
        <w:rPr>
          <w:rFonts w:eastAsia="Segoe UI"/>
          <w:color w:val="011A3C"/>
          <w:sz w:val="24"/>
          <w:szCs w:val="24"/>
          <w:lang w:val="en" w:eastAsia="en-AU"/>
        </w:rPr>
        <w:t>ompensation budget allocations. Full 202</w:t>
      </w:r>
      <w:r w:rsidR="00CE5096">
        <w:rPr>
          <w:rFonts w:eastAsia="Segoe UI"/>
          <w:color w:val="011A3C"/>
          <w:sz w:val="24"/>
          <w:szCs w:val="24"/>
          <w:lang w:val="en" w:eastAsia="en-AU"/>
        </w:rPr>
        <w:t>5</w:t>
      </w:r>
      <w:r w:rsidRPr="242DE752">
        <w:rPr>
          <w:rFonts w:eastAsia="Segoe UI"/>
          <w:color w:val="011A3C"/>
          <w:sz w:val="24"/>
          <w:szCs w:val="24"/>
          <w:lang w:val="en" w:eastAsia="en-AU"/>
        </w:rPr>
        <w:t xml:space="preserve"> Workers</w:t>
      </w:r>
      <w:r w:rsidR="00AF3A45" w:rsidRPr="242DE752">
        <w:rPr>
          <w:rFonts w:eastAsia="Segoe UI"/>
          <w:color w:val="011A3C"/>
          <w:sz w:val="24"/>
          <w:szCs w:val="24"/>
          <w:lang w:val="en" w:eastAsia="en-AU"/>
        </w:rPr>
        <w:t>’</w:t>
      </w:r>
      <w:r w:rsidRPr="242DE752">
        <w:rPr>
          <w:rFonts w:eastAsia="Segoe UI"/>
          <w:color w:val="011A3C"/>
          <w:sz w:val="24"/>
          <w:szCs w:val="24"/>
          <w:lang w:val="en" w:eastAsia="en-AU"/>
        </w:rPr>
        <w:t xml:space="preserve"> Compensation budget allocations, charge out amounts and end of year balance details are in the </w:t>
      </w:r>
      <w:hyperlink r:id="rId120">
        <w:r w:rsidRPr="242DE752">
          <w:rPr>
            <w:rStyle w:val="Hyperlink"/>
            <w:rFonts w:eastAsia="Segoe UI"/>
            <w:sz w:val="24"/>
            <w:szCs w:val="24"/>
            <w:lang w:val="en" w:eastAsia="en-AU"/>
          </w:rPr>
          <w:t>Workers</w:t>
        </w:r>
        <w:r w:rsidR="00AF3A45" w:rsidRPr="242DE752">
          <w:rPr>
            <w:rStyle w:val="Hyperlink"/>
            <w:rFonts w:eastAsia="Segoe UI"/>
            <w:sz w:val="24"/>
            <w:szCs w:val="24"/>
            <w:lang w:val="en" w:eastAsia="en-AU"/>
          </w:rPr>
          <w:t>’</w:t>
        </w:r>
        <w:r w:rsidRPr="242DE752">
          <w:rPr>
            <w:rStyle w:val="Hyperlink"/>
            <w:rFonts w:eastAsia="Segoe UI"/>
            <w:sz w:val="24"/>
            <w:szCs w:val="24"/>
            <w:lang w:val="en" w:eastAsia="en-AU"/>
          </w:rPr>
          <w:t xml:space="preserve"> Compensation S</w:t>
        </w:r>
      </w:hyperlink>
      <w:bookmarkStart w:id="153" w:name="_Hlt112141051"/>
      <w:bookmarkStart w:id="154" w:name="_Hlt112141052"/>
      <w:r w:rsidRPr="242DE752">
        <w:rPr>
          <w:rStyle w:val="Hyperlink"/>
          <w:rFonts w:eastAsia="Segoe UI"/>
          <w:sz w:val="24"/>
          <w:szCs w:val="24"/>
          <w:lang w:val="en" w:eastAsia="en-AU"/>
        </w:rPr>
        <w:t>u</w:t>
      </w:r>
      <w:bookmarkEnd w:id="153"/>
      <w:bookmarkEnd w:id="154"/>
      <w:r w:rsidRPr="242DE752">
        <w:rPr>
          <w:rStyle w:val="Hyperlink"/>
          <w:rFonts w:eastAsia="Segoe UI"/>
          <w:sz w:val="24"/>
          <w:szCs w:val="24"/>
          <w:lang w:val="en" w:eastAsia="en-AU"/>
        </w:rPr>
        <w:t>mmary Statement.</w:t>
      </w:r>
    </w:p>
    <w:p w14:paraId="2C3FD5C9" w14:textId="77777777" w:rsidR="0076693A" w:rsidRPr="00260C1D" w:rsidRDefault="0076693A" w:rsidP="006C1424">
      <w:pPr>
        <w:pStyle w:val="Heading3"/>
        <w:rPr>
          <w:rStyle w:val="Strong"/>
        </w:rPr>
      </w:pPr>
      <w:r w:rsidRPr="00260C1D">
        <w:rPr>
          <w:rStyle w:val="Strong"/>
        </w:rPr>
        <w:t>Notes</w:t>
      </w:r>
    </w:p>
    <w:p w14:paraId="27F94854" w14:textId="77777777" w:rsidR="0076693A" w:rsidRPr="00260C1D" w:rsidRDefault="0076693A" w:rsidP="0076693A">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Exempt Category Claims</w:t>
      </w:r>
    </w:p>
    <w:p w14:paraId="21587CDC" w14:textId="14C88F80" w:rsidR="0076693A" w:rsidRPr="00260C1D" w:rsidRDefault="0076693A" w:rsidP="0076693A">
      <w:pPr>
        <w:spacing w:before="100" w:beforeAutospacing="1" w:after="100" w:afterAutospacing="1" w:line="360" w:lineRule="atLeast"/>
        <w:rPr>
          <w:rFonts w:eastAsia="Segoe UI" w:cstheme="minorHAnsi"/>
          <w:color w:val="011A3C"/>
          <w:sz w:val="24"/>
          <w:szCs w:val="24"/>
          <w:lang w:val="en" w:eastAsia="en-AU"/>
        </w:rPr>
      </w:pPr>
      <w:bookmarkStart w:id="155" w:name="_Hlk50298055"/>
      <w:r w:rsidRPr="00260C1D">
        <w:rPr>
          <w:rFonts w:eastAsia="Segoe UI" w:cstheme="minorHAnsi"/>
          <w:color w:val="011A3C"/>
          <w:sz w:val="24"/>
          <w:szCs w:val="24"/>
          <w:lang w:val="en" w:eastAsia="en-AU"/>
        </w:rPr>
        <w:t>The following categories of claims are eligible for exemption from the calculation of a school’s 202</w:t>
      </w:r>
      <w:r w:rsidR="00CE5096">
        <w:rPr>
          <w:rFonts w:eastAsia="Segoe UI" w:cstheme="minorHAnsi"/>
          <w:color w:val="011A3C"/>
          <w:sz w:val="24"/>
          <w:szCs w:val="24"/>
          <w:lang w:val="en" w:eastAsia="en-AU"/>
        </w:rPr>
        <w:t>5</w:t>
      </w:r>
      <w:r w:rsidRPr="00260C1D">
        <w:rPr>
          <w:rFonts w:eastAsia="Segoe UI" w:cstheme="minorHAnsi"/>
          <w:color w:val="011A3C"/>
          <w:sz w:val="24"/>
          <w:szCs w:val="24"/>
          <w:lang w:val="en" w:eastAsia="en-AU"/>
        </w:rPr>
        <w:t xml:space="preserve"> </w:t>
      </w:r>
      <w:r w:rsidR="001B66F8" w:rsidRPr="00260C1D">
        <w:rPr>
          <w:rFonts w:eastAsia="Segoe UI" w:cstheme="minorHAnsi"/>
          <w:color w:val="011A3C"/>
          <w:sz w:val="24"/>
          <w:szCs w:val="24"/>
          <w:lang w:val="en" w:eastAsia="en-AU"/>
        </w:rPr>
        <w:t>Student Resource Package (</w:t>
      </w:r>
      <w:r w:rsidRPr="00260C1D">
        <w:rPr>
          <w:rFonts w:eastAsia="Segoe UI" w:cstheme="minorHAnsi"/>
          <w:color w:val="011A3C"/>
          <w:sz w:val="24"/>
          <w:szCs w:val="24"/>
          <w:lang w:val="en" w:eastAsia="en-AU"/>
        </w:rPr>
        <w:t>SRP</w:t>
      </w:r>
      <w:r w:rsidR="001B66F8"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Workers’ Compensation cost:</w:t>
      </w:r>
    </w:p>
    <w:bookmarkEnd w:id="155"/>
    <w:p w14:paraId="5ABABC31" w14:textId="626FB9E9" w:rsidR="0076693A" w:rsidRPr="00260C1D" w:rsidRDefault="00931A63" w:rsidP="00F56244">
      <w:pPr>
        <w:numPr>
          <w:ilvl w:val="0"/>
          <w:numId w:val="10"/>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W</w:t>
      </w:r>
      <w:r w:rsidR="0076693A" w:rsidRPr="00260C1D">
        <w:rPr>
          <w:rFonts w:eastAsia="Segoe UI" w:cstheme="minorHAnsi"/>
          <w:color w:val="011A3C"/>
          <w:sz w:val="24"/>
          <w:szCs w:val="24"/>
          <w:lang w:val="en" w:eastAsia="en-AU"/>
        </w:rPr>
        <w:t>orkers</w:t>
      </w:r>
      <w:r w:rsidR="00AF3A45" w:rsidRPr="00260C1D">
        <w:rPr>
          <w:rFonts w:eastAsia="Segoe UI" w:cstheme="minorHAnsi"/>
          <w:color w:val="011A3C"/>
          <w:sz w:val="24"/>
          <w:szCs w:val="24"/>
          <w:lang w:val="en" w:eastAsia="en-AU"/>
        </w:rPr>
        <w:t>’</w:t>
      </w:r>
      <w:r w:rsidR="0076693A" w:rsidRPr="00260C1D">
        <w:rPr>
          <w:rFonts w:eastAsia="Segoe UI" w:cstheme="minorHAnsi"/>
          <w:color w:val="011A3C"/>
          <w:sz w:val="24"/>
          <w:szCs w:val="24"/>
          <w:lang w:val="en" w:eastAsia="en-AU"/>
        </w:rPr>
        <w:t xml:space="preserve"> </w:t>
      </w:r>
      <w:r w:rsidR="001E12C0" w:rsidRPr="00260C1D">
        <w:rPr>
          <w:rFonts w:eastAsia="Segoe UI" w:cstheme="minorHAnsi"/>
          <w:color w:val="011A3C"/>
          <w:sz w:val="24"/>
          <w:szCs w:val="24"/>
          <w:lang w:val="en" w:eastAsia="en-AU"/>
        </w:rPr>
        <w:t>c</w:t>
      </w:r>
      <w:r w:rsidR="0076693A" w:rsidRPr="00260C1D">
        <w:rPr>
          <w:rFonts w:eastAsia="Segoe UI" w:cstheme="minorHAnsi"/>
          <w:color w:val="011A3C"/>
          <w:sz w:val="24"/>
          <w:szCs w:val="24"/>
          <w:lang w:val="en" w:eastAsia="en-AU"/>
        </w:rPr>
        <w:t>ompensation claims that have injury dates prior to 1 July 2000.</w:t>
      </w:r>
    </w:p>
    <w:p w14:paraId="48D28D73" w14:textId="733C0518" w:rsidR="0076693A" w:rsidRPr="00260C1D" w:rsidRDefault="00931A63" w:rsidP="00F56244">
      <w:pPr>
        <w:numPr>
          <w:ilvl w:val="0"/>
          <w:numId w:val="10"/>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W</w:t>
      </w:r>
      <w:r w:rsidR="0076693A" w:rsidRPr="00260C1D">
        <w:rPr>
          <w:rFonts w:eastAsia="Segoe UI" w:cstheme="minorHAnsi"/>
          <w:color w:val="011A3C"/>
          <w:sz w:val="24"/>
          <w:szCs w:val="24"/>
          <w:lang w:val="en" w:eastAsia="en-AU"/>
        </w:rPr>
        <w:t>orkers</w:t>
      </w:r>
      <w:r w:rsidR="00AF3A45" w:rsidRPr="00260C1D">
        <w:rPr>
          <w:rFonts w:eastAsia="Segoe UI" w:cstheme="minorHAnsi"/>
          <w:color w:val="011A3C"/>
          <w:sz w:val="24"/>
          <w:szCs w:val="24"/>
          <w:lang w:val="en" w:eastAsia="en-AU"/>
        </w:rPr>
        <w:t>’</w:t>
      </w:r>
      <w:r w:rsidR="0076693A" w:rsidRPr="00260C1D">
        <w:rPr>
          <w:rFonts w:eastAsia="Segoe UI" w:cstheme="minorHAnsi"/>
          <w:color w:val="011A3C"/>
          <w:sz w:val="24"/>
          <w:szCs w:val="24"/>
          <w:lang w:val="en" w:eastAsia="en-AU"/>
        </w:rPr>
        <w:t xml:space="preserve"> </w:t>
      </w:r>
      <w:r w:rsidR="001E12C0" w:rsidRPr="00260C1D">
        <w:rPr>
          <w:rFonts w:eastAsia="Segoe UI" w:cstheme="minorHAnsi"/>
          <w:color w:val="011A3C"/>
          <w:sz w:val="24"/>
          <w:szCs w:val="24"/>
          <w:lang w:val="en" w:eastAsia="en-AU"/>
        </w:rPr>
        <w:t>c</w:t>
      </w:r>
      <w:r w:rsidR="0076693A" w:rsidRPr="00260C1D">
        <w:rPr>
          <w:rFonts w:eastAsia="Segoe UI" w:cstheme="minorHAnsi"/>
          <w:color w:val="011A3C"/>
          <w:sz w:val="24"/>
          <w:szCs w:val="24"/>
          <w:lang w:val="en" w:eastAsia="en-AU"/>
        </w:rPr>
        <w:t>ompensation claims from staff who work across a number of schools.</w:t>
      </w:r>
    </w:p>
    <w:p w14:paraId="508952F6" w14:textId="609C67AC" w:rsidR="0076693A" w:rsidRPr="00260C1D" w:rsidRDefault="00931A63" w:rsidP="00F56244">
      <w:pPr>
        <w:numPr>
          <w:ilvl w:val="0"/>
          <w:numId w:val="10"/>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W</w:t>
      </w:r>
      <w:r w:rsidR="0076693A" w:rsidRPr="00260C1D">
        <w:rPr>
          <w:rFonts w:eastAsia="Segoe UI" w:cstheme="minorHAnsi"/>
          <w:color w:val="011A3C"/>
          <w:sz w:val="24"/>
          <w:szCs w:val="24"/>
          <w:lang w:val="en" w:eastAsia="en-AU"/>
        </w:rPr>
        <w:t>orkers</w:t>
      </w:r>
      <w:r w:rsidR="00AF3A45" w:rsidRPr="00260C1D">
        <w:rPr>
          <w:rFonts w:eastAsia="Segoe UI" w:cstheme="minorHAnsi"/>
          <w:color w:val="011A3C"/>
          <w:sz w:val="24"/>
          <w:szCs w:val="24"/>
          <w:lang w:val="en" w:eastAsia="en-AU"/>
        </w:rPr>
        <w:t>’</w:t>
      </w:r>
      <w:r w:rsidR="0076693A" w:rsidRPr="00260C1D">
        <w:rPr>
          <w:rFonts w:eastAsia="Segoe UI" w:cstheme="minorHAnsi"/>
          <w:color w:val="011A3C"/>
          <w:sz w:val="24"/>
          <w:szCs w:val="24"/>
          <w:lang w:val="en" w:eastAsia="en-AU"/>
        </w:rPr>
        <w:t xml:space="preserve"> </w:t>
      </w:r>
      <w:r w:rsidR="001E12C0" w:rsidRPr="00260C1D">
        <w:rPr>
          <w:rFonts w:eastAsia="Segoe UI" w:cstheme="minorHAnsi"/>
          <w:color w:val="011A3C"/>
          <w:sz w:val="24"/>
          <w:szCs w:val="24"/>
          <w:lang w:val="en" w:eastAsia="en-AU"/>
        </w:rPr>
        <w:t>c</w:t>
      </w:r>
      <w:r w:rsidR="0076693A" w:rsidRPr="00260C1D">
        <w:rPr>
          <w:rFonts w:eastAsia="Segoe UI" w:cstheme="minorHAnsi"/>
          <w:color w:val="011A3C"/>
          <w:sz w:val="24"/>
          <w:szCs w:val="24"/>
          <w:lang w:val="en" w:eastAsia="en-AU"/>
        </w:rPr>
        <w:t>ompensation claims accepted in error by the Department’s WorkSafe agent, Gallagher Bassett Services Pty Ltd.</w:t>
      </w:r>
    </w:p>
    <w:p w14:paraId="3F408D92" w14:textId="6B42185C" w:rsidR="0076693A" w:rsidRPr="00260C1D" w:rsidRDefault="00931A63" w:rsidP="00F56244">
      <w:pPr>
        <w:numPr>
          <w:ilvl w:val="0"/>
          <w:numId w:val="10"/>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W</w:t>
      </w:r>
      <w:r w:rsidR="0076693A" w:rsidRPr="00260C1D">
        <w:rPr>
          <w:rFonts w:eastAsia="Segoe UI" w:cstheme="minorHAnsi"/>
          <w:color w:val="011A3C"/>
          <w:sz w:val="24"/>
          <w:szCs w:val="24"/>
          <w:lang w:val="en" w:eastAsia="en-AU"/>
        </w:rPr>
        <w:t>orkers</w:t>
      </w:r>
      <w:r w:rsidR="00AF3A45" w:rsidRPr="00260C1D">
        <w:rPr>
          <w:rFonts w:eastAsia="Segoe UI" w:cstheme="minorHAnsi"/>
          <w:color w:val="011A3C"/>
          <w:sz w:val="24"/>
          <w:szCs w:val="24"/>
          <w:lang w:val="en" w:eastAsia="en-AU"/>
        </w:rPr>
        <w:t>’</w:t>
      </w:r>
      <w:r w:rsidR="0076693A" w:rsidRPr="00260C1D">
        <w:rPr>
          <w:rFonts w:eastAsia="Segoe UI" w:cstheme="minorHAnsi"/>
          <w:color w:val="011A3C"/>
          <w:sz w:val="24"/>
          <w:szCs w:val="24"/>
          <w:lang w:val="en" w:eastAsia="en-AU"/>
        </w:rPr>
        <w:t xml:space="preserve"> </w:t>
      </w:r>
      <w:r w:rsidR="001E12C0" w:rsidRPr="00260C1D">
        <w:rPr>
          <w:rFonts w:eastAsia="Segoe UI" w:cstheme="minorHAnsi"/>
          <w:color w:val="011A3C"/>
          <w:sz w:val="24"/>
          <w:szCs w:val="24"/>
          <w:lang w:val="en" w:eastAsia="en-AU"/>
        </w:rPr>
        <w:t>c</w:t>
      </w:r>
      <w:r w:rsidR="0076693A" w:rsidRPr="00260C1D">
        <w:rPr>
          <w:rFonts w:eastAsia="Segoe UI" w:cstheme="minorHAnsi"/>
          <w:color w:val="011A3C"/>
          <w:sz w:val="24"/>
          <w:szCs w:val="24"/>
          <w:lang w:val="en" w:eastAsia="en-AU"/>
        </w:rPr>
        <w:t>ompensation claims arising from participation in the Teacher Games.</w:t>
      </w:r>
    </w:p>
    <w:p w14:paraId="2A83EA97" w14:textId="77777777" w:rsidR="0076693A" w:rsidRPr="00260C1D" w:rsidRDefault="0076693A" w:rsidP="0076693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Consideration will also be given to exempting schools from the costs of claims:</w:t>
      </w:r>
    </w:p>
    <w:p w14:paraId="21CB6073" w14:textId="61AD6A52" w:rsidR="0076693A" w:rsidRPr="00260C1D" w:rsidRDefault="00931A63" w:rsidP="00F56244">
      <w:pPr>
        <w:numPr>
          <w:ilvl w:val="0"/>
          <w:numId w:val="11"/>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F</w:t>
      </w:r>
      <w:r w:rsidR="0076693A" w:rsidRPr="00260C1D">
        <w:rPr>
          <w:rFonts w:eastAsia="Segoe UI" w:cstheme="minorHAnsi"/>
          <w:color w:val="011A3C"/>
          <w:sz w:val="24"/>
          <w:szCs w:val="24"/>
          <w:lang w:val="en" w:eastAsia="en-AU"/>
        </w:rPr>
        <w:t>rom staff who have been the subject of compassionate transfer because of health reasons.</w:t>
      </w:r>
    </w:p>
    <w:p w14:paraId="0519FB46" w14:textId="54D4B104" w:rsidR="008F4825" w:rsidRPr="00260C1D" w:rsidRDefault="00931A63" w:rsidP="00F56244">
      <w:pPr>
        <w:numPr>
          <w:ilvl w:val="0"/>
          <w:numId w:val="11"/>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F</w:t>
      </w:r>
      <w:r w:rsidR="0076693A" w:rsidRPr="00260C1D">
        <w:rPr>
          <w:rFonts w:eastAsia="Segoe UI" w:cstheme="minorHAnsi"/>
          <w:color w:val="011A3C"/>
          <w:sz w:val="24"/>
          <w:szCs w:val="24"/>
          <w:lang w:val="en" w:eastAsia="en-AU"/>
        </w:rPr>
        <w:t>rom principals and other staff whose claims are associated with unsatisfactory performance or disciplin</w:t>
      </w:r>
      <w:r w:rsidR="001E12C0" w:rsidRPr="00260C1D">
        <w:rPr>
          <w:rFonts w:eastAsia="Segoe UI" w:cstheme="minorHAnsi"/>
          <w:color w:val="011A3C"/>
          <w:sz w:val="24"/>
          <w:szCs w:val="24"/>
          <w:lang w:val="en" w:eastAsia="en-AU"/>
        </w:rPr>
        <w:t>ary</w:t>
      </w:r>
      <w:r w:rsidR="0076693A" w:rsidRPr="00260C1D">
        <w:rPr>
          <w:rFonts w:eastAsia="Segoe UI" w:cstheme="minorHAnsi"/>
          <w:color w:val="011A3C"/>
          <w:sz w:val="24"/>
          <w:szCs w:val="24"/>
          <w:lang w:val="en" w:eastAsia="en-AU"/>
        </w:rPr>
        <w:t xml:space="preserve"> proceedings.</w:t>
      </w:r>
    </w:p>
    <w:p w14:paraId="27FE5A81" w14:textId="159B9D62" w:rsidR="00B241D3" w:rsidRPr="00260C1D" w:rsidRDefault="001E12C0" w:rsidP="00FF25C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w:t>
      </w:r>
      <w:r w:rsidR="0076693A" w:rsidRPr="00260C1D">
        <w:rPr>
          <w:rFonts w:eastAsia="Segoe UI" w:cstheme="minorHAnsi"/>
          <w:color w:val="011A3C"/>
          <w:sz w:val="24"/>
          <w:szCs w:val="24"/>
          <w:lang w:val="en" w:eastAsia="en-AU"/>
        </w:rPr>
        <w:t>chools that have claims in these categories lodged over the period from 1</w:t>
      </w:r>
      <w:r w:rsidR="00990116" w:rsidRPr="00260C1D">
        <w:rPr>
          <w:rFonts w:eastAsia="Segoe UI" w:cstheme="minorHAnsi"/>
          <w:color w:val="011A3C"/>
          <w:sz w:val="24"/>
          <w:szCs w:val="24"/>
          <w:lang w:val="en" w:eastAsia="en-AU"/>
        </w:rPr>
        <w:t xml:space="preserve"> </w:t>
      </w:r>
      <w:r w:rsidR="0076693A" w:rsidRPr="00260C1D">
        <w:rPr>
          <w:rFonts w:eastAsia="Segoe UI" w:cstheme="minorHAnsi"/>
          <w:color w:val="011A3C"/>
          <w:sz w:val="24"/>
          <w:szCs w:val="24"/>
          <w:lang w:val="en" w:eastAsia="en-AU"/>
        </w:rPr>
        <w:t>January 20</w:t>
      </w:r>
      <w:r w:rsidR="001B46FA" w:rsidRPr="00260C1D">
        <w:rPr>
          <w:rFonts w:eastAsia="Segoe UI" w:cstheme="minorHAnsi"/>
          <w:color w:val="011A3C"/>
          <w:sz w:val="24"/>
          <w:szCs w:val="24"/>
          <w:lang w:val="en" w:eastAsia="en-AU"/>
        </w:rPr>
        <w:t>2</w:t>
      </w:r>
      <w:r w:rsidR="00A146DF">
        <w:rPr>
          <w:rFonts w:eastAsia="Segoe UI" w:cstheme="minorHAnsi"/>
          <w:color w:val="011A3C"/>
          <w:sz w:val="24"/>
          <w:szCs w:val="24"/>
          <w:lang w:val="en" w:eastAsia="en-AU"/>
        </w:rPr>
        <w:t>1</w:t>
      </w:r>
      <w:r w:rsidR="0076693A" w:rsidRPr="00260C1D">
        <w:rPr>
          <w:rFonts w:eastAsia="Segoe UI" w:cstheme="minorHAnsi"/>
          <w:color w:val="011A3C"/>
          <w:sz w:val="24"/>
          <w:szCs w:val="24"/>
          <w:lang w:val="en" w:eastAsia="en-AU"/>
        </w:rPr>
        <w:t xml:space="preserve"> to 30 June 20</w:t>
      </w:r>
      <w:r w:rsidR="00990116" w:rsidRPr="00260C1D">
        <w:rPr>
          <w:rFonts w:eastAsia="Segoe UI" w:cstheme="minorHAnsi"/>
          <w:color w:val="011A3C"/>
          <w:sz w:val="24"/>
          <w:szCs w:val="24"/>
          <w:lang w:val="en" w:eastAsia="en-AU"/>
        </w:rPr>
        <w:t>2</w:t>
      </w:r>
      <w:r w:rsidR="00A146DF">
        <w:rPr>
          <w:rFonts w:eastAsia="Segoe UI" w:cstheme="minorHAnsi"/>
          <w:color w:val="011A3C"/>
          <w:sz w:val="24"/>
          <w:szCs w:val="24"/>
          <w:lang w:val="en" w:eastAsia="en-AU"/>
        </w:rPr>
        <w:t>3</w:t>
      </w:r>
      <w:r w:rsidRPr="00260C1D">
        <w:rPr>
          <w:rFonts w:eastAsia="Segoe UI" w:cstheme="minorHAnsi"/>
          <w:color w:val="011A3C"/>
          <w:sz w:val="24"/>
          <w:szCs w:val="24"/>
          <w:lang w:val="en" w:eastAsia="en-AU"/>
        </w:rPr>
        <w:t xml:space="preserve"> or who wish to seek an exemption,</w:t>
      </w:r>
      <w:r w:rsidR="0076693A" w:rsidRPr="00260C1D">
        <w:rPr>
          <w:rFonts w:eastAsia="Segoe UI" w:cstheme="minorHAnsi"/>
          <w:color w:val="011A3C"/>
          <w:sz w:val="24"/>
          <w:szCs w:val="24"/>
          <w:lang w:val="en" w:eastAsia="en-AU"/>
        </w:rPr>
        <w:t xml:space="preserve"> should</w:t>
      </w:r>
      <w:r w:rsidR="00B241D3" w:rsidRPr="00260C1D">
        <w:rPr>
          <w:rFonts w:eastAsia="Segoe UI" w:cstheme="minorHAnsi"/>
          <w:color w:val="011A3C"/>
          <w:sz w:val="24"/>
          <w:szCs w:val="24"/>
          <w:lang w:val="en" w:eastAsia="en-AU"/>
        </w:rPr>
        <w:t xml:space="preserve"> notify the</w:t>
      </w:r>
      <w:r w:rsidR="0076693A" w:rsidRPr="00260C1D">
        <w:rPr>
          <w:rFonts w:eastAsia="Segoe UI" w:cstheme="minorHAnsi"/>
          <w:color w:val="011A3C"/>
          <w:sz w:val="24"/>
          <w:szCs w:val="24"/>
          <w:lang w:val="en" w:eastAsia="en-AU"/>
        </w:rPr>
        <w:t xml:space="preserve"> </w:t>
      </w:r>
      <w:r w:rsidR="00B241D3" w:rsidRPr="00260C1D">
        <w:rPr>
          <w:rFonts w:eastAsia="Segoe UI" w:cstheme="minorHAnsi"/>
          <w:color w:val="011A3C"/>
          <w:sz w:val="24"/>
          <w:szCs w:val="24"/>
          <w:lang w:val="en" w:eastAsia="en-AU"/>
        </w:rPr>
        <w:t>Work</w:t>
      </w:r>
      <w:r w:rsidR="000E0AFA">
        <w:rPr>
          <w:rFonts w:eastAsia="Segoe UI" w:cstheme="minorHAnsi"/>
          <w:color w:val="011A3C"/>
          <w:sz w:val="24"/>
          <w:szCs w:val="24"/>
          <w:lang w:val="en" w:eastAsia="en-AU"/>
        </w:rPr>
        <w:t>ers’</w:t>
      </w:r>
      <w:r w:rsidR="00B241D3" w:rsidRPr="00260C1D">
        <w:rPr>
          <w:rFonts w:eastAsia="Segoe UI" w:cstheme="minorHAnsi"/>
          <w:color w:val="011A3C"/>
          <w:sz w:val="24"/>
          <w:szCs w:val="24"/>
          <w:lang w:val="en" w:eastAsia="en-AU"/>
        </w:rPr>
        <w:t xml:space="preserve"> Compensation Team, at </w:t>
      </w:r>
      <w:hyperlink r:id="rId121" w:history="1">
        <w:r w:rsidR="00B241D3" w:rsidRPr="00260C1D">
          <w:rPr>
            <w:rStyle w:val="Hyperlink"/>
            <w:rFonts w:eastAsia="Segoe UI" w:cstheme="minorHAnsi"/>
            <w:sz w:val="24"/>
            <w:szCs w:val="24"/>
            <w:lang w:val="en" w:eastAsia="en-AU"/>
          </w:rPr>
          <w:t>workers.compensation.corporate@education.vic.gov.au</w:t>
        </w:r>
      </w:hyperlink>
      <w:r w:rsidR="00B241D3" w:rsidRPr="00260C1D">
        <w:rPr>
          <w:rFonts w:eastAsia="Segoe UI" w:cstheme="minorHAnsi"/>
          <w:color w:val="011A3C"/>
          <w:sz w:val="24"/>
          <w:szCs w:val="24"/>
          <w:lang w:val="en" w:eastAsia="en-AU"/>
        </w:rPr>
        <w:t xml:space="preserve"> by </w:t>
      </w:r>
      <w:r w:rsidR="00C56508" w:rsidRPr="00260C1D">
        <w:rPr>
          <w:rFonts w:eastAsia="Segoe UI" w:cstheme="minorHAnsi"/>
          <w:color w:val="011A3C"/>
          <w:sz w:val="24"/>
          <w:szCs w:val="24"/>
          <w:lang w:val="en" w:eastAsia="en-AU"/>
        </w:rPr>
        <w:t>30</w:t>
      </w:r>
      <w:r w:rsidR="00B241D3" w:rsidRPr="00260C1D">
        <w:rPr>
          <w:rFonts w:eastAsia="Segoe UI" w:cstheme="minorHAnsi"/>
          <w:color w:val="011A3C"/>
          <w:sz w:val="24"/>
          <w:szCs w:val="24"/>
          <w:lang w:val="en" w:eastAsia="en-AU"/>
        </w:rPr>
        <w:t xml:space="preserve"> </w:t>
      </w:r>
      <w:r w:rsidR="00C56508" w:rsidRPr="00260C1D">
        <w:rPr>
          <w:rFonts w:eastAsia="Segoe UI" w:cstheme="minorHAnsi"/>
          <w:color w:val="011A3C"/>
          <w:sz w:val="24"/>
          <w:szCs w:val="24"/>
          <w:lang w:val="en" w:eastAsia="en-AU"/>
        </w:rPr>
        <w:t>June</w:t>
      </w:r>
      <w:r w:rsidR="00B241D3" w:rsidRPr="00260C1D">
        <w:rPr>
          <w:rFonts w:eastAsia="Segoe UI" w:cstheme="minorHAnsi"/>
          <w:color w:val="011A3C"/>
          <w:sz w:val="24"/>
          <w:szCs w:val="24"/>
          <w:lang w:val="en" w:eastAsia="en-AU"/>
        </w:rPr>
        <w:t xml:space="preserve"> 202</w:t>
      </w:r>
      <w:r w:rsidR="008810A7">
        <w:rPr>
          <w:rFonts w:eastAsia="Segoe UI" w:cstheme="minorHAnsi"/>
          <w:color w:val="011A3C"/>
          <w:sz w:val="24"/>
          <w:szCs w:val="24"/>
          <w:lang w:val="en" w:eastAsia="en-AU"/>
        </w:rPr>
        <w:t>4</w:t>
      </w:r>
      <w:r w:rsidR="00B241D3"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 </w:t>
      </w:r>
    </w:p>
    <w:p w14:paraId="708D36F6" w14:textId="3BAF3517" w:rsidR="00116D76" w:rsidRPr="00260C1D" w:rsidRDefault="00B241D3" w:rsidP="00FF25C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may request</w:t>
      </w:r>
      <w:r w:rsidR="001E12C0" w:rsidRPr="00260C1D">
        <w:rPr>
          <w:rFonts w:eastAsia="Segoe UI" w:cstheme="minorHAnsi"/>
          <w:color w:val="011A3C"/>
          <w:sz w:val="24"/>
          <w:szCs w:val="24"/>
          <w:lang w:val="en" w:eastAsia="en-AU"/>
        </w:rPr>
        <w:t xml:space="preserve"> the school's workers</w:t>
      </w:r>
      <w:r w:rsidR="00AF3A45" w:rsidRPr="00260C1D">
        <w:rPr>
          <w:rFonts w:eastAsia="Segoe UI" w:cstheme="minorHAnsi"/>
          <w:color w:val="011A3C"/>
          <w:sz w:val="24"/>
          <w:szCs w:val="24"/>
          <w:lang w:val="en" w:eastAsia="en-AU"/>
        </w:rPr>
        <w:t>’</w:t>
      </w:r>
      <w:r w:rsidR="001E12C0" w:rsidRPr="00260C1D">
        <w:rPr>
          <w:rFonts w:eastAsia="Segoe UI" w:cstheme="minorHAnsi"/>
          <w:color w:val="011A3C"/>
          <w:sz w:val="24"/>
          <w:szCs w:val="24"/>
          <w:lang w:val="en" w:eastAsia="en-AU"/>
        </w:rPr>
        <w:t xml:space="preserve"> compensation cost be reviewed </w:t>
      </w:r>
      <w:r w:rsidRPr="00260C1D">
        <w:rPr>
          <w:rFonts w:eastAsia="Segoe UI" w:cstheme="minorHAnsi"/>
          <w:color w:val="011A3C"/>
          <w:sz w:val="24"/>
          <w:szCs w:val="24"/>
          <w:lang w:val="en" w:eastAsia="en-AU"/>
        </w:rPr>
        <w:t>by</w:t>
      </w:r>
      <w:r w:rsidR="001E12C0" w:rsidRPr="00260C1D">
        <w:rPr>
          <w:rFonts w:eastAsia="Segoe UI" w:cstheme="minorHAnsi"/>
          <w:color w:val="011A3C"/>
          <w:sz w:val="24"/>
          <w:szCs w:val="24"/>
          <w:lang w:val="en" w:eastAsia="en-AU"/>
        </w:rPr>
        <w:t xml:space="preserve"> the</w:t>
      </w:r>
      <w:r w:rsidR="0076693A" w:rsidRPr="00260C1D">
        <w:rPr>
          <w:rFonts w:eastAsia="Segoe UI" w:cstheme="minorHAnsi"/>
          <w:color w:val="011A3C"/>
          <w:sz w:val="24"/>
          <w:szCs w:val="24"/>
          <w:lang w:val="en" w:eastAsia="en-AU"/>
        </w:rPr>
        <w:t xml:space="preserve"> </w:t>
      </w:r>
      <w:hyperlink r:id="rId122" w:history="1">
        <w:r w:rsidR="0076693A" w:rsidRPr="00260C1D">
          <w:rPr>
            <w:rFonts w:eastAsia="Segoe UI" w:cstheme="minorHAnsi"/>
            <w:color w:val="011A3C"/>
            <w:sz w:val="24"/>
            <w:szCs w:val="24"/>
            <w:lang w:val="en" w:eastAsia="en-AU"/>
          </w:rPr>
          <w:t>Workers</w:t>
        </w:r>
        <w:r w:rsidR="00AF3A45" w:rsidRPr="00260C1D">
          <w:rPr>
            <w:rFonts w:eastAsia="Segoe UI" w:cstheme="minorHAnsi"/>
            <w:color w:val="011A3C"/>
            <w:sz w:val="24"/>
            <w:szCs w:val="24"/>
            <w:lang w:val="en" w:eastAsia="en-AU"/>
          </w:rPr>
          <w:t>’</w:t>
        </w:r>
        <w:r w:rsidR="0076693A" w:rsidRPr="00260C1D">
          <w:rPr>
            <w:rFonts w:eastAsia="Segoe UI" w:cstheme="minorHAnsi"/>
            <w:color w:val="011A3C"/>
            <w:sz w:val="24"/>
            <w:szCs w:val="24"/>
            <w:lang w:val="en" w:eastAsia="en-AU"/>
          </w:rPr>
          <w:t xml:space="preserve"> Compensation Claims Advisory Service</w:t>
        </w:r>
        <w:r w:rsidRPr="00260C1D">
          <w:rPr>
            <w:rFonts w:eastAsia="Segoe UI" w:cstheme="minorHAnsi"/>
            <w:color w:val="011A3C"/>
            <w:sz w:val="24"/>
            <w:szCs w:val="24"/>
            <w:lang w:val="en" w:eastAsia="en-AU"/>
          </w:rPr>
          <w:t>.</w:t>
        </w:r>
        <w:r w:rsidR="0076693A" w:rsidRPr="00260C1D">
          <w:rPr>
            <w:rFonts w:eastAsia="Segoe UI" w:cstheme="minorHAnsi"/>
            <w:color w:val="011A3C"/>
            <w:sz w:val="24"/>
            <w:szCs w:val="24"/>
            <w:lang w:val="en" w:eastAsia="en-AU"/>
          </w:rPr>
          <w:t xml:space="preserve"> </w:t>
        </w:r>
      </w:hyperlink>
      <w:r w:rsidR="001E12C0" w:rsidRPr="00260C1D">
        <w:rPr>
          <w:rFonts w:eastAsia="Segoe UI" w:cstheme="minorHAnsi"/>
          <w:color w:val="011A3C"/>
          <w:sz w:val="24"/>
          <w:szCs w:val="24"/>
          <w:lang w:val="en" w:eastAsia="en-AU"/>
        </w:rPr>
        <w:t xml:space="preserve">Schools should provide details of the circumstances to be taken into consideration </w:t>
      </w:r>
      <w:r w:rsidR="001E12C0" w:rsidRPr="00260C1D">
        <w:rPr>
          <w:rFonts w:eastAsia="Segoe UI" w:cstheme="minorHAnsi"/>
          <w:color w:val="011A3C"/>
          <w:sz w:val="24"/>
          <w:szCs w:val="24"/>
          <w:lang w:val="en" w:eastAsia="en-AU"/>
        </w:rPr>
        <w:lastRenderedPageBreak/>
        <w:t xml:space="preserve">as part of the request. </w:t>
      </w:r>
      <w:r w:rsidR="0076693A" w:rsidRPr="00260C1D">
        <w:rPr>
          <w:rFonts w:eastAsia="Segoe UI" w:cstheme="minorHAnsi"/>
          <w:color w:val="011A3C"/>
          <w:sz w:val="24"/>
          <w:szCs w:val="24"/>
          <w:lang w:val="en" w:eastAsia="en-AU"/>
        </w:rPr>
        <w:t xml:space="preserve">The </w:t>
      </w:r>
      <w:r w:rsidR="00D90311" w:rsidRPr="00260C1D">
        <w:rPr>
          <w:rFonts w:eastAsia="Segoe UI" w:cstheme="minorHAnsi"/>
          <w:color w:val="011A3C"/>
          <w:sz w:val="24"/>
          <w:szCs w:val="24"/>
          <w:lang w:val="en" w:eastAsia="en-AU"/>
        </w:rPr>
        <w:t>Return to Work and Compensation team</w:t>
      </w:r>
      <w:r w:rsidR="0076693A" w:rsidRPr="00260C1D">
        <w:rPr>
          <w:rFonts w:eastAsia="Segoe UI" w:cstheme="minorHAnsi"/>
          <w:color w:val="011A3C"/>
          <w:sz w:val="24"/>
          <w:szCs w:val="24"/>
          <w:lang w:val="en" w:eastAsia="en-AU"/>
        </w:rPr>
        <w:t xml:space="preserve"> will advise schools of the results of these reviews.</w:t>
      </w:r>
    </w:p>
    <w:p w14:paraId="74825CC5" w14:textId="499E96EA" w:rsidR="00116D76" w:rsidRPr="00260C1D" w:rsidRDefault="00116D76" w:rsidP="00116D76">
      <w:pPr>
        <w:rPr>
          <w:rFonts w:cstheme="minorHAnsi"/>
        </w:rPr>
      </w:pPr>
      <w:r w:rsidRPr="00260C1D">
        <w:rPr>
          <w:rFonts w:cstheme="minorHAnsi"/>
        </w:rPr>
        <w:br w:type="page"/>
      </w:r>
    </w:p>
    <w:p w14:paraId="0040CC87" w14:textId="2B887644" w:rsidR="00C53D64" w:rsidRPr="00260C1D" w:rsidRDefault="00C53D64" w:rsidP="003D144A">
      <w:pPr>
        <w:pStyle w:val="Heading1"/>
      </w:pPr>
      <w:bookmarkStart w:id="156" w:name="_Toc141965264"/>
      <w:bookmarkStart w:id="157" w:name="_Toc145339594"/>
      <w:bookmarkStart w:id="158" w:name="_Toc153791917"/>
      <w:r w:rsidRPr="00260C1D">
        <w:lastRenderedPageBreak/>
        <w:t>School Specific Programs</w:t>
      </w:r>
      <w:bookmarkEnd w:id="156"/>
      <w:bookmarkEnd w:id="157"/>
      <w:bookmarkEnd w:id="158"/>
    </w:p>
    <w:p w14:paraId="4D52C7F3" w14:textId="77777777" w:rsidR="00C53D64" w:rsidRPr="00614B09" w:rsidRDefault="00C53D64" w:rsidP="00144B23">
      <w:pPr>
        <w:spacing w:before="100" w:beforeAutospacing="1" w:after="100" w:afterAutospacing="1" w:line="312" w:lineRule="atLeast"/>
        <w:outlineLvl w:val="1"/>
        <w:rPr>
          <w:rFonts w:eastAsia="Segoe UI" w:cstheme="minorHAnsi"/>
          <w:color w:val="323E4F" w:themeColor="text2" w:themeShade="BF"/>
          <w:sz w:val="36"/>
          <w:szCs w:val="36"/>
          <w:lang w:val="en" w:eastAsia="en-AU"/>
        </w:rPr>
      </w:pPr>
      <w:r w:rsidRPr="00614B09">
        <w:rPr>
          <w:rFonts w:eastAsia="Segoe UI" w:cstheme="minorHAnsi"/>
          <w:color w:val="323E4F" w:themeColor="text2" w:themeShade="BF"/>
          <w:sz w:val="36"/>
          <w:szCs w:val="36"/>
          <w:lang w:val="en" w:eastAsia="en-AU"/>
        </w:rPr>
        <w:t>Policy</w:t>
      </w:r>
    </w:p>
    <w:p w14:paraId="7BCDA18C" w14:textId="39D4B5C3" w:rsidR="00C53D64" w:rsidRPr="00260C1D" w:rsidRDefault="00C53D64" w:rsidP="00C53D64">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 xml:space="preserve">This policy provides information about how funding is allocated to schools through the Student Resource </w:t>
      </w:r>
      <w:r w:rsidR="008F4825" w:rsidRPr="00260C1D">
        <w:rPr>
          <w:rFonts w:asciiTheme="minorHAnsi" w:hAnsiTheme="minorHAnsi" w:cstheme="minorHAnsi"/>
          <w:color w:val="011A3C"/>
          <w:lang w:val="en"/>
        </w:rPr>
        <w:t>Package (</w:t>
      </w:r>
      <w:r w:rsidR="001B66F8" w:rsidRPr="00260C1D">
        <w:rPr>
          <w:rFonts w:asciiTheme="minorHAnsi" w:hAnsiTheme="minorHAnsi" w:cstheme="minorHAnsi"/>
          <w:color w:val="011A3C"/>
          <w:lang w:val="en"/>
        </w:rPr>
        <w:t>SRP)</w:t>
      </w:r>
      <w:r w:rsidRPr="00260C1D">
        <w:rPr>
          <w:rFonts w:asciiTheme="minorHAnsi" w:hAnsiTheme="minorHAnsi" w:cstheme="minorHAnsi"/>
          <w:color w:val="011A3C"/>
          <w:lang w:val="en"/>
        </w:rPr>
        <w:t xml:space="preserve"> for school specific programs.</w:t>
      </w:r>
    </w:p>
    <w:p w14:paraId="1ABB63C2" w14:textId="77777777" w:rsidR="00C53D64" w:rsidRPr="00260C1D" w:rsidRDefault="00C53D64" w:rsidP="00144B23">
      <w:pPr>
        <w:spacing w:before="100" w:beforeAutospacing="1" w:after="100" w:afterAutospacing="1" w:line="312" w:lineRule="atLeast"/>
        <w:outlineLvl w:val="1"/>
        <w:rPr>
          <w:rFonts w:eastAsia="Segoe UI" w:cstheme="minorHAnsi"/>
          <w:color w:val="323E4F" w:themeColor="text2" w:themeShade="BF"/>
          <w:sz w:val="36"/>
          <w:szCs w:val="36"/>
          <w:lang w:val="en" w:eastAsia="en-AU"/>
        </w:rPr>
      </w:pPr>
      <w:r w:rsidRPr="00260C1D">
        <w:rPr>
          <w:rFonts w:eastAsia="Segoe UI" w:cstheme="minorHAnsi"/>
          <w:color w:val="323E4F" w:themeColor="text2" w:themeShade="BF"/>
          <w:sz w:val="36"/>
          <w:szCs w:val="36"/>
          <w:lang w:val="en" w:eastAsia="en-AU"/>
        </w:rPr>
        <w:t>Details</w:t>
      </w:r>
    </w:p>
    <w:p w14:paraId="21EED289" w14:textId="32B4E7DA" w:rsidR="00C53D64" w:rsidRPr="00260C1D" w:rsidRDefault="00C53D64" w:rsidP="00C53D64">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 xml:space="preserve">‘School-based funding’ is one of three categories of funding provided for by the </w:t>
      </w:r>
      <w:r w:rsidR="001B66F8" w:rsidRPr="00260C1D">
        <w:rPr>
          <w:rFonts w:asciiTheme="minorHAnsi" w:hAnsiTheme="minorHAnsi" w:cstheme="minorHAnsi"/>
          <w:color w:val="011A3C"/>
          <w:lang w:val="en"/>
        </w:rPr>
        <w:t>SRP</w:t>
      </w:r>
      <w:r w:rsidRPr="00260C1D">
        <w:rPr>
          <w:rFonts w:asciiTheme="minorHAnsi" w:hAnsiTheme="minorHAnsi" w:cstheme="minorHAnsi"/>
          <w:color w:val="011A3C"/>
          <w:lang w:val="en"/>
        </w:rPr>
        <w:t xml:space="preserve">. Funding for ‘school specific programs’ is one type of school-based funding provided to schools. The other type of school-based funding is </w:t>
      </w:r>
      <w:hyperlink r:id="rId123" w:history="1">
        <w:r w:rsidRPr="008614E4">
          <w:rPr>
            <w:rStyle w:val="Hyperlink"/>
            <w:rFonts w:asciiTheme="minorHAnsi" w:eastAsia="Segoe UI" w:hAnsiTheme="minorHAnsi" w:cstheme="minorHAnsi"/>
          </w:rPr>
          <w:t>Funding for School Infrastructure</w:t>
        </w:r>
      </w:hyperlink>
      <w:r w:rsidRPr="00260C1D">
        <w:rPr>
          <w:rFonts w:asciiTheme="minorHAnsi" w:hAnsiTheme="minorHAnsi" w:cstheme="minorHAnsi"/>
          <w:color w:val="011A3C"/>
          <w:lang w:val="en"/>
        </w:rPr>
        <w:t>.</w:t>
      </w:r>
    </w:p>
    <w:p w14:paraId="620F8911" w14:textId="77777777" w:rsidR="00C53D64" w:rsidRPr="00260C1D" w:rsidRDefault="00C53D64" w:rsidP="00C53D64">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School-based funding provides for school infrastructure and programs specific to individual schools.</w:t>
      </w:r>
    </w:p>
    <w:p w14:paraId="090A2CF7" w14:textId="2DB75F19" w:rsidR="00C53D64" w:rsidRPr="00260C1D" w:rsidRDefault="00C53D64" w:rsidP="00C53D64">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 xml:space="preserve">The </w:t>
      </w:r>
      <w:r w:rsidR="00735FF8" w:rsidRPr="00260C1D">
        <w:rPr>
          <w:rFonts w:asciiTheme="minorHAnsi" w:hAnsiTheme="minorHAnsi" w:cstheme="minorHAnsi"/>
          <w:color w:val="011A3C"/>
          <w:lang w:val="en"/>
        </w:rPr>
        <w:t>School Specific section provides</w:t>
      </w:r>
      <w:r w:rsidRPr="00260C1D">
        <w:rPr>
          <w:rFonts w:asciiTheme="minorHAnsi" w:hAnsiTheme="minorHAnsi" w:cstheme="minorHAnsi"/>
          <w:color w:val="011A3C"/>
          <w:lang w:val="en"/>
        </w:rPr>
        <w:t xml:space="preserve"> information about each of the following types of funding for school-specific programs:</w:t>
      </w:r>
    </w:p>
    <w:p w14:paraId="666BC6C3" w14:textId="77777777" w:rsidR="00C53D64" w:rsidRPr="00614B09" w:rsidRDefault="00000000" w:rsidP="00F56244">
      <w:pPr>
        <w:numPr>
          <w:ilvl w:val="0"/>
          <w:numId w:val="29"/>
        </w:numPr>
        <w:spacing w:before="100" w:beforeAutospacing="1" w:after="100" w:afterAutospacing="1" w:line="360" w:lineRule="atLeast"/>
        <w:rPr>
          <w:rFonts w:cstheme="minorHAnsi"/>
          <w:color w:val="011A3C"/>
          <w:sz w:val="24"/>
          <w:szCs w:val="24"/>
          <w:lang w:val="en"/>
        </w:rPr>
      </w:pPr>
      <w:hyperlink r:id="rId124" w:history="1">
        <w:r w:rsidR="00C53D64" w:rsidRPr="00614B09">
          <w:rPr>
            <w:rStyle w:val="rpl-text-label2"/>
            <w:rFonts w:cstheme="minorHAnsi"/>
            <w:sz w:val="24"/>
            <w:szCs w:val="24"/>
            <w:lang w:val="en"/>
          </w:rPr>
          <w:t>P12 Complexity Allowance</w:t>
        </w:r>
      </w:hyperlink>
    </w:p>
    <w:p w14:paraId="4FB5082C" w14:textId="7E97CF80" w:rsidR="00C53D64" w:rsidRPr="00614B09" w:rsidRDefault="00000000" w:rsidP="00F56244">
      <w:pPr>
        <w:numPr>
          <w:ilvl w:val="0"/>
          <w:numId w:val="29"/>
        </w:numPr>
        <w:spacing w:before="100" w:beforeAutospacing="1" w:after="100" w:afterAutospacing="1" w:line="360" w:lineRule="atLeast"/>
        <w:rPr>
          <w:rFonts w:cstheme="minorHAnsi"/>
          <w:color w:val="011A3C"/>
          <w:sz w:val="24"/>
          <w:szCs w:val="24"/>
          <w:lang w:val="en"/>
        </w:rPr>
      </w:pPr>
      <w:hyperlink r:id="rId125" w:history="1">
        <w:r w:rsidR="00C53D64" w:rsidRPr="00614B09">
          <w:rPr>
            <w:rStyle w:val="rpl-text-label2"/>
            <w:rFonts w:cstheme="minorHAnsi"/>
            <w:sz w:val="24"/>
            <w:szCs w:val="24"/>
            <w:lang w:val="en"/>
          </w:rPr>
          <w:t xml:space="preserve">Location Index </w:t>
        </w:r>
        <w:r w:rsidR="00D63B4D">
          <w:rPr>
            <w:rStyle w:val="rpl-text-label2"/>
            <w:rFonts w:cstheme="minorHAnsi"/>
            <w:sz w:val="24"/>
            <w:szCs w:val="24"/>
            <w:lang w:val="en"/>
          </w:rPr>
          <w:t>F</w:t>
        </w:r>
        <w:r w:rsidR="00C53D64" w:rsidRPr="00614B09">
          <w:rPr>
            <w:rStyle w:val="rpl-text-label2"/>
            <w:rFonts w:cstheme="minorHAnsi"/>
            <w:sz w:val="24"/>
            <w:szCs w:val="24"/>
            <w:lang w:val="en"/>
          </w:rPr>
          <w:t>unding</w:t>
        </w:r>
      </w:hyperlink>
    </w:p>
    <w:p w14:paraId="6F0757F3" w14:textId="0DF17F1D" w:rsidR="00C53D64" w:rsidRPr="00614B09" w:rsidRDefault="00000000" w:rsidP="00F56244">
      <w:pPr>
        <w:numPr>
          <w:ilvl w:val="0"/>
          <w:numId w:val="29"/>
        </w:numPr>
        <w:spacing w:before="100" w:beforeAutospacing="1" w:after="100" w:afterAutospacing="1" w:line="360" w:lineRule="atLeast"/>
        <w:rPr>
          <w:rFonts w:cstheme="minorHAnsi"/>
          <w:color w:val="011A3C"/>
          <w:sz w:val="24"/>
          <w:szCs w:val="24"/>
          <w:lang w:val="en"/>
        </w:rPr>
      </w:pPr>
      <w:hyperlink r:id="rId126" w:history="1">
        <w:r w:rsidR="006E29E8">
          <w:rPr>
            <w:rStyle w:val="rpl-text-label2"/>
            <w:rFonts w:cstheme="minorHAnsi"/>
            <w:sz w:val="24"/>
            <w:szCs w:val="24"/>
            <w:lang w:val="en"/>
          </w:rPr>
          <w:t>MARC/MACC Teachers</w:t>
        </w:r>
      </w:hyperlink>
    </w:p>
    <w:p w14:paraId="796798FB" w14:textId="4A153C0D" w:rsidR="006E29E8" w:rsidRPr="009B4DE1" w:rsidRDefault="006E29E8" w:rsidP="00F56244">
      <w:pPr>
        <w:numPr>
          <w:ilvl w:val="0"/>
          <w:numId w:val="29"/>
        </w:numPr>
        <w:spacing w:before="100" w:beforeAutospacing="1" w:after="100" w:afterAutospacing="1" w:line="360" w:lineRule="atLeast"/>
        <w:rPr>
          <w:rFonts w:cstheme="minorHAnsi"/>
          <w:color w:val="011A3C"/>
          <w:sz w:val="24"/>
          <w:szCs w:val="24"/>
          <w:lang w:val="en"/>
        </w:rPr>
      </w:pPr>
      <w:r w:rsidRPr="006E29E8">
        <w:rPr>
          <w:rFonts w:cstheme="minorHAnsi"/>
          <w:color w:val="011A3C"/>
          <w:sz w:val="24"/>
          <w:szCs w:val="24"/>
          <w:lang w:val="en"/>
        </w:rPr>
        <w:t>Science and Technology</w:t>
      </w:r>
    </w:p>
    <w:p w14:paraId="07C5E890" w14:textId="31A74750" w:rsidR="00C53D64" w:rsidRPr="00614B09" w:rsidRDefault="00000000" w:rsidP="00F56244">
      <w:pPr>
        <w:numPr>
          <w:ilvl w:val="0"/>
          <w:numId w:val="29"/>
        </w:numPr>
        <w:spacing w:before="100" w:beforeAutospacing="1" w:after="100" w:afterAutospacing="1" w:line="360" w:lineRule="atLeast"/>
        <w:rPr>
          <w:rFonts w:cstheme="minorHAnsi"/>
          <w:color w:val="011A3C"/>
          <w:sz w:val="24"/>
          <w:szCs w:val="24"/>
          <w:lang w:val="en"/>
        </w:rPr>
      </w:pPr>
      <w:hyperlink r:id="rId127" w:history="1">
        <w:r w:rsidR="00C53D64" w:rsidRPr="00614B09">
          <w:rPr>
            <w:rStyle w:val="rpl-text-label2"/>
            <w:rFonts w:cstheme="minorHAnsi"/>
            <w:sz w:val="24"/>
            <w:szCs w:val="24"/>
            <w:lang w:val="en"/>
          </w:rPr>
          <w:t>Instrumental Music Programs</w:t>
        </w:r>
      </w:hyperlink>
    </w:p>
    <w:p w14:paraId="59F6DF86" w14:textId="304DDB79" w:rsidR="00C53D64" w:rsidRPr="00614B09" w:rsidRDefault="00000000" w:rsidP="00F56244">
      <w:pPr>
        <w:numPr>
          <w:ilvl w:val="0"/>
          <w:numId w:val="29"/>
        </w:numPr>
        <w:spacing w:before="100" w:beforeAutospacing="1" w:after="100" w:afterAutospacing="1" w:line="360" w:lineRule="atLeast"/>
        <w:rPr>
          <w:rFonts w:cstheme="minorHAnsi"/>
          <w:color w:val="011A3C"/>
          <w:sz w:val="24"/>
          <w:szCs w:val="24"/>
          <w:lang w:val="en"/>
        </w:rPr>
      </w:pPr>
      <w:hyperlink r:id="rId128" w:history="1">
        <w:r w:rsidR="00C53D64" w:rsidRPr="00614B09">
          <w:rPr>
            <w:rStyle w:val="rpl-text-label2"/>
            <w:rFonts w:cstheme="minorHAnsi"/>
            <w:sz w:val="24"/>
            <w:szCs w:val="24"/>
            <w:lang w:val="en"/>
          </w:rPr>
          <w:t xml:space="preserve">Bus </w:t>
        </w:r>
        <w:r w:rsidR="00D5064D" w:rsidRPr="00614B09">
          <w:rPr>
            <w:rStyle w:val="rpl-text-label2"/>
            <w:rFonts w:cstheme="minorHAnsi"/>
            <w:sz w:val="24"/>
            <w:szCs w:val="24"/>
            <w:lang w:val="en"/>
          </w:rPr>
          <w:t>C</w:t>
        </w:r>
        <w:r w:rsidR="00C53D64" w:rsidRPr="00614B09">
          <w:rPr>
            <w:rStyle w:val="rpl-text-label2"/>
            <w:rFonts w:cstheme="minorHAnsi"/>
            <w:sz w:val="24"/>
            <w:szCs w:val="24"/>
            <w:lang w:val="en"/>
          </w:rPr>
          <w:t>oordination</w:t>
        </w:r>
      </w:hyperlink>
    </w:p>
    <w:p w14:paraId="6EE9EA9F" w14:textId="77777777" w:rsidR="00C53D64" w:rsidRPr="00614B09" w:rsidRDefault="00000000" w:rsidP="00F56244">
      <w:pPr>
        <w:numPr>
          <w:ilvl w:val="0"/>
          <w:numId w:val="29"/>
        </w:numPr>
        <w:spacing w:before="100" w:beforeAutospacing="1" w:after="100" w:afterAutospacing="1" w:line="360" w:lineRule="atLeast"/>
        <w:rPr>
          <w:rFonts w:cstheme="minorHAnsi"/>
          <w:color w:val="011A3C"/>
          <w:sz w:val="24"/>
          <w:szCs w:val="24"/>
          <w:lang w:val="en"/>
        </w:rPr>
      </w:pPr>
      <w:hyperlink r:id="rId129" w:history="1">
        <w:r w:rsidR="00C53D64" w:rsidRPr="00614B09">
          <w:rPr>
            <w:rStyle w:val="rpl-text-label2"/>
            <w:rFonts w:cstheme="minorHAnsi"/>
            <w:sz w:val="24"/>
            <w:szCs w:val="24"/>
            <w:lang w:val="en"/>
          </w:rPr>
          <w:t>Country Area Program Grant</w:t>
        </w:r>
      </w:hyperlink>
    </w:p>
    <w:p w14:paraId="1EDAD8E3" w14:textId="77777777" w:rsidR="00C53D64" w:rsidRPr="00614B09" w:rsidRDefault="00000000" w:rsidP="00F56244">
      <w:pPr>
        <w:numPr>
          <w:ilvl w:val="0"/>
          <w:numId w:val="29"/>
        </w:numPr>
        <w:spacing w:before="100" w:beforeAutospacing="1" w:after="100" w:afterAutospacing="1" w:line="360" w:lineRule="atLeast"/>
        <w:rPr>
          <w:rFonts w:cstheme="minorHAnsi"/>
          <w:color w:val="011A3C"/>
          <w:sz w:val="24"/>
          <w:szCs w:val="24"/>
          <w:lang w:val="en"/>
        </w:rPr>
      </w:pPr>
      <w:hyperlink r:id="rId130" w:history="1">
        <w:r w:rsidR="00C53D64" w:rsidRPr="00614B09">
          <w:rPr>
            <w:rStyle w:val="rpl-text-label2"/>
            <w:rFonts w:cstheme="minorHAnsi"/>
            <w:sz w:val="24"/>
            <w:szCs w:val="24"/>
            <w:lang w:val="en"/>
          </w:rPr>
          <w:t>MARC/MACC Grant</w:t>
        </w:r>
      </w:hyperlink>
    </w:p>
    <w:p w14:paraId="4CBF5182" w14:textId="77777777" w:rsidR="00C53D64" w:rsidRPr="00614B09" w:rsidRDefault="00000000" w:rsidP="00F56244">
      <w:pPr>
        <w:numPr>
          <w:ilvl w:val="0"/>
          <w:numId w:val="29"/>
        </w:numPr>
        <w:spacing w:before="100" w:beforeAutospacing="1" w:after="100" w:afterAutospacing="1" w:line="360" w:lineRule="atLeast"/>
        <w:rPr>
          <w:rFonts w:cstheme="minorHAnsi"/>
          <w:color w:val="011A3C"/>
          <w:sz w:val="24"/>
          <w:szCs w:val="24"/>
          <w:lang w:val="en"/>
        </w:rPr>
      </w:pPr>
      <w:hyperlink r:id="rId131" w:history="1">
        <w:r w:rsidR="00C53D64" w:rsidRPr="00614B09">
          <w:rPr>
            <w:rStyle w:val="rpl-text-label2"/>
            <w:rFonts w:cstheme="minorHAnsi"/>
            <w:sz w:val="24"/>
            <w:szCs w:val="24"/>
            <w:lang w:val="en"/>
          </w:rPr>
          <w:t>Alternative Settings Teachers</w:t>
        </w:r>
      </w:hyperlink>
    </w:p>
    <w:p w14:paraId="62A6C848" w14:textId="77777777" w:rsidR="00C53D64" w:rsidRPr="00614B09" w:rsidRDefault="00000000" w:rsidP="00F56244">
      <w:pPr>
        <w:numPr>
          <w:ilvl w:val="0"/>
          <w:numId w:val="29"/>
        </w:numPr>
        <w:spacing w:before="100" w:beforeAutospacing="1" w:after="100" w:afterAutospacing="1" w:line="360" w:lineRule="atLeast"/>
        <w:rPr>
          <w:rFonts w:cstheme="minorHAnsi"/>
          <w:color w:val="011A3C"/>
          <w:sz w:val="24"/>
          <w:szCs w:val="24"/>
          <w:lang w:val="en"/>
        </w:rPr>
      </w:pPr>
      <w:hyperlink r:id="rId132" w:history="1">
        <w:r w:rsidR="00C53D64" w:rsidRPr="00614B09">
          <w:rPr>
            <w:rStyle w:val="rpl-text-label2"/>
            <w:rFonts w:cstheme="minorHAnsi"/>
            <w:sz w:val="24"/>
            <w:szCs w:val="24"/>
            <w:lang w:val="en"/>
          </w:rPr>
          <w:t>Ancillary Settings Teachers</w:t>
        </w:r>
      </w:hyperlink>
    </w:p>
    <w:p w14:paraId="335E6D1D" w14:textId="50F6D298" w:rsidR="00C53D64" w:rsidRPr="00614B09" w:rsidRDefault="00000000" w:rsidP="00F56244">
      <w:pPr>
        <w:numPr>
          <w:ilvl w:val="0"/>
          <w:numId w:val="29"/>
        </w:numPr>
        <w:spacing w:before="100" w:beforeAutospacing="1" w:after="100" w:afterAutospacing="1" w:line="360" w:lineRule="atLeast"/>
        <w:rPr>
          <w:rStyle w:val="rpl-text-label2"/>
          <w:rFonts w:cstheme="minorHAnsi"/>
          <w:sz w:val="24"/>
          <w:szCs w:val="24"/>
          <w:lang w:val="en"/>
        </w:rPr>
      </w:pPr>
      <w:hyperlink r:id="rId133" w:history="1">
        <w:r w:rsidR="00C53D64" w:rsidRPr="00614B09">
          <w:rPr>
            <w:rStyle w:val="rpl-text-label2"/>
            <w:rFonts w:cstheme="minorHAnsi"/>
            <w:sz w:val="24"/>
            <w:szCs w:val="24"/>
            <w:lang w:val="en"/>
          </w:rPr>
          <w:t>Alternative programs — regional grants</w:t>
        </w:r>
      </w:hyperlink>
    </w:p>
    <w:p w14:paraId="27F9FFAA" w14:textId="672344F9" w:rsidR="008C0D71" w:rsidRPr="004B4C67" w:rsidRDefault="00000000" w:rsidP="00F56244">
      <w:pPr>
        <w:numPr>
          <w:ilvl w:val="0"/>
          <w:numId w:val="29"/>
        </w:numPr>
        <w:spacing w:before="100" w:beforeAutospacing="1" w:after="100" w:afterAutospacing="1" w:line="360" w:lineRule="atLeast"/>
        <w:rPr>
          <w:rStyle w:val="rpl-text-label2"/>
          <w:rFonts w:cstheme="minorHAnsi"/>
          <w:sz w:val="24"/>
          <w:szCs w:val="24"/>
          <w:lang w:val="en"/>
        </w:rPr>
      </w:pPr>
      <w:hyperlink r:id="rId134" w:history="1">
        <w:r w:rsidR="008C0D71" w:rsidRPr="00B148A2">
          <w:rPr>
            <w:rStyle w:val="rpl-text-label2"/>
            <w:sz w:val="24"/>
            <w:lang w:val="en"/>
          </w:rPr>
          <w:t>Joint Community Program</w:t>
        </w:r>
      </w:hyperlink>
    </w:p>
    <w:p w14:paraId="2EBAC61C" w14:textId="6595458B" w:rsidR="004F70E5" w:rsidRPr="004B4C67" w:rsidRDefault="00000000" w:rsidP="00F56244">
      <w:pPr>
        <w:numPr>
          <w:ilvl w:val="0"/>
          <w:numId w:val="29"/>
        </w:numPr>
        <w:spacing w:before="100" w:beforeAutospacing="1" w:after="100" w:afterAutospacing="1" w:line="360" w:lineRule="atLeast"/>
        <w:rPr>
          <w:rStyle w:val="rpl-text-label2"/>
          <w:rFonts w:cstheme="minorHAnsi"/>
          <w:sz w:val="24"/>
          <w:szCs w:val="24"/>
          <w:lang w:val="en"/>
        </w:rPr>
      </w:pPr>
      <w:hyperlink r:id="rId135" w:history="1">
        <w:r w:rsidR="004F70E5" w:rsidRPr="00B148A2">
          <w:rPr>
            <w:rStyle w:val="rpl-text-label2"/>
            <w:sz w:val="24"/>
            <w:lang w:val="en"/>
          </w:rPr>
          <w:t>Designated Bilingual Programs</w:t>
        </w:r>
      </w:hyperlink>
    </w:p>
    <w:p w14:paraId="488CCE25" w14:textId="29C719A8" w:rsidR="00C53D64" w:rsidRPr="00260C1D" w:rsidRDefault="00C53D64" w:rsidP="00C53D64">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Not all types of funding are available to all schools. Funding is assessed according to school and student need</w:t>
      </w:r>
      <w:r w:rsidR="00D63B4D">
        <w:rPr>
          <w:rFonts w:asciiTheme="minorHAnsi" w:hAnsiTheme="minorHAnsi" w:cstheme="minorHAnsi"/>
          <w:color w:val="011A3C"/>
          <w:lang w:val="en"/>
        </w:rPr>
        <w:t>s</w:t>
      </w:r>
      <w:r w:rsidRPr="00260C1D">
        <w:rPr>
          <w:rFonts w:asciiTheme="minorHAnsi" w:hAnsiTheme="minorHAnsi" w:cstheme="minorHAnsi"/>
          <w:color w:val="011A3C"/>
          <w:lang w:val="en"/>
        </w:rPr>
        <w:t>.</w:t>
      </w:r>
      <w:r w:rsidR="00DB1ECE" w:rsidRPr="00260C1D">
        <w:rPr>
          <w:rFonts w:asciiTheme="minorHAnsi" w:hAnsiTheme="minorHAnsi" w:cstheme="minorHAnsi"/>
          <w:color w:val="011A3C"/>
          <w:lang w:val="en"/>
        </w:rPr>
        <w:t xml:space="preserve"> The majority of items allocated </w:t>
      </w:r>
      <w:r w:rsidR="001A4359" w:rsidRPr="00260C1D">
        <w:rPr>
          <w:rFonts w:asciiTheme="minorHAnsi" w:hAnsiTheme="minorHAnsi" w:cstheme="minorHAnsi"/>
          <w:color w:val="011A3C"/>
          <w:lang w:val="en"/>
        </w:rPr>
        <w:t>are based on regional office advice.</w:t>
      </w:r>
    </w:p>
    <w:p w14:paraId="5CCD4EC3" w14:textId="77777777" w:rsidR="00C53D64" w:rsidRPr="00260C1D" w:rsidRDefault="00C53D64" w:rsidP="00C53D64">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Schools are expected to use SRP funds for the purpose for which it was allocated.</w:t>
      </w:r>
    </w:p>
    <w:p w14:paraId="2155FD7F" w14:textId="77777777" w:rsidR="007B0EF6" w:rsidRPr="00260C1D" w:rsidRDefault="007B0EF6">
      <w:pPr>
        <w:rPr>
          <w:rFonts w:eastAsia="MS Gothic" w:cstheme="minorHAnsi"/>
          <w:b/>
          <w:color w:val="2F5496" w:themeColor="accent1" w:themeShade="BF"/>
          <w:sz w:val="36"/>
          <w:szCs w:val="26"/>
          <w:lang w:val="en" w:eastAsia="en-AU"/>
        </w:rPr>
      </w:pPr>
      <w:r w:rsidRPr="00260C1D">
        <w:rPr>
          <w:rFonts w:cstheme="minorHAnsi"/>
        </w:rPr>
        <w:br w:type="page"/>
      </w:r>
    </w:p>
    <w:p w14:paraId="12E5D9D0" w14:textId="5BAD45A7" w:rsidR="009753DC" w:rsidRPr="00260C1D" w:rsidRDefault="009753DC" w:rsidP="00532A33">
      <w:pPr>
        <w:pStyle w:val="Heading2"/>
      </w:pPr>
      <w:bookmarkStart w:id="159" w:name="_Toc141965265"/>
      <w:bookmarkStart w:id="160" w:name="_Toc145339595"/>
      <w:bookmarkStart w:id="161" w:name="_Toc153791918"/>
      <w:bookmarkStart w:id="162" w:name="_Hlk134432387"/>
      <w:r w:rsidRPr="00260C1D">
        <w:lastRenderedPageBreak/>
        <w:t>P-12 Complexity Allowance (Reference 38)</w:t>
      </w:r>
      <w:bookmarkEnd w:id="159"/>
      <w:bookmarkEnd w:id="160"/>
      <w:bookmarkEnd w:id="161"/>
    </w:p>
    <w:p w14:paraId="16E1B970" w14:textId="160077E0" w:rsidR="009753DC" w:rsidRPr="00260C1D" w:rsidRDefault="009753DC" w:rsidP="009753D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Approved P-12 colleges (with a full cohort) receive an Administration Complexity Allowance, which </w:t>
      </w:r>
      <w:proofErr w:type="spellStart"/>
      <w:r w:rsidRPr="00260C1D">
        <w:rPr>
          <w:rFonts w:eastAsia="Segoe UI" w:cstheme="minorHAnsi"/>
          <w:color w:val="011A3C"/>
          <w:sz w:val="24"/>
          <w:szCs w:val="24"/>
          <w:lang w:val="en" w:eastAsia="en-AU"/>
        </w:rPr>
        <w:t>recognises</w:t>
      </w:r>
      <w:proofErr w:type="spellEnd"/>
      <w:r w:rsidRPr="00260C1D">
        <w:rPr>
          <w:rFonts w:eastAsia="Segoe UI" w:cstheme="minorHAnsi"/>
          <w:color w:val="011A3C"/>
          <w:sz w:val="24"/>
          <w:szCs w:val="24"/>
          <w:lang w:val="en" w:eastAsia="en-AU"/>
        </w:rPr>
        <w:t xml:space="preserve"> the additional complexity involved in managing a P-12 setting. The allowance, which is based on the Principal Classification Budget (PCB), is allocated as credit</w:t>
      </w:r>
      <w:r w:rsidR="00D63B4D">
        <w:rPr>
          <w:rFonts w:eastAsia="Segoe UI" w:cstheme="minorHAnsi"/>
          <w:color w:val="011A3C"/>
          <w:sz w:val="24"/>
          <w:szCs w:val="24"/>
          <w:lang w:val="en" w:eastAsia="en-AU"/>
        </w:rPr>
        <w:t xml:space="preserve"> funding</w:t>
      </w:r>
      <w:r w:rsidRPr="00260C1D">
        <w:rPr>
          <w:rFonts w:eastAsia="Segoe UI" w:cstheme="minorHAnsi"/>
          <w:color w:val="011A3C"/>
          <w:sz w:val="24"/>
          <w:szCs w:val="24"/>
          <w:lang w:val="en" w:eastAsia="en-AU"/>
        </w:rPr>
        <w:t>. The P-12 Complexity Allowance is not included for the purpose of determining the PCB.</w:t>
      </w:r>
    </w:p>
    <w:p w14:paraId="49E62F67" w14:textId="77777777" w:rsidR="00735FF8" w:rsidRPr="00260C1D" w:rsidRDefault="00735FF8" w:rsidP="00735FF8">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1EB55511" w14:textId="6766EDDC" w:rsidR="00735FF8" w:rsidRPr="00260C1D" w:rsidRDefault="00735FF8" w:rsidP="00735FF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with the following school types are eligible for P-12 Complexity funding at</w:t>
      </w:r>
      <w:r w:rsidR="00D63B4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school level:</w:t>
      </w:r>
    </w:p>
    <w:p w14:paraId="2D8D2E11" w14:textId="7CB60E18" w:rsidR="00735FF8" w:rsidRPr="00260C1D" w:rsidRDefault="00735FF8"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Primary/</w:t>
      </w:r>
      <w:r w:rsidR="00D63B4D">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econdary combined</w:t>
      </w:r>
    </w:p>
    <w:p w14:paraId="1C2D0131" w14:textId="72C00B47" w:rsidR="00735FF8" w:rsidRPr="00260C1D" w:rsidRDefault="00735FF8"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Special</w:t>
      </w:r>
      <w:r w:rsidR="00E14875" w:rsidRPr="00260C1D">
        <w:rPr>
          <w:rFonts w:eastAsia="Segoe UI" w:cstheme="minorHAnsi"/>
          <w:color w:val="011A3C"/>
          <w:sz w:val="24"/>
          <w:szCs w:val="24"/>
          <w:lang w:val="en" w:eastAsia="en-AU"/>
        </w:rPr>
        <w:t>*</w:t>
      </w:r>
      <w:r w:rsidR="00A70116">
        <w:rPr>
          <w:rFonts w:eastAsia="Segoe UI" w:cstheme="minorHAnsi"/>
          <w:color w:val="011A3C"/>
          <w:sz w:val="24"/>
          <w:szCs w:val="24"/>
          <w:lang w:val="en" w:eastAsia="en-AU"/>
        </w:rPr>
        <w:t>.</w:t>
      </w:r>
    </w:p>
    <w:p w14:paraId="2AB65D93" w14:textId="77777777" w:rsidR="00334800" w:rsidRPr="003853EC" w:rsidDel="00334800" w:rsidRDefault="00334800" w:rsidP="003853EC">
      <w:pPr>
        <w:spacing w:before="100" w:beforeAutospacing="1" w:after="100" w:afterAutospacing="1" w:line="240" w:lineRule="auto"/>
        <w:rPr>
          <w:rFonts w:eastAsia="Segoe UI" w:cstheme="minorHAnsi"/>
          <w:color w:val="011A3C"/>
          <w:sz w:val="24"/>
          <w:szCs w:val="24"/>
          <w:lang w:val="en" w:eastAsia="en-AU"/>
        </w:rPr>
      </w:pPr>
      <w:r w:rsidRPr="003853EC">
        <w:rPr>
          <w:rFonts w:eastAsia="Segoe UI" w:cstheme="minorHAnsi"/>
          <w:color w:val="011A3C"/>
          <w:sz w:val="24"/>
          <w:szCs w:val="24"/>
          <w:lang w:val="en" w:eastAsia="en-AU"/>
        </w:rPr>
        <w:t xml:space="preserve">Schools must contain a full P-12 cohort to be eligible. </w:t>
      </w:r>
    </w:p>
    <w:p w14:paraId="2DB2BC90" w14:textId="2B6D6CBA" w:rsidR="00735FF8" w:rsidRPr="00260C1D" w:rsidRDefault="00735FF8" w:rsidP="00FF25C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calculated at the Indicative, Confirmed and Revised cycles</w:t>
      </w:r>
      <w:r w:rsidR="00D63B4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D63B4D">
        <w:rPr>
          <w:rFonts w:eastAsia="Segoe UI" w:cstheme="minorHAnsi"/>
          <w:color w:val="011A3C"/>
          <w:sz w:val="24"/>
          <w:szCs w:val="24"/>
          <w:lang w:val="en" w:eastAsia="en-AU"/>
        </w:rPr>
        <w:t>F</w:t>
      </w:r>
      <w:r w:rsidRPr="00260C1D">
        <w:rPr>
          <w:rFonts w:eastAsia="Segoe UI" w:cstheme="minorHAnsi"/>
          <w:color w:val="011A3C"/>
          <w:sz w:val="24"/>
          <w:szCs w:val="24"/>
          <w:lang w:val="en" w:eastAsia="en-AU"/>
        </w:rPr>
        <w:t>unding is allocated through credit funding.</w:t>
      </w:r>
    </w:p>
    <w:p w14:paraId="5AC0826F" w14:textId="7D6859B9" w:rsidR="009753DC" w:rsidRPr="00260C1D" w:rsidRDefault="009753DC" w:rsidP="009753DC">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202</w:t>
      </w:r>
      <w:r w:rsidR="001E287E">
        <w:rPr>
          <w:rFonts w:eastAsia="Segoe UI" w:cstheme="minorHAnsi"/>
          <w:b/>
          <w:color w:val="011A3C"/>
          <w:sz w:val="27"/>
          <w:szCs w:val="27"/>
          <w:lang w:val="en" w:eastAsia="en-AU"/>
        </w:rPr>
        <w:t>4</w:t>
      </w:r>
    </w:p>
    <w:tbl>
      <w:tblPr>
        <w:tblW w:w="45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11"/>
        <w:gridCol w:w="4869"/>
      </w:tblGrid>
      <w:tr w:rsidR="00FB499E" w:rsidRPr="00260C1D" w14:paraId="369B9A05" w14:textId="399AA99D" w:rsidTr="00614B09">
        <w:trPr>
          <w:tblHeader/>
        </w:trPr>
        <w:tc>
          <w:tcPr>
            <w:tcW w:w="2459" w:type="pct"/>
            <w:hideMark/>
          </w:tcPr>
          <w:p w14:paraId="388738D2" w14:textId="48877732" w:rsidR="00FB499E" w:rsidRPr="00614B09" w:rsidRDefault="00FB499E" w:rsidP="00B148A2">
            <w:pPr>
              <w:spacing w:after="0" w:line="240" w:lineRule="atLeas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Principal Classification Budget (PCB) ($)</w:t>
            </w:r>
          </w:p>
        </w:tc>
        <w:tc>
          <w:tcPr>
            <w:tcW w:w="2541" w:type="pct"/>
          </w:tcPr>
          <w:p w14:paraId="5486C6B4" w14:textId="65A4945B" w:rsidR="00FB499E" w:rsidRPr="00FB499E" w:rsidRDefault="00FB499E" w:rsidP="00B148A2">
            <w:pPr>
              <w:spacing w:after="0" w:line="240" w:lineRule="atLeas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Administration Complexity Allowance ($)</w:t>
            </w:r>
          </w:p>
        </w:tc>
      </w:tr>
      <w:tr w:rsidR="00FB499E" w:rsidRPr="00260C1D" w14:paraId="043CFAA7" w14:textId="5B3E120D" w:rsidTr="00614B09">
        <w:tc>
          <w:tcPr>
            <w:tcW w:w="2459" w:type="pct"/>
            <w:hideMark/>
          </w:tcPr>
          <w:p w14:paraId="19238F4B" w14:textId="2746FE9A" w:rsidR="00FB499E" w:rsidRPr="00260C1D" w:rsidRDefault="00334800" w:rsidP="00B148A2">
            <w:pPr>
              <w:spacing w:after="0" w:line="360" w:lineRule="atLeast"/>
              <w:rPr>
                <w:rFonts w:eastAsia="Segoe UI" w:cstheme="minorHAnsi"/>
                <w:color w:val="323E4F" w:themeColor="text2" w:themeShade="BF"/>
                <w:sz w:val="24"/>
                <w:szCs w:val="24"/>
                <w:lang w:eastAsia="en-AU"/>
              </w:rPr>
            </w:pPr>
            <w:r>
              <w:rPr>
                <w:rFonts w:eastAsia="Segoe UI" w:cstheme="minorHAnsi"/>
                <w:color w:val="323E4F" w:themeColor="text2" w:themeShade="BF"/>
                <w:sz w:val="24"/>
                <w:szCs w:val="24"/>
                <w:lang w:eastAsia="en-AU"/>
              </w:rPr>
              <w:t>Less than</w:t>
            </w:r>
            <w:r w:rsidR="00FB499E" w:rsidRPr="00260C1D">
              <w:rPr>
                <w:rFonts w:cstheme="minorHAnsi"/>
              </w:rPr>
              <w:t xml:space="preserve"> </w:t>
            </w:r>
            <w:r w:rsidR="00127431" w:rsidRPr="00127431">
              <w:rPr>
                <w:rFonts w:eastAsia="Segoe UI" w:cstheme="minorHAnsi"/>
                <w:color w:val="323E4F" w:themeColor="text2" w:themeShade="BF"/>
                <w:sz w:val="24"/>
                <w:szCs w:val="24"/>
                <w:lang w:eastAsia="en-AU"/>
              </w:rPr>
              <w:t>$1,648,176</w:t>
            </w:r>
          </w:p>
        </w:tc>
        <w:tc>
          <w:tcPr>
            <w:tcW w:w="2541" w:type="pct"/>
          </w:tcPr>
          <w:p w14:paraId="7A4C0130" w14:textId="69A21F1A" w:rsidR="00FB499E" w:rsidRPr="00260C1D" w:rsidRDefault="00F61344" w:rsidP="00B148A2">
            <w:pPr>
              <w:spacing w:after="0" w:line="360" w:lineRule="atLeast"/>
              <w:rPr>
                <w:rFonts w:eastAsia="Segoe UI" w:cstheme="minorHAnsi"/>
                <w:color w:val="323E4F" w:themeColor="text2" w:themeShade="BF"/>
                <w:sz w:val="24"/>
                <w:szCs w:val="24"/>
                <w:lang w:eastAsia="en-AU"/>
              </w:rPr>
            </w:pPr>
            <w:r w:rsidRPr="00F61344">
              <w:rPr>
                <w:rFonts w:eastAsia="Segoe UI" w:cstheme="minorHAnsi"/>
                <w:color w:val="323E4F" w:themeColor="text2" w:themeShade="BF"/>
                <w:sz w:val="24"/>
                <w:szCs w:val="24"/>
                <w:lang w:eastAsia="en-AU"/>
              </w:rPr>
              <w:t>31,840</w:t>
            </w:r>
          </w:p>
        </w:tc>
      </w:tr>
      <w:tr w:rsidR="00FB499E" w:rsidRPr="00260C1D" w14:paraId="4BF91442" w14:textId="065229AE" w:rsidTr="00614B09">
        <w:tc>
          <w:tcPr>
            <w:tcW w:w="2459" w:type="pct"/>
            <w:hideMark/>
          </w:tcPr>
          <w:p w14:paraId="71F480AB" w14:textId="327770DE" w:rsidR="00FB499E" w:rsidRPr="00260C1D" w:rsidRDefault="00A9173A" w:rsidP="00B148A2">
            <w:pPr>
              <w:spacing w:after="0" w:line="360" w:lineRule="atLeast"/>
              <w:rPr>
                <w:rFonts w:eastAsia="Segoe UI" w:cstheme="minorHAnsi"/>
                <w:color w:val="323E4F" w:themeColor="text2" w:themeShade="BF"/>
                <w:sz w:val="24"/>
                <w:szCs w:val="24"/>
                <w:lang w:eastAsia="en-AU"/>
              </w:rPr>
            </w:pPr>
            <w:r w:rsidRPr="00A9173A">
              <w:rPr>
                <w:rFonts w:eastAsia="Segoe UI" w:cstheme="minorHAnsi"/>
                <w:color w:val="323E4F" w:themeColor="text2" w:themeShade="BF"/>
                <w:sz w:val="24"/>
                <w:szCs w:val="24"/>
                <w:lang w:eastAsia="en-AU"/>
              </w:rPr>
              <w:t>$1,648,176</w:t>
            </w:r>
            <w:r>
              <w:rPr>
                <w:rFonts w:eastAsia="Segoe UI" w:cstheme="minorHAnsi"/>
                <w:color w:val="323E4F" w:themeColor="text2" w:themeShade="BF"/>
                <w:sz w:val="24"/>
                <w:szCs w:val="24"/>
                <w:lang w:eastAsia="en-AU"/>
              </w:rPr>
              <w:t>2</w:t>
            </w:r>
            <w:r w:rsidR="00FB499E" w:rsidRPr="00260C1D">
              <w:rPr>
                <w:rFonts w:eastAsia="Segoe UI" w:cstheme="minorHAnsi"/>
                <w:color w:val="323E4F" w:themeColor="text2" w:themeShade="BF"/>
                <w:sz w:val="24"/>
                <w:szCs w:val="24"/>
                <w:lang w:eastAsia="en-AU"/>
              </w:rPr>
              <w:t xml:space="preserve"> to ​</w:t>
            </w:r>
            <w:r w:rsidR="00FB499E" w:rsidRPr="00260C1D">
              <w:rPr>
                <w:rFonts w:cstheme="minorHAnsi"/>
              </w:rPr>
              <w:t xml:space="preserve"> </w:t>
            </w:r>
            <w:r w:rsidR="00C74B25" w:rsidRPr="00C74B25">
              <w:rPr>
                <w:rFonts w:eastAsia="Segoe UI" w:cstheme="minorHAnsi"/>
                <w:color w:val="323E4F" w:themeColor="text2" w:themeShade="BF"/>
                <w:sz w:val="24"/>
                <w:szCs w:val="24"/>
                <w:lang w:eastAsia="en-AU"/>
              </w:rPr>
              <w:t>$3,845,747</w:t>
            </w:r>
          </w:p>
        </w:tc>
        <w:tc>
          <w:tcPr>
            <w:tcW w:w="2541" w:type="pct"/>
          </w:tcPr>
          <w:p w14:paraId="51A10188" w14:textId="2B31CE90" w:rsidR="00FB499E" w:rsidRPr="00260C1D" w:rsidRDefault="002A5287" w:rsidP="00B148A2">
            <w:pPr>
              <w:spacing w:after="0" w:line="360" w:lineRule="atLeast"/>
              <w:rPr>
                <w:rFonts w:eastAsia="Segoe UI" w:cstheme="minorHAnsi"/>
                <w:color w:val="323E4F" w:themeColor="text2" w:themeShade="BF"/>
                <w:sz w:val="24"/>
                <w:szCs w:val="24"/>
                <w:lang w:eastAsia="en-AU"/>
              </w:rPr>
            </w:pPr>
            <w:r w:rsidRPr="002A5287">
              <w:rPr>
                <w:rFonts w:eastAsia="Segoe UI" w:cstheme="minorHAnsi"/>
                <w:color w:val="323E4F" w:themeColor="text2" w:themeShade="BF"/>
                <w:sz w:val="24"/>
                <w:szCs w:val="24"/>
                <w:lang w:eastAsia="en-AU"/>
              </w:rPr>
              <w:t>63,666</w:t>
            </w:r>
          </w:p>
        </w:tc>
      </w:tr>
      <w:tr w:rsidR="00FB499E" w:rsidRPr="00260C1D" w14:paraId="4543185B" w14:textId="6DCA633B" w:rsidTr="00614B09">
        <w:tc>
          <w:tcPr>
            <w:tcW w:w="2459" w:type="pct"/>
            <w:hideMark/>
          </w:tcPr>
          <w:p w14:paraId="4BF65C63" w14:textId="73EB5FE8" w:rsidR="00FB499E" w:rsidRPr="00260C1D" w:rsidRDefault="00A9173A" w:rsidP="00B148A2">
            <w:pPr>
              <w:spacing w:after="0" w:line="360" w:lineRule="atLeast"/>
              <w:rPr>
                <w:rFonts w:eastAsia="Segoe UI" w:cstheme="minorHAnsi"/>
                <w:color w:val="323E4F" w:themeColor="text2" w:themeShade="BF"/>
                <w:sz w:val="24"/>
                <w:szCs w:val="24"/>
                <w:lang w:eastAsia="en-AU"/>
              </w:rPr>
            </w:pPr>
            <w:r w:rsidRPr="00C74B25">
              <w:rPr>
                <w:rFonts w:eastAsia="Segoe UI" w:cstheme="minorHAnsi"/>
                <w:color w:val="323E4F" w:themeColor="text2" w:themeShade="BF"/>
                <w:sz w:val="24"/>
                <w:szCs w:val="24"/>
                <w:lang w:eastAsia="en-AU"/>
              </w:rPr>
              <w:t>$3,845,74</w:t>
            </w:r>
            <w:r>
              <w:rPr>
                <w:rFonts w:eastAsia="Segoe UI" w:cstheme="minorHAnsi"/>
                <w:color w:val="323E4F" w:themeColor="text2" w:themeShade="BF"/>
                <w:sz w:val="24"/>
                <w:szCs w:val="24"/>
                <w:lang w:eastAsia="en-AU"/>
              </w:rPr>
              <w:t>8</w:t>
            </w:r>
            <w:r w:rsidR="00FB499E" w:rsidRPr="00260C1D">
              <w:rPr>
                <w:rFonts w:eastAsia="Segoe UI" w:cstheme="minorHAnsi"/>
                <w:color w:val="323E4F" w:themeColor="text2" w:themeShade="BF"/>
                <w:sz w:val="24"/>
                <w:szCs w:val="24"/>
                <w:lang w:eastAsia="en-AU"/>
              </w:rPr>
              <w:t xml:space="preserve"> to ​</w:t>
            </w:r>
            <w:r w:rsidR="00C74B25">
              <w:t xml:space="preserve"> </w:t>
            </w:r>
            <w:r w:rsidR="00C74B25" w:rsidRPr="00C74B25">
              <w:rPr>
                <w:rFonts w:eastAsia="Segoe UI" w:cstheme="minorHAnsi"/>
                <w:color w:val="323E4F" w:themeColor="text2" w:themeShade="BF"/>
                <w:sz w:val="24"/>
                <w:szCs w:val="24"/>
                <w:lang w:eastAsia="en-AU"/>
              </w:rPr>
              <w:t>$9,572,098</w:t>
            </w:r>
          </w:p>
        </w:tc>
        <w:tc>
          <w:tcPr>
            <w:tcW w:w="2541" w:type="pct"/>
          </w:tcPr>
          <w:p w14:paraId="1AF184F7" w14:textId="27CB3C3F" w:rsidR="00FB499E" w:rsidRPr="00260C1D" w:rsidRDefault="002A5287" w:rsidP="00B148A2">
            <w:pPr>
              <w:spacing w:after="0" w:line="360" w:lineRule="atLeast"/>
              <w:rPr>
                <w:rFonts w:eastAsia="Segoe UI" w:cstheme="minorHAnsi"/>
                <w:color w:val="323E4F" w:themeColor="text2" w:themeShade="BF"/>
                <w:sz w:val="24"/>
                <w:szCs w:val="24"/>
                <w:lang w:eastAsia="en-AU"/>
              </w:rPr>
            </w:pPr>
            <w:r w:rsidRPr="002A5287">
              <w:rPr>
                <w:rFonts w:eastAsia="Segoe UI" w:cstheme="minorHAnsi"/>
                <w:color w:val="323E4F" w:themeColor="text2" w:themeShade="BF"/>
                <w:sz w:val="24"/>
                <w:szCs w:val="24"/>
                <w:lang w:eastAsia="en-AU"/>
              </w:rPr>
              <w:t>95,496</w:t>
            </w:r>
          </w:p>
        </w:tc>
      </w:tr>
      <w:tr w:rsidR="00FB499E" w:rsidRPr="00260C1D" w14:paraId="19494D4D" w14:textId="28DDF8EA" w:rsidTr="00614B09">
        <w:tc>
          <w:tcPr>
            <w:tcW w:w="2459" w:type="pct"/>
            <w:hideMark/>
          </w:tcPr>
          <w:p w14:paraId="371770A5" w14:textId="3AD30531" w:rsidR="00FB499E" w:rsidRPr="00260C1D" w:rsidRDefault="00334800" w:rsidP="00B148A2">
            <w:pPr>
              <w:spacing w:after="0" w:line="360" w:lineRule="atLeast"/>
              <w:rPr>
                <w:rFonts w:eastAsia="Segoe UI" w:cstheme="minorHAnsi"/>
                <w:color w:val="323E4F" w:themeColor="text2" w:themeShade="BF"/>
                <w:sz w:val="24"/>
                <w:szCs w:val="24"/>
                <w:lang w:eastAsia="en-AU"/>
              </w:rPr>
            </w:pPr>
            <w:r>
              <w:rPr>
                <w:rFonts w:eastAsia="Segoe UI" w:cstheme="minorHAnsi"/>
                <w:color w:val="323E4F" w:themeColor="text2" w:themeShade="BF"/>
                <w:sz w:val="24"/>
                <w:szCs w:val="24"/>
                <w:lang w:eastAsia="en-AU"/>
              </w:rPr>
              <w:t>Greater than</w:t>
            </w:r>
            <w:r w:rsidR="00FB499E" w:rsidRPr="00260C1D">
              <w:rPr>
                <w:rFonts w:cstheme="minorHAnsi"/>
              </w:rPr>
              <w:t xml:space="preserve"> </w:t>
            </w:r>
            <w:r w:rsidR="00C74B25" w:rsidRPr="00C74B25">
              <w:rPr>
                <w:rFonts w:eastAsia="Segoe UI" w:cstheme="minorHAnsi"/>
                <w:color w:val="323E4F" w:themeColor="text2" w:themeShade="BF"/>
                <w:sz w:val="24"/>
                <w:szCs w:val="24"/>
                <w:lang w:eastAsia="en-AU"/>
              </w:rPr>
              <w:t>$9,572,09</w:t>
            </w:r>
            <w:r w:rsidR="00C74B25">
              <w:rPr>
                <w:rFonts w:eastAsia="Segoe UI" w:cstheme="minorHAnsi"/>
                <w:color w:val="323E4F" w:themeColor="text2" w:themeShade="BF"/>
                <w:sz w:val="24"/>
                <w:szCs w:val="24"/>
                <w:lang w:eastAsia="en-AU"/>
              </w:rPr>
              <w:t>9</w:t>
            </w:r>
          </w:p>
        </w:tc>
        <w:tc>
          <w:tcPr>
            <w:tcW w:w="2541" w:type="pct"/>
          </w:tcPr>
          <w:p w14:paraId="4FAABEB1" w14:textId="4C7B0D81" w:rsidR="00FB499E" w:rsidRPr="00260C1D" w:rsidRDefault="002A5287" w:rsidP="00B148A2">
            <w:pPr>
              <w:spacing w:after="0" w:line="360" w:lineRule="atLeast"/>
              <w:rPr>
                <w:rFonts w:eastAsia="Segoe UI" w:cstheme="minorHAnsi"/>
                <w:color w:val="323E4F" w:themeColor="text2" w:themeShade="BF"/>
                <w:sz w:val="24"/>
                <w:szCs w:val="24"/>
                <w:lang w:eastAsia="en-AU"/>
              </w:rPr>
            </w:pPr>
            <w:r w:rsidRPr="002A5287">
              <w:rPr>
                <w:rFonts w:eastAsia="Segoe UI" w:cstheme="minorHAnsi"/>
                <w:color w:val="323E4F" w:themeColor="text2" w:themeShade="BF"/>
                <w:sz w:val="24"/>
                <w:szCs w:val="24"/>
                <w:lang w:eastAsia="en-AU"/>
              </w:rPr>
              <w:t>127,338</w:t>
            </w:r>
          </w:p>
        </w:tc>
      </w:tr>
    </w:tbl>
    <w:p w14:paraId="768BF504" w14:textId="7557C49D" w:rsidR="009753DC" w:rsidRPr="00260C1D" w:rsidRDefault="009753DC" w:rsidP="00E14875">
      <w:pPr>
        <w:spacing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Note: </w:t>
      </w:r>
      <w:r w:rsidRPr="00260C1D">
        <w:rPr>
          <w:rFonts w:eastAsia="Segoe UI" w:cstheme="minorHAnsi"/>
          <w:color w:val="011A3C"/>
          <w:sz w:val="24"/>
          <w:szCs w:val="24"/>
          <w:lang w:val="en" w:eastAsia="en-AU"/>
        </w:rPr>
        <w:t xml:space="preserve">PCB ranges for allocating this allowance will be done during the </w:t>
      </w:r>
      <w:r w:rsidR="001D10A6">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onfirmed and </w:t>
      </w:r>
      <w:r w:rsidR="001D10A6">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 xml:space="preserve">evised budget cycles. PCB Ranges are outlined at </w:t>
      </w:r>
      <w:hyperlink r:id="rId136" w:history="1">
        <w:r w:rsidRPr="00B148A2">
          <w:rPr>
            <w:color w:val="2E74B5" w:themeColor="accent5" w:themeShade="BF"/>
            <w:sz w:val="24"/>
            <w:u w:val="single"/>
            <w:lang w:val="en"/>
          </w:rPr>
          <w:t>Career Structure — Teaching Service</w:t>
        </w:r>
      </w:hyperlink>
      <w:r w:rsidRPr="00B148A2">
        <w:rPr>
          <w:color w:val="2E74B5" w:themeColor="accent5" w:themeShade="BF"/>
          <w:sz w:val="24"/>
          <w:u w:val="single"/>
          <w:lang w:val="en"/>
        </w:rPr>
        <w:t>.</w:t>
      </w:r>
    </w:p>
    <w:p w14:paraId="2AC8AE6E" w14:textId="77777777" w:rsidR="00D63B4D" w:rsidRPr="00B148A2" w:rsidRDefault="00D63B4D" w:rsidP="00614B09">
      <w:pPr>
        <w:spacing w:after="100" w:afterAutospacing="1" w:line="360" w:lineRule="atLeast"/>
        <w:rPr>
          <w:color w:val="011A3C"/>
          <w:sz w:val="14"/>
          <w:lang w:val="en"/>
        </w:rPr>
      </w:pPr>
      <w:r w:rsidRPr="00B148A2">
        <w:rPr>
          <w:color w:val="011A3C"/>
          <w:sz w:val="18"/>
          <w:lang w:val="en"/>
        </w:rPr>
        <w:t>*T</w:t>
      </w:r>
      <w:r w:rsidRPr="00B148A2">
        <w:rPr>
          <w:color w:val="011A3C"/>
          <w:sz w:val="16"/>
          <w:lang w:val="en"/>
        </w:rPr>
        <w:t xml:space="preserve">he following special schools are eligible for this allowance: </w:t>
      </w:r>
      <w:proofErr w:type="spellStart"/>
      <w:r w:rsidRPr="00B148A2">
        <w:rPr>
          <w:color w:val="011A3C"/>
          <w:sz w:val="16"/>
          <w:lang w:val="en"/>
        </w:rPr>
        <w:t>Yarra</w:t>
      </w:r>
      <w:proofErr w:type="spellEnd"/>
      <w:r w:rsidRPr="00B148A2">
        <w:rPr>
          <w:color w:val="011A3C"/>
          <w:sz w:val="16"/>
          <w:lang w:val="en"/>
        </w:rPr>
        <w:t xml:space="preserve"> Me School, The Austin Scho</w:t>
      </w:r>
      <w:bookmarkEnd w:id="162"/>
      <w:r w:rsidRPr="00B148A2">
        <w:rPr>
          <w:color w:val="011A3C"/>
          <w:sz w:val="16"/>
          <w:lang w:val="en"/>
        </w:rPr>
        <w:t>ol, Travancore School and Avenues Education.</w:t>
      </w:r>
    </w:p>
    <w:p w14:paraId="72439841" w14:textId="77777777" w:rsidR="009753DC" w:rsidRPr="00260C1D" w:rsidRDefault="009753DC" w:rsidP="009753DC">
      <w:pPr>
        <w:rPr>
          <w:rFonts w:cstheme="minorHAnsi"/>
        </w:rPr>
      </w:pPr>
      <w:r w:rsidRPr="00260C1D">
        <w:rPr>
          <w:rFonts w:cstheme="minorHAnsi"/>
        </w:rPr>
        <w:br w:type="page"/>
      </w:r>
    </w:p>
    <w:p w14:paraId="2634F4EB" w14:textId="1B0ECECB" w:rsidR="009753DC" w:rsidRPr="00260C1D" w:rsidRDefault="009753DC" w:rsidP="00532A33">
      <w:pPr>
        <w:pStyle w:val="Heading2"/>
      </w:pPr>
      <w:bookmarkStart w:id="163" w:name="_Toc141965266"/>
      <w:bookmarkStart w:id="164" w:name="_Toc145339596"/>
      <w:bookmarkStart w:id="165" w:name="_Toc153791919"/>
      <w:bookmarkStart w:id="166" w:name="_Hlk131423344"/>
      <w:r w:rsidRPr="00260C1D">
        <w:lastRenderedPageBreak/>
        <w:t xml:space="preserve">Location Index </w:t>
      </w:r>
      <w:r w:rsidR="00054BC7">
        <w:t>F</w:t>
      </w:r>
      <w:r w:rsidRPr="00260C1D">
        <w:t>unding (Reference 39)</w:t>
      </w:r>
      <w:bookmarkEnd w:id="163"/>
      <w:bookmarkEnd w:id="164"/>
      <w:bookmarkEnd w:id="165"/>
    </w:p>
    <w:bookmarkEnd w:id="166"/>
    <w:p w14:paraId="65C30E9A" w14:textId="77777777" w:rsidR="003B4C36" w:rsidRPr="00260C1D" w:rsidRDefault="003B4C36" w:rsidP="003B4C36">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purpose of this funding line is to offset the costs of non-teaching services in rural schools by supplementing the added costs that rural schools incur for goods and services associated with freight and communications.</w:t>
      </w:r>
    </w:p>
    <w:p w14:paraId="23DB21DA" w14:textId="1AD5EAA7" w:rsidR="00A12061" w:rsidRPr="009B4DE1" w:rsidRDefault="003B4C36" w:rsidP="00833928">
      <w:pPr>
        <w:rPr>
          <w:rFonts w:eastAsia="Segoe UI" w:cstheme="minorHAnsi"/>
          <w:color w:val="011A3C"/>
          <w:sz w:val="24"/>
          <w:szCs w:val="24"/>
          <w:lang w:val="en" w:eastAsia="en-AU"/>
        </w:rPr>
      </w:pPr>
      <w:r w:rsidRPr="009B4DE1">
        <w:rPr>
          <w:rFonts w:eastAsia="Segoe UI" w:cstheme="minorHAnsi"/>
          <w:color w:val="011A3C"/>
          <w:sz w:val="24"/>
          <w:szCs w:val="24"/>
          <w:lang w:val="en" w:eastAsia="en-AU"/>
        </w:rPr>
        <w:t>Funding is provided to schools with campuses meeting the eligibility criteria. Allocations comprise a base component and a per student component, which varies based on the campus’</w:t>
      </w:r>
      <w:r w:rsidR="00054BC7" w:rsidRPr="009B4DE1">
        <w:rPr>
          <w:rFonts w:eastAsia="Segoe UI" w:cstheme="minorHAnsi"/>
          <w:color w:val="011A3C"/>
          <w:sz w:val="24"/>
          <w:szCs w:val="24"/>
          <w:lang w:val="en" w:eastAsia="en-AU"/>
        </w:rPr>
        <w:t>s</w:t>
      </w:r>
      <w:r w:rsidRPr="009B4DE1">
        <w:rPr>
          <w:rFonts w:eastAsia="Segoe UI" w:cstheme="minorHAnsi"/>
          <w:color w:val="011A3C"/>
          <w:sz w:val="24"/>
          <w:szCs w:val="24"/>
          <w:lang w:val="en" w:eastAsia="en-AU"/>
        </w:rPr>
        <w:t xml:space="preserve"> Location Index.</w:t>
      </w:r>
    </w:p>
    <w:p w14:paraId="3548090E" w14:textId="239846A6" w:rsidR="00735FF8" w:rsidRPr="00260C1D" w:rsidRDefault="00735FF8" w:rsidP="00735FF8">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57CF45DD" w14:textId="5EBEC7B9" w:rsidR="004C318F" w:rsidRPr="00950CBB" w:rsidRDefault="00131933" w:rsidP="00950CBB">
      <w:pPr>
        <w:rPr>
          <w:lang w:val="en"/>
        </w:rPr>
      </w:pPr>
      <w:r w:rsidRPr="00AB7A20">
        <w:rPr>
          <w:rFonts w:eastAsia="Segoe UI" w:cstheme="minorHAnsi"/>
          <w:color w:val="011A3C"/>
          <w:sz w:val="24"/>
          <w:szCs w:val="24"/>
          <w:lang w:val="en" w:eastAsia="en-AU"/>
        </w:rPr>
        <w:t>For schools to be eligible for L</w:t>
      </w:r>
      <w:r w:rsidR="00AD0BF9">
        <w:rPr>
          <w:rFonts w:eastAsia="Segoe UI" w:cstheme="minorHAnsi"/>
          <w:color w:val="011A3C"/>
          <w:sz w:val="24"/>
          <w:szCs w:val="24"/>
          <w:lang w:val="en" w:eastAsia="en-AU"/>
        </w:rPr>
        <w:t xml:space="preserve">ocation </w:t>
      </w:r>
      <w:r w:rsidRPr="00AB7A20">
        <w:rPr>
          <w:rFonts w:eastAsia="Segoe UI" w:cstheme="minorHAnsi"/>
          <w:color w:val="011A3C"/>
          <w:sz w:val="24"/>
          <w:szCs w:val="24"/>
          <w:lang w:val="en" w:eastAsia="en-AU"/>
        </w:rPr>
        <w:t>I</w:t>
      </w:r>
      <w:r w:rsidR="00AD0BF9">
        <w:rPr>
          <w:rFonts w:eastAsia="Segoe UI" w:cstheme="minorHAnsi"/>
          <w:color w:val="011A3C"/>
          <w:sz w:val="24"/>
          <w:szCs w:val="24"/>
          <w:lang w:val="en" w:eastAsia="en-AU"/>
        </w:rPr>
        <w:t xml:space="preserve">ndex </w:t>
      </w:r>
      <w:r w:rsidRPr="00AB7A20">
        <w:rPr>
          <w:rFonts w:eastAsia="Segoe UI" w:cstheme="minorHAnsi"/>
          <w:color w:val="011A3C"/>
          <w:sz w:val="24"/>
          <w:szCs w:val="24"/>
          <w:lang w:val="en" w:eastAsia="en-AU"/>
        </w:rPr>
        <w:t>F</w:t>
      </w:r>
      <w:r w:rsidR="00AD0BF9">
        <w:rPr>
          <w:rFonts w:eastAsia="Segoe UI" w:cstheme="minorHAnsi"/>
          <w:color w:val="011A3C"/>
          <w:sz w:val="24"/>
          <w:szCs w:val="24"/>
          <w:lang w:val="en" w:eastAsia="en-AU"/>
        </w:rPr>
        <w:t>unding (</w:t>
      </w:r>
      <w:r w:rsidR="00497CDF">
        <w:rPr>
          <w:rFonts w:eastAsia="Segoe UI" w:cstheme="minorHAnsi"/>
          <w:color w:val="011A3C"/>
          <w:sz w:val="24"/>
          <w:szCs w:val="24"/>
          <w:lang w:val="en" w:eastAsia="en-AU"/>
        </w:rPr>
        <w:t>LIF)</w:t>
      </w:r>
      <w:r w:rsidRPr="00AB7A20">
        <w:rPr>
          <w:rFonts w:eastAsia="Segoe UI" w:cstheme="minorHAnsi"/>
          <w:color w:val="011A3C"/>
          <w:sz w:val="24"/>
          <w:szCs w:val="24"/>
          <w:lang w:val="en" w:eastAsia="en-AU"/>
        </w:rPr>
        <w:t xml:space="preserve"> funding, </w:t>
      </w:r>
      <w:r w:rsidR="00F222D6" w:rsidRPr="00AB7A20">
        <w:rPr>
          <w:rFonts w:eastAsia="Segoe UI" w:cstheme="minorHAnsi"/>
          <w:color w:val="011A3C"/>
          <w:sz w:val="24"/>
          <w:szCs w:val="24"/>
          <w:lang w:val="en" w:eastAsia="en-AU"/>
        </w:rPr>
        <w:t>the location of the school</w:t>
      </w:r>
      <w:r w:rsidR="004C318F" w:rsidRPr="00AB7A20">
        <w:rPr>
          <w:rFonts w:eastAsia="Segoe UI" w:cstheme="minorHAnsi"/>
          <w:color w:val="011A3C"/>
          <w:sz w:val="24"/>
          <w:szCs w:val="24"/>
          <w:lang w:val="en" w:eastAsia="en-AU"/>
        </w:rPr>
        <w:t xml:space="preserve"> must be </w:t>
      </w:r>
      <w:r w:rsidR="00EE4635" w:rsidRPr="00AB7A20">
        <w:rPr>
          <w:rFonts w:eastAsia="Segoe UI" w:cstheme="minorHAnsi"/>
          <w:color w:val="011A3C"/>
          <w:sz w:val="24"/>
          <w:szCs w:val="24"/>
          <w:lang w:val="en" w:eastAsia="en-AU"/>
        </w:rPr>
        <w:t>o</w:t>
      </w:r>
      <w:r w:rsidR="00F222D6" w:rsidRPr="00AB7A20">
        <w:rPr>
          <w:rFonts w:eastAsia="Segoe UI" w:cstheme="minorHAnsi"/>
          <w:color w:val="011A3C"/>
          <w:sz w:val="24"/>
          <w:szCs w:val="24"/>
          <w:lang w:val="en" w:eastAsia="en-AU"/>
        </w:rPr>
        <w:t>utside the ‘Major Cities of Australia’ Remoteness Area category, as defined by the Australian Bureau of Statistics (ABS), with reference to the 2016 Accessibility/Remoteness Index of Australia (ARIA)</w:t>
      </w:r>
      <w:r w:rsidR="0066694B">
        <w:rPr>
          <w:rFonts w:eastAsia="Segoe UI" w:cstheme="minorHAnsi"/>
          <w:color w:val="011A3C"/>
          <w:sz w:val="24"/>
          <w:szCs w:val="24"/>
          <w:lang w:val="en" w:eastAsia="en-AU"/>
        </w:rPr>
        <w:t>. This includes</w:t>
      </w:r>
      <w:r w:rsidR="00F222D6" w:rsidRPr="00AB7A20">
        <w:rPr>
          <w:rFonts w:eastAsia="Segoe UI" w:cstheme="minorHAnsi"/>
          <w:color w:val="011A3C"/>
          <w:sz w:val="24"/>
          <w:szCs w:val="24"/>
          <w:lang w:val="en" w:eastAsia="en-AU"/>
        </w:rPr>
        <w:t>:</w:t>
      </w:r>
    </w:p>
    <w:p w14:paraId="31961DAF" w14:textId="77777777" w:rsidR="00274784" w:rsidRPr="00274784" w:rsidRDefault="00274784" w:rsidP="00AB7A20">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74784">
        <w:rPr>
          <w:rFonts w:eastAsia="Segoe UI" w:cstheme="minorHAnsi"/>
          <w:color w:val="011A3C"/>
          <w:sz w:val="24"/>
          <w:szCs w:val="24"/>
          <w:lang w:val="en" w:eastAsia="en-AU"/>
        </w:rPr>
        <w:t>Inner Regional Australia</w:t>
      </w:r>
    </w:p>
    <w:p w14:paraId="66FD9511" w14:textId="77777777" w:rsidR="00274784" w:rsidRPr="00274784" w:rsidRDefault="00274784" w:rsidP="00AB7A20">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74784">
        <w:rPr>
          <w:rFonts w:eastAsia="Segoe UI" w:cstheme="minorHAnsi"/>
          <w:color w:val="011A3C"/>
          <w:sz w:val="24"/>
          <w:szCs w:val="24"/>
          <w:lang w:val="en" w:eastAsia="en-AU"/>
        </w:rPr>
        <w:t>Outer Regional Australia</w:t>
      </w:r>
    </w:p>
    <w:p w14:paraId="4708EABC" w14:textId="595FBDF2" w:rsidR="00274784" w:rsidRDefault="00274784" w:rsidP="0027478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00274784">
        <w:rPr>
          <w:rFonts w:eastAsia="Segoe UI" w:cstheme="minorHAnsi"/>
          <w:color w:val="011A3C"/>
          <w:sz w:val="24"/>
          <w:szCs w:val="24"/>
          <w:lang w:val="en" w:eastAsia="en-AU"/>
        </w:rPr>
        <w:t>Remote Australia</w:t>
      </w:r>
    </w:p>
    <w:p w14:paraId="4906DA3C" w14:textId="704CAFE9" w:rsidR="00274784" w:rsidRPr="00AB7A20" w:rsidRDefault="00274784" w:rsidP="00274784">
      <w:pPr>
        <w:spacing w:before="100" w:beforeAutospacing="1" w:after="100" w:afterAutospacing="1" w:line="360" w:lineRule="atLeast"/>
        <w:rPr>
          <w:rFonts w:eastAsia="Segoe UI" w:cstheme="minorHAnsi"/>
          <w:color w:val="011A3C"/>
          <w:sz w:val="24"/>
          <w:szCs w:val="24"/>
          <w:lang w:val="en" w:eastAsia="en-AU"/>
        </w:rPr>
      </w:pPr>
      <w:r w:rsidRPr="00274784">
        <w:rPr>
          <w:rFonts w:eastAsia="Segoe UI" w:cstheme="minorHAnsi"/>
          <w:color w:val="011A3C"/>
          <w:sz w:val="24"/>
          <w:szCs w:val="24"/>
          <w:lang w:val="en" w:eastAsia="en-AU"/>
        </w:rPr>
        <w:t>All campuses are eligible to receive LIF funding, except</w:t>
      </w:r>
      <w:r w:rsidR="0066694B">
        <w:rPr>
          <w:rFonts w:eastAsia="Segoe UI" w:cstheme="minorHAnsi"/>
          <w:color w:val="011A3C"/>
          <w:sz w:val="24"/>
          <w:szCs w:val="24"/>
          <w:lang w:val="en" w:eastAsia="en-AU"/>
        </w:rPr>
        <w:t xml:space="preserve"> for</w:t>
      </w:r>
      <w:r w:rsidRPr="00274784">
        <w:rPr>
          <w:rFonts w:eastAsia="Segoe UI" w:cstheme="minorHAnsi"/>
          <w:color w:val="011A3C"/>
          <w:sz w:val="24"/>
          <w:szCs w:val="24"/>
          <w:lang w:val="en" w:eastAsia="en-AU"/>
        </w:rPr>
        <w:t xml:space="preserve"> Parkville College.</w:t>
      </w:r>
    </w:p>
    <w:p w14:paraId="2A215A1B" w14:textId="0FC11351" w:rsidR="00735FF8" w:rsidRPr="00260C1D" w:rsidRDefault="00735FF8" w:rsidP="00735FF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calculated at the Indicative, Confirmed and Revised cycles</w:t>
      </w:r>
      <w:r w:rsidR="00CC3B25">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CC3B25">
        <w:rPr>
          <w:rFonts w:eastAsia="Segoe UI" w:cstheme="minorHAnsi"/>
          <w:color w:val="011A3C"/>
          <w:sz w:val="24"/>
          <w:szCs w:val="24"/>
          <w:lang w:val="en" w:eastAsia="en-AU"/>
        </w:rPr>
        <w:t>F</w:t>
      </w:r>
      <w:r w:rsidRPr="00260C1D">
        <w:rPr>
          <w:rFonts w:eastAsia="Segoe UI" w:cstheme="minorHAnsi"/>
          <w:color w:val="011A3C"/>
          <w:sz w:val="24"/>
          <w:szCs w:val="24"/>
          <w:lang w:val="en" w:eastAsia="en-AU"/>
        </w:rPr>
        <w:t>unding is allocated through cash funding.</w:t>
      </w:r>
    </w:p>
    <w:p w14:paraId="2C39E050" w14:textId="5C8A8FB4" w:rsidR="009753DC" w:rsidRPr="00260C1D" w:rsidRDefault="009753DC" w:rsidP="009753DC">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4DB60608" w14:textId="77777777" w:rsidR="006A37EC" w:rsidRPr="00260C1D" w:rsidRDefault="006A37EC" w:rsidP="006A37E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are funded according to a Location Index. This is comprised of three components:</w:t>
      </w:r>
    </w:p>
    <w:p w14:paraId="5B123CD8" w14:textId="757F05F2" w:rsidR="006A37EC" w:rsidRPr="00260C1D" w:rsidRDefault="006A37EC"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Distance from Melbourne (as measure from GPO)</w:t>
      </w:r>
    </w:p>
    <w:p w14:paraId="65B4FF6F" w14:textId="0EF68C2A" w:rsidR="006A37EC" w:rsidRPr="00260C1D" w:rsidRDefault="006A37EC"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 xml:space="preserve">Distance from nearest provincial </w:t>
      </w:r>
      <w:proofErr w:type="spellStart"/>
      <w:r w:rsidRPr="738305D2">
        <w:rPr>
          <w:rFonts w:eastAsia="Segoe UI"/>
          <w:color w:val="011A3C"/>
          <w:sz w:val="24"/>
          <w:szCs w:val="24"/>
          <w:lang w:val="en" w:eastAsia="en-AU"/>
        </w:rPr>
        <w:t>centre</w:t>
      </w:r>
      <w:proofErr w:type="spellEnd"/>
      <w:r w:rsidRPr="738305D2">
        <w:rPr>
          <w:rFonts w:eastAsia="Segoe UI"/>
          <w:color w:val="011A3C"/>
          <w:sz w:val="24"/>
          <w:szCs w:val="24"/>
          <w:lang w:val="en" w:eastAsia="en-AU"/>
        </w:rPr>
        <w:t xml:space="preserve"> with a population of more than 20,000 people (as measured according to UCL 2016)</w:t>
      </w:r>
    </w:p>
    <w:p w14:paraId="6BB844C6" w14:textId="7A2961AF" w:rsidR="006A37EC" w:rsidRPr="00260C1D" w:rsidRDefault="006A37EC"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 xml:space="preserve">The nearest primary or secondary campus, as appropriate, above the rural school size adjustment factor threshold. </w:t>
      </w:r>
    </w:p>
    <w:p w14:paraId="28D0ABF7" w14:textId="77777777" w:rsidR="006A37EC" w:rsidRPr="00260C1D" w:rsidRDefault="006A37EC" w:rsidP="006A37E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Note: Nearest campus required to have some of same enrolment type and have enrolments above RSAF thresholds.</w:t>
      </w:r>
    </w:p>
    <w:p w14:paraId="0FD5F93A" w14:textId="20956B77" w:rsidR="006A37EC" w:rsidRPr="00260C1D" w:rsidRDefault="006A37EC" w:rsidP="006A37E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Each of these three factors are given an equal weighting. The Location Index is then constructed relative to the campus in Victoria with highest total of distances. </w:t>
      </w:r>
    </w:p>
    <w:p w14:paraId="4DA300E2" w14:textId="77777777" w:rsidR="006A37EC" w:rsidRPr="00260C1D" w:rsidRDefault="006A37EC" w:rsidP="006A37E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Each eligible school campus receives a base allocation plus a per student allocation. </w:t>
      </w:r>
    </w:p>
    <w:p w14:paraId="38E66C59" w14:textId="38C921E7" w:rsidR="006A37EC" w:rsidRPr="00260C1D" w:rsidRDefault="006A37EC" w:rsidP="006A37EC">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 xml:space="preserve">Primary </w:t>
      </w:r>
      <w:r w:rsidR="004D5011">
        <w:rPr>
          <w:rFonts w:eastAsia="Segoe UI" w:cstheme="minorHAnsi"/>
          <w:b/>
          <w:color w:val="011A3C"/>
          <w:sz w:val="24"/>
          <w:szCs w:val="24"/>
          <w:lang w:val="en" w:eastAsia="en-AU"/>
        </w:rPr>
        <w:t>e</w:t>
      </w:r>
      <w:r w:rsidRPr="00260C1D">
        <w:rPr>
          <w:rFonts w:eastAsia="Segoe UI" w:cstheme="minorHAnsi"/>
          <w:b/>
          <w:color w:val="011A3C"/>
          <w:sz w:val="24"/>
          <w:szCs w:val="24"/>
          <w:lang w:val="en" w:eastAsia="en-AU"/>
        </w:rPr>
        <w:t xml:space="preserve">nrolment </w:t>
      </w:r>
      <w:r w:rsidR="004D5011">
        <w:rPr>
          <w:rFonts w:eastAsia="Segoe UI" w:cstheme="minorHAnsi"/>
          <w:b/>
          <w:color w:val="011A3C"/>
          <w:sz w:val="24"/>
          <w:szCs w:val="24"/>
          <w:lang w:val="en" w:eastAsia="en-AU"/>
        </w:rPr>
        <w:t>a</w:t>
      </w:r>
      <w:r w:rsidRPr="00260C1D">
        <w:rPr>
          <w:rFonts w:eastAsia="Segoe UI" w:cstheme="minorHAnsi"/>
          <w:b/>
          <w:color w:val="011A3C"/>
          <w:sz w:val="24"/>
          <w:szCs w:val="24"/>
          <w:lang w:val="en" w:eastAsia="en-AU"/>
        </w:rPr>
        <w:t>llocation</w:t>
      </w:r>
    </w:p>
    <w:p w14:paraId="7AD772D6" w14:textId="7F758A7F" w:rsidR="006A37EC" w:rsidRPr="00614B09" w:rsidRDefault="006A37EC" w:rsidP="00141B7F">
      <w:pPr>
        <w:rPr>
          <w:rFonts w:cstheme="minorHAnsi"/>
          <w:color w:val="323E4F" w:themeColor="text2" w:themeShade="BF"/>
          <w:sz w:val="24"/>
          <w:szCs w:val="24"/>
          <w:lang w:val="en" w:eastAsia="en-AU"/>
        </w:rPr>
      </w:pPr>
      <w:r w:rsidRPr="00614B09">
        <w:rPr>
          <w:rFonts w:cstheme="minorHAnsi"/>
          <w:color w:val="323E4F" w:themeColor="text2" w:themeShade="BF"/>
          <w:sz w:val="24"/>
          <w:szCs w:val="24"/>
          <w:lang w:val="en" w:eastAsia="en-AU"/>
        </w:rPr>
        <w:lastRenderedPageBreak/>
        <w:t xml:space="preserve">Allocation = Base + (Location Index × [Primary </w:t>
      </w:r>
      <w:r w:rsidR="004D5011">
        <w:rPr>
          <w:rFonts w:cstheme="minorHAnsi"/>
          <w:color w:val="323E4F" w:themeColor="text2" w:themeShade="BF"/>
          <w:sz w:val="24"/>
          <w:szCs w:val="24"/>
          <w:lang w:val="en" w:eastAsia="en-AU"/>
        </w:rPr>
        <w:t>s</w:t>
      </w:r>
      <w:r w:rsidRPr="00614B09">
        <w:rPr>
          <w:rFonts w:cstheme="minorHAnsi"/>
          <w:color w:val="323E4F" w:themeColor="text2" w:themeShade="BF"/>
          <w:sz w:val="24"/>
          <w:szCs w:val="24"/>
          <w:lang w:val="en" w:eastAsia="en-AU"/>
        </w:rPr>
        <w:t xml:space="preserve">tudent </w:t>
      </w:r>
      <w:r w:rsidR="004D5011">
        <w:rPr>
          <w:rFonts w:cstheme="minorHAnsi"/>
          <w:color w:val="323E4F" w:themeColor="text2" w:themeShade="BF"/>
          <w:sz w:val="24"/>
          <w:szCs w:val="24"/>
          <w:lang w:val="en" w:eastAsia="en-AU"/>
        </w:rPr>
        <w:t>e</w:t>
      </w:r>
      <w:r w:rsidRPr="00614B09">
        <w:rPr>
          <w:rFonts w:cstheme="minorHAnsi"/>
          <w:color w:val="323E4F" w:themeColor="text2" w:themeShade="BF"/>
          <w:sz w:val="24"/>
          <w:szCs w:val="24"/>
          <w:lang w:val="en" w:eastAsia="en-AU"/>
        </w:rPr>
        <w:t xml:space="preserve">nrolment] × [Per student </w:t>
      </w:r>
      <w:r w:rsidR="004D5011">
        <w:rPr>
          <w:rFonts w:cstheme="minorHAnsi"/>
          <w:color w:val="323E4F" w:themeColor="text2" w:themeShade="BF"/>
          <w:sz w:val="24"/>
          <w:szCs w:val="24"/>
          <w:lang w:val="en" w:eastAsia="en-AU"/>
        </w:rPr>
        <w:t>r</w:t>
      </w:r>
      <w:r w:rsidRPr="00614B09">
        <w:rPr>
          <w:rFonts w:cstheme="minorHAnsi"/>
          <w:color w:val="323E4F" w:themeColor="text2" w:themeShade="BF"/>
          <w:sz w:val="24"/>
          <w:szCs w:val="24"/>
          <w:lang w:val="en" w:eastAsia="en-AU"/>
        </w:rPr>
        <w:t>ate]).</w:t>
      </w:r>
    </w:p>
    <w:p w14:paraId="3CDB93E7" w14:textId="77777777" w:rsidR="006A37EC" w:rsidRPr="00614B09" w:rsidRDefault="006A37EC" w:rsidP="00141B7F">
      <w:pPr>
        <w:rPr>
          <w:rFonts w:cstheme="minorHAnsi"/>
          <w:color w:val="323E4F" w:themeColor="text2" w:themeShade="BF"/>
          <w:sz w:val="24"/>
          <w:szCs w:val="24"/>
          <w:lang w:val="en" w:eastAsia="en-AU"/>
        </w:rPr>
      </w:pPr>
      <w:r w:rsidRPr="00614B09">
        <w:rPr>
          <w:rFonts w:cstheme="minorHAnsi"/>
          <w:color w:val="323E4F" w:themeColor="text2" w:themeShade="BF"/>
          <w:sz w:val="24"/>
          <w:szCs w:val="24"/>
          <w:lang w:val="en" w:eastAsia="en-AU"/>
        </w:rPr>
        <w:t>Note: Enrolments are capped at 300 primary students.</w:t>
      </w:r>
    </w:p>
    <w:p w14:paraId="18C0217C" w14:textId="08FDE76D" w:rsidR="006A37EC" w:rsidRPr="00260C1D" w:rsidRDefault="006A37EC" w:rsidP="006A37EC">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 xml:space="preserve">Secondary </w:t>
      </w:r>
      <w:r w:rsidR="004D5011">
        <w:rPr>
          <w:rFonts w:eastAsia="Segoe UI" w:cstheme="minorHAnsi"/>
          <w:b/>
          <w:color w:val="011A3C"/>
          <w:sz w:val="24"/>
          <w:szCs w:val="24"/>
          <w:lang w:val="en" w:eastAsia="en-AU"/>
        </w:rPr>
        <w:t>e</w:t>
      </w:r>
      <w:r w:rsidRPr="00260C1D">
        <w:rPr>
          <w:rFonts w:eastAsia="Segoe UI" w:cstheme="minorHAnsi"/>
          <w:b/>
          <w:color w:val="011A3C"/>
          <w:sz w:val="24"/>
          <w:szCs w:val="24"/>
          <w:lang w:val="en" w:eastAsia="en-AU"/>
        </w:rPr>
        <w:t xml:space="preserve">nrolment </w:t>
      </w:r>
      <w:r w:rsidR="004D5011">
        <w:rPr>
          <w:rFonts w:eastAsia="Segoe UI" w:cstheme="minorHAnsi"/>
          <w:b/>
          <w:color w:val="011A3C"/>
          <w:sz w:val="24"/>
          <w:szCs w:val="24"/>
          <w:lang w:val="en" w:eastAsia="en-AU"/>
        </w:rPr>
        <w:t>a</w:t>
      </w:r>
      <w:r w:rsidRPr="00260C1D">
        <w:rPr>
          <w:rFonts w:eastAsia="Segoe UI" w:cstheme="minorHAnsi"/>
          <w:b/>
          <w:color w:val="011A3C"/>
          <w:sz w:val="24"/>
          <w:szCs w:val="24"/>
          <w:lang w:val="en" w:eastAsia="en-AU"/>
        </w:rPr>
        <w:t>llocation</w:t>
      </w:r>
    </w:p>
    <w:p w14:paraId="1DD163DF" w14:textId="048D0E17" w:rsidR="006A37EC" w:rsidRPr="00614B09" w:rsidRDefault="006A37EC" w:rsidP="00141B7F">
      <w:pPr>
        <w:rPr>
          <w:rFonts w:cstheme="minorHAnsi"/>
          <w:color w:val="323E4F" w:themeColor="text2" w:themeShade="BF"/>
          <w:sz w:val="24"/>
          <w:szCs w:val="24"/>
          <w:lang w:val="en" w:eastAsia="en-AU"/>
        </w:rPr>
      </w:pPr>
      <w:r w:rsidRPr="00614B09">
        <w:rPr>
          <w:rFonts w:cstheme="minorHAnsi"/>
          <w:color w:val="323E4F" w:themeColor="text2" w:themeShade="BF"/>
          <w:sz w:val="24"/>
          <w:szCs w:val="24"/>
          <w:lang w:val="en" w:eastAsia="en-AU"/>
        </w:rPr>
        <w:t xml:space="preserve">Allocation = Base + (Location Index × [Secondary </w:t>
      </w:r>
      <w:r w:rsidR="004D5011">
        <w:rPr>
          <w:rFonts w:cstheme="minorHAnsi"/>
          <w:color w:val="323E4F" w:themeColor="text2" w:themeShade="BF"/>
          <w:sz w:val="24"/>
          <w:szCs w:val="24"/>
          <w:lang w:val="en" w:eastAsia="en-AU"/>
        </w:rPr>
        <w:t>s</w:t>
      </w:r>
      <w:r w:rsidRPr="00614B09">
        <w:rPr>
          <w:rFonts w:cstheme="minorHAnsi"/>
          <w:color w:val="323E4F" w:themeColor="text2" w:themeShade="BF"/>
          <w:sz w:val="24"/>
          <w:szCs w:val="24"/>
          <w:lang w:val="en" w:eastAsia="en-AU"/>
        </w:rPr>
        <w:t xml:space="preserve">tudent </w:t>
      </w:r>
      <w:r w:rsidR="004D5011">
        <w:rPr>
          <w:rFonts w:cstheme="minorHAnsi"/>
          <w:color w:val="323E4F" w:themeColor="text2" w:themeShade="BF"/>
          <w:sz w:val="24"/>
          <w:szCs w:val="24"/>
          <w:lang w:val="en" w:eastAsia="en-AU"/>
        </w:rPr>
        <w:t>e</w:t>
      </w:r>
      <w:r w:rsidRPr="00614B09">
        <w:rPr>
          <w:rFonts w:cstheme="minorHAnsi"/>
          <w:color w:val="323E4F" w:themeColor="text2" w:themeShade="BF"/>
          <w:sz w:val="24"/>
          <w:szCs w:val="24"/>
          <w:lang w:val="en" w:eastAsia="en-AU"/>
        </w:rPr>
        <w:t xml:space="preserve">nrolment] × [Per student </w:t>
      </w:r>
      <w:r w:rsidR="004D5011">
        <w:rPr>
          <w:rFonts w:cstheme="minorHAnsi"/>
          <w:color w:val="323E4F" w:themeColor="text2" w:themeShade="BF"/>
          <w:sz w:val="24"/>
          <w:szCs w:val="24"/>
          <w:lang w:val="en" w:eastAsia="en-AU"/>
        </w:rPr>
        <w:t>r</w:t>
      </w:r>
      <w:r w:rsidRPr="00614B09">
        <w:rPr>
          <w:rFonts w:cstheme="minorHAnsi"/>
          <w:color w:val="323E4F" w:themeColor="text2" w:themeShade="BF"/>
          <w:sz w:val="24"/>
          <w:szCs w:val="24"/>
          <w:lang w:val="en" w:eastAsia="en-AU"/>
        </w:rPr>
        <w:t>ate])</w:t>
      </w:r>
    </w:p>
    <w:p w14:paraId="185B0F6A" w14:textId="15DA5E2D" w:rsidR="001E0162" w:rsidRPr="00614B09" w:rsidRDefault="006A37EC" w:rsidP="00141B7F">
      <w:pPr>
        <w:rPr>
          <w:rFonts w:cstheme="minorHAnsi"/>
          <w:color w:val="323E4F" w:themeColor="text2" w:themeShade="BF"/>
          <w:sz w:val="24"/>
          <w:szCs w:val="24"/>
          <w:lang w:val="en" w:eastAsia="en-AU"/>
        </w:rPr>
      </w:pPr>
      <w:r w:rsidRPr="00614B09">
        <w:rPr>
          <w:rFonts w:cstheme="minorHAnsi"/>
          <w:color w:val="323E4F" w:themeColor="text2" w:themeShade="BF"/>
          <w:sz w:val="24"/>
          <w:szCs w:val="24"/>
          <w:lang w:val="en" w:eastAsia="en-AU"/>
        </w:rPr>
        <w:t xml:space="preserve">Note: Enrolments are capped at 500 secondary students. </w:t>
      </w:r>
    </w:p>
    <w:p w14:paraId="755B9127" w14:textId="45E6700D" w:rsidR="00BF0EE8" w:rsidRPr="00260C1D" w:rsidRDefault="00141B7F" w:rsidP="006A37E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Campuses</w:t>
      </w:r>
      <w:r w:rsidR="00BF0EE8" w:rsidRPr="00260C1D">
        <w:rPr>
          <w:rFonts w:eastAsia="Segoe UI" w:cstheme="minorHAnsi"/>
          <w:color w:val="011A3C"/>
          <w:sz w:val="24"/>
          <w:szCs w:val="24"/>
          <w:lang w:val="en" w:eastAsia="en-AU"/>
        </w:rPr>
        <w:t xml:space="preserve"> with Primary and Secondary </w:t>
      </w:r>
      <w:r w:rsidR="00B125AF" w:rsidRPr="00260C1D">
        <w:rPr>
          <w:rFonts w:eastAsia="Segoe UI" w:cstheme="minorHAnsi"/>
          <w:color w:val="011A3C"/>
          <w:sz w:val="24"/>
          <w:szCs w:val="24"/>
          <w:lang w:val="en" w:eastAsia="en-AU"/>
        </w:rPr>
        <w:t>enrolments</w:t>
      </w:r>
      <w:r w:rsidR="00BF0EE8" w:rsidRPr="00260C1D">
        <w:rPr>
          <w:rFonts w:eastAsia="Segoe UI" w:cstheme="minorHAnsi"/>
          <w:color w:val="011A3C"/>
          <w:sz w:val="24"/>
          <w:szCs w:val="24"/>
          <w:lang w:val="en" w:eastAsia="en-AU"/>
        </w:rPr>
        <w:t xml:space="preserve"> receive the Primary and Secondary allocation</w:t>
      </w:r>
      <w:r w:rsidR="00797B0A">
        <w:rPr>
          <w:rFonts w:eastAsia="Segoe UI" w:cstheme="minorHAnsi"/>
          <w:color w:val="011A3C"/>
          <w:sz w:val="24"/>
          <w:szCs w:val="24"/>
          <w:lang w:val="en" w:eastAsia="en-AU"/>
        </w:rPr>
        <w:t>s</w:t>
      </w:r>
      <w:r w:rsidR="00BF0EE8" w:rsidRPr="00260C1D">
        <w:rPr>
          <w:rFonts w:eastAsia="Segoe UI" w:cstheme="minorHAnsi"/>
          <w:color w:val="011A3C"/>
          <w:sz w:val="24"/>
          <w:szCs w:val="24"/>
          <w:lang w:val="en" w:eastAsia="en-AU"/>
        </w:rPr>
        <w:t>.</w:t>
      </w:r>
    </w:p>
    <w:p w14:paraId="0352D635" w14:textId="559AADC9" w:rsidR="009753DC" w:rsidRPr="00260C1D" w:rsidRDefault="009753DC" w:rsidP="00141B7F">
      <w:pPr>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Rates 202</w:t>
      </w:r>
      <w:r w:rsidR="00EC3F48">
        <w:rPr>
          <w:rFonts w:eastAsia="Segoe UI" w:cstheme="minorHAnsi"/>
          <w:b/>
          <w:color w:val="011A3C"/>
          <w:sz w:val="24"/>
          <w:szCs w:val="24"/>
          <w:lang w:val="en" w:eastAsia="en-AU"/>
        </w:rPr>
        <w:t>4</w:t>
      </w:r>
    </w:p>
    <w:p w14:paraId="2983D401" w14:textId="2A09D635" w:rsidR="00141B7F" w:rsidRPr="0082534A" w:rsidRDefault="009753DC"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Base</w:t>
      </w:r>
      <w:r w:rsidR="00550B04" w:rsidRPr="738305D2">
        <w:rPr>
          <w:rFonts w:eastAsia="Segoe UI"/>
          <w:color w:val="011A3C"/>
          <w:sz w:val="24"/>
          <w:szCs w:val="24"/>
          <w:lang w:val="en" w:eastAsia="en-AU"/>
        </w:rPr>
        <w:t xml:space="preserve">: </w:t>
      </w:r>
      <w:r w:rsidR="00C16EED" w:rsidRPr="738305D2">
        <w:rPr>
          <w:rFonts w:eastAsia="Segoe UI"/>
          <w:color w:val="011A3C"/>
          <w:sz w:val="24"/>
          <w:szCs w:val="24"/>
          <w:lang w:val="en" w:eastAsia="en-AU"/>
        </w:rPr>
        <w:t>$</w:t>
      </w:r>
      <w:r w:rsidR="00AC6120" w:rsidRPr="00AC6120">
        <w:rPr>
          <w:rFonts w:eastAsia="Segoe UI"/>
          <w:color w:val="011A3C"/>
          <w:sz w:val="24"/>
          <w:szCs w:val="24"/>
          <w:lang w:val="en" w:eastAsia="en-AU"/>
        </w:rPr>
        <w:t>701.68</w:t>
      </w:r>
    </w:p>
    <w:p w14:paraId="6E8A22CE" w14:textId="566B6F17" w:rsidR="009753DC" w:rsidRPr="0082534A" w:rsidRDefault="009753DC"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 xml:space="preserve">Per </w:t>
      </w:r>
      <w:r w:rsidR="00550B04" w:rsidRPr="738305D2">
        <w:rPr>
          <w:rFonts w:eastAsia="Segoe UI"/>
          <w:color w:val="011A3C"/>
          <w:sz w:val="24"/>
          <w:szCs w:val="24"/>
          <w:lang w:val="en" w:eastAsia="en-AU"/>
        </w:rPr>
        <w:t>s</w:t>
      </w:r>
      <w:r w:rsidRPr="738305D2">
        <w:rPr>
          <w:rFonts w:eastAsia="Segoe UI"/>
          <w:color w:val="011A3C"/>
          <w:sz w:val="24"/>
          <w:szCs w:val="24"/>
          <w:lang w:val="en" w:eastAsia="en-AU"/>
        </w:rPr>
        <w:t xml:space="preserve">tudent </w:t>
      </w:r>
      <w:r w:rsidR="00550B04" w:rsidRPr="738305D2">
        <w:rPr>
          <w:rFonts w:eastAsia="Segoe UI"/>
          <w:color w:val="011A3C"/>
          <w:sz w:val="24"/>
          <w:szCs w:val="24"/>
          <w:lang w:val="en" w:eastAsia="en-AU"/>
        </w:rPr>
        <w:t>r</w:t>
      </w:r>
      <w:r w:rsidRPr="738305D2">
        <w:rPr>
          <w:rFonts w:eastAsia="Segoe UI"/>
          <w:color w:val="011A3C"/>
          <w:sz w:val="24"/>
          <w:szCs w:val="24"/>
          <w:lang w:val="en" w:eastAsia="en-AU"/>
        </w:rPr>
        <w:t>ate</w:t>
      </w:r>
      <w:r w:rsidR="00550B04" w:rsidRPr="738305D2">
        <w:rPr>
          <w:rFonts w:eastAsia="Segoe UI"/>
          <w:color w:val="011A3C"/>
          <w:sz w:val="24"/>
          <w:szCs w:val="24"/>
          <w:lang w:val="en" w:eastAsia="en-AU"/>
        </w:rPr>
        <w:t>:</w:t>
      </w:r>
      <w:r w:rsidRPr="738305D2">
        <w:rPr>
          <w:rFonts w:eastAsia="Segoe UI"/>
          <w:color w:val="011A3C"/>
          <w:sz w:val="24"/>
          <w:szCs w:val="24"/>
          <w:lang w:val="en" w:eastAsia="en-AU"/>
        </w:rPr>
        <w:t xml:space="preserve"> </w:t>
      </w:r>
      <w:r w:rsidR="00C16EED" w:rsidRPr="738305D2">
        <w:rPr>
          <w:rFonts w:eastAsia="Segoe UI"/>
          <w:color w:val="011A3C"/>
          <w:sz w:val="24"/>
          <w:szCs w:val="24"/>
          <w:lang w:val="en" w:eastAsia="en-AU"/>
        </w:rPr>
        <w:t>$</w:t>
      </w:r>
      <w:r w:rsidR="00EC3F48" w:rsidRPr="00EC3F48">
        <w:rPr>
          <w:rFonts w:eastAsia="Segoe UI"/>
          <w:color w:val="011A3C"/>
          <w:sz w:val="24"/>
          <w:szCs w:val="24"/>
          <w:lang w:val="en" w:eastAsia="en-AU"/>
        </w:rPr>
        <w:t>111.05</w:t>
      </w:r>
    </w:p>
    <w:p w14:paraId="407C59FB" w14:textId="78FB35A0" w:rsidR="006A37EC" w:rsidRPr="00260C1D" w:rsidRDefault="002A62F7" w:rsidP="002A62F7">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O</w:t>
      </w:r>
      <w:r w:rsidR="006A37EC" w:rsidRPr="00260C1D">
        <w:rPr>
          <w:rFonts w:eastAsia="Segoe UI" w:cstheme="minorHAnsi"/>
          <w:b/>
          <w:color w:val="011A3C"/>
          <w:sz w:val="24"/>
          <w:szCs w:val="24"/>
          <w:lang w:val="en" w:eastAsia="en-AU"/>
        </w:rPr>
        <w:t>ther relevant information</w:t>
      </w:r>
      <w:r w:rsidRPr="00260C1D">
        <w:rPr>
          <w:rFonts w:eastAsia="Segoe UI" w:cstheme="minorHAnsi"/>
          <w:b/>
          <w:color w:val="011A3C"/>
          <w:sz w:val="24"/>
          <w:szCs w:val="24"/>
          <w:lang w:val="en" w:eastAsia="en-AU"/>
        </w:rPr>
        <w:t>:</w:t>
      </w:r>
    </w:p>
    <w:p w14:paraId="7D94CDE4" w14:textId="0D8E370C" w:rsidR="006A37EC" w:rsidRPr="00260C1D" w:rsidRDefault="006A37EC" w:rsidP="006A37EC">
      <w:pPr>
        <w:rPr>
          <w:rFonts w:eastAsia="Segoe UI" w:cstheme="minorHAnsi"/>
          <w:color w:val="011A3C"/>
          <w:sz w:val="24"/>
          <w:szCs w:val="24"/>
          <w:lang w:val="en" w:eastAsia="en-AU"/>
        </w:rPr>
      </w:pPr>
      <w:bookmarkStart w:id="167" w:name="_Hlk81832381"/>
      <w:r w:rsidRPr="00260C1D">
        <w:rPr>
          <w:rFonts w:eastAsia="Segoe UI" w:cstheme="minorHAnsi"/>
          <w:color w:val="011A3C"/>
          <w:sz w:val="24"/>
          <w:szCs w:val="24"/>
          <w:lang w:val="en" w:eastAsia="en-AU"/>
        </w:rPr>
        <w:t xml:space="preserve">It is intended that location measures will be updated with the release of new ABS data every 5 years. </w:t>
      </w:r>
    </w:p>
    <w:bookmarkEnd w:id="167"/>
    <w:p w14:paraId="65A382ED" w14:textId="77777777" w:rsidR="006A37EC" w:rsidRPr="00260C1D" w:rsidRDefault="006A37EC" w:rsidP="006A37EC">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All distances are measured via road.</w:t>
      </w:r>
    </w:p>
    <w:p w14:paraId="2CA0BBB7" w14:textId="3B392756" w:rsidR="006A37EC" w:rsidRPr="00260C1D" w:rsidRDefault="006A37EC" w:rsidP="006A37EC">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ARIA+ is a continuous index, which the ABS uses to define the Remoteness Area categories, including: Major Cities of Australia, Inner Regional Australia, Outer Regional Australia, Remote Australia and Very Remote Australia. These categories of remoteness are based on a measure of relative access to services. Further information can be found </w:t>
      </w:r>
      <w:r w:rsidR="005C7EF8">
        <w:rPr>
          <w:rFonts w:eastAsia="Segoe UI" w:cstheme="minorHAnsi"/>
          <w:color w:val="011A3C"/>
          <w:sz w:val="24"/>
          <w:szCs w:val="24"/>
          <w:lang w:val="en" w:eastAsia="en-AU"/>
        </w:rPr>
        <w:t xml:space="preserve">at </w:t>
      </w:r>
      <w:hyperlink r:id="rId137" w:history="1">
        <w:r w:rsidR="005C7EF8" w:rsidRPr="005C7EF8">
          <w:rPr>
            <w:rStyle w:val="Hyperlink"/>
            <w:rFonts w:eastAsia="Segoe UI" w:cstheme="minorHAnsi"/>
            <w:sz w:val="24"/>
            <w:szCs w:val="24"/>
            <w:lang w:val="en" w:eastAsia="en-AU"/>
          </w:rPr>
          <w:t>Defining Remoteness Areas</w:t>
        </w:r>
      </w:hyperlink>
      <w:r w:rsidRPr="00260C1D">
        <w:rPr>
          <w:rFonts w:eastAsia="Segoe UI" w:cstheme="minorHAnsi"/>
          <w:color w:val="011A3C"/>
          <w:sz w:val="24"/>
          <w:szCs w:val="24"/>
          <w:lang w:val="en" w:eastAsia="en-AU"/>
        </w:rPr>
        <w:t>.</w:t>
      </w:r>
    </w:p>
    <w:p w14:paraId="27E57010" w14:textId="0D989C88" w:rsidR="006A37EC" w:rsidRPr="00260C1D" w:rsidRDefault="006A37EC" w:rsidP="006A37EC">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To determine a campus’</w:t>
      </w:r>
      <w:r w:rsidR="000D0303">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 Remoteness Area category and UCL boundary, use the </w:t>
      </w:r>
      <w:hyperlink r:id="rId138" w:history="1">
        <w:r w:rsidRPr="005C7EF8">
          <w:rPr>
            <w:rStyle w:val="Hyperlink"/>
            <w:rFonts w:eastAsia="Segoe UI" w:cstheme="minorHAnsi"/>
            <w:sz w:val="24"/>
            <w:szCs w:val="24"/>
            <w:lang w:val="en" w:eastAsia="en-AU"/>
          </w:rPr>
          <w:t>ABS map tool</w:t>
        </w:r>
      </w:hyperlink>
      <w:r w:rsidRPr="00260C1D">
        <w:rPr>
          <w:rFonts w:eastAsia="Segoe UI" w:cstheme="minorHAnsi"/>
          <w:color w:val="011A3C"/>
          <w:sz w:val="24"/>
          <w:szCs w:val="24"/>
          <w:lang w:val="en" w:eastAsia="en-AU"/>
        </w:rPr>
        <w:t xml:space="preserve"> .</w:t>
      </w:r>
    </w:p>
    <w:p w14:paraId="06893D1A" w14:textId="5F7F6504" w:rsidR="00BB1A60" w:rsidRPr="00260C1D" w:rsidRDefault="00693F7D" w:rsidP="006A37EC">
      <w:pPr>
        <w:rPr>
          <w:rFonts w:eastAsia="Segoe UI" w:cstheme="minorHAnsi"/>
          <w:color w:val="011A3C"/>
          <w:sz w:val="24"/>
          <w:szCs w:val="24"/>
          <w:lang w:val="en" w:eastAsia="en-AU"/>
        </w:rPr>
      </w:pPr>
      <w:r w:rsidRPr="005C7EF8">
        <w:rPr>
          <w:rFonts w:eastAsia="Segoe UI" w:cstheme="minorHAnsi"/>
          <w:color w:val="011A3C"/>
          <w:sz w:val="24"/>
          <w:szCs w:val="24"/>
          <w:lang w:val="en" w:eastAsia="en-AU"/>
        </w:rPr>
        <w:t xml:space="preserve">To determine a school’s geographic parameters, refer to </w:t>
      </w:r>
      <w:hyperlink r:id="rId139" w:history="1">
        <w:r w:rsidR="002D1CE2">
          <w:rPr>
            <w:rStyle w:val="Hyperlink"/>
            <w:sz w:val="24"/>
            <w:szCs w:val="24"/>
          </w:rPr>
          <w:t>Steps to determine a school’s geographic parameters</w:t>
        </w:r>
      </w:hyperlink>
      <w:r w:rsidR="00BB1A60" w:rsidRPr="00260C1D">
        <w:rPr>
          <w:rFonts w:eastAsia="Segoe UI" w:cstheme="minorHAnsi"/>
          <w:color w:val="011A3C"/>
          <w:sz w:val="24"/>
          <w:szCs w:val="24"/>
          <w:lang w:val="en" w:eastAsia="en-AU"/>
        </w:rPr>
        <w:t>.</w:t>
      </w:r>
    </w:p>
    <w:p w14:paraId="287A0855" w14:textId="3DAD2BB8" w:rsidR="00B25992" w:rsidRPr="00260C1D" w:rsidRDefault="00B25992" w:rsidP="00B25992">
      <w:pPr>
        <w:rPr>
          <w:rFonts w:eastAsia="Segoe UI" w:cstheme="minorHAnsi"/>
          <w:color w:val="011A3C"/>
          <w:sz w:val="24"/>
          <w:szCs w:val="24"/>
          <w:lang w:val="en" w:eastAsia="en-AU"/>
        </w:rPr>
      </w:pPr>
      <w:bookmarkStart w:id="168" w:name="_Hlk50546739"/>
      <w:r w:rsidRPr="00260C1D">
        <w:rPr>
          <w:rFonts w:eastAsia="Segoe UI" w:cstheme="minorHAnsi"/>
          <w:color w:val="011A3C"/>
          <w:sz w:val="24"/>
          <w:szCs w:val="24"/>
          <w:lang w:val="en" w:eastAsia="en-AU"/>
        </w:rPr>
        <w:t>Additionally, schools that may be eligible for transition should refer to:</w:t>
      </w:r>
    </w:p>
    <w:bookmarkEnd w:id="168"/>
    <w:p w14:paraId="1FEF0EA9" w14:textId="03C5B212" w:rsidR="009753DC" w:rsidRPr="00614B09" w:rsidRDefault="005B4D2A" w:rsidP="009753DC">
      <w:pPr>
        <w:rPr>
          <w:rFonts w:cstheme="minorHAnsi"/>
          <w:sz w:val="24"/>
          <w:szCs w:val="24"/>
        </w:rPr>
      </w:pPr>
      <w:r>
        <w:fldChar w:fldCharType="begin"/>
      </w:r>
      <w:r w:rsidR="003227FA">
        <w:instrText>HYPERLINK "https://www2.education.vic.gov.au/pal/student-resource-package-srp-targeted-initiatives/guidance/transition-funding-rural-reference"</w:instrText>
      </w:r>
      <w:r>
        <w:fldChar w:fldCharType="separate"/>
      </w:r>
      <w:r w:rsidR="00B25992" w:rsidRPr="00D72E02">
        <w:rPr>
          <w:rStyle w:val="Hyperlink"/>
          <w:rFonts w:eastAsia="Segoe UI" w:cstheme="minorHAnsi"/>
          <w:sz w:val="24"/>
          <w:szCs w:val="24"/>
          <w:lang w:val="en" w:eastAsia="en-AU"/>
        </w:rPr>
        <w:t>Transition Funding (Rural) (Ref</w:t>
      </w:r>
      <w:r w:rsidR="00DB7F0C">
        <w:rPr>
          <w:rStyle w:val="Hyperlink"/>
          <w:rFonts w:eastAsia="Segoe UI" w:cstheme="minorHAnsi"/>
          <w:sz w:val="24"/>
          <w:szCs w:val="24"/>
          <w:lang w:val="en" w:eastAsia="en-AU"/>
        </w:rPr>
        <w:t>erence</w:t>
      </w:r>
      <w:r w:rsidR="00B25992" w:rsidRPr="00D72E02">
        <w:rPr>
          <w:rStyle w:val="Hyperlink"/>
          <w:rFonts w:eastAsia="Segoe UI" w:cstheme="minorHAnsi"/>
          <w:sz w:val="24"/>
          <w:szCs w:val="24"/>
          <w:lang w:val="en" w:eastAsia="en-AU"/>
        </w:rPr>
        <w:t xml:space="preserve"> 126)</w:t>
      </w:r>
      <w:r>
        <w:rPr>
          <w:rStyle w:val="Hyperlink"/>
          <w:rFonts w:eastAsia="Segoe UI" w:cstheme="minorHAnsi"/>
          <w:sz w:val="24"/>
          <w:szCs w:val="24"/>
          <w:lang w:val="en" w:eastAsia="en-AU"/>
        </w:rPr>
        <w:fldChar w:fldCharType="end"/>
      </w:r>
      <w:r w:rsidR="009753DC" w:rsidRPr="00614B09">
        <w:rPr>
          <w:rFonts w:cstheme="minorHAnsi"/>
          <w:sz w:val="24"/>
          <w:szCs w:val="24"/>
        </w:rPr>
        <w:br w:type="page"/>
      </w:r>
    </w:p>
    <w:p w14:paraId="31121E98" w14:textId="0BBC9624" w:rsidR="009753DC" w:rsidRPr="00260C1D" w:rsidRDefault="009753DC" w:rsidP="00532A33">
      <w:pPr>
        <w:pStyle w:val="Heading2"/>
      </w:pPr>
      <w:bookmarkStart w:id="169" w:name="_Toc141965267"/>
      <w:bookmarkStart w:id="170" w:name="_Toc145339597"/>
      <w:bookmarkStart w:id="171" w:name="_Toc153791920"/>
      <w:r w:rsidRPr="00260C1D">
        <w:lastRenderedPageBreak/>
        <w:t>MARC/MACC Teachers</w:t>
      </w:r>
      <w:r w:rsidR="006865F7" w:rsidRPr="00260C1D">
        <w:t xml:space="preserve"> </w:t>
      </w:r>
      <w:r w:rsidRPr="00260C1D">
        <w:t>(Reference 40)</w:t>
      </w:r>
      <w:bookmarkEnd w:id="169"/>
      <w:bookmarkEnd w:id="170"/>
      <w:bookmarkEnd w:id="171"/>
    </w:p>
    <w:p w14:paraId="1F2C85B6" w14:textId="3E3F6DA7" w:rsidR="009753DC" w:rsidRPr="00260C1D" w:rsidRDefault="009753DC" w:rsidP="009753D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w:t>
      </w:r>
      <w:r w:rsidR="007A1176" w:rsidRPr="00260C1D">
        <w:rPr>
          <w:rFonts w:eastAsia="Segoe UI" w:cstheme="minorHAnsi"/>
          <w:color w:val="011A3C"/>
          <w:sz w:val="24"/>
          <w:szCs w:val="24"/>
          <w:lang w:val="en" w:eastAsia="en-AU"/>
        </w:rPr>
        <w:t xml:space="preserve">allocation </w:t>
      </w:r>
      <w:r w:rsidRPr="00260C1D">
        <w:rPr>
          <w:rFonts w:eastAsia="Segoe UI" w:cstheme="minorHAnsi"/>
          <w:color w:val="011A3C"/>
          <w:sz w:val="24"/>
          <w:szCs w:val="24"/>
          <w:lang w:val="en" w:eastAsia="en-AU"/>
        </w:rPr>
        <w:t xml:space="preserve">for </w:t>
      </w:r>
      <w:r w:rsidR="007A1176" w:rsidRPr="00260C1D">
        <w:rPr>
          <w:rFonts w:eastAsia="Segoe UI" w:cstheme="minorHAnsi"/>
          <w:color w:val="011A3C"/>
          <w:sz w:val="24"/>
          <w:szCs w:val="24"/>
          <w:lang w:val="en" w:eastAsia="en-AU"/>
        </w:rPr>
        <w:t xml:space="preserve">Mobile Area Resource Centre (MARC) and the Mobile Art Craft Centre (MACC) Program </w:t>
      </w:r>
      <w:r w:rsidRPr="00260C1D">
        <w:rPr>
          <w:rFonts w:eastAsia="Segoe UI" w:cstheme="minorHAnsi"/>
          <w:color w:val="011A3C"/>
          <w:sz w:val="24"/>
          <w:szCs w:val="24"/>
          <w:lang w:val="en" w:eastAsia="en-AU"/>
        </w:rPr>
        <w:t xml:space="preserve">is based on a teacher </w:t>
      </w:r>
      <w:r w:rsidR="00525D7F">
        <w:rPr>
          <w:rFonts w:eastAsia="Segoe UI" w:cstheme="minorHAnsi"/>
          <w:color w:val="011A3C"/>
          <w:sz w:val="24"/>
          <w:szCs w:val="24"/>
          <w:lang w:val="en" w:eastAsia="en-AU"/>
        </w:rPr>
        <w:t>FTE</w:t>
      </w:r>
      <w:r w:rsidR="00525D7F"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and the funding rates are all-inclusive for salaries and related </w:t>
      </w:r>
      <w:r w:rsidR="007A1176" w:rsidRPr="00260C1D">
        <w:rPr>
          <w:rFonts w:eastAsia="Segoe UI" w:cstheme="minorHAnsi"/>
          <w:color w:val="011A3C"/>
          <w:sz w:val="24"/>
          <w:szCs w:val="24"/>
          <w:lang w:val="en" w:eastAsia="en-AU"/>
        </w:rPr>
        <w:t>on</w:t>
      </w:r>
      <w:r w:rsidR="00525D7F">
        <w:rPr>
          <w:rFonts w:eastAsia="Segoe UI" w:cstheme="minorHAnsi"/>
          <w:color w:val="011A3C"/>
          <w:sz w:val="24"/>
          <w:szCs w:val="24"/>
          <w:lang w:val="en" w:eastAsia="en-AU"/>
        </w:rPr>
        <w:t>-</w:t>
      </w:r>
      <w:r w:rsidRPr="00260C1D">
        <w:rPr>
          <w:rFonts w:eastAsia="Segoe UI" w:cstheme="minorHAnsi"/>
          <w:color w:val="011A3C"/>
          <w:sz w:val="24"/>
          <w:szCs w:val="24"/>
          <w:lang w:val="en" w:eastAsia="en-AU"/>
        </w:rPr>
        <w:t>costs.</w:t>
      </w:r>
    </w:p>
    <w:p w14:paraId="5EA3235B" w14:textId="77777777" w:rsidR="007A1176" w:rsidRPr="00260C1D" w:rsidRDefault="007A1176" w:rsidP="007A1176">
      <w:pPr>
        <w:spacing w:before="100" w:beforeAutospacing="1" w:after="100" w:afterAutospacing="1" w:line="360" w:lineRule="atLeast"/>
        <w:rPr>
          <w:rFonts w:eastAsia="Segoe UI" w:cstheme="minorHAnsi"/>
          <w:color w:val="011A3C"/>
          <w:sz w:val="24"/>
          <w:szCs w:val="24"/>
          <w:lang w:val="en-GB" w:eastAsia="en-AU"/>
        </w:rPr>
      </w:pPr>
      <w:r w:rsidRPr="00260C1D">
        <w:rPr>
          <w:rFonts w:eastAsia="Segoe UI" w:cstheme="minorHAnsi"/>
          <w:color w:val="011A3C"/>
          <w:sz w:val="24"/>
          <w:szCs w:val="24"/>
          <w:lang w:val="en-GB" w:eastAsia="en-AU"/>
        </w:rPr>
        <w:t>MARC/MACC services enable small rural and regional schools to provide students with access to a broader range of texts and educational resources. MARC services provide literacy-based programs while MACC services provide art-based programs.</w:t>
      </w:r>
    </w:p>
    <w:p w14:paraId="33904668" w14:textId="225E79CF" w:rsidR="007A1176" w:rsidRPr="00260C1D" w:rsidRDefault="007A1176" w:rsidP="007A1176">
      <w:pPr>
        <w:spacing w:before="100" w:beforeAutospacing="1" w:after="100" w:afterAutospacing="1" w:line="360" w:lineRule="atLeast"/>
        <w:rPr>
          <w:rFonts w:eastAsia="Segoe UI" w:cstheme="minorHAnsi"/>
          <w:color w:val="011A3C"/>
          <w:sz w:val="24"/>
          <w:szCs w:val="24"/>
          <w:lang w:val="en-GB" w:eastAsia="en-AU"/>
        </w:rPr>
      </w:pPr>
      <w:r w:rsidRPr="00260C1D">
        <w:rPr>
          <w:rFonts w:eastAsia="Segoe UI" w:cstheme="minorHAnsi"/>
          <w:color w:val="011A3C"/>
          <w:sz w:val="24"/>
          <w:szCs w:val="24"/>
          <w:lang w:val="en-GB" w:eastAsia="en-AU"/>
        </w:rPr>
        <w:t xml:space="preserve">MARC/MACC teachers work collaboratively with serviced schools to increase opportunities for students and improve learning outcomes and engagement in relevant curriculum areas. </w:t>
      </w:r>
    </w:p>
    <w:p w14:paraId="40E9D049" w14:textId="77777777" w:rsidR="007A1176" w:rsidRPr="00260C1D" w:rsidRDefault="007A1176" w:rsidP="007A1176">
      <w:pPr>
        <w:spacing w:before="100" w:beforeAutospacing="1" w:after="100" w:afterAutospacing="1" w:line="360" w:lineRule="atLeast"/>
        <w:rPr>
          <w:rFonts w:eastAsia="Segoe UI" w:cstheme="minorHAnsi"/>
          <w:b/>
          <w:color w:val="011A3C"/>
          <w:sz w:val="24"/>
          <w:szCs w:val="24"/>
          <w:lang w:val="en-GB" w:eastAsia="en-AU"/>
        </w:rPr>
      </w:pPr>
      <w:r w:rsidRPr="00260C1D">
        <w:rPr>
          <w:rFonts w:eastAsia="Segoe UI" w:cstheme="minorHAnsi"/>
          <w:b/>
          <w:color w:val="011A3C"/>
          <w:sz w:val="24"/>
          <w:szCs w:val="24"/>
          <w:lang w:val="en-GB" w:eastAsia="en-AU"/>
        </w:rPr>
        <w:t>MARC/MACC:</w:t>
      </w:r>
    </w:p>
    <w:p w14:paraId="64E84574" w14:textId="1D73C162" w:rsidR="007A1176" w:rsidRPr="0082534A" w:rsidRDefault="00653877"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P</w:t>
      </w:r>
      <w:r w:rsidR="007A1176" w:rsidRPr="738305D2">
        <w:rPr>
          <w:rFonts w:eastAsia="Segoe UI"/>
          <w:color w:val="011A3C"/>
          <w:sz w:val="24"/>
          <w:szCs w:val="24"/>
          <w:lang w:val="en" w:eastAsia="en-AU"/>
        </w:rPr>
        <w:t xml:space="preserve">rovide fair and equitable service coverage to small rural and regional schools </w:t>
      </w:r>
    </w:p>
    <w:p w14:paraId="3DBD512D" w14:textId="1C4A6BF4" w:rsidR="007A1176" w:rsidRPr="0082534A" w:rsidRDefault="00653877"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P</w:t>
      </w:r>
      <w:r w:rsidR="007A1176" w:rsidRPr="738305D2">
        <w:rPr>
          <w:rFonts w:eastAsia="Segoe UI"/>
          <w:color w:val="011A3C"/>
          <w:sz w:val="24"/>
          <w:szCs w:val="24"/>
          <w:lang w:val="en" w:eastAsia="en-AU"/>
        </w:rPr>
        <w:t>rovide access to high</w:t>
      </w:r>
      <w:r w:rsidR="00A74433" w:rsidRPr="738305D2">
        <w:rPr>
          <w:rFonts w:eastAsia="Segoe UI"/>
          <w:color w:val="011A3C"/>
          <w:sz w:val="24"/>
          <w:szCs w:val="24"/>
          <w:lang w:val="en" w:eastAsia="en-AU"/>
        </w:rPr>
        <w:t>-</w:t>
      </w:r>
      <w:r w:rsidR="007A1176" w:rsidRPr="738305D2">
        <w:rPr>
          <w:rFonts w:eastAsia="Segoe UI"/>
          <w:color w:val="011A3C"/>
          <w:sz w:val="24"/>
          <w:szCs w:val="24"/>
          <w:lang w:val="en" w:eastAsia="en-AU"/>
        </w:rPr>
        <w:t>quality resources to support student learning</w:t>
      </w:r>
    </w:p>
    <w:p w14:paraId="22E0039E" w14:textId="6E1C2D4E" w:rsidR="007A1176" w:rsidRPr="0082534A" w:rsidRDefault="00653877"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S</w:t>
      </w:r>
      <w:r w:rsidR="007A1176" w:rsidRPr="738305D2">
        <w:rPr>
          <w:rFonts w:eastAsia="Segoe UI"/>
          <w:color w:val="011A3C"/>
          <w:sz w:val="24"/>
          <w:szCs w:val="24"/>
          <w:lang w:val="en" w:eastAsia="en-AU"/>
        </w:rPr>
        <w:t xml:space="preserve">upport and enrich teaching programs aligned to the Victorian Curriculum </w:t>
      </w:r>
    </w:p>
    <w:p w14:paraId="06F776D4" w14:textId="6EA386B5" w:rsidR="007A1176" w:rsidRPr="0082534A" w:rsidRDefault="00653877"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D</w:t>
      </w:r>
      <w:r w:rsidR="007A1176" w:rsidRPr="738305D2">
        <w:rPr>
          <w:rFonts w:eastAsia="Segoe UI"/>
          <w:color w:val="011A3C"/>
          <w:sz w:val="24"/>
          <w:szCs w:val="24"/>
          <w:lang w:val="en" w:eastAsia="en-AU"/>
        </w:rPr>
        <w:t>eliver high</w:t>
      </w:r>
      <w:r w:rsidR="00A74433" w:rsidRPr="738305D2">
        <w:rPr>
          <w:rFonts w:eastAsia="Segoe UI"/>
          <w:color w:val="011A3C"/>
          <w:sz w:val="24"/>
          <w:szCs w:val="24"/>
          <w:lang w:val="en" w:eastAsia="en-AU"/>
        </w:rPr>
        <w:t>-</w:t>
      </w:r>
      <w:r w:rsidR="007A1176" w:rsidRPr="738305D2">
        <w:rPr>
          <w:rFonts w:eastAsia="Segoe UI"/>
          <w:color w:val="011A3C"/>
          <w:sz w:val="24"/>
          <w:szCs w:val="24"/>
          <w:lang w:val="en" w:eastAsia="en-AU"/>
        </w:rPr>
        <w:t xml:space="preserve">quality programs aligned to the goals and priorities set by the </w:t>
      </w:r>
      <w:r w:rsidR="003F7AF6" w:rsidRPr="738305D2">
        <w:rPr>
          <w:rFonts w:eastAsia="Segoe UI"/>
          <w:color w:val="011A3C"/>
          <w:sz w:val="24"/>
          <w:szCs w:val="24"/>
          <w:lang w:val="en" w:eastAsia="en-AU"/>
        </w:rPr>
        <w:t xml:space="preserve">Committees of </w:t>
      </w:r>
      <w:r w:rsidR="007A1176" w:rsidRPr="738305D2">
        <w:rPr>
          <w:rFonts w:eastAsia="Segoe UI"/>
          <w:color w:val="011A3C"/>
          <w:sz w:val="24"/>
          <w:szCs w:val="24"/>
          <w:lang w:val="en" w:eastAsia="en-AU"/>
        </w:rPr>
        <w:t>M</w:t>
      </w:r>
      <w:r w:rsidR="003F7AF6" w:rsidRPr="738305D2">
        <w:rPr>
          <w:rFonts w:eastAsia="Segoe UI"/>
          <w:color w:val="011A3C"/>
          <w:sz w:val="24"/>
          <w:szCs w:val="24"/>
          <w:lang w:val="en" w:eastAsia="en-AU"/>
        </w:rPr>
        <w:t>anagement</w:t>
      </w:r>
      <w:r w:rsidR="007A1176" w:rsidRPr="738305D2">
        <w:rPr>
          <w:rFonts w:eastAsia="Segoe UI"/>
          <w:color w:val="011A3C"/>
          <w:sz w:val="24"/>
          <w:szCs w:val="24"/>
          <w:lang w:val="en" w:eastAsia="en-AU"/>
        </w:rPr>
        <w:t xml:space="preserve"> </w:t>
      </w:r>
      <w:r w:rsidR="003F7AF6" w:rsidRPr="738305D2">
        <w:rPr>
          <w:rFonts w:eastAsia="Segoe UI"/>
          <w:color w:val="011A3C"/>
          <w:sz w:val="24"/>
          <w:szCs w:val="24"/>
          <w:lang w:val="en" w:eastAsia="en-AU"/>
        </w:rPr>
        <w:t>(</w:t>
      </w:r>
      <w:proofErr w:type="spellStart"/>
      <w:r w:rsidR="003F7AF6" w:rsidRPr="738305D2">
        <w:rPr>
          <w:rFonts w:eastAsia="Segoe UI"/>
          <w:color w:val="011A3C"/>
          <w:sz w:val="24"/>
          <w:szCs w:val="24"/>
          <w:lang w:val="en" w:eastAsia="en-AU"/>
        </w:rPr>
        <w:t>CoM</w:t>
      </w:r>
      <w:proofErr w:type="spellEnd"/>
      <w:r w:rsidR="003F7AF6" w:rsidRPr="738305D2">
        <w:rPr>
          <w:rFonts w:eastAsia="Segoe UI"/>
          <w:color w:val="011A3C"/>
          <w:sz w:val="24"/>
          <w:szCs w:val="24"/>
          <w:lang w:val="en" w:eastAsia="en-AU"/>
        </w:rPr>
        <w:t>)</w:t>
      </w:r>
    </w:p>
    <w:p w14:paraId="49E84147" w14:textId="1273B682" w:rsidR="007A1176" w:rsidRPr="0082534A" w:rsidRDefault="00653877"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P</w:t>
      </w:r>
      <w:r w:rsidR="007A1176" w:rsidRPr="738305D2">
        <w:rPr>
          <w:rFonts w:eastAsia="Segoe UI"/>
          <w:color w:val="011A3C"/>
          <w:sz w:val="24"/>
          <w:szCs w:val="24"/>
          <w:lang w:val="en" w:eastAsia="en-AU"/>
        </w:rPr>
        <w:t>articipate in collaborative learning communities within and across the MARC/MACC school clusters.</w:t>
      </w:r>
    </w:p>
    <w:p w14:paraId="122E5F58" w14:textId="77777777" w:rsidR="007A1176" w:rsidRPr="00260C1D" w:rsidRDefault="007A1176" w:rsidP="007A1176">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Eligibility for MARC/MACC services</w:t>
      </w:r>
    </w:p>
    <w:p w14:paraId="180C5E5B" w14:textId="77777777" w:rsidR="007A1176" w:rsidRPr="00260C1D" w:rsidRDefault="007A1176" w:rsidP="007A1176">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MARC/MACC program focus is on small rural and regional schools. MARC/MACC eligibility is generally targeted at schools with fewer than 100 primary level (F-6 or equivalent) enrolments. </w:t>
      </w:r>
    </w:p>
    <w:p w14:paraId="2D8C830E" w14:textId="77777777" w:rsidR="007A1176" w:rsidRPr="00260C1D" w:rsidRDefault="007A1176" w:rsidP="007A1176">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It is recommended that serviced schools are within 100km of a base school to </w:t>
      </w:r>
      <w:proofErr w:type="spellStart"/>
      <w:r w:rsidRPr="00260C1D">
        <w:rPr>
          <w:rFonts w:eastAsia="Segoe UI" w:cstheme="minorHAnsi"/>
          <w:color w:val="011A3C"/>
          <w:sz w:val="24"/>
          <w:szCs w:val="24"/>
          <w:lang w:val="en" w:eastAsia="en-AU"/>
        </w:rPr>
        <w:t>maximise</w:t>
      </w:r>
      <w:proofErr w:type="spellEnd"/>
      <w:r w:rsidRPr="00260C1D">
        <w:rPr>
          <w:rFonts w:eastAsia="Segoe UI" w:cstheme="minorHAnsi"/>
          <w:color w:val="011A3C"/>
          <w:sz w:val="24"/>
          <w:szCs w:val="24"/>
          <w:lang w:val="en" w:eastAsia="en-AU"/>
        </w:rPr>
        <w:t xml:space="preserve"> the amount of time MARC/MACC teachers spend at schools and </w:t>
      </w:r>
      <w:proofErr w:type="spellStart"/>
      <w:r w:rsidRPr="00260C1D">
        <w:rPr>
          <w:rFonts w:eastAsia="Segoe UI" w:cstheme="minorHAnsi"/>
          <w:color w:val="011A3C"/>
          <w:sz w:val="24"/>
          <w:szCs w:val="24"/>
          <w:lang w:val="en" w:eastAsia="en-AU"/>
        </w:rPr>
        <w:t>minimise</w:t>
      </w:r>
      <w:proofErr w:type="spellEnd"/>
      <w:r w:rsidRPr="00260C1D">
        <w:rPr>
          <w:rFonts w:eastAsia="Segoe UI" w:cstheme="minorHAnsi"/>
          <w:color w:val="011A3C"/>
          <w:sz w:val="24"/>
          <w:szCs w:val="24"/>
          <w:lang w:val="en" w:eastAsia="en-AU"/>
        </w:rPr>
        <w:t xml:space="preserve"> the time spent travelling between schools.</w:t>
      </w:r>
    </w:p>
    <w:p w14:paraId="4212FE92" w14:textId="2E20A021" w:rsidR="007A1176" w:rsidRPr="00260C1D" w:rsidRDefault="007A1176" w:rsidP="007A1176">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Enquiries related to service eligibility, including the request to commence a new or terminate a MARC/MACC service and provision should be raised by the </w:t>
      </w:r>
      <w:proofErr w:type="spellStart"/>
      <w:r w:rsidRPr="00260C1D">
        <w:rPr>
          <w:rFonts w:eastAsia="Segoe UI" w:cstheme="minorHAnsi"/>
          <w:color w:val="011A3C"/>
          <w:sz w:val="24"/>
          <w:szCs w:val="24"/>
          <w:lang w:val="en" w:eastAsia="en-AU"/>
        </w:rPr>
        <w:t>CoM</w:t>
      </w:r>
      <w:proofErr w:type="spellEnd"/>
      <w:r w:rsidRPr="00260C1D">
        <w:rPr>
          <w:rFonts w:eastAsia="Segoe UI" w:cstheme="minorHAnsi"/>
          <w:color w:val="011A3C"/>
          <w:sz w:val="24"/>
          <w:szCs w:val="24"/>
          <w:lang w:val="en" w:eastAsia="en-AU"/>
        </w:rPr>
        <w:t xml:space="preserve"> with the regional Service Support Manager.</w:t>
      </w:r>
    </w:p>
    <w:p w14:paraId="3A7C7BAE" w14:textId="77777777" w:rsidR="007A1176" w:rsidRPr="00260C1D" w:rsidRDefault="007A1176" w:rsidP="007A1176">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Central and Regional Offices</w:t>
      </w:r>
    </w:p>
    <w:p w14:paraId="54A18C77" w14:textId="24E142C9" w:rsidR="007A1176" w:rsidRPr="00260C1D" w:rsidRDefault="007A1176" w:rsidP="007A1176">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Targeted School Services Unit (TSSU) within the School Operations and Statewide Services Division provides oversight of the MARC/MACC program</w:t>
      </w:r>
      <w:r w:rsidR="0050256B">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including an annual review of the Guidelines. </w:t>
      </w:r>
    </w:p>
    <w:p w14:paraId="54968B4B" w14:textId="77777777" w:rsidR="007A1176" w:rsidRPr="00260C1D" w:rsidRDefault="007A1176" w:rsidP="007A1176">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 designated Service Support Manager is located in each of the Department’s four regions to provide operational oversight over the implementation of the Guidelines. </w:t>
      </w:r>
    </w:p>
    <w:p w14:paraId="2E6AA2D3" w14:textId="77777777" w:rsidR="007A1176" w:rsidRPr="00260C1D" w:rsidRDefault="007A1176" w:rsidP="007A1176">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key responsibilities of the Service Support Manager include:</w:t>
      </w:r>
    </w:p>
    <w:p w14:paraId="4BF545AE" w14:textId="7C2D4A4D" w:rsidR="007A1176" w:rsidRPr="00260C1D" w:rsidRDefault="0050256B"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lastRenderedPageBreak/>
        <w:t>B</w:t>
      </w:r>
      <w:r w:rsidR="007A1176" w:rsidRPr="738305D2">
        <w:rPr>
          <w:rFonts w:eastAsia="Segoe UI"/>
          <w:color w:val="011A3C"/>
          <w:sz w:val="24"/>
          <w:szCs w:val="24"/>
          <w:lang w:val="en" w:eastAsia="en-AU"/>
        </w:rPr>
        <w:t xml:space="preserve">eing a contact point for </w:t>
      </w:r>
      <w:r w:rsidRPr="738305D2">
        <w:rPr>
          <w:rFonts w:eastAsia="Segoe UI"/>
          <w:color w:val="011A3C"/>
          <w:sz w:val="24"/>
          <w:szCs w:val="24"/>
          <w:lang w:val="en" w:eastAsia="en-AU"/>
        </w:rPr>
        <w:t xml:space="preserve">the </w:t>
      </w:r>
      <w:proofErr w:type="spellStart"/>
      <w:r w:rsidR="007A1176" w:rsidRPr="738305D2">
        <w:rPr>
          <w:rFonts w:eastAsia="Segoe UI"/>
          <w:color w:val="011A3C"/>
          <w:sz w:val="24"/>
          <w:szCs w:val="24"/>
          <w:lang w:val="en" w:eastAsia="en-AU"/>
        </w:rPr>
        <w:t>CoM</w:t>
      </w:r>
      <w:proofErr w:type="spellEnd"/>
    </w:p>
    <w:p w14:paraId="1B7EF390" w14:textId="70886B33" w:rsidR="007A1176" w:rsidRPr="00260C1D" w:rsidRDefault="0050256B" w:rsidP="00F56244">
      <w:pPr>
        <w:pStyle w:val="ListParagraph"/>
        <w:numPr>
          <w:ilvl w:val="1"/>
          <w:numId w:val="53"/>
        </w:numPr>
        <w:spacing w:after="0"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S</w:t>
      </w:r>
      <w:r w:rsidR="007A1176" w:rsidRPr="00260C1D">
        <w:rPr>
          <w:rFonts w:eastAsia="Segoe UI" w:cstheme="minorHAnsi"/>
          <w:color w:val="011A3C"/>
          <w:sz w:val="24"/>
          <w:szCs w:val="24"/>
          <w:lang w:val="en" w:eastAsia="en-AU"/>
        </w:rPr>
        <w:t xml:space="preserve">eeking approval for commencing and ceasing MARC/MACC services from the Area </w:t>
      </w:r>
      <w:r w:rsidR="008F4825" w:rsidRPr="00260C1D">
        <w:rPr>
          <w:rFonts w:eastAsia="Segoe UI" w:cstheme="minorHAnsi"/>
          <w:color w:val="011A3C"/>
          <w:sz w:val="24"/>
          <w:szCs w:val="24"/>
          <w:lang w:val="en" w:eastAsia="en-AU"/>
        </w:rPr>
        <w:t>E</w:t>
      </w:r>
      <w:r w:rsidR="007A1176" w:rsidRPr="00260C1D">
        <w:rPr>
          <w:rFonts w:eastAsia="Segoe UI" w:cstheme="minorHAnsi"/>
          <w:color w:val="011A3C"/>
          <w:sz w:val="24"/>
          <w:szCs w:val="24"/>
          <w:lang w:val="en" w:eastAsia="en-AU"/>
        </w:rPr>
        <w:t xml:space="preserve">xecutive Director (AED), at the request of the </w:t>
      </w:r>
      <w:proofErr w:type="spellStart"/>
      <w:r w:rsidR="007A1176" w:rsidRPr="00260C1D">
        <w:rPr>
          <w:rFonts w:eastAsia="Segoe UI" w:cstheme="minorHAnsi"/>
          <w:color w:val="011A3C"/>
          <w:sz w:val="24"/>
          <w:szCs w:val="24"/>
          <w:lang w:val="en" w:eastAsia="en-AU"/>
        </w:rPr>
        <w:t>CoM</w:t>
      </w:r>
      <w:proofErr w:type="spellEnd"/>
      <w:r w:rsidR="007A1176" w:rsidRPr="00260C1D">
        <w:rPr>
          <w:rFonts w:eastAsia="Segoe UI" w:cstheme="minorHAnsi"/>
          <w:color w:val="011A3C"/>
          <w:sz w:val="24"/>
          <w:szCs w:val="24"/>
          <w:lang w:val="en" w:eastAsia="en-AU"/>
        </w:rPr>
        <w:t xml:space="preserve"> </w:t>
      </w:r>
    </w:p>
    <w:p w14:paraId="70529C7F" w14:textId="3C856DDA" w:rsidR="007A1176" w:rsidRPr="00260C1D" w:rsidRDefault="0050256B"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R</w:t>
      </w:r>
      <w:r w:rsidR="007A1176" w:rsidRPr="738305D2">
        <w:rPr>
          <w:rFonts w:eastAsia="Segoe UI"/>
          <w:color w:val="011A3C"/>
          <w:sz w:val="24"/>
          <w:szCs w:val="24"/>
          <w:lang w:val="en" w:eastAsia="en-AU"/>
        </w:rPr>
        <w:t xml:space="preserve">eceiving annual reports submitted by each </w:t>
      </w:r>
      <w:proofErr w:type="spellStart"/>
      <w:r w:rsidR="007A1176" w:rsidRPr="738305D2">
        <w:rPr>
          <w:rFonts w:eastAsia="Segoe UI"/>
          <w:color w:val="011A3C"/>
          <w:sz w:val="24"/>
          <w:szCs w:val="24"/>
          <w:lang w:val="en" w:eastAsia="en-AU"/>
        </w:rPr>
        <w:t>CoM</w:t>
      </w:r>
      <w:proofErr w:type="spellEnd"/>
    </w:p>
    <w:p w14:paraId="2C4AB564" w14:textId="65D41471" w:rsidR="007A1176" w:rsidRPr="00260C1D" w:rsidRDefault="0050256B"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M</w:t>
      </w:r>
      <w:r w:rsidR="007A1176" w:rsidRPr="738305D2">
        <w:rPr>
          <w:rFonts w:eastAsia="Segoe UI"/>
          <w:color w:val="011A3C"/>
          <w:sz w:val="24"/>
          <w:szCs w:val="24"/>
          <w:lang w:val="en" w:eastAsia="en-AU"/>
        </w:rPr>
        <w:t xml:space="preserve">aintaining databases of MARC/MACC base and serviced schools </w:t>
      </w:r>
    </w:p>
    <w:p w14:paraId="491D7D8B" w14:textId="14212180" w:rsidR="007A1176" w:rsidRPr="00260C1D" w:rsidRDefault="0050256B"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O</w:t>
      </w:r>
      <w:r w:rsidR="007A1176" w:rsidRPr="738305D2">
        <w:rPr>
          <w:rFonts w:eastAsia="Segoe UI"/>
          <w:color w:val="011A3C"/>
          <w:sz w:val="24"/>
          <w:szCs w:val="24"/>
          <w:lang w:val="en" w:eastAsia="en-AU"/>
        </w:rPr>
        <w:t>btaining requests for van replacements made by base school principals</w:t>
      </w:r>
    </w:p>
    <w:p w14:paraId="0B660A87" w14:textId="560ED4EF" w:rsidR="007A1176" w:rsidRPr="00260C1D" w:rsidRDefault="0050256B"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I</w:t>
      </w:r>
      <w:r w:rsidR="007A1176" w:rsidRPr="738305D2">
        <w:rPr>
          <w:rFonts w:eastAsia="Segoe UI"/>
          <w:color w:val="011A3C"/>
          <w:sz w:val="24"/>
          <w:szCs w:val="24"/>
          <w:lang w:val="en" w:eastAsia="en-AU"/>
        </w:rPr>
        <w:t>dentifying networking opportunities for MARC/MACC teachers.</w:t>
      </w:r>
    </w:p>
    <w:p w14:paraId="64AE8607" w14:textId="77777777" w:rsidR="007A1176" w:rsidRPr="00260C1D" w:rsidRDefault="007A1176" w:rsidP="007A1176">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Base schools</w:t>
      </w:r>
    </w:p>
    <w:p w14:paraId="1658A219" w14:textId="0EBF9213" w:rsidR="007A1176" w:rsidRPr="00260C1D" w:rsidRDefault="007A1176" w:rsidP="007A1176">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Base schools are responsible for employing MARC/MACC teachers. Base school principals are responsible for MARC/MACC teachers in the same manner as other teachers employed at their school, including approving the MARC/MACC teachers’ hours of duty in line with the Victorian Government Schools Agreement 20</w:t>
      </w:r>
      <w:r w:rsidR="00616830" w:rsidRPr="00260C1D">
        <w:rPr>
          <w:rFonts w:eastAsia="Segoe UI" w:cstheme="minorHAnsi"/>
          <w:color w:val="011A3C"/>
          <w:sz w:val="24"/>
          <w:szCs w:val="24"/>
          <w:lang w:val="en" w:eastAsia="en-AU"/>
        </w:rPr>
        <w:t>22</w:t>
      </w:r>
      <w:r w:rsidRPr="00260C1D">
        <w:rPr>
          <w:rFonts w:eastAsia="Segoe UI" w:cstheme="minorHAnsi"/>
          <w:color w:val="011A3C"/>
          <w:sz w:val="24"/>
          <w:szCs w:val="24"/>
          <w:lang w:val="en" w:eastAsia="en-AU"/>
        </w:rPr>
        <w:t xml:space="preserve"> and the allocation of non-teaching/planning time for the year.</w:t>
      </w:r>
    </w:p>
    <w:p w14:paraId="08027BF7" w14:textId="614F4D9B" w:rsidR="007A1176" w:rsidRPr="00260C1D" w:rsidRDefault="007A1176" w:rsidP="007A1176">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Base school principals are also responsible for overseeing the delivery of services and are accountable for the service budget.</w:t>
      </w:r>
    </w:p>
    <w:p w14:paraId="04720761" w14:textId="67CAC3D0" w:rsidR="002104B8" w:rsidRPr="00260C1D" w:rsidRDefault="002104B8" w:rsidP="002104B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calculated at the Indicative cycle and may be updated at the Confirmed cycle</w:t>
      </w:r>
      <w:r w:rsidR="006865F7" w:rsidRPr="00260C1D">
        <w:rPr>
          <w:rFonts w:eastAsia="Segoe UI" w:cstheme="minorHAnsi"/>
          <w:color w:val="011A3C"/>
          <w:sz w:val="24"/>
          <w:szCs w:val="24"/>
          <w:lang w:val="en" w:eastAsia="en-AU"/>
        </w:rPr>
        <w:t xml:space="preserve"> if advice is provided by the region</w:t>
      </w:r>
      <w:r w:rsidR="0050256B">
        <w:rPr>
          <w:rFonts w:eastAsia="Segoe UI" w:cstheme="minorHAnsi"/>
          <w:color w:val="011A3C"/>
          <w:sz w:val="24"/>
          <w:szCs w:val="24"/>
          <w:lang w:val="en" w:eastAsia="en-AU"/>
        </w:rPr>
        <w:t>. F</w:t>
      </w:r>
      <w:r w:rsidRPr="00260C1D">
        <w:rPr>
          <w:rFonts w:eastAsia="Segoe UI" w:cstheme="minorHAnsi"/>
          <w:color w:val="011A3C"/>
          <w:sz w:val="24"/>
          <w:szCs w:val="24"/>
          <w:lang w:val="en" w:eastAsia="en-AU"/>
        </w:rPr>
        <w:t>unding is allocated through credit funding.</w:t>
      </w:r>
    </w:p>
    <w:p w14:paraId="058EF33F" w14:textId="5BF060A8" w:rsidR="009753DC" w:rsidRPr="00260C1D" w:rsidRDefault="009753DC" w:rsidP="00614B09">
      <w:pPr>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202</w:t>
      </w:r>
      <w:r w:rsidR="007A44B3">
        <w:rPr>
          <w:rFonts w:eastAsia="Segoe UI" w:cstheme="minorHAnsi"/>
          <w:b/>
          <w:color w:val="011A3C"/>
          <w:sz w:val="27"/>
          <w:szCs w:val="27"/>
          <w:lang w:val="en" w:eastAsia="en-AU"/>
        </w:rPr>
        <w:t>4</w:t>
      </w:r>
    </w:p>
    <w:p w14:paraId="317342BE" w14:textId="6549B5FD" w:rsidR="007B0EF6" w:rsidRPr="00260C1D" w:rsidRDefault="009753DC" w:rsidP="003A28EE">
      <w:pPr>
        <w:spacing w:before="100" w:beforeAutospacing="1" w:after="100" w:afterAutospacing="1" w:line="288" w:lineRule="atLeast"/>
        <w:outlineLvl w:val="3"/>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Rate per </w:t>
      </w:r>
      <w:r w:rsidR="00716DE5">
        <w:rPr>
          <w:rFonts w:eastAsia="Segoe UI" w:cstheme="minorHAnsi"/>
          <w:color w:val="011A3C"/>
          <w:sz w:val="24"/>
          <w:szCs w:val="24"/>
          <w:lang w:val="en" w:eastAsia="en-AU"/>
        </w:rPr>
        <w:t>FTE:</w:t>
      </w:r>
      <w:r w:rsidR="00F07D01" w:rsidRPr="00260C1D">
        <w:rPr>
          <w:rFonts w:eastAsia="Segoe UI" w:cstheme="minorHAnsi"/>
          <w:color w:val="011A3C"/>
          <w:sz w:val="24"/>
          <w:szCs w:val="24"/>
          <w:lang w:val="en" w:eastAsia="en-AU"/>
        </w:rPr>
        <w:t xml:space="preserve"> </w:t>
      </w:r>
      <w:r w:rsidR="000C313F" w:rsidRPr="00260C1D">
        <w:rPr>
          <w:rFonts w:eastAsia="Segoe UI" w:cstheme="minorHAnsi"/>
          <w:color w:val="011A3C"/>
          <w:sz w:val="24"/>
          <w:szCs w:val="24"/>
          <w:lang w:val="en" w:eastAsia="en-AU"/>
        </w:rPr>
        <w:t xml:space="preserve">Credit </w:t>
      </w:r>
      <w:r w:rsidR="00775F8E" w:rsidRPr="00260C1D">
        <w:rPr>
          <w:rFonts w:eastAsia="Segoe UI" w:cstheme="minorHAnsi"/>
          <w:color w:val="011A3C"/>
          <w:sz w:val="24"/>
          <w:szCs w:val="24"/>
          <w:lang w:val="en" w:eastAsia="en-AU"/>
        </w:rPr>
        <w:t>$</w:t>
      </w:r>
      <w:r w:rsidR="00DF220D" w:rsidRPr="00DF220D">
        <w:rPr>
          <w:rFonts w:eastAsia="Segoe UI" w:cstheme="minorHAnsi"/>
          <w:color w:val="011A3C"/>
          <w:sz w:val="24"/>
          <w:szCs w:val="24"/>
          <w:lang w:val="en" w:eastAsia="en-AU"/>
        </w:rPr>
        <w:t>135,983</w:t>
      </w:r>
    </w:p>
    <w:p w14:paraId="65E6F1E8" w14:textId="75CB5108" w:rsidR="000C313F" w:rsidRPr="00260C1D" w:rsidRDefault="000C313F" w:rsidP="000C313F">
      <w:pPr>
        <w:rPr>
          <w:rFonts w:cstheme="minorHAnsi"/>
          <w:sz w:val="2"/>
          <w:szCs w:val="2"/>
          <w:lang w:val="en" w:eastAsia="en-AU"/>
        </w:rPr>
      </w:pPr>
    </w:p>
    <w:p w14:paraId="13F0927A" w14:textId="2617EAF9" w:rsidR="000C313F" w:rsidRPr="00260C1D" w:rsidRDefault="000C313F" w:rsidP="000C313F">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This </w:t>
      </w:r>
      <w:r w:rsidR="00775F8E" w:rsidRPr="00260C1D">
        <w:rPr>
          <w:rFonts w:eastAsia="Segoe UI" w:cstheme="minorHAnsi"/>
          <w:color w:val="011A3C"/>
          <w:sz w:val="24"/>
          <w:szCs w:val="24"/>
          <w:lang w:val="en" w:eastAsia="en-AU"/>
        </w:rPr>
        <w:t xml:space="preserve">rate </w:t>
      </w:r>
      <w:r w:rsidRPr="00260C1D">
        <w:rPr>
          <w:rFonts w:eastAsia="Segoe UI" w:cstheme="minorHAnsi"/>
          <w:color w:val="011A3C"/>
          <w:sz w:val="24"/>
          <w:szCs w:val="24"/>
          <w:lang w:val="en" w:eastAsia="en-AU"/>
        </w:rPr>
        <w:t xml:space="preserve">is based on </w:t>
      </w:r>
      <w:r w:rsidR="00775F8E" w:rsidRPr="00260C1D">
        <w:rPr>
          <w:rFonts w:eastAsia="Segoe UI" w:cstheme="minorHAnsi"/>
          <w:color w:val="011A3C"/>
          <w:sz w:val="24"/>
          <w:szCs w:val="24"/>
          <w:lang w:val="en" w:eastAsia="en-AU"/>
        </w:rPr>
        <w:t xml:space="preserve">Classroom Teacher Level 2 Range 6 </w:t>
      </w:r>
      <w:r w:rsidR="00562473">
        <w:rPr>
          <w:rFonts w:eastAsia="Segoe UI" w:cstheme="minorHAnsi"/>
          <w:color w:val="011A3C"/>
          <w:sz w:val="24"/>
          <w:szCs w:val="24"/>
          <w:lang w:val="en" w:eastAsia="en-AU"/>
        </w:rPr>
        <w:t>s</w:t>
      </w:r>
      <w:r w:rsidR="00775F8E" w:rsidRPr="00260C1D">
        <w:rPr>
          <w:rFonts w:eastAsia="Segoe UI" w:cstheme="minorHAnsi"/>
          <w:color w:val="011A3C"/>
          <w:sz w:val="24"/>
          <w:szCs w:val="24"/>
          <w:lang w:val="en" w:eastAsia="en-AU"/>
        </w:rPr>
        <w:t xml:space="preserve">alary plus </w:t>
      </w:r>
      <w:r w:rsidR="00716DE5">
        <w:rPr>
          <w:rFonts w:eastAsia="Segoe UI" w:cstheme="minorHAnsi"/>
          <w:color w:val="011A3C"/>
          <w:sz w:val="24"/>
          <w:szCs w:val="24"/>
          <w:lang w:val="en" w:eastAsia="en-AU"/>
        </w:rPr>
        <w:t>s</w:t>
      </w:r>
      <w:r w:rsidR="00775F8E" w:rsidRPr="00260C1D">
        <w:rPr>
          <w:rFonts w:eastAsia="Segoe UI" w:cstheme="minorHAnsi"/>
          <w:color w:val="011A3C"/>
          <w:sz w:val="24"/>
          <w:szCs w:val="24"/>
          <w:lang w:val="en" w:eastAsia="en-AU"/>
        </w:rPr>
        <w:t xml:space="preserve">chool </w:t>
      </w:r>
      <w:r w:rsidR="00716DE5">
        <w:rPr>
          <w:rFonts w:eastAsia="Segoe UI" w:cstheme="minorHAnsi"/>
          <w:color w:val="011A3C"/>
          <w:sz w:val="24"/>
          <w:szCs w:val="24"/>
          <w:lang w:val="en" w:eastAsia="en-AU"/>
        </w:rPr>
        <w:t>o</w:t>
      </w:r>
      <w:r w:rsidR="00775F8E" w:rsidRPr="00260C1D">
        <w:rPr>
          <w:rFonts w:eastAsia="Segoe UI" w:cstheme="minorHAnsi"/>
          <w:color w:val="011A3C"/>
          <w:sz w:val="24"/>
          <w:szCs w:val="24"/>
          <w:lang w:val="en" w:eastAsia="en-AU"/>
        </w:rPr>
        <w:t>n</w:t>
      </w:r>
      <w:r w:rsidR="00716DE5">
        <w:rPr>
          <w:rFonts w:eastAsia="Segoe UI" w:cstheme="minorHAnsi"/>
          <w:color w:val="011A3C"/>
          <w:sz w:val="24"/>
          <w:szCs w:val="24"/>
          <w:lang w:val="en" w:eastAsia="en-AU"/>
        </w:rPr>
        <w:t>-</w:t>
      </w:r>
      <w:r w:rsidR="00775F8E" w:rsidRPr="00260C1D">
        <w:rPr>
          <w:rFonts w:eastAsia="Segoe UI" w:cstheme="minorHAnsi"/>
          <w:color w:val="011A3C"/>
          <w:sz w:val="24"/>
          <w:szCs w:val="24"/>
          <w:lang w:val="en" w:eastAsia="en-AU"/>
        </w:rPr>
        <w:t>cost</w:t>
      </w:r>
      <w:r w:rsidR="00631A33" w:rsidRPr="00260C1D">
        <w:rPr>
          <w:rFonts w:eastAsia="Segoe UI" w:cstheme="minorHAnsi"/>
          <w:color w:val="011A3C"/>
          <w:sz w:val="24"/>
          <w:szCs w:val="24"/>
          <w:lang w:val="en" w:eastAsia="en-AU"/>
        </w:rPr>
        <w:t>s</w:t>
      </w:r>
      <w:r w:rsidR="00775F8E" w:rsidRPr="00260C1D">
        <w:rPr>
          <w:rFonts w:eastAsia="Segoe UI" w:cstheme="minorHAnsi"/>
          <w:color w:val="011A3C"/>
          <w:sz w:val="24"/>
          <w:szCs w:val="24"/>
          <w:lang w:val="en" w:eastAsia="en-AU"/>
        </w:rPr>
        <w:t xml:space="preserve"> (</w:t>
      </w:r>
      <w:r w:rsidR="00716DE5">
        <w:rPr>
          <w:rFonts w:eastAsia="Segoe UI" w:cstheme="minorHAnsi"/>
          <w:color w:val="011A3C"/>
          <w:sz w:val="24"/>
          <w:szCs w:val="24"/>
          <w:lang w:val="en" w:eastAsia="en-AU"/>
        </w:rPr>
        <w:t>s</w:t>
      </w:r>
      <w:r w:rsidR="00775F8E" w:rsidRPr="00260C1D">
        <w:rPr>
          <w:rFonts w:eastAsia="Segoe UI" w:cstheme="minorHAnsi"/>
          <w:color w:val="011A3C"/>
          <w:sz w:val="24"/>
          <w:szCs w:val="24"/>
          <w:lang w:val="en" w:eastAsia="en-AU"/>
        </w:rPr>
        <w:t xml:space="preserve">uperannuation and </w:t>
      </w:r>
      <w:r w:rsidR="00716DE5">
        <w:rPr>
          <w:rFonts w:eastAsia="Segoe UI" w:cstheme="minorHAnsi"/>
          <w:color w:val="011A3C"/>
          <w:sz w:val="24"/>
          <w:szCs w:val="24"/>
          <w:lang w:val="en" w:eastAsia="en-AU"/>
        </w:rPr>
        <w:t>p</w:t>
      </w:r>
      <w:r w:rsidR="00775F8E" w:rsidRPr="00260C1D">
        <w:rPr>
          <w:rFonts w:eastAsia="Segoe UI" w:cstheme="minorHAnsi"/>
          <w:color w:val="011A3C"/>
          <w:sz w:val="24"/>
          <w:szCs w:val="24"/>
          <w:lang w:val="en" w:eastAsia="en-AU"/>
        </w:rPr>
        <w:t xml:space="preserve">ayroll </w:t>
      </w:r>
      <w:r w:rsidR="00716DE5">
        <w:rPr>
          <w:rFonts w:eastAsia="Segoe UI" w:cstheme="minorHAnsi"/>
          <w:color w:val="011A3C"/>
          <w:sz w:val="24"/>
          <w:szCs w:val="24"/>
          <w:lang w:val="en" w:eastAsia="en-AU"/>
        </w:rPr>
        <w:t>t</w:t>
      </w:r>
      <w:r w:rsidR="00775F8E" w:rsidRPr="00260C1D">
        <w:rPr>
          <w:rFonts w:eastAsia="Segoe UI" w:cstheme="minorHAnsi"/>
          <w:color w:val="011A3C"/>
          <w:sz w:val="24"/>
          <w:szCs w:val="24"/>
          <w:lang w:val="en" w:eastAsia="en-AU"/>
        </w:rPr>
        <w:t>ax)</w:t>
      </w:r>
    </w:p>
    <w:p w14:paraId="423FA6DB" w14:textId="77777777" w:rsidR="007B0EF6" w:rsidRPr="00260C1D" w:rsidRDefault="007B0EF6">
      <w:pPr>
        <w:rPr>
          <w:rFonts w:eastAsia="MS Gothic" w:cstheme="minorHAnsi"/>
          <w:b/>
          <w:color w:val="2F5496" w:themeColor="accent1" w:themeShade="BF"/>
          <w:sz w:val="36"/>
          <w:szCs w:val="26"/>
          <w:lang w:val="en" w:eastAsia="en-AU"/>
        </w:rPr>
      </w:pPr>
      <w:r w:rsidRPr="00260C1D">
        <w:rPr>
          <w:rFonts w:cstheme="minorHAnsi"/>
        </w:rPr>
        <w:br w:type="page"/>
      </w:r>
    </w:p>
    <w:p w14:paraId="6B83EAC3" w14:textId="2DD43D47" w:rsidR="009753DC" w:rsidRPr="00260C1D" w:rsidRDefault="009753DC" w:rsidP="00532A33">
      <w:pPr>
        <w:pStyle w:val="Heading2"/>
      </w:pPr>
      <w:bookmarkStart w:id="172" w:name="_Toc141965268"/>
      <w:bookmarkStart w:id="173" w:name="_Toc145339598"/>
      <w:bookmarkStart w:id="174" w:name="_Toc153791921"/>
      <w:r w:rsidRPr="00260C1D">
        <w:lastRenderedPageBreak/>
        <w:t>Instrumental Music Programs (Reference 41)</w:t>
      </w:r>
      <w:bookmarkEnd w:id="172"/>
      <w:bookmarkEnd w:id="173"/>
      <w:bookmarkEnd w:id="174"/>
    </w:p>
    <w:p w14:paraId="3ED23DE4" w14:textId="796B3F0A" w:rsidR="009753DC" w:rsidRPr="00260C1D" w:rsidRDefault="009753DC" w:rsidP="009753D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Instrumental Music Program provides funding opportunities for new and/or developing secondary schools that were not available previously and regions will now have greater flexibility to target resources to highest priority programs. The level </w:t>
      </w:r>
      <w:r w:rsidR="00B24032" w:rsidRPr="00260C1D">
        <w:rPr>
          <w:rFonts w:eastAsia="Segoe UI" w:cstheme="minorHAnsi"/>
          <w:color w:val="011A3C"/>
          <w:sz w:val="24"/>
          <w:szCs w:val="24"/>
          <w:lang w:val="en" w:eastAsia="en-AU"/>
        </w:rPr>
        <w:t>of funding</w:t>
      </w:r>
      <w:r w:rsidR="008D0E24"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is determined by </w:t>
      </w:r>
      <w:r w:rsidR="008D0E24" w:rsidRPr="00260C1D">
        <w:rPr>
          <w:rFonts w:eastAsia="Segoe UI" w:cstheme="minorHAnsi"/>
          <w:color w:val="011A3C"/>
          <w:sz w:val="24"/>
          <w:szCs w:val="24"/>
          <w:lang w:val="en" w:eastAsia="en-AU"/>
        </w:rPr>
        <w:t xml:space="preserve">individual </w:t>
      </w:r>
      <w:r w:rsidR="00A97F91" w:rsidRPr="00260C1D">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egions.</w:t>
      </w:r>
      <w:r w:rsidR="007A1176" w:rsidRPr="00260C1D">
        <w:rPr>
          <w:rFonts w:eastAsia="Segoe UI" w:cstheme="minorHAnsi"/>
          <w:color w:val="011A3C"/>
          <w:sz w:val="24"/>
          <w:szCs w:val="24"/>
          <w:lang w:val="en" w:eastAsia="en-AU"/>
        </w:rPr>
        <w:t xml:space="preserve"> </w:t>
      </w:r>
    </w:p>
    <w:p w14:paraId="68144C69" w14:textId="107BA64F" w:rsidR="009753DC" w:rsidRPr="00260C1D" w:rsidRDefault="002104B8" w:rsidP="00FF25C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Funding is calculated at the Indicative cycle and may be updated at the Confirmed </w:t>
      </w:r>
      <w:r w:rsidR="00B24032" w:rsidRPr="00260C1D">
        <w:rPr>
          <w:rFonts w:eastAsia="Segoe UI" w:cstheme="minorHAnsi"/>
          <w:color w:val="011A3C"/>
          <w:sz w:val="24"/>
          <w:szCs w:val="24"/>
          <w:lang w:val="en" w:eastAsia="en-AU"/>
        </w:rPr>
        <w:t>cycle</w:t>
      </w:r>
      <w:r w:rsidR="002E0151">
        <w:rPr>
          <w:rFonts w:eastAsia="Segoe UI" w:cstheme="minorHAnsi"/>
          <w:color w:val="011A3C"/>
          <w:sz w:val="24"/>
          <w:szCs w:val="24"/>
          <w:lang w:val="en" w:eastAsia="en-AU"/>
        </w:rPr>
        <w:t>. F</w:t>
      </w:r>
      <w:r w:rsidRPr="00260C1D">
        <w:rPr>
          <w:rFonts w:eastAsia="Segoe UI" w:cstheme="minorHAnsi"/>
          <w:color w:val="011A3C"/>
          <w:sz w:val="24"/>
          <w:szCs w:val="24"/>
          <w:lang w:val="en" w:eastAsia="en-AU"/>
        </w:rPr>
        <w:t>unding is allocated through credit funding.</w:t>
      </w:r>
      <w:r w:rsidR="003F7AF6" w:rsidRPr="00260C1D">
        <w:rPr>
          <w:rFonts w:eastAsia="Segoe UI" w:cstheme="minorHAnsi"/>
          <w:color w:val="011A3C"/>
          <w:sz w:val="24"/>
          <w:szCs w:val="24"/>
          <w:lang w:val="en" w:eastAsia="en-AU"/>
        </w:rPr>
        <w:t xml:space="preserve"> Funding also includes on</w:t>
      </w:r>
      <w:r w:rsidR="002E0151">
        <w:rPr>
          <w:rFonts w:eastAsia="Segoe UI" w:cstheme="minorHAnsi"/>
          <w:color w:val="011A3C"/>
          <w:sz w:val="24"/>
          <w:szCs w:val="24"/>
          <w:lang w:val="en" w:eastAsia="en-AU"/>
        </w:rPr>
        <w:t>-</w:t>
      </w:r>
      <w:r w:rsidR="003F7AF6" w:rsidRPr="00260C1D">
        <w:rPr>
          <w:rFonts w:eastAsia="Segoe UI" w:cstheme="minorHAnsi"/>
          <w:color w:val="011A3C"/>
          <w:sz w:val="24"/>
          <w:szCs w:val="24"/>
          <w:lang w:val="en" w:eastAsia="en-AU"/>
        </w:rPr>
        <w:t>costs, specifically payroll tax and superannuation.</w:t>
      </w:r>
    </w:p>
    <w:p w14:paraId="1F8539BE" w14:textId="26D82F87" w:rsidR="007B0EF6" w:rsidRPr="00833928" w:rsidRDefault="009753DC">
      <w:pPr>
        <w:rPr>
          <w:b/>
          <w:color w:val="2F5496" w:themeColor="accent1" w:themeShade="BF"/>
          <w:sz w:val="36"/>
          <w:lang w:val="en"/>
        </w:rPr>
      </w:pPr>
      <w:r w:rsidRPr="00260C1D">
        <w:rPr>
          <w:rFonts w:cstheme="minorHAnsi"/>
        </w:rPr>
        <w:br w:type="page"/>
      </w:r>
    </w:p>
    <w:p w14:paraId="66B28AA1" w14:textId="20DF9245" w:rsidR="009753DC" w:rsidRPr="00260C1D" w:rsidRDefault="009753DC" w:rsidP="00532A33">
      <w:pPr>
        <w:pStyle w:val="Heading2"/>
      </w:pPr>
      <w:bookmarkStart w:id="175" w:name="_Toc141965270"/>
      <w:bookmarkStart w:id="176" w:name="_Toc145339599"/>
      <w:bookmarkStart w:id="177" w:name="_Toc153791922"/>
      <w:r w:rsidRPr="00260C1D">
        <w:lastRenderedPageBreak/>
        <w:t>Bus coordination (Reference 43)</w:t>
      </w:r>
      <w:bookmarkEnd w:id="175"/>
      <w:bookmarkEnd w:id="176"/>
      <w:bookmarkEnd w:id="177"/>
    </w:p>
    <w:p w14:paraId="79CE13DC" w14:textId="3E9C8DCD" w:rsidR="002104B8" w:rsidRPr="00260C1D" w:rsidRDefault="00BD04CA" w:rsidP="002104B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allocations are determined by regional offices</w:t>
      </w:r>
      <w:r w:rsidR="008D0E24" w:rsidRPr="00260C1D">
        <w:rPr>
          <w:rFonts w:eastAsia="Segoe UI" w:cstheme="minorHAnsi"/>
          <w:color w:val="011A3C"/>
          <w:sz w:val="24"/>
          <w:szCs w:val="24"/>
          <w:lang w:val="en" w:eastAsia="en-AU"/>
        </w:rPr>
        <w:t>, the</w:t>
      </w:r>
      <w:r w:rsidRPr="00260C1D" w:rsidDel="00BD04CA">
        <w:rPr>
          <w:rFonts w:eastAsia="Segoe UI" w:cstheme="minorHAnsi"/>
          <w:color w:val="011A3C"/>
          <w:sz w:val="24"/>
          <w:szCs w:val="24"/>
          <w:lang w:val="en" w:eastAsia="en-AU"/>
        </w:rPr>
        <w:t xml:space="preserve"> </w:t>
      </w:r>
      <w:r w:rsidR="008D0E24" w:rsidRPr="00260C1D">
        <w:rPr>
          <w:rFonts w:eastAsia="Segoe UI" w:cstheme="minorHAnsi"/>
          <w:color w:val="011A3C"/>
          <w:sz w:val="24"/>
          <w:szCs w:val="24"/>
          <w:lang w:val="en" w:eastAsia="en-AU"/>
        </w:rPr>
        <w:t>f</w:t>
      </w:r>
      <w:r w:rsidR="002104B8" w:rsidRPr="00260C1D">
        <w:rPr>
          <w:rFonts w:eastAsia="Segoe UI" w:cstheme="minorHAnsi"/>
          <w:color w:val="011A3C"/>
          <w:sz w:val="24"/>
          <w:szCs w:val="24"/>
          <w:lang w:val="en" w:eastAsia="en-AU"/>
        </w:rPr>
        <w:t>unding is calculated at the Indicative cycle and may be updated at the Confirmed cycle</w:t>
      </w:r>
      <w:r w:rsidR="005976E1">
        <w:rPr>
          <w:rFonts w:eastAsia="Segoe UI" w:cstheme="minorHAnsi"/>
          <w:color w:val="011A3C"/>
          <w:sz w:val="24"/>
          <w:szCs w:val="24"/>
          <w:lang w:val="en" w:eastAsia="en-AU"/>
        </w:rPr>
        <w:t>. F</w:t>
      </w:r>
      <w:r w:rsidR="002104B8" w:rsidRPr="00260C1D">
        <w:rPr>
          <w:rFonts w:eastAsia="Segoe UI" w:cstheme="minorHAnsi"/>
          <w:color w:val="011A3C"/>
          <w:sz w:val="24"/>
          <w:szCs w:val="24"/>
          <w:lang w:val="en" w:eastAsia="en-AU"/>
        </w:rPr>
        <w:t>unding is allocated through credit funding.</w:t>
      </w:r>
    </w:p>
    <w:p w14:paraId="71DCCEB6" w14:textId="77777777" w:rsidR="002104B8" w:rsidRPr="00260C1D" w:rsidRDefault="002104B8" w:rsidP="002104B8">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3EF31C9F" w14:textId="5D4C1B00" w:rsidR="002104B8" w:rsidRPr="00260C1D" w:rsidRDefault="002104B8" w:rsidP="002104B8">
      <w:pPr>
        <w:spacing w:before="100" w:beforeAutospacing="1" w:after="100" w:afterAutospacing="1" w:line="288" w:lineRule="atLeast"/>
        <w:outlineLvl w:val="2"/>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Bus coordination funding = School </w:t>
      </w:r>
      <w:r w:rsidR="003856C7">
        <w:rPr>
          <w:rFonts w:eastAsia="Segoe UI" w:cstheme="minorHAnsi"/>
          <w:color w:val="011A3C"/>
          <w:sz w:val="24"/>
          <w:szCs w:val="24"/>
          <w:lang w:val="en" w:eastAsia="en-AU"/>
        </w:rPr>
        <w:t>FTE</w:t>
      </w:r>
      <w:r w:rsidRPr="00260C1D">
        <w:rPr>
          <w:rFonts w:eastAsia="Segoe UI" w:cstheme="minorHAnsi"/>
          <w:color w:val="011A3C"/>
          <w:sz w:val="24"/>
          <w:szCs w:val="24"/>
          <w:lang w:val="en" w:eastAsia="en-AU"/>
        </w:rPr>
        <w:t xml:space="preserve"> </w:t>
      </w:r>
      <w:r w:rsidR="00AE1EC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BD04CA" w:rsidRPr="00260C1D">
        <w:rPr>
          <w:rFonts w:eastAsia="Segoe UI" w:cstheme="minorHAnsi"/>
          <w:color w:val="011A3C"/>
          <w:sz w:val="24"/>
          <w:szCs w:val="24"/>
          <w:lang w:val="en" w:eastAsia="en-AU"/>
        </w:rPr>
        <w:t xml:space="preserve">ES </w:t>
      </w:r>
      <w:r w:rsidR="005976E1">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p>
    <w:p w14:paraId="0F9DC706" w14:textId="44CEEA42" w:rsidR="002104B8" w:rsidRPr="00260C1D" w:rsidRDefault="002104B8" w:rsidP="002104B8">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202</w:t>
      </w:r>
      <w:r w:rsidR="00A8717C">
        <w:rPr>
          <w:rFonts w:eastAsia="Segoe UI" w:cstheme="minorHAnsi"/>
          <w:b/>
          <w:color w:val="011A3C"/>
          <w:sz w:val="27"/>
          <w:szCs w:val="27"/>
          <w:lang w:val="en" w:eastAsia="en-AU"/>
        </w:rPr>
        <w:t>4</w:t>
      </w:r>
    </w:p>
    <w:p w14:paraId="5E604DF8" w14:textId="50FDC429" w:rsidR="009753DC" w:rsidRPr="00260C1D" w:rsidRDefault="0058039F" w:rsidP="004D1CF3">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w:t>
      </w:r>
      <w:r w:rsidR="002104B8" w:rsidRPr="00260C1D">
        <w:rPr>
          <w:rFonts w:eastAsia="Segoe UI" w:cstheme="minorHAnsi"/>
          <w:color w:val="011A3C"/>
          <w:sz w:val="24"/>
          <w:szCs w:val="24"/>
          <w:lang w:val="en" w:eastAsia="en-AU"/>
        </w:rPr>
        <w:t xml:space="preserve">nnual </w:t>
      </w:r>
      <w:r>
        <w:rPr>
          <w:rFonts w:eastAsia="Segoe UI" w:cstheme="minorHAnsi"/>
          <w:color w:val="011A3C"/>
          <w:sz w:val="24"/>
          <w:szCs w:val="24"/>
          <w:lang w:val="en" w:eastAsia="en-AU"/>
        </w:rPr>
        <w:t>f</w:t>
      </w:r>
      <w:r w:rsidR="002104B8" w:rsidRPr="00260C1D">
        <w:rPr>
          <w:rFonts w:eastAsia="Segoe UI" w:cstheme="minorHAnsi"/>
          <w:color w:val="011A3C"/>
          <w:sz w:val="24"/>
          <w:szCs w:val="24"/>
          <w:lang w:val="en" w:eastAsia="en-AU"/>
        </w:rPr>
        <w:t>ull</w:t>
      </w:r>
      <w:r>
        <w:rPr>
          <w:rFonts w:eastAsia="Segoe UI" w:cstheme="minorHAnsi"/>
          <w:color w:val="011A3C"/>
          <w:sz w:val="24"/>
          <w:szCs w:val="24"/>
          <w:lang w:val="en" w:eastAsia="en-AU"/>
        </w:rPr>
        <w:t>-t</w:t>
      </w:r>
      <w:r w:rsidR="002104B8" w:rsidRPr="00260C1D">
        <w:rPr>
          <w:rFonts w:eastAsia="Segoe UI" w:cstheme="minorHAnsi"/>
          <w:color w:val="011A3C"/>
          <w:sz w:val="24"/>
          <w:szCs w:val="24"/>
          <w:lang w:val="en" w:eastAsia="en-AU"/>
        </w:rPr>
        <w:t xml:space="preserve">ime </w:t>
      </w:r>
      <w:r w:rsidR="00BD04CA" w:rsidRPr="00260C1D">
        <w:rPr>
          <w:rFonts w:eastAsia="Segoe UI" w:cstheme="minorHAnsi"/>
          <w:color w:val="011A3C"/>
          <w:sz w:val="24"/>
          <w:szCs w:val="24"/>
          <w:lang w:val="en" w:eastAsia="en-AU"/>
        </w:rPr>
        <w:t xml:space="preserve">ES </w:t>
      </w:r>
      <w:r>
        <w:rPr>
          <w:rFonts w:eastAsia="Segoe UI" w:cstheme="minorHAnsi"/>
          <w:color w:val="011A3C"/>
          <w:sz w:val="24"/>
          <w:szCs w:val="24"/>
          <w:lang w:val="en" w:eastAsia="en-AU"/>
        </w:rPr>
        <w:t>r</w:t>
      </w:r>
      <w:r w:rsidR="002104B8" w:rsidRPr="00260C1D">
        <w:rPr>
          <w:rFonts w:eastAsia="Segoe UI" w:cstheme="minorHAnsi"/>
          <w:color w:val="011A3C"/>
          <w:sz w:val="24"/>
          <w:szCs w:val="24"/>
          <w:lang w:val="en" w:eastAsia="en-AU"/>
        </w:rPr>
        <w:t>ate</w:t>
      </w:r>
      <w:r>
        <w:rPr>
          <w:rFonts w:eastAsia="Segoe UI" w:cstheme="minorHAnsi"/>
          <w:color w:val="011A3C"/>
          <w:sz w:val="24"/>
          <w:szCs w:val="24"/>
          <w:lang w:val="en" w:eastAsia="en-AU"/>
        </w:rPr>
        <w:t>:</w:t>
      </w:r>
      <w:r w:rsidR="002104B8" w:rsidRPr="00260C1D">
        <w:rPr>
          <w:rFonts w:eastAsia="Segoe UI" w:cstheme="minorHAnsi"/>
          <w:color w:val="011A3C"/>
          <w:sz w:val="24"/>
          <w:szCs w:val="24"/>
          <w:lang w:val="en" w:eastAsia="en-AU"/>
        </w:rPr>
        <w:t> </w:t>
      </w:r>
      <w:r w:rsidR="00BD04CA" w:rsidRPr="00260C1D">
        <w:rPr>
          <w:rFonts w:eastAsia="Segoe UI" w:cstheme="minorHAnsi"/>
          <w:color w:val="011A3C"/>
          <w:sz w:val="24"/>
          <w:szCs w:val="24"/>
          <w:lang w:val="en" w:eastAsia="en-AU"/>
        </w:rPr>
        <w:t>$</w:t>
      </w:r>
      <w:r w:rsidR="000A71BC" w:rsidRPr="000A71BC">
        <w:rPr>
          <w:rFonts w:eastAsia="Segoe UI" w:cstheme="minorHAnsi"/>
          <w:color w:val="011A3C"/>
          <w:sz w:val="24"/>
          <w:szCs w:val="24"/>
          <w:lang w:val="en" w:eastAsia="en-AU"/>
        </w:rPr>
        <w:t>92,798</w:t>
      </w:r>
    </w:p>
    <w:p w14:paraId="2F9C15BC" w14:textId="77777777" w:rsidR="009753DC" w:rsidRPr="00260C1D" w:rsidRDefault="009753DC" w:rsidP="009753DC">
      <w:pPr>
        <w:rPr>
          <w:rFonts w:cstheme="minorHAnsi"/>
        </w:rPr>
      </w:pPr>
      <w:r w:rsidRPr="00260C1D">
        <w:rPr>
          <w:rFonts w:cstheme="minorHAnsi"/>
        </w:rPr>
        <w:br w:type="page"/>
      </w:r>
    </w:p>
    <w:p w14:paraId="11FAA3B1" w14:textId="7F742B3F" w:rsidR="009753DC" w:rsidRPr="00260C1D" w:rsidRDefault="009753DC" w:rsidP="00532A33">
      <w:pPr>
        <w:pStyle w:val="Heading2"/>
      </w:pPr>
      <w:bookmarkStart w:id="178" w:name="_Toc141965271"/>
      <w:bookmarkStart w:id="179" w:name="_Toc145339600"/>
      <w:bookmarkStart w:id="180" w:name="_Toc153791923"/>
      <w:r w:rsidRPr="00260C1D">
        <w:lastRenderedPageBreak/>
        <w:t>Country Area Program Grant (Reference 45)</w:t>
      </w:r>
      <w:bookmarkEnd w:id="178"/>
      <w:bookmarkEnd w:id="179"/>
      <w:bookmarkEnd w:id="180"/>
    </w:p>
    <w:p w14:paraId="61745AFE" w14:textId="5E298647" w:rsidR="00DA1745" w:rsidRPr="00260C1D" w:rsidRDefault="00DA1745" w:rsidP="00C116FE">
      <w:pPr>
        <w:spacing w:before="100" w:beforeAutospacing="1" w:after="0"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purpose of this funding line is to improve the capacity of country schools to broaden</w:t>
      </w:r>
      <w:r w:rsidR="00FA5388"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the curriculum, improve </w:t>
      </w:r>
      <w:r w:rsidR="008219AE">
        <w:rPr>
          <w:rFonts w:eastAsia="Segoe UI" w:cstheme="minorHAnsi"/>
          <w:color w:val="011A3C"/>
          <w:sz w:val="24"/>
          <w:szCs w:val="24"/>
          <w:lang w:val="en" w:eastAsia="en-AU"/>
        </w:rPr>
        <w:t>Information and Communication Technology (</w:t>
      </w:r>
      <w:r w:rsidRPr="00260C1D">
        <w:rPr>
          <w:rFonts w:eastAsia="Segoe UI" w:cstheme="minorHAnsi"/>
          <w:color w:val="011A3C"/>
          <w:sz w:val="24"/>
          <w:szCs w:val="24"/>
          <w:lang w:val="en" w:eastAsia="en-AU"/>
        </w:rPr>
        <w:t>ICT</w:t>
      </w:r>
      <w:r w:rsidR="008219AE">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professional development and promote networking.</w:t>
      </w:r>
    </w:p>
    <w:p w14:paraId="58CCC2E5" w14:textId="3F8E6D07" w:rsidR="00DA1745" w:rsidRPr="00260C1D" w:rsidRDefault="00DA1745" w:rsidP="00DA174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provided to schools with campuses meeting the eligibility criteria. Allocations comprise</w:t>
      </w:r>
      <w:r w:rsidR="008219AE">
        <w:rPr>
          <w:rFonts w:eastAsia="Segoe UI" w:cstheme="minorHAnsi"/>
          <w:color w:val="011A3C"/>
          <w:sz w:val="24"/>
          <w:szCs w:val="24"/>
          <w:lang w:val="en" w:eastAsia="en-AU"/>
        </w:rPr>
        <w:t xml:space="preserve"> of</w:t>
      </w:r>
      <w:r w:rsidRPr="00260C1D">
        <w:rPr>
          <w:rFonts w:eastAsia="Segoe UI" w:cstheme="minorHAnsi"/>
          <w:color w:val="011A3C"/>
          <w:sz w:val="24"/>
          <w:szCs w:val="24"/>
          <w:lang w:val="en" w:eastAsia="en-AU"/>
        </w:rPr>
        <w:t xml:space="preserve"> </w:t>
      </w:r>
      <w:r w:rsidR="008219AE">
        <w:rPr>
          <w:rFonts w:eastAsia="Segoe UI" w:cstheme="minorHAnsi"/>
          <w:color w:val="011A3C"/>
          <w:sz w:val="24"/>
          <w:szCs w:val="24"/>
          <w:lang w:val="en" w:eastAsia="en-AU"/>
        </w:rPr>
        <w:t xml:space="preserve">a </w:t>
      </w:r>
      <w:r w:rsidRPr="00260C1D">
        <w:rPr>
          <w:rFonts w:eastAsia="Segoe UI" w:cstheme="minorHAnsi"/>
          <w:color w:val="011A3C"/>
          <w:sz w:val="24"/>
          <w:szCs w:val="24"/>
          <w:lang w:val="en" w:eastAsia="en-AU"/>
        </w:rPr>
        <w:t xml:space="preserve">base </w:t>
      </w:r>
      <w:r w:rsidR="008219AE">
        <w:rPr>
          <w:rFonts w:eastAsia="Segoe UI" w:cstheme="minorHAnsi"/>
          <w:color w:val="011A3C"/>
          <w:sz w:val="24"/>
          <w:szCs w:val="24"/>
          <w:lang w:val="en" w:eastAsia="en-AU"/>
        </w:rPr>
        <w:t xml:space="preserve">component </w:t>
      </w:r>
      <w:r w:rsidRPr="00260C1D">
        <w:rPr>
          <w:rFonts w:eastAsia="Segoe UI" w:cstheme="minorHAnsi"/>
          <w:color w:val="011A3C"/>
          <w:sz w:val="24"/>
          <w:szCs w:val="24"/>
          <w:lang w:val="en" w:eastAsia="en-AU"/>
        </w:rPr>
        <w:t xml:space="preserve">and </w:t>
      </w:r>
      <w:r w:rsidR="008219AE">
        <w:rPr>
          <w:rFonts w:eastAsia="Segoe UI" w:cstheme="minorHAnsi"/>
          <w:color w:val="011A3C"/>
          <w:sz w:val="24"/>
          <w:szCs w:val="24"/>
          <w:lang w:val="en" w:eastAsia="en-AU"/>
        </w:rPr>
        <w:t xml:space="preserve">a </w:t>
      </w:r>
      <w:r w:rsidRPr="00260C1D">
        <w:rPr>
          <w:rFonts w:eastAsia="Segoe UI" w:cstheme="minorHAnsi"/>
          <w:color w:val="011A3C"/>
          <w:sz w:val="24"/>
          <w:szCs w:val="24"/>
          <w:lang w:val="en" w:eastAsia="en-AU"/>
        </w:rPr>
        <w:t xml:space="preserve">per student </w:t>
      </w:r>
      <w:r w:rsidR="008219AE">
        <w:rPr>
          <w:rFonts w:eastAsia="Segoe UI" w:cstheme="minorHAnsi"/>
          <w:color w:val="011A3C"/>
          <w:sz w:val="24"/>
          <w:szCs w:val="24"/>
          <w:lang w:val="en" w:eastAsia="en-AU"/>
        </w:rPr>
        <w:t>component</w:t>
      </w:r>
      <w:r w:rsidRPr="00260C1D">
        <w:rPr>
          <w:rFonts w:eastAsia="Segoe UI" w:cstheme="minorHAnsi"/>
          <w:color w:val="011A3C"/>
          <w:sz w:val="24"/>
          <w:szCs w:val="24"/>
          <w:lang w:val="en" w:eastAsia="en-AU"/>
        </w:rPr>
        <w:t>, which increase with distance from Melbourne.</w:t>
      </w:r>
    </w:p>
    <w:p w14:paraId="127C9763" w14:textId="77777777" w:rsidR="009753DC" w:rsidRPr="00260C1D" w:rsidRDefault="009753DC" w:rsidP="009753DC">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 criteria</w:t>
      </w:r>
    </w:p>
    <w:p w14:paraId="20BBF5D4" w14:textId="77777777" w:rsidR="00DA1745" w:rsidRPr="00260C1D" w:rsidRDefault="00DA1745" w:rsidP="00DA174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Campuses of any type that meet all of the following location criteria are eligible: </w:t>
      </w:r>
    </w:p>
    <w:p w14:paraId="65D28DCC" w14:textId="55F97C29" w:rsidR="00DA1745" w:rsidRPr="00260C1D" w:rsidRDefault="008219AE"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M</w:t>
      </w:r>
      <w:r w:rsidR="00DA1745" w:rsidRPr="738305D2">
        <w:rPr>
          <w:rFonts w:eastAsia="Segoe UI"/>
          <w:color w:val="011A3C"/>
          <w:sz w:val="24"/>
          <w:szCs w:val="24"/>
          <w:lang w:val="en" w:eastAsia="en-AU"/>
        </w:rPr>
        <w:t>ore than 150km from Melbourne (as measured from GPO), and</w:t>
      </w:r>
    </w:p>
    <w:p w14:paraId="5996A566" w14:textId="5F1D09D5" w:rsidR="00DA1745" w:rsidRPr="00260C1D" w:rsidRDefault="008219AE"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M</w:t>
      </w:r>
      <w:r w:rsidR="00DA1745" w:rsidRPr="738305D2">
        <w:rPr>
          <w:rFonts w:eastAsia="Segoe UI"/>
          <w:color w:val="011A3C"/>
          <w:sz w:val="24"/>
          <w:szCs w:val="24"/>
          <w:lang w:val="en" w:eastAsia="en-AU"/>
        </w:rPr>
        <w:t xml:space="preserve">ore than 25km from the nearest provincial </w:t>
      </w:r>
      <w:proofErr w:type="spellStart"/>
      <w:r w:rsidR="00DA1745" w:rsidRPr="738305D2">
        <w:rPr>
          <w:rFonts w:eastAsia="Segoe UI"/>
          <w:color w:val="011A3C"/>
          <w:sz w:val="24"/>
          <w:szCs w:val="24"/>
          <w:lang w:val="en" w:eastAsia="en-AU"/>
        </w:rPr>
        <w:t>centre</w:t>
      </w:r>
      <w:proofErr w:type="spellEnd"/>
      <w:r w:rsidR="00DA1745" w:rsidRPr="738305D2">
        <w:rPr>
          <w:rFonts w:eastAsia="Segoe UI"/>
          <w:color w:val="011A3C"/>
          <w:sz w:val="24"/>
          <w:szCs w:val="24"/>
          <w:lang w:val="en" w:eastAsia="en-AU"/>
        </w:rPr>
        <w:t xml:space="preserve"> (town hall or similar used as point of measure, see below) with a population of more than 20,000 </w:t>
      </w:r>
      <w:r w:rsidR="00F5767A" w:rsidRPr="738305D2">
        <w:rPr>
          <w:rFonts w:eastAsia="Segoe UI"/>
          <w:color w:val="011A3C"/>
          <w:sz w:val="24"/>
          <w:szCs w:val="24"/>
          <w:lang w:val="en" w:eastAsia="en-AU"/>
        </w:rPr>
        <w:t>(</w:t>
      </w:r>
      <w:r w:rsidR="00DA1745" w:rsidRPr="738305D2">
        <w:rPr>
          <w:rFonts w:eastAsia="Segoe UI"/>
          <w:color w:val="011A3C"/>
          <w:sz w:val="24"/>
          <w:szCs w:val="24"/>
          <w:lang w:val="en" w:eastAsia="en-AU"/>
        </w:rPr>
        <w:t xml:space="preserve">as measured according to Australian Bureau of Statistics (ABS) Urban </w:t>
      </w:r>
      <w:proofErr w:type="spellStart"/>
      <w:r w:rsidR="00DA1745" w:rsidRPr="738305D2">
        <w:rPr>
          <w:rFonts w:eastAsia="Segoe UI"/>
          <w:color w:val="011A3C"/>
          <w:sz w:val="24"/>
          <w:szCs w:val="24"/>
          <w:lang w:val="en" w:eastAsia="en-AU"/>
        </w:rPr>
        <w:t>Centres</w:t>
      </w:r>
      <w:proofErr w:type="spellEnd"/>
      <w:r w:rsidR="00DA1745" w:rsidRPr="738305D2">
        <w:rPr>
          <w:rFonts w:eastAsia="Segoe UI"/>
          <w:color w:val="011A3C"/>
          <w:sz w:val="24"/>
          <w:szCs w:val="24"/>
          <w:lang w:val="en" w:eastAsia="en-AU"/>
        </w:rPr>
        <w:t xml:space="preserve"> and Localities (UCL)</w:t>
      </w:r>
      <w:r w:rsidR="000657A7" w:rsidRPr="738305D2">
        <w:rPr>
          <w:rFonts w:eastAsia="Segoe UI"/>
          <w:color w:val="011A3C"/>
          <w:sz w:val="24"/>
          <w:szCs w:val="24"/>
          <w:lang w:val="en" w:eastAsia="en-AU"/>
        </w:rPr>
        <w:t xml:space="preserve"> </w:t>
      </w:r>
      <w:r w:rsidR="00DA1745" w:rsidRPr="738305D2">
        <w:rPr>
          <w:rFonts w:eastAsia="Segoe UI"/>
          <w:color w:val="011A3C"/>
          <w:sz w:val="24"/>
          <w:szCs w:val="24"/>
          <w:lang w:val="en" w:eastAsia="en-AU"/>
        </w:rPr>
        <w:t>2016)</w:t>
      </w:r>
    </w:p>
    <w:p w14:paraId="03540F2D" w14:textId="780F2184" w:rsidR="00DA1745" w:rsidRPr="00260C1D" w:rsidRDefault="00B5183E"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I</w:t>
      </w:r>
      <w:r w:rsidR="00DA1745" w:rsidRPr="738305D2">
        <w:rPr>
          <w:rFonts w:eastAsia="Segoe UI"/>
          <w:color w:val="011A3C"/>
          <w:sz w:val="24"/>
          <w:szCs w:val="24"/>
          <w:lang w:val="en" w:eastAsia="en-AU"/>
        </w:rPr>
        <w:t>n a community with a population of less than 5</w:t>
      </w:r>
      <w:r w:rsidR="00F5767A" w:rsidRPr="738305D2">
        <w:rPr>
          <w:rFonts w:eastAsia="Segoe UI"/>
          <w:color w:val="011A3C"/>
          <w:sz w:val="24"/>
          <w:szCs w:val="24"/>
          <w:lang w:val="en" w:eastAsia="en-AU"/>
        </w:rPr>
        <w:t>,</w:t>
      </w:r>
      <w:r w:rsidR="00DA1745" w:rsidRPr="738305D2">
        <w:rPr>
          <w:rFonts w:eastAsia="Segoe UI"/>
          <w:color w:val="011A3C"/>
          <w:sz w:val="24"/>
          <w:szCs w:val="24"/>
          <w:lang w:val="en" w:eastAsia="en-AU"/>
        </w:rPr>
        <w:t>000 (as measured according to UCL 2016).</w:t>
      </w:r>
    </w:p>
    <w:p w14:paraId="437BB205" w14:textId="77777777" w:rsidR="00DA1745" w:rsidRPr="00260C1D" w:rsidRDefault="00DA1745" w:rsidP="00DA1745">
      <w:pPr>
        <w:spacing w:after="0" w:line="240" w:lineRule="auto"/>
        <w:rPr>
          <w:rFonts w:cstheme="minorHAnsi"/>
          <w:sz w:val="24"/>
          <w:szCs w:val="24"/>
        </w:rPr>
      </w:pPr>
      <w:r w:rsidRPr="00260C1D">
        <w:rPr>
          <w:rFonts w:cstheme="minorHAnsi"/>
          <w:sz w:val="24"/>
          <w:szCs w:val="24"/>
        </w:rPr>
        <w:t>Table of Provincial Centres with a population of more than 20,000 according to UCL 2016.</w:t>
      </w:r>
    </w:p>
    <w:tbl>
      <w:tblPr>
        <w:tblStyle w:val="TableGrid11"/>
        <w:tblW w:w="8222" w:type="dxa"/>
        <w:tblInd w:w="-5" w:type="dxa"/>
        <w:tblLook w:val="04A0" w:firstRow="1" w:lastRow="0" w:firstColumn="1" w:lastColumn="0" w:noHBand="0" w:noVBand="1"/>
      </w:tblPr>
      <w:tblGrid>
        <w:gridCol w:w="2694"/>
        <w:gridCol w:w="5528"/>
      </w:tblGrid>
      <w:tr w:rsidR="00DA1745" w:rsidRPr="00260C1D" w14:paraId="7F9AF903" w14:textId="77777777" w:rsidTr="004D307F">
        <w:trPr>
          <w:trHeight w:val="300"/>
        </w:trPr>
        <w:tc>
          <w:tcPr>
            <w:tcW w:w="2694" w:type="dxa"/>
            <w:noWrap/>
            <w:hideMark/>
          </w:tcPr>
          <w:p w14:paraId="7B692FE0" w14:textId="77777777" w:rsidR="00DA1745" w:rsidRPr="00260C1D" w:rsidRDefault="00DA1745" w:rsidP="001F2ECD">
            <w:pPr>
              <w:spacing w:after="0" w:line="240" w:lineRule="auto"/>
              <w:rPr>
                <w:rFonts w:asciiTheme="minorHAnsi" w:hAnsiTheme="minorHAnsi" w:cstheme="minorHAnsi"/>
                <w:b/>
                <w:color w:val="323E4F" w:themeColor="text2" w:themeShade="BF"/>
                <w:sz w:val="24"/>
                <w:szCs w:val="24"/>
                <w:lang w:eastAsia="en-AU"/>
              </w:rPr>
            </w:pPr>
            <w:r w:rsidRPr="00260C1D">
              <w:rPr>
                <w:rFonts w:asciiTheme="minorHAnsi" w:hAnsiTheme="minorHAnsi" w:cstheme="minorHAnsi"/>
                <w:b/>
                <w:color w:val="323E4F" w:themeColor="text2" w:themeShade="BF"/>
                <w:sz w:val="24"/>
                <w:szCs w:val="24"/>
              </w:rPr>
              <w:t>Provincial Centre</w:t>
            </w:r>
          </w:p>
        </w:tc>
        <w:tc>
          <w:tcPr>
            <w:tcW w:w="5528" w:type="dxa"/>
            <w:noWrap/>
            <w:hideMark/>
          </w:tcPr>
          <w:p w14:paraId="0D5E8EDA" w14:textId="77777777" w:rsidR="00DA1745" w:rsidRPr="00260C1D" w:rsidRDefault="00DA1745" w:rsidP="001F2ECD">
            <w:pPr>
              <w:spacing w:after="0" w:line="240" w:lineRule="auto"/>
              <w:rPr>
                <w:rFonts w:asciiTheme="minorHAnsi" w:hAnsiTheme="minorHAnsi" w:cstheme="minorHAnsi"/>
                <w:b/>
                <w:color w:val="323E4F" w:themeColor="text2" w:themeShade="BF"/>
                <w:sz w:val="24"/>
                <w:szCs w:val="24"/>
                <w:lang w:eastAsia="en-AU"/>
              </w:rPr>
            </w:pPr>
            <w:r w:rsidRPr="00260C1D">
              <w:rPr>
                <w:rFonts w:asciiTheme="minorHAnsi" w:hAnsiTheme="minorHAnsi" w:cstheme="minorHAnsi"/>
                <w:b/>
                <w:color w:val="323E4F" w:themeColor="text2" w:themeShade="BF"/>
                <w:sz w:val="24"/>
                <w:szCs w:val="24"/>
              </w:rPr>
              <w:t>Point of measurement</w:t>
            </w:r>
          </w:p>
        </w:tc>
      </w:tr>
      <w:tr w:rsidR="00DA1745" w:rsidRPr="00260C1D" w14:paraId="5C688ECB" w14:textId="77777777" w:rsidTr="004D307F">
        <w:trPr>
          <w:trHeight w:val="300"/>
        </w:trPr>
        <w:tc>
          <w:tcPr>
            <w:tcW w:w="2694" w:type="dxa"/>
            <w:noWrap/>
            <w:hideMark/>
          </w:tcPr>
          <w:p w14:paraId="774FF4A7"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Geelong</w:t>
            </w:r>
          </w:p>
        </w:tc>
        <w:tc>
          <w:tcPr>
            <w:tcW w:w="5528" w:type="dxa"/>
            <w:noWrap/>
            <w:hideMark/>
          </w:tcPr>
          <w:p w14:paraId="5169A194"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Geelong City Hall</w:t>
            </w:r>
          </w:p>
        </w:tc>
      </w:tr>
      <w:tr w:rsidR="00DA1745" w:rsidRPr="00260C1D" w14:paraId="1C1C8635" w14:textId="77777777" w:rsidTr="004D307F">
        <w:trPr>
          <w:trHeight w:val="300"/>
        </w:trPr>
        <w:tc>
          <w:tcPr>
            <w:tcW w:w="2694" w:type="dxa"/>
            <w:noWrap/>
            <w:hideMark/>
          </w:tcPr>
          <w:p w14:paraId="323AEE65"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Ballarat</w:t>
            </w:r>
          </w:p>
        </w:tc>
        <w:tc>
          <w:tcPr>
            <w:tcW w:w="5528" w:type="dxa"/>
            <w:noWrap/>
            <w:hideMark/>
          </w:tcPr>
          <w:p w14:paraId="19D85AB5"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Ballarat Town Hall</w:t>
            </w:r>
          </w:p>
        </w:tc>
      </w:tr>
      <w:tr w:rsidR="00DA1745" w:rsidRPr="00260C1D" w14:paraId="69530063" w14:textId="77777777" w:rsidTr="004D307F">
        <w:trPr>
          <w:trHeight w:val="300"/>
        </w:trPr>
        <w:tc>
          <w:tcPr>
            <w:tcW w:w="2694" w:type="dxa"/>
            <w:noWrap/>
            <w:hideMark/>
          </w:tcPr>
          <w:p w14:paraId="0D55586D"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Bendigo</w:t>
            </w:r>
          </w:p>
        </w:tc>
        <w:tc>
          <w:tcPr>
            <w:tcW w:w="5528" w:type="dxa"/>
            <w:noWrap/>
            <w:hideMark/>
          </w:tcPr>
          <w:p w14:paraId="1E2E17C7"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Bendigo Town Hall</w:t>
            </w:r>
          </w:p>
        </w:tc>
      </w:tr>
      <w:tr w:rsidR="00DA1745" w:rsidRPr="00260C1D" w14:paraId="1290BD05" w14:textId="77777777" w:rsidTr="004D307F">
        <w:trPr>
          <w:trHeight w:val="300"/>
        </w:trPr>
        <w:tc>
          <w:tcPr>
            <w:tcW w:w="2694" w:type="dxa"/>
            <w:noWrap/>
            <w:hideMark/>
          </w:tcPr>
          <w:p w14:paraId="3042C0AA"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Shepparton-Mooroopna</w:t>
            </w:r>
          </w:p>
        </w:tc>
        <w:tc>
          <w:tcPr>
            <w:tcW w:w="5528" w:type="dxa"/>
            <w:noWrap/>
            <w:hideMark/>
          </w:tcPr>
          <w:p w14:paraId="0BE6066A"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Greater Shepparton City Council</w:t>
            </w:r>
          </w:p>
        </w:tc>
      </w:tr>
      <w:tr w:rsidR="00DA1745" w:rsidRPr="00260C1D" w14:paraId="7218CCA9" w14:textId="77777777" w:rsidTr="004D307F">
        <w:trPr>
          <w:trHeight w:val="300"/>
        </w:trPr>
        <w:tc>
          <w:tcPr>
            <w:tcW w:w="2694" w:type="dxa"/>
            <w:noWrap/>
            <w:hideMark/>
          </w:tcPr>
          <w:p w14:paraId="55B0183F"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Warrnambool</w:t>
            </w:r>
          </w:p>
        </w:tc>
        <w:tc>
          <w:tcPr>
            <w:tcW w:w="5528" w:type="dxa"/>
            <w:noWrap/>
            <w:hideMark/>
          </w:tcPr>
          <w:p w14:paraId="5F9F01E6"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Warrnambool City Council</w:t>
            </w:r>
          </w:p>
        </w:tc>
      </w:tr>
      <w:tr w:rsidR="00DA1745" w:rsidRPr="00260C1D" w14:paraId="069ADD3C" w14:textId="77777777" w:rsidTr="004D307F">
        <w:trPr>
          <w:trHeight w:val="300"/>
        </w:trPr>
        <w:tc>
          <w:tcPr>
            <w:tcW w:w="2694" w:type="dxa"/>
            <w:noWrap/>
            <w:hideMark/>
          </w:tcPr>
          <w:p w14:paraId="3C70761E"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Albury-Wodonga</w:t>
            </w:r>
          </w:p>
        </w:tc>
        <w:tc>
          <w:tcPr>
            <w:tcW w:w="5528" w:type="dxa"/>
            <w:noWrap/>
            <w:hideMark/>
          </w:tcPr>
          <w:p w14:paraId="41702727"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Wodonga Council</w:t>
            </w:r>
          </w:p>
        </w:tc>
      </w:tr>
      <w:tr w:rsidR="00DA1745" w:rsidRPr="00260C1D" w14:paraId="3E680D3F" w14:textId="77777777" w:rsidTr="004D307F">
        <w:trPr>
          <w:trHeight w:val="300"/>
        </w:trPr>
        <w:tc>
          <w:tcPr>
            <w:tcW w:w="2694" w:type="dxa"/>
            <w:noWrap/>
            <w:hideMark/>
          </w:tcPr>
          <w:p w14:paraId="7E260702"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Mildura</w:t>
            </w:r>
          </w:p>
        </w:tc>
        <w:tc>
          <w:tcPr>
            <w:tcW w:w="5528" w:type="dxa"/>
            <w:noWrap/>
            <w:hideMark/>
          </w:tcPr>
          <w:p w14:paraId="13E7CB1F"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Mildura Rural City Council</w:t>
            </w:r>
          </w:p>
        </w:tc>
      </w:tr>
      <w:tr w:rsidR="00DA1745" w:rsidRPr="00260C1D" w14:paraId="7FCC7DE7" w14:textId="77777777" w:rsidTr="004D307F">
        <w:trPr>
          <w:trHeight w:val="300"/>
        </w:trPr>
        <w:tc>
          <w:tcPr>
            <w:tcW w:w="2694" w:type="dxa"/>
            <w:noWrap/>
            <w:hideMark/>
          </w:tcPr>
          <w:p w14:paraId="38D11170"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Traralgon</w:t>
            </w:r>
          </w:p>
        </w:tc>
        <w:tc>
          <w:tcPr>
            <w:tcW w:w="5528" w:type="dxa"/>
            <w:noWrap/>
            <w:hideMark/>
          </w:tcPr>
          <w:p w14:paraId="4796D093"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 xml:space="preserve">Traralgon </w:t>
            </w:r>
            <w:proofErr w:type="spellStart"/>
            <w:r w:rsidRPr="00260C1D">
              <w:rPr>
                <w:rFonts w:asciiTheme="minorHAnsi" w:hAnsiTheme="minorHAnsi" w:cstheme="minorHAnsi"/>
                <w:color w:val="323E4F" w:themeColor="text2" w:themeShade="BF"/>
                <w:sz w:val="24"/>
                <w:szCs w:val="24"/>
                <w:lang w:eastAsia="en-AU"/>
              </w:rPr>
              <w:t>LaTrobe</w:t>
            </w:r>
            <w:proofErr w:type="spellEnd"/>
            <w:r w:rsidRPr="00260C1D">
              <w:rPr>
                <w:rFonts w:asciiTheme="minorHAnsi" w:hAnsiTheme="minorHAnsi" w:cstheme="minorHAnsi"/>
                <w:color w:val="323E4F" w:themeColor="text2" w:themeShade="BF"/>
                <w:sz w:val="24"/>
                <w:szCs w:val="24"/>
                <w:lang w:eastAsia="en-AU"/>
              </w:rPr>
              <w:t xml:space="preserve"> City Council Service Centre and Library</w:t>
            </w:r>
          </w:p>
        </w:tc>
      </w:tr>
      <w:tr w:rsidR="00DA1745" w:rsidRPr="00260C1D" w14:paraId="7921B3F2" w14:textId="77777777" w:rsidTr="004D307F">
        <w:trPr>
          <w:trHeight w:val="300"/>
        </w:trPr>
        <w:tc>
          <w:tcPr>
            <w:tcW w:w="2694" w:type="dxa"/>
            <w:noWrap/>
            <w:hideMark/>
          </w:tcPr>
          <w:p w14:paraId="6306F356"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Melton</w:t>
            </w:r>
          </w:p>
        </w:tc>
        <w:tc>
          <w:tcPr>
            <w:tcW w:w="5528" w:type="dxa"/>
            <w:noWrap/>
            <w:hideMark/>
          </w:tcPr>
          <w:p w14:paraId="1CB22427"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Melton Community Hall</w:t>
            </w:r>
          </w:p>
        </w:tc>
      </w:tr>
      <w:tr w:rsidR="00DA1745" w:rsidRPr="00260C1D" w14:paraId="475908A5" w14:textId="77777777" w:rsidTr="004D307F">
        <w:trPr>
          <w:trHeight w:val="300"/>
        </w:trPr>
        <w:tc>
          <w:tcPr>
            <w:tcW w:w="2694" w:type="dxa"/>
            <w:noWrap/>
            <w:hideMark/>
          </w:tcPr>
          <w:p w14:paraId="1D014B92"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Sunbury</w:t>
            </w:r>
          </w:p>
        </w:tc>
        <w:tc>
          <w:tcPr>
            <w:tcW w:w="5528" w:type="dxa"/>
            <w:noWrap/>
            <w:hideMark/>
          </w:tcPr>
          <w:p w14:paraId="55BCCEDE" w14:textId="77777777" w:rsidR="00DA1745" w:rsidRPr="00260C1D" w:rsidRDefault="00DA1745" w:rsidP="001F2ECD">
            <w:pPr>
              <w:spacing w:after="0" w:line="240" w:lineRule="auto"/>
              <w:rPr>
                <w:rFonts w:asciiTheme="minorHAnsi" w:hAnsiTheme="minorHAnsi" w:cstheme="minorHAnsi"/>
                <w:color w:val="323E4F" w:themeColor="text2" w:themeShade="BF"/>
                <w:sz w:val="24"/>
                <w:szCs w:val="24"/>
                <w:lang w:eastAsia="en-AU"/>
              </w:rPr>
            </w:pPr>
            <w:r w:rsidRPr="00260C1D">
              <w:rPr>
                <w:rFonts w:asciiTheme="minorHAnsi" w:hAnsiTheme="minorHAnsi" w:cstheme="minorHAnsi"/>
                <w:color w:val="323E4F" w:themeColor="text2" w:themeShade="BF"/>
                <w:sz w:val="24"/>
                <w:szCs w:val="24"/>
                <w:lang w:eastAsia="en-AU"/>
              </w:rPr>
              <w:t>Sunbury Memorial Hall</w:t>
            </w:r>
          </w:p>
        </w:tc>
      </w:tr>
    </w:tbl>
    <w:p w14:paraId="0CE6C9AC" w14:textId="63818EE9" w:rsidR="002104B8" w:rsidRPr="00260C1D" w:rsidRDefault="002104B8" w:rsidP="002104B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calculated at the Indicative, Confirmed and Revised cycles</w:t>
      </w:r>
      <w:r w:rsidR="00F5767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F5767A">
        <w:rPr>
          <w:rFonts w:eastAsia="Segoe UI" w:cstheme="minorHAnsi"/>
          <w:color w:val="011A3C"/>
          <w:sz w:val="24"/>
          <w:szCs w:val="24"/>
          <w:lang w:val="en" w:eastAsia="en-AU"/>
        </w:rPr>
        <w:t>F</w:t>
      </w:r>
      <w:r w:rsidRPr="00260C1D">
        <w:rPr>
          <w:rFonts w:eastAsia="Segoe UI" w:cstheme="minorHAnsi"/>
          <w:color w:val="011A3C"/>
          <w:sz w:val="24"/>
          <w:szCs w:val="24"/>
          <w:lang w:val="en" w:eastAsia="en-AU"/>
        </w:rPr>
        <w:t>unding is allocated through cash funding.</w:t>
      </w:r>
    </w:p>
    <w:p w14:paraId="2B00FAE6" w14:textId="5AF6CD62" w:rsidR="009753DC" w:rsidRPr="00260C1D" w:rsidRDefault="009753DC" w:rsidP="004D1CF3">
      <w:pPr>
        <w:keepNext/>
        <w:spacing w:before="100" w:beforeAutospacing="1" w:after="100" w:afterAutospacing="1" w:line="288" w:lineRule="atLeast"/>
        <w:outlineLvl w:val="3"/>
        <w:rPr>
          <w:rFonts w:eastAsia="Segoe UI" w:cstheme="minorHAnsi"/>
          <w:b/>
          <w:color w:val="011A3C"/>
          <w:sz w:val="26"/>
          <w:szCs w:val="28"/>
          <w:lang w:val="en" w:eastAsia="en-AU"/>
        </w:rPr>
      </w:pPr>
      <w:r w:rsidRPr="00260C1D">
        <w:rPr>
          <w:rFonts w:eastAsia="Segoe UI" w:cstheme="minorHAnsi"/>
          <w:b/>
          <w:color w:val="011A3C"/>
          <w:sz w:val="26"/>
          <w:szCs w:val="28"/>
          <w:lang w:val="en" w:eastAsia="en-AU"/>
        </w:rPr>
        <w:t>Calculation</w:t>
      </w:r>
    </w:p>
    <w:p w14:paraId="3D8AD9A6" w14:textId="4FAC4B3A" w:rsidR="00DA1745" w:rsidRPr="00260C1D" w:rsidRDefault="00DA1745" w:rsidP="00DA174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Allocation = [(Base + Primary </w:t>
      </w:r>
      <w:r w:rsidR="00CE1E6F">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 xml:space="preserve">nrolment </w:t>
      </w:r>
      <w:r w:rsidR="00AE1EC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Per </w:t>
      </w:r>
      <w:r w:rsidR="00CE1E6F">
        <w:rPr>
          <w:rFonts w:eastAsia="Segoe UI" w:cstheme="minorHAnsi"/>
          <w:color w:val="011A3C"/>
          <w:sz w:val="24"/>
          <w:szCs w:val="24"/>
          <w:lang w:val="en" w:eastAsia="en-AU"/>
        </w:rPr>
        <w:t>p</w:t>
      </w:r>
      <w:r w:rsidRPr="00260C1D">
        <w:rPr>
          <w:rFonts w:eastAsia="Segoe UI" w:cstheme="minorHAnsi"/>
          <w:color w:val="011A3C"/>
          <w:sz w:val="24"/>
          <w:szCs w:val="24"/>
          <w:lang w:val="en" w:eastAsia="en-AU"/>
        </w:rPr>
        <w:t xml:space="preserve">rimary </w:t>
      </w:r>
      <w:r w:rsidR="00CE1E6F">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tudent </w:t>
      </w:r>
      <w:r w:rsidR="00CE1E6F">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r w:rsidR="00CE1E6F">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w:t>
      </w:r>
      <w:r w:rsidR="00CE1E6F">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(Base + Secondary </w:t>
      </w:r>
      <w:r w:rsidR="00CE1E6F">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 xml:space="preserve">nrolment </w:t>
      </w:r>
      <w:r w:rsidR="00AE1EC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Per </w:t>
      </w:r>
      <w:r w:rsidR="00CE1E6F">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econdary </w:t>
      </w:r>
      <w:r w:rsidR="00CE1E6F">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tudent </w:t>
      </w:r>
      <w:r w:rsidR="00CE1E6F">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 xml:space="preserve">ate)] </w:t>
      </w:r>
      <w:r w:rsidR="00AE1EC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[1 + (Distance from Melbourne/150km)]</w:t>
      </w:r>
    </w:p>
    <w:p w14:paraId="37B8136B" w14:textId="1FCEDFB7" w:rsidR="00DA1745" w:rsidRPr="00260C1D" w:rsidRDefault="00DA1745" w:rsidP="00DA174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Note: The campus receives each </w:t>
      </w:r>
      <w:r w:rsidR="00CE1E6F">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 xml:space="preserve">ase </w:t>
      </w:r>
      <w:r w:rsidR="00CE1E6F">
        <w:rPr>
          <w:rFonts w:eastAsia="Segoe UI" w:cstheme="minorHAnsi"/>
          <w:color w:val="011A3C"/>
          <w:sz w:val="24"/>
          <w:szCs w:val="24"/>
          <w:lang w:val="en" w:eastAsia="en-AU"/>
        </w:rPr>
        <w:t xml:space="preserve">amount </w:t>
      </w:r>
      <w:r w:rsidRPr="00260C1D">
        <w:rPr>
          <w:rFonts w:eastAsia="Segoe UI" w:cstheme="minorHAnsi"/>
          <w:color w:val="011A3C"/>
          <w:sz w:val="24"/>
          <w:szCs w:val="24"/>
          <w:lang w:val="en" w:eastAsia="en-AU"/>
        </w:rPr>
        <w:t xml:space="preserve">only when the relevant enrolment is more than zero. Primary enrolments included in </w:t>
      </w:r>
      <w:r w:rsidR="00CE1E6F">
        <w:rPr>
          <w:rFonts w:eastAsia="Segoe UI" w:cstheme="minorHAnsi"/>
          <w:color w:val="011A3C"/>
          <w:sz w:val="24"/>
          <w:szCs w:val="24"/>
          <w:lang w:val="en" w:eastAsia="en-AU"/>
        </w:rPr>
        <w:t xml:space="preserve">the </w:t>
      </w:r>
      <w:r w:rsidRPr="00260C1D">
        <w:rPr>
          <w:rFonts w:eastAsia="Segoe UI" w:cstheme="minorHAnsi"/>
          <w:color w:val="011A3C"/>
          <w:sz w:val="24"/>
          <w:szCs w:val="24"/>
          <w:lang w:val="en" w:eastAsia="en-AU"/>
        </w:rPr>
        <w:t xml:space="preserve">calculation are limited to a maximum of 300 students. Secondary enrolments included in </w:t>
      </w:r>
      <w:r w:rsidR="00CE1E6F">
        <w:rPr>
          <w:rFonts w:eastAsia="Segoe UI" w:cstheme="minorHAnsi"/>
          <w:color w:val="011A3C"/>
          <w:sz w:val="24"/>
          <w:szCs w:val="24"/>
          <w:lang w:val="en" w:eastAsia="en-AU"/>
        </w:rPr>
        <w:t xml:space="preserve">the </w:t>
      </w:r>
      <w:r w:rsidRPr="00260C1D">
        <w:rPr>
          <w:rFonts w:eastAsia="Segoe UI" w:cstheme="minorHAnsi"/>
          <w:color w:val="011A3C"/>
          <w:sz w:val="24"/>
          <w:szCs w:val="24"/>
          <w:lang w:val="en" w:eastAsia="en-AU"/>
        </w:rPr>
        <w:t>calculation are limited to a maximum of 500 students</w:t>
      </w:r>
      <w:r w:rsidR="00CE1E6F">
        <w:rPr>
          <w:rFonts w:eastAsia="Segoe UI" w:cstheme="minorHAnsi"/>
          <w:color w:val="011A3C"/>
          <w:sz w:val="24"/>
          <w:szCs w:val="24"/>
          <w:lang w:val="en" w:eastAsia="en-AU"/>
        </w:rPr>
        <w:t>.</w:t>
      </w:r>
    </w:p>
    <w:p w14:paraId="343FE83B" w14:textId="719072A1" w:rsidR="009753DC" w:rsidRPr="00260C1D" w:rsidRDefault="009753DC" w:rsidP="009753DC">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lastRenderedPageBreak/>
        <w:t>Rates 202</w:t>
      </w:r>
      <w:r w:rsidR="0042546F">
        <w:rPr>
          <w:rFonts w:eastAsia="Segoe UI" w:cstheme="minorHAnsi"/>
          <w:b/>
          <w:color w:val="011A3C"/>
          <w:sz w:val="27"/>
          <w:szCs w:val="27"/>
          <w:lang w:val="en" w:eastAsia="en-AU"/>
        </w:rPr>
        <w:t>4</w:t>
      </w:r>
    </w:p>
    <w:p w14:paraId="5C12E00D" w14:textId="4D8A6E71" w:rsidR="00A5329C" w:rsidRDefault="009753DC" w:rsidP="00F74042">
      <w:pPr>
        <w:spacing w:before="100" w:beforeAutospacing="1" w:after="100" w:afterAutospacing="1" w:line="288" w:lineRule="atLeast"/>
        <w:outlineLvl w:val="3"/>
        <w:rPr>
          <w:rFonts w:eastAsia="Segoe UI" w:cstheme="minorHAnsi"/>
          <w:color w:val="011A3C"/>
          <w:sz w:val="24"/>
          <w:szCs w:val="24"/>
          <w:lang w:val="en" w:eastAsia="en-AU"/>
        </w:rPr>
      </w:pPr>
      <w:r w:rsidRPr="00260C1D">
        <w:rPr>
          <w:rFonts w:eastAsia="Segoe UI" w:cstheme="minorHAnsi"/>
          <w:color w:val="011A3C"/>
          <w:sz w:val="24"/>
          <w:szCs w:val="24"/>
          <w:lang w:val="en" w:eastAsia="en-AU"/>
        </w:rPr>
        <w:t>Base amount</w:t>
      </w:r>
      <w:r w:rsidR="00A5329C">
        <w:rPr>
          <w:rFonts w:eastAsia="Segoe UI" w:cstheme="minorHAnsi"/>
          <w:color w:val="011A3C"/>
          <w:sz w:val="24"/>
          <w:szCs w:val="24"/>
          <w:lang w:val="en" w:eastAsia="en-AU"/>
        </w:rPr>
        <w:t xml:space="preserve">: </w:t>
      </w:r>
      <w:r w:rsidR="00DA1745" w:rsidRPr="00260C1D">
        <w:rPr>
          <w:rFonts w:eastAsia="Segoe UI" w:cstheme="minorHAnsi"/>
          <w:color w:val="011A3C"/>
          <w:sz w:val="24"/>
          <w:szCs w:val="24"/>
          <w:lang w:val="en" w:eastAsia="en-AU"/>
        </w:rPr>
        <w:t>$</w:t>
      </w:r>
      <w:r w:rsidR="0042546F" w:rsidRPr="0042546F">
        <w:rPr>
          <w:rFonts w:eastAsia="Segoe UI" w:cstheme="minorHAnsi"/>
          <w:color w:val="011A3C"/>
          <w:sz w:val="24"/>
          <w:szCs w:val="24"/>
          <w:lang w:val="en" w:eastAsia="en-AU"/>
        </w:rPr>
        <w:t>2,221.64</w:t>
      </w:r>
    </w:p>
    <w:p w14:paraId="5B6934F9" w14:textId="52BBCAE1" w:rsidR="00A5329C" w:rsidRDefault="009753DC" w:rsidP="00F74042">
      <w:pPr>
        <w:spacing w:before="100" w:beforeAutospacing="1" w:after="100" w:afterAutospacing="1" w:line="288" w:lineRule="atLeast"/>
        <w:outlineLvl w:val="3"/>
        <w:rPr>
          <w:rFonts w:eastAsia="Segoe UI" w:cstheme="minorHAnsi"/>
          <w:color w:val="011A3C"/>
          <w:sz w:val="24"/>
          <w:szCs w:val="24"/>
          <w:lang w:val="en" w:eastAsia="en-AU"/>
        </w:rPr>
      </w:pPr>
      <w:r w:rsidRPr="00260C1D">
        <w:rPr>
          <w:rFonts w:eastAsia="Segoe UI" w:cstheme="minorHAnsi"/>
          <w:color w:val="011A3C"/>
          <w:sz w:val="24"/>
          <w:szCs w:val="24"/>
          <w:lang w:val="en" w:eastAsia="en-AU"/>
        </w:rPr>
        <w:t>Primary</w:t>
      </w:r>
      <w:r w:rsidR="00520DF4">
        <w:rPr>
          <w:rFonts w:eastAsia="Segoe UI" w:cstheme="minorHAnsi"/>
          <w:color w:val="011A3C"/>
          <w:sz w:val="24"/>
          <w:szCs w:val="24"/>
          <w:lang w:val="en" w:eastAsia="en-AU"/>
        </w:rPr>
        <w:t xml:space="preserve"> per student</w:t>
      </w:r>
      <w:r w:rsidR="004C7B45">
        <w:rPr>
          <w:rFonts w:eastAsia="Segoe UI" w:cstheme="minorHAnsi"/>
          <w:color w:val="011A3C"/>
          <w:sz w:val="24"/>
          <w:szCs w:val="24"/>
          <w:lang w:val="en" w:eastAsia="en-AU"/>
        </w:rPr>
        <w:t xml:space="preserve"> rate</w:t>
      </w:r>
      <w:r w:rsidR="00A5329C">
        <w:rPr>
          <w:rFonts w:eastAsia="Segoe UI" w:cstheme="minorHAnsi"/>
          <w:color w:val="011A3C"/>
          <w:sz w:val="24"/>
          <w:szCs w:val="24"/>
          <w:lang w:val="en" w:eastAsia="en-AU"/>
        </w:rPr>
        <w:t xml:space="preserve">: </w:t>
      </w:r>
      <w:r w:rsidR="00CE1887" w:rsidRPr="00260C1D">
        <w:rPr>
          <w:rFonts w:eastAsia="Segoe UI" w:cstheme="minorHAnsi"/>
          <w:color w:val="011A3C"/>
          <w:sz w:val="24"/>
          <w:szCs w:val="24"/>
          <w:lang w:val="en" w:eastAsia="en-AU"/>
        </w:rPr>
        <w:t>$</w:t>
      </w:r>
      <w:r w:rsidR="0042546F" w:rsidRPr="0042546F">
        <w:rPr>
          <w:rFonts w:eastAsia="Segoe UI" w:cstheme="minorHAnsi"/>
          <w:color w:val="011A3C"/>
          <w:sz w:val="24"/>
          <w:szCs w:val="24"/>
          <w:lang w:val="en" w:eastAsia="en-AU"/>
        </w:rPr>
        <w:t>1.37</w:t>
      </w:r>
    </w:p>
    <w:p w14:paraId="149C6B09" w14:textId="0962EDD0" w:rsidR="00A12061" w:rsidRPr="00260C1D" w:rsidRDefault="009753DC" w:rsidP="00F74042">
      <w:pPr>
        <w:spacing w:before="100" w:beforeAutospacing="1" w:after="100" w:afterAutospacing="1" w:line="288" w:lineRule="atLeast"/>
        <w:outlineLvl w:val="3"/>
        <w:rPr>
          <w:rFonts w:eastAsia="Segoe UI" w:cstheme="minorHAnsi"/>
          <w:color w:val="011A3C"/>
          <w:sz w:val="24"/>
          <w:szCs w:val="24"/>
          <w:lang w:val="en" w:eastAsia="en-AU"/>
        </w:rPr>
      </w:pPr>
      <w:r w:rsidRPr="00260C1D">
        <w:rPr>
          <w:rFonts w:eastAsia="Segoe UI" w:cstheme="minorHAnsi"/>
          <w:color w:val="011A3C"/>
          <w:sz w:val="24"/>
          <w:szCs w:val="24"/>
          <w:lang w:val="en" w:eastAsia="en-AU"/>
        </w:rPr>
        <w:t>Secondary</w:t>
      </w:r>
      <w:r w:rsidR="00520DF4">
        <w:rPr>
          <w:rFonts w:eastAsia="Segoe UI" w:cstheme="minorHAnsi"/>
          <w:color w:val="011A3C"/>
          <w:sz w:val="24"/>
          <w:szCs w:val="24"/>
          <w:lang w:val="en" w:eastAsia="en-AU"/>
        </w:rPr>
        <w:t xml:space="preserve"> per student rate</w:t>
      </w:r>
      <w:r w:rsidR="00A5329C">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CE1887" w:rsidRPr="00260C1D">
        <w:rPr>
          <w:rFonts w:eastAsia="Segoe UI" w:cstheme="minorHAnsi"/>
          <w:color w:val="011A3C"/>
          <w:sz w:val="24"/>
          <w:szCs w:val="24"/>
          <w:lang w:val="en" w:eastAsia="en-AU"/>
        </w:rPr>
        <w:t>$</w:t>
      </w:r>
      <w:r w:rsidR="0042546F" w:rsidRPr="0042546F">
        <w:rPr>
          <w:rFonts w:eastAsia="Segoe UI" w:cstheme="minorHAnsi"/>
          <w:color w:val="011A3C"/>
          <w:sz w:val="24"/>
          <w:szCs w:val="24"/>
          <w:lang w:val="en" w:eastAsia="en-AU"/>
        </w:rPr>
        <w:t>5.95</w:t>
      </w:r>
    </w:p>
    <w:p w14:paraId="0F6DD481" w14:textId="57B34CF6" w:rsidR="00F74042" w:rsidRPr="00260C1D" w:rsidRDefault="00F74042" w:rsidP="00F74042">
      <w:pPr>
        <w:spacing w:before="100" w:beforeAutospacing="1" w:after="100" w:afterAutospacing="1" w:line="288" w:lineRule="atLeast"/>
        <w:outlineLvl w:val="3"/>
        <w:rPr>
          <w:rFonts w:eastAsia="Segoe UI" w:cstheme="minorHAnsi"/>
          <w:b/>
          <w:color w:val="011A3C"/>
          <w:sz w:val="26"/>
          <w:szCs w:val="28"/>
          <w:lang w:val="en" w:eastAsia="en-AU"/>
        </w:rPr>
      </w:pPr>
      <w:r w:rsidRPr="00260C1D">
        <w:rPr>
          <w:rFonts w:eastAsia="Segoe UI" w:cstheme="minorHAnsi"/>
          <w:b/>
          <w:color w:val="011A3C"/>
          <w:sz w:val="26"/>
          <w:szCs w:val="28"/>
          <w:lang w:val="en" w:eastAsia="en-AU"/>
        </w:rPr>
        <w:t>Other relevant information</w:t>
      </w:r>
    </w:p>
    <w:p w14:paraId="037E0D64" w14:textId="3D95B1CA" w:rsidR="00F74042" w:rsidRPr="00260C1D" w:rsidRDefault="00F74042"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 xml:space="preserve">It is intended that location measures will be updated with the release of new ABS data every 5 years. The next release is scheduled in </w:t>
      </w:r>
      <w:r w:rsidR="00F007B0" w:rsidRPr="738305D2">
        <w:rPr>
          <w:rFonts w:eastAsia="Segoe UI"/>
          <w:color w:val="011A3C"/>
          <w:sz w:val="24"/>
          <w:szCs w:val="24"/>
          <w:lang w:val="en" w:eastAsia="en-AU"/>
        </w:rPr>
        <w:t>post</w:t>
      </w:r>
      <w:r w:rsidR="006A4937" w:rsidRPr="738305D2">
        <w:rPr>
          <w:rFonts w:eastAsia="Segoe UI"/>
          <w:color w:val="011A3C"/>
          <w:sz w:val="24"/>
          <w:szCs w:val="24"/>
          <w:lang w:val="en" w:eastAsia="en-AU"/>
        </w:rPr>
        <w:t>-</w:t>
      </w:r>
      <w:r w:rsidR="00F007B0" w:rsidRPr="738305D2">
        <w:rPr>
          <w:rFonts w:eastAsia="Segoe UI"/>
          <w:color w:val="011A3C"/>
          <w:sz w:val="24"/>
          <w:szCs w:val="24"/>
          <w:lang w:val="en" w:eastAsia="en-AU"/>
        </w:rPr>
        <w:t>2024</w:t>
      </w:r>
      <w:r w:rsidRPr="738305D2">
        <w:rPr>
          <w:rFonts w:eastAsia="Segoe UI"/>
          <w:color w:val="011A3C"/>
          <w:sz w:val="24"/>
          <w:szCs w:val="24"/>
          <w:lang w:val="en" w:eastAsia="en-AU"/>
        </w:rPr>
        <w:t>.</w:t>
      </w:r>
    </w:p>
    <w:p w14:paraId="12AB42A8" w14:textId="77777777" w:rsidR="00F74042" w:rsidRPr="00260C1D" w:rsidRDefault="00F74042"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 xml:space="preserve">School distances from provincial </w:t>
      </w:r>
      <w:proofErr w:type="spellStart"/>
      <w:r w:rsidRPr="738305D2">
        <w:rPr>
          <w:rFonts w:eastAsia="Segoe UI"/>
          <w:color w:val="011A3C"/>
          <w:sz w:val="24"/>
          <w:szCs w:val="24"/>
          <w:lang w:val="en" w:eastAsia="en-AU"/>
        </w:rPr>
        <w:t>centres</w:t>
      </w:r>
      <w:proofErr w:type="spellEnd"/>
      <w:r w:rsidRPr="738305D2">
        <w:rPr>
          <w:rFonts w:eastAsia="Segoe UI"/>
          <w:color w:val="011A3C"/>
          <w:sz w:val="24"/>
          <w:szCs w:val="24"/>
          <w:lang w:val="en" w:eastAsia="en-AU"/>
        </w:rPr>
        <w:t xml:space="preserve"> and Melbourne GPO are measured via road distances.</w:t>
      </w:r>
    </w:p>
    <w:p w14:paraId="657E6EE7" w14:textId="5A33C507" w:rsidR="00F74042" w:rsidRPr="00260C1D" w:rsidRDefault="003F7AF6"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For m</w:t>
      </w:r>
      <w:r w:rsidR="00F74042" w:rsidRPr="738305D2">
        <w:rPr>
          <w:rFonts w:eastAsia="Segoe UI"/>
          <w:color w:val="011A3C"/>
          <w:sz w:val="24"/>
          <w:szCs w:val="24"/>
          <w:lang w:val="en" w:eastAsia="en-AU"/>
        </w:rPr>
        <w:t xml:space="preserve">ore information </w:t>
      </w:r>
      <w:r w:rsidRPr="738305D2">
        <w:rPr>
          <w:rFonts w:eastAsia="Segoe UI"/>
          <w:color w:val="011A3C"/>
          <w:sz w:val="24"/>
          <w:szCs w:val="24"/>
          <w:lang w:val="en" w:eastAsia="en-AU"/>
        </w:rPr>
        <w:t xml:space="preserve">about UCL definition and sources, refer to </w:t>
      </w:r>
      <w:r w:rsidR="00B24032" w:rsidRPr="738305D2">
        <w:rPr>
          <w:rFonts w:eastAsia="Segoe UI"/>
          <w:color w:val="011A3C"/>
          <w:sz w:val="24"/>
          <w:szCs w:val="24"/>
          <w:lang w:val="en" w:eastAsia="en-AU"/>
        </w:rPr>
        <w:t>the Australian</w:t>
      </w:r>
      <w:r w:rsidRPr="738305D2">
        <w:rPr>
          <w:rFonts w:eastAsia="Segoe UI"/>
          <w:color w:val="011A3C"/>
          <w:sz w:val="24"/>
          <w:szCs w:val="24"/>
          <w:lang w:val="en" w:eastAsia="en-AU"/>
        </w:rPr>
        <w:t xml:space="preserve"> Bureau of Statistics</w:t>
      </w:r>
      <w:r w:rsidR="00F74042" w:rsidRPr="738305D2">
        <w:rPr>
          <w:rFonts w:eastAsia="Segoe UI"/>
          <w:color w:val="011A3C"/>
          <w:sz w:val="24"/>
          <w:szCs w:val="24"/>
          <w:lang w:val="en" w:eastAsia="en-AU"/>
        </w:rPr>
        <w:t xml:space="preserve"> </w:t>
      </w:r>
      <w:r w:rsidRPr="738305D2">
        <w:rPr>
          <w:rFonts w:eastAsia="Segoe UI"/>
          <w:color w:val="011A3C"/>
          <w:sz w:val="24"/>
          <w:szCs w:val="24"/>
          <w:lang w:val="en" w:eastAsia="en-AU"/>
        </w:rPr>
        <w:t>website</w:t>
      </w:r>
      <w:r w:rsidR="00225421" w:rsidRPr="738305D2">
        <w:rPr>
          <w:rFonts w:eastAsia="Segoe UI"/>
          <w:color w:val="011A3C"/>
          <w:sz w:val="24"/>
          <w:szCs w:val="24"/>
          <w:lang w:val="en" w:eastAsia="en-AU"/>
        </w:rPr>
        <w:t xml:space="preserve"> </w:t>
      </w:r>
      <w:hyperlink r:id="rId140">
        <w:r w:rsidR="00225421" w:rsidRPr="738305D2">
          <w:rPr>
            <w:rStyle w:val="Hyperlink"/>
            <w:rFonts w:eastAsia="Segoe UI"/>
            <w:sz w:val="24"/>
            <w:szCs w:val="24"/>
            <w:lang w:val="en" w:eastAsia="en-AU"/>
          </w:rPr>
          <w:t>here</w:t>
        </w:r>
      </w:hyperlink>
      <w:r w:rsidR="00F74042" w:rsidRPr="738305D2">
        <w:rPr>
          <w:rFonts w:eastAsia="Segoe UI"/>
          <w:color w:val="011A3C"/>
          <w:sz w:val="24"/>
          <w:szCs w:val="24"/>
          <w:lang w:val="en" w:eastAsia="en-AU"/>
        </w:rPr>
        <w:t>.</w:t>
      </w:r>
    </w:p>
    <w:p w14:paraId="5F4CEAA0" w14:textId="2B5C18E8" w:rsidR="003F7AF6" w:rsidRPr="0082534A" w:rsidRDefault="003F7AF6"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 xml:space="preserve">To determine the UCL that your school is in, refer to the </w:t>
      </w:r>
      <w:hyperlink r:id="rId141">
        <w:r w:rsidRPr="738305D2">
          <w:rPr>
            <w:rFonts w:eastAsia="Segoe UI"/>
            <w:color w:val="011A3C"/>
            <w:sz w:val="24"/>
            <w:szCs w:val="24"/>
            <w:lang w:val="en" w:eastAsia="en-AU"/>
          </w:rPr>
          <w:t>map function</w:t>
        </w:r>
      </w:hyperlink>
      <w:r w:rsidRPr="738305D2">
        <w:rPr>
          <w:rFonts w:eastAsia="Segoe UI"/>
          <w:color w:val="011A3C"/>
          <w:sz w:val="24"/>
          <w:szCs w:val="24"/>
          <w:lang w:val="en" w:eastAsia="en-AU"/>
        </w:rPr>
        <w:t xml:space="preserve"> on the Australian Bureau of Statistics website</w:t>
      </w:r>
      <w:r w:rsidR="00225421" w:rsidRPr="738305D2">
        <w:rPr>
          <w:rFonts w:eastAsia="Segoe UI"/>
          <w:color w:val="011A3C"/>
          <w:sz w:val="24"/>
          <w:szCs w:val="24"/>
          <w:lang w:val="en" w:eastAsia="en-AU"/>
        </w:rPr>
        <w:t xml:space="preserve"> </w:t>
      </w:r>
      <w:hyperlink r:id="rId142">
        <w:r w:rsidR="00225421" w:rsidRPr="738305D2">
          <w:rPr>
            <w:rStyle w:val="Hyperlink"/>
            <w:rFonts w:eastAsia="Segoe UI"/>
            <w:sz w:val="24"/>
            <w:szCs w:val="24"/>
            <w:lang w:val="en" w:eastAsia="en-AU"/>
          </w:rPr>
          <w:t>here</w:t>
        </w:r>
      </w:hyperlink>
      <w:r w:rsidRPr="738305D2">
        <w:rPr>
          <w:rFonts w:eastAsia="Segoe UI"/>
          <w:color w:val="011A3C"/>
          <w:sz w:val="24"/>
          <w:szCs w:val="24"/>
          <w:lang w:val="en" w:eastAsia="en-AU"/>
        </w:rPr>
        <w:t xml:space="preserve">. </w:t>
      </w:r>
    </w:p>
    <w:p w14:paraId="7DA2B9F2" w14:textId="21D56177" w:rsidR="00B24032" w:rsidRPr="00260C1D" w:rsidRDefault="00B24032" w:rsidP="00B24032">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To determine a school’s geographic parameters, refer to </w:t>
      </w:r>
      <w:hyperlink r:id="rId143" w:history="1">
        <w:r w:rsidRPr="00260C1D">
          <w:rPr>
            <w:rStyle w:val="Hyperlink"/>
            <w:rFonts w:eastAsia="Segoe UI" w:cstheme="minorHAnsi"/>
            <w:sz w:val="24"/>
            <w:szCs w:val="24"/>
            <w:lang w:val="en" w:eastAsia="en-AU"/>
          </w:rPr>
          <w:t>Steps to determine a school’s geographic parameters</w:t>
        </w:r>
      </w:hyperlink>
      <w:r w:rsidRPr="00260C1D">
        <w:rPr>
          <w:rFonts w:eastAsia="Segoe UI" w:cstheme="minorHAnsi"/>
          <w:color w:val="011A3C"/>
          <w:sz w:val="24"/>
          <w:szCs w:val="24"/>
          <w:lang w:val="en" w:eastAsia="en-AU"/>
        </w:rPr>
        <w:t>.</w:t>
      </w:r>
    </w:p>
    <w:p w14:paraId="0FC82BAC" w14:textId="3480714F" w:rsidR="009753DC" w:rsidRPr="00260C1D" w:rsidRDefault="00BB1A60" w:rsidP="009753DC">
      <w:pPr>
        <w:rPr>
          <w:rFonts w:cstheme="minorHAnsi"/>
        </w:rPr>
      </w:pPr>
      <w:r w:rsidRPr="00260C1D">
        <w:rPr>
          <w:rFonts w:eastAsia="Segoe UI" w:cstheme="minorHAnsi"/>
          <w:color w:val="011A3C"/>
          <w:sz w:val="24"/>
          <w:szCs w:val="24"/>
          <w:lang w:val="en" w:eastAsia="en-AU"/>
        </w:rPr>
        <w:t>A</w:t>
      </w:r>
      <w:r w:rsidR="00B25992" w:rsidRPr="00260C1D">
        <w:rPr>
          <w:rFonts w:eastAsia="Segoe UI" w:cstheme="minorHAnsi"/>
          <w:color w:val="011A3C"/>
          <w:sz w:val="24"/>
          <w:szCs w:val="24"/>
          <w:lang w:val="en" w:eastAsia="en-AU"/>
        </w:rPr>
        <w:t>dditionally, schools that may be eligible for transition should refer to:</w:t>
      </w:r>
      <w:r w:rsidR="00157F3F" w:rsidRPr="00260C1D">
        <w:rPr>
          <w:rFonts w:eastAsia="Segoe UI" w:cstheme="minorHAnsi"/>
          <w:color w:val="011A3C"/>
          <w:sz w:val="24"/>
          <w:szCs w:val="24"/>
          <w:lang w:val="en" w:eastAsia="en-AU"/>
        </w:rPr>
        <w:t xml:space="preserve"> </w:t>
      </w:r>
      <w:bookmarkStart w:id="181" w:name="_Hlk113549183"/>
      <w:r w:rsidR="00FA5388" w:rsidRPr="00260C1D">
        <w:rPr>
          <w:rFonts w:eastAsia="Segoe UI" w:cstheme="minorHAnsi"/>
          <w:color w:val="011A3C"/>
          <w:sz w:val="24"/>
          <w:szCs w:val="24"/>
          <w:lang w:val="en" w:eastAsia="en-AU"/>
        </w:rPr>
        <w:fldChar w:fldCharType="begin"/>
      </w:r>
      <w:r w:rsidR="00DB7F0C">
        <w:rPr>
          <w:rFonts w:eastAsia="Segoe UI" w:cstheme="minorHAnsi"/>
          <w:color w:val="011A3C"/>
          <w:sz w:val="24"/>
          <w:szCs w:val="24"/>
          <w:lang w:val="en" w:eastAsia="en-AU"/>
        </w:rPr>
        <w:instrText>HYPERLINK "https://www2.education.vic.gov.au/pal/student-resource-package-srp-targeted-initiatives/guidance/transition-funding-rural-reference"</w:instrText>
      </w:r>
      <w:r w:rsidR="00FA5388" w:rsidRPr="00260C1D">
        <w:rPr>
          <w:rFonts w:eastAsia="Segoe UI" w:cstheme="minorHAnsi"/>
          <w:color w:val="011A3C"/>
          <w:sz w:val="24"/>
          <w:szCs w:val="24"/>
          <w:lang w:val="en" w:eastAsia="en-AU"/>
        </w:rPr>
      </w:r>
      <w:r w:rsidR="00FA5388" w:rsidRPr="00260C1D">
        <w:rPr>
          <w:rFonts w:eastAsia="Segoe UI" w:cstheme="minorHAnsi"/>
          <w:color w:val="011A3C"/>
          <w:sz w:val="24"/>
          <w:szCs w:val="24"/>
          <w:lang w:val="en" w:eastAsia="en-AU"/>
        </w:rPr>
        <w:fldChar w:fldCharType="separate"/>
      </w:r>
      <w:r w:rsidR="00B25992" w:rsidRPr="00260C1D">
        <w:rPr>
          <w:rStyle w:val="Hyperlink"/>
          <w:rFonts w:eastAsia="Segoe UI" w:cstheme="minorHAnsi"/>
          <w:sz w:val="24"/>
          <w:szCs w:val="24"/>
          <w:lang w:val="en" w:eastAsia="en-AU"/>
        </w:rPr>
        <w:t>Transition Funding (Rural) (Ref</w:t>
      </w:r>
      <w:r w:rsidR="00DB7F0C">
        <w:rPr>
          <w:rStyle w:val="Hyperlink"/>
          <w:rFonts w:eastAsia="Segoe UI" w:cstheme="minorHAnsi"/>
          <w:sz w:val="24"/>
          <w:szCs w:val="24"/>
          <w:lang w:val="en" w:eastAsia="en-AU"/>
        </w:rPr>
        <w:t>erence</w:t>
      </w:r>
      <w:r w:rsidR="00B25992" w:rsidRPr="00260C1D">
        <w:rPr>
          <w:rStyle w:val="Hyperlink"/>
          <w:rFonts w:eastAsia="Segoe UI" w:cstheme="minorHAnsi"/>
          <w:sz w:val="24"/>
          <w:szCs w:val="24"/>
          <w:lang w:val="en" w:eastAsia="en-AU"/>
        </w:rPr>
        <w:t xml:space="preserve"> 126)</w:t>
      </w:r>
      <w:bookmarkEnd w:id="181"/>
      <w:r w:rsidR="00FA5388" w:rsidRPr="00260C1D">
        <w:rPr>
          <w:rFonts w:eastAsia="Segoe UI" w:cstheme="minorHAnsi"/>
          <w:color w:val="011A3C"/>
          <w:sz w:val="24"/>
          <w:szCs w:val="24"/>
          <w:lang w:val="en" w:eastAsia="en-AU"/>
        </w:rPr>
        <w:fldChar w:fldCharType="end"/>
      </w:r>
      <w:r w:rsidR="004C7B45">
        <w:rPr>
          <w:rFonts w:eastAsia="Segoe UI" w:cstheme="minorHAnsi"/>
          <w:color w:val="011A3C"/>
          <w:sz w:val="24"/>
          <w:szCs w:val="24"/>
          <w:lang w:val="en" w:eastAsia="en-AU"/>
        </w:rPr>
        <w:t>.</w:t>
      </w:r>
      <w:r w:rsidR="009753DC" w:rsidRPr="00260C1D">
        <w:rPr>
          <w:rFonts w:cstheme="minorHAnsi"/>
        </w:rPr>
        <w:br w:type="page"/>
      </w:r>
    </w:p>
    <w:p w14:paraId="0D401B83" w14:textId="4A6B9201" w:rsidR="009753DC" w:rsidRPr="00260C1D" w:rsidRDefault="009753DC" w:rsidP="00532A33">
      <w:pPr>
        <w:pStyle w:val="Heading2"/>
      </w:pPr>
      <w:bookmarkStart w:id="182" w:name="_Toc141965272"/>
      <w:bookmarkStart w:id="183" w:name="_Toc145339601"/>
      <w:bookmarkStart w:id="184" w:name="_Toc153791924"/>
      <w:r w:rsidRPr="00260C1D">
        <w:lastRenderedPageBreak/>
        <w:t>MARC/MACC Grant (Reference 46)</w:t>
      </w:r>
      <w:bookmarkEnd w:id="182"/>
      <w:bookmarkEnd w:id="183"/>
      <w:bookmarkEnd w:id="184"/>
    </w:p>
    <w:p w14:paraId="6F6C22A4" w14:textId="4E99EC5A" w:rsidR="009753DC" w:rsidRPr="00260C1D" w:rsidRDefault="009753DC" w:rsidP="009753D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total budget for MARC/MACC services includes a credit </w:t>
      </w:r>
      <w:r w:rsidR="00FD588E" w:rsidRPr="00260C1D">
        <w:rPr>
          <w:rFonts w:eastAsia="Segoe UI" w:cstheme="minorHAnsi"/>
          <w:color w:val="011A3C"/>
          <w:sz w:val="24"/>
          <w:szCs w:val="24"/>
          <w:lang w:val="en" w:eastAsia="en-AU"/>
        </w:rPr>
        <w:t xml:space="preserve">allocation for the </w:t>
      </w:r>
      <w:r w:rsidRPr="00260C1D">
        <w:rPr>
          <w:rFonts w:eastAsia="Segoe UI" w:cstheme="minorHAnsi"/>
          <w:color w:val="011A3C"/>
          <w:sz w:val="24"/>
          <w:szCs w:val="24"/>
          <w:lang w:val="en" w:eastAsia="en-AU"/>
        </w:rPr>
        <w:t>teacher</w:t>
      </w:r>
      <w:r w:rsidR="00FD588E" w:rsidRPr="00260C1D">
        <w:rPr>
          <w:rFonts w:eastAsia="Segoe UI" w:cstheme="minorHAnsi"/>
          <w:color w:val="011A3C"/>
          <w:sz w:val="24"/>
          <w:szCs w:val="24"/>
          <w:lang w:val="en" w:eastAsia="en-AU"/>
        </w:rPr>
        <w:t xml:space="preserve"> undertaking MARC/MACC duties</w:t>
      </w:r>
      <w:r w:rsidRPr="00260C1D">
        <w:rPr>
          <w:rFonts w:eastAsia="Segoe UI" w:cstheme="minorHAnsi"/>
          <w:color w:val="011A3C"/>
          <w:sz w:val="24"/>
          <w:szCs w:val="24"/>
          <w:lang w:val="en" w:eastAsia="en-AU"/>
        </w:rPr>
        <w:t xml:space="preserve"> (</w:t>
      </w:r>
      <w:r w:rsidR="00DC5ED6" w:rsidRPr="00260C1D">
        <w:rPr>
          <w:rFonts w:eastAsia="Segoe UI" w:cstheme="minorHAnsi"/>
          <w:color w:val="011A3C"/>
          <w:sz w:val="24"/>
          <w:szCs w:val="24"/>
          <w:lang w:val="en" w:eastAsia="en-AU"/>
        </w:rPr>
        <w:t xml:space="preserve">refer to </w:t>
      </w:r>
      <w:r w:rsidRPr="00260C1D">
        <w:rPr>
          <w:rFonts w:eastAsia="Segoe UI" w:cstheme="minorHAnsi"/>
          <w:color w:val="011A3C"/>
          <w:sz w:val="24"/>
          <w:szCs w:val="24"/>
          <w:lang w:val="en" w:eastAsia="en-AU"/>
        </w:rPr>
        <w:t xml:space="preserve"> </w:t>
      </w:r>
      <w:hyperlink r:id="rId144" w:history="1">
        <w:r w:rsidRPr="00260C1D">
          <w:rPr>
            <w:rFonts w:eastAsia="Segoe UI" w:cstheme="minorHAnsi"/>
            <w:color w:val="011A3C"/>
            <w:sz w:val="24"/>
            <w:szCs w:val="24"/>
            <w:lang w:val="en" w:eastAsia="en-AU"/>
          </w:rPr>
          <w:t>Reference 40</w:t>
        </w:r>
      </w:hyperlink>
      <w:r w:rsidRPr="00260C1D">
        <w:rPr>
          <w:rFonts w:eastAsia="Segoe UI" w:cstheme="minorHAnsi"/>
          <w:color w:val="011A3C"/>
          <w:sz w:val="24"/>
          <w:szCs w:val="24"/>
          <w:lang w:val="en" w:eastAsia="en-AU"/>
        </w:rPr>
        <w:t>) and a cash grant</w:t>
      </w:r>
      <w:r w:rsidR="00FE2A01">
        <w:rPr>
          <w:rFonts w:eastAsia="Segoe UI" w:cstheme="minorHAnsi"/>
          <w:color w:val="011A3C"/>
          <w:sz w:val="24"/>
          <w:szCs w:val="24"/>
          <w:lang w:val="en" w:eastAsia="en-AU"/>
        </w:rPr>
        <w:t xml:space="preserve"> that</w:t>
      </w:r>
      <w:r w:rsidRPr="00260C1D">
        <w:rPr>
          <w:rFonts w:eastAsia="Segoe UI" w:cstheme="minorHAnsi"/>
          <w:color w:val="011A3C"/>
          <w:sz w:val="24"/>
          <w:szCs w:val="24"/>
          <w:lang w:val="en" w:eastAsia="en-AU"/>
        </w:rPr>
        <w:t xml:space="preserve"> </w:t>
      </w:r>
      <w:r w:rsidR="00AA2605">
        <w:rPr>
          <w:rFonts w:eastAsia="Segoe UI" w:cstheme="minorHAnsi"/>
          <w:color w:val="011A3C"/>
          <w:sz w:val="24"/>
          <w:szCs w:val="24"/>
          <w:lang w:val="en" w:eastAsia="en-AU"/>
        </w:rPr>
        <w:t xml:space="preserve">is </w:t>
      </w:r>
      <w:r w:rsidRPr="00260C1D">
        <w:rPr>
          <w:rFonts w:eastAsia="Segoe UI" w:cstheme="minorHAnsi"/>
          <w:color w:val="011A3C"/>
          <w:sz w:val="24"/>
          <w:szCs w:val="24"/>
          <w:lang w:val="en" w:eastAsia="en-AU"/>
        </w:rPr>
        <w:t xml:space="preserve">provided to the host school. The cash grant funding </w:t>
      </w:r>
      <w:r w:rsidR="00A42581">
        <w:rPr>
          <w:rFonts w:eastAsia="Segoe UI" w:cstheme="minorHAnsi"/>
          <w:color w:val="011A3C"/>
          <w:sz w:val="24"/>
          <w:szCs w:val="24"/>
          <w:lang w:val="en" w:eastAsia="en-AU"/>
        </w:rPr>
        <w:t>supports</w:t>
      </w:r>
      <w:r w:rsidRPr="00260C1D">
        <w:rPr>
          <w:rFonts w:eastAsia="Segoe UI" w:cstheme="minorHAnsi"/>
          <w:color w:val="011A3C"/>
          <w:sz w:val="24"/>
          <w:szCs w:val="24"/>
          <w:lang w:val="en" w:eastAsia="en-AU"/>
        </w:rPr>
        <w:t xml:space="preserve"> vehicle maintenance, running costs, cab/chassis replacement, insurance and registration.</w:t>
      </w:r>
    </w:p>
    <w:p w14:paraId="2E45BB40" w14:textId="184B4C61" w:rsidR="002104B8" w:rsidRPr="00260C1D" w:rsidRDefault="009753DC" w:rsidP="002104B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 MARC ‘box’ replacement program has been introduced and administered by regional offices. Any enquiries concerning ‘box’ replacement should be directed to your regional finance officer.</w:t>
      </w:r>
      <w:bookmarkStart w:id="185" w:name="_Hlk47954049"/>
      <w:r w:rsidR="00502021" w:rsidRPr="00260C1D">
        <w:rPr>
          <w:rFonts w:eastAsia="Segoe UI" w:cstheme="minorHAnsi"/>
          <w:color w:val="011A3C"/>
          <w:sz w:val="24"/>
          <w:szCs w:val="24"/>
          <w:lang w:val="en" w:eastAsia="en-AU"/>
        </w:rPr>
        <w:t xml:space="preserve"> </w:t>
      </w:r>
      <w:bookmarkStart w:id="186" w:name="_Hlk47953986"/>
      <w:bookmarkEnd w:id="185"/>
      <w:r w:rsidR="002104B8" w:rsidRPr="00260C1D">
        <w:rPr>
          <w:rFonts w:eastAsia="Segoe UI" w:cstheme="minorHAnsi"/>
          <w:color w:val="011A3C"/>
          <w:sz w:val="24"/>
          <w:szCs w:val="24"/>
          <w:lang w:val="en" w:eastAsia="en-AU"/>
        </w:rPr>
        <w:t>All MARC/ MACC allocations are administered through the regions.</w:t>
      </w:r>
    </w:p>
    <w:p w14:paraId="56394843" w14:textId="1BBDEC0C" w:rsidR="002104B8" w:rsidRPr="00260C1D" w:rsidRDefault="002104B8" w:rsidP="002104B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calculated at the Indicative cycle and may be updated at the Confirmed cycle.</w:t>
      </w:r>
    </w:p>
    <w:bookmarkEnd w:id="186"/>
    <w:p w14:paraId="46D323F3" w14:textId="3698367F" w:rsidR="009753DC" w:rsidRPr="00260C1D" w:rsidRDefault="009753DC" w:rsidP="009753DC">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202</w:t>
      </w:r>
      <w:r w:rsidR="0083261C">
        <w:rPr>
          <w:rFonts w:eastAsia="Segoe UI" w:cstheme="minorHAnsi"/>
          <w:b/>
          <w:color w:val="011A3C"/>
          <w:sz w:val="27"/>
          <w:szCs w:val="27"/>
          <w:lang w:val="en" w:eastAsia="en-AU"/>
        </w:rPr>
        <w:t>4</w:t>
      </w:r>
    </w:p>
    <w:p w14:paraId="2D170575" w14:textId="77777777" w:rsidR="009753DC" w:rsidRPr="00260C1D" w:rsidRDefault="009753DC" w:rsidP="009753DC">
      <w:pPr>
        <w:spacing w:before="100" w:beforeAutospacing="1" w:after="100" w:afterAutospacing="1" w:line="288" w:lineRule="atLeast"/>
        <w:outlineLvl w:val="3"/>
        <w:rPr>
          <w:rFonts w:eastAsia="Segoe UI" w:cstheme="minorHAnsi"/>
          <w:color w:val="011A3C"/>
          <w:sz w:val="24"/>
          <w:szCs w:val="24"/>
          <w:lang w:val="en" w:eastAsia="en-AU"/>
        </w:rPr>
      </w:pPr>
      <w:r w:rsidRPr="00260C1D">
        <w:rPr>
          <w:rFonts w:eastAsia="Segoe UI" w:cstheme="minorHAnsi"/>
          <w:color w:val="011A3C"/>
          <w:sz w:val="24"/>
          <w:szCs w:val="24"/>
          <w:lang w:val="en" w:eastAsia="en-AU"/>
        </w:rPr>
        <w:t>Entitlement for each van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2"/>
        <w:gridCol w:w="2992"/>
        <w:gridCol w:w="2992"/>
      </w:tblGrid>
      <w:tr w:rsidR="009753DC" w:rsidRPr="00260C1D" w14:paraId="04947D1E" w14:textId="77777777" w:rsidTr="00D93949">
        <w:trPr>
          <w:tblHeader/>
        </w:trPr>
        <w:tc>
          <w:tcPr>
            <w:tcW w:w="0" w:type="auto"/>
            <w:hideMark/>
          </w:tcPr>
          <w:p w14:paraId="67392DB9" w14:textId="77777777" w:rsidR="009753DC" w:rsidRPr="00260C1D" w:rsidRDefault="009753DC" w:rsidP="009753DC">
            <w:pPr>
              <w:spacing w:after="0" w:line="240" w:lineRule="auto"/>
              <w:rPr>
                <w:rFonts w:eastAsia="Segoe UI" w:cstheme="minorHAnsi"/>
                <w:color w:val="323E4F" w:themeColor="text2" w:themeShade="BF"/>
                <w:sz w:val="24"/>
                <w:szCs w:val="24"/>
                <w:lang w:val="en" w:eastAsia="en-AU"/>
              </w:rPr>
            </w:pPr>
          </w:p>
        </w:tc>
        <w:tc>
          <w:tcPr>
            <w:tcW w:w="0" w:type="auto"/>
            <w:hideMark/>
          </w:tcPr>
          <w:p w14:paraId="179BF258" w14:textId="77777777" w:rsidR="009753DC" w:rsidRPr="00614B09" w:rsidRDefault="009753DC"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MARC</w:t>
            </w:r>
          </w:p>
        </w:tc>
        <w:tc>
          <w:tcPr>
            <w:tcW w:w="0" w:type="auto"/>
            <w:hideMark/>
          </w:tcPr>
          <w:p w14:paraId="54ACCF2B" w14:textId="77777777" w:rsidR="009753DC" w:rsidRPr="00614B09" w:rsidRDefault="009753DC"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MACC</w:t>
            </w:r>
          </w:p>
        </w:tc>
      </w:tr>
      <w:tr w:rsidR="009753DC" w:rsidRPr="00260C1D" w14:paraId="3EE1E28B" w14:textId="77777777" w:rsidTr="00D93949">
        <w:tc>
          <w:tcPr>
            <w:tcW w:w="0" w:type="auto"/>
            <w:hideMark/>
          </w:tcPr>
          <w:p w14:paraId="4F9088DE" w14:textId="77777777" w:rsidR="009753DC" w:rsidRPr="00260C1D" w:rsidRDefault="009753DC" w:rsidP="009753DC">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Maintenance and Running Costs</w:t>
            </w:r>
          </w:p>
        </w:tc>
        <w:tc>
          <w:tcPr>
            <w:tcW w:w="0" w:type="auto"/>
            <w:hideMark/>
          </w:tcPr>
          <w:p w14:paraId="76DF837D" w14:textId="14AE053A" w:rsidR="009753DC" w:rsidRPr="00260C1D" w:rsidRDefault="00FD588E"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83261C">
              <w:rPr>
                <w:rFonts w:eastAsia="Segoe UI" w:cstheme="minorHAnsi"/>
                <w:color w:val="323E4F" w:themeColor="text2" w:themeShade="BF"/>
                <w:sz w:val="24"/>
                <w:szCs w:val="24"/>
                <w:lang w:eastAsia="en-AU"/>
              </w:rPr>
              <w:t>35.54</w:t>
            </w:r>
            <w:r w:rsidR="00FD3CE0" w:rsidRPr="00260C1D">
              <w:rPr>
                <w:rFonts w:eastAsia="Segoe UI" w:cstheme="minorHAnsi"/>
                <w:color w:val="323E4F" w:themeColor="text2" w:themeShade="BF"/>
                <w:sz w:val="24"/>
                <w:szCs w:val="24"/>
                <w:lang w:eastAsia="en-AU"/>
              </w:rPr>
              <w:t xml:space="preserve"> </w:t>
            </w:r>
            <w:r w:rsidR="009753DC" w:rsidRPr="00260C1D">
              <w:rPr>
                <w:rFonts w:eastAsia="Segoe UI" w:cstheme="minorHAnsi"/>
                <w:color w:val="323E4F" w:themeColor="text2" w:themeShade="BF"/>
                <w:sz w:val="24"/>
                <w:szCs w:val="24"/>
                <w:lang w:eastAsia="en-AU"/>
              </w:rPr>
              <w:t>cents per km</w:t>
            </w:r>
          </w:p>
        </w:tc>
        <w:tc>
          <w:tcPr>
            <w:tcW w:w="0" w:type="auto"/>
            <w:hideMark/>
          </w:tcPr>
          <w:p w14:paraId="77C44041" w14:textId="55518334" w:rsidR="009753DC" w:rsidRPr="00260C1D" w:rsidRDefault="00FD588E"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58701B">
              <w:rPr>
                <w:rFonts w:eastAsia="Segoe UI" w:cstheme="minorHAnsi"/>
                <w:color w:val="323E4F" w:themeColor="text2" w:themeShade="BF"/>
                <w:sz w:val="24"/>
                <w:szCs w:val="24"/>
                <w:lang w:eastAsia="en-AU"/>
              </w:rPr>
              <w:t>35.54</w:t>
            </w:r>
            <w:r w:rsidR="00F1742D" w:rsidRPr="00260C1D">
              <w:rPr>
                <w:rFonts w:eastAsia="Segoe UI" w:cstheme="minorHAnsi"/>
                <w:color w:val="323E4F" w:themeColor="text2" w:themeShade="BF"/>
                <w:sz w:val="24"/>
                <w:szCs w:val="24"/>
                <w:lang w:eastAsia="en-AU"/>
              </w:rPr>
              <w:t xml:space="preserve"> </w:t>
            </w:r>
            <w:r w:rsidR="009753DC" w:rsidRPr="00260C1D">
              <w:rPr>
                <w:rFonts w:eastAsia="Segoe UI" w:cstheme="minorHAnsi"/>
                <w:color w:val="323E4F" w:themeColor="text2" w:themeShade="BF"/>
                <w:sz w:val="24"/>
                <w:szCs w:val="24"/>
                <w:lang w:eastAsia="en-AU"/>
              </w:rPr>
              <w:t>cents per km</w:t>
            </w:r>
          </w:p>
        </w:tc>
      </w:tr>
      <w:tr w:rsidR="009753DC" w:rsidRPr="00260C1D" w14:paraId="353372F5" w14:textId="77777777" w:rsidTr="00D93949">
        <w:tc>
          <w:tcPr>
            <w:tcW w:w="0" w:type="auto"/>
            <w:hideMark/>
          </w:tcPr>
          <w:p w14:paraId="7ABCBBBE" w14:textId="77777777" w:rsidR="009753DC" w:rsidRPr="00260C1D" w:rsidRDefault="009753DC" w:rsidP="009753DC">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Registration and Insurance</w:t>
            </w:r>
          </w:p>
        </w:tc>
        <w:tc>
          <w:tcPr>
            <w:tcW w:w="0" w:type="auto"/>
            <w:hideMark/>
          </w:tcPr>
          <w:p w14:paraId="357B72A4" w14:textId="332352F5" w:rsidR="009753DC" w:rsidRPr="00260C1D" w:rsidRDefault="00FD588E"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5675AA">
              <w:rPr>
                <w:rFonts w:eastAsia="Segoe UI" w:cstheme="minorHAnsi"/>
                <w:color w:val="323E4F" w:themeColor="text2" w:themeShade="BF"/>
                <w:sz w:val="24"/>
                <w:szCs w:val="24"/>
                <w:lang w:eastAsia="en-AU"/>
              </w:rPr>
              <w:t>1,525.40</w:t>
            </w:r>
            <w:r w:rsidR="00F1742D" w:rsidRPr="00260C1D">
              <w:rPr>
                <w:rFonts w:eastAsia="Segoe UI" w:cstheme="minorHAnsi"/>
                <w:color w:val="323E4F" w:themeColor="text2" w:themeShade="BF"/>
                <w:sz w:val="24"/>
                <w:szCs w:val="24"/>
                <w:lang w:eastAsia="en-AU"/>
              </w:rPr>
              <w:t xml:space="preserve"> </w:t>
            </w:r>
            <w:r w:rsidR="009753DC" w:rsidRPr="00260C1D">
              <w:rPr>
                <w:rFonts w:eastAsia="Segoe UI" w:cstheme="minorHAnsi"/>
                <w:color w:val="323E4F" w:themeColor="text2" w:themeShade="BF"/>
                <w:sz w:val="24"/>
                <w:szCs w:val="24"/>
                <w:lang w:eastAsia="en-AU"/>
              </w:rPr>
              <w:t>per annum</w:t>
            </w:r>
          </w:p>
        </w:tc>
        <w:tc>
          <w:tcPr>
            <w:tcW w:w="0" w:type="auto"/>
            <w:hideMark/>
          </w:tcPr>
          <w:p w14:paraId="5BE9D8EA" w14:textId="6D325E83" w:rsidR="009753DC" w:rsidRPr="00260C1D" w:rsidRDefault="00FD588E"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58701B">
              <w:rPr>
                <w:rFonts w:eastAsia="Segoe UI" w:cstheme="minorHAnsi"/>
                <w:color w:val="323E4F" w:themeColor="text2" w:themeShade="BF"/>
                <w:sz w:val="24"/>
                <w:szCs w:val="24"/>
                <w:lang w:eastAsia="en-AU"/>
              </w:rPr>
              <w:t>1,525.40</w:t>
            </w:r>
            <w:r w:rsidR="00F1742D" w:rsidRPr="00260C1D">
              <w:rPr>
                <w:rFonts w:eastAsia="Segoe UI" w:cstheme="minorHAnsi"/>
                <w:color w:val="323E4F" w:themeColor="text2" w:themeShade="BF"/>
                <w:sz w:val="24"/>
                <w:szCs w:val="24"/>
                <w:lang w:eastAsia="en-AU"/>
              </w:rPr>
              <w:t xml:space="preserve"> </w:t>
            </w:r>
            <w:r w:rsidR="009753DC" w:rsidRPr="00260C1D">
              <w:rPr>
                <w:rFonts w:eastAsia="Segoe UI" w:cstheme="minorHAnsi"/>
                <w:color w:val="323E4F" w:themeColor="text2" w:themeShade="BF"/>
                <w:sz w:val="24"/>
                <w:szCs w:val="24"/>
                <w:lang w:eastAsia="en-AU"/>
              </w:rPr>
              <w:t>per annum</w:t>
            </w:r>
          </w:p>
        </w:tc>
      </w:tr>
      <w:tr w:rsidR="009753DC" w:rsidRPr="00260C1D" w14:paraId="6CC23131" w14:textId="77777777" w:rsidTr="00D93949">
        <w:tc>
          <w:tcPr>
            <w:tcW w:w="0" w:type="auto"/>
            <w:hideMark/>
          </w:tcPr>
          <w:p w14:paraId="11CDF4B4" w14:textId="77777777" w:rsidR="009753DC" w:rsidRPr="00260C1D" w:rsidRDefault="009753DC" w:rsidP="009753DC">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Replacement</w:t>
            </w:r>
          </w:p>
        </w:tc>
        <w:tc>
          <w:tcPr>
            <w:tcW w:w="0" w:type="auto"/>
            <w:hideMark/>
          </w:tcPr>
          <w:p w14:paraId="25314CBF" w14:textId="4060BBCE" w:rsidR="009753DC" w:rsidRPr="00260C1D" w:rsidRDefault="00FD588E"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5675AA">
              <w:rPr>
                <w:rFonts w:eastAsia="Segoe UI" w:cstheme="minorHAnsi"/>
                <w:color w:val="323E4F" w:themeColor="text2" w:themeShade="BF"/>
                <w:sz w:val="24"/>
                <w:szCs w:val="24"/>
                <w:lang w:eastAsia="en-AU"/>
              </w:rPr>
              <w:t>7,816.09</w:t>
            </w:r>
            <w:r w:rsidR="00F1742D" w:rsidRPr="00260C1D">
              <w:rPr>
                <w:rFonts w:eastAsia="Segoe UI" w:cstheme="minorHAnsi"/>
                <w:color w:val="323E4F" w:themeColor="text2" w:themeShade="BF"/>
                <w:sz w:val="24"/>
                <w:szCs w:val="24"/>
                <w:lang w:eastAsia="en-AU"/>
              </w:rPr>
              <w:t xml:space="preserve"> </w:t>
            </w:r>
            <w:r w:rsidR="009753DC" w:rsidRPr="00260C1D">
              <w:rPr>
                <w:rFonts w:eastAsia="Segoe UI" w:cstheme="minorHAnsi"/>
                <w:color w:val="323E4F" w:themeColor="text2" w:themeShade="BF"/>
                <w:sz w:val="24"/>
                <w:szCs w:val="24"/>
                <w:lang w:eastAsia="en-AU"/>
              </w:rPr>
              <w:t>per annum</w:t>
            </w:r>
          </w:p>
        </w:tc>
        <w:tc>
          <w:tcPr>
            <w:tcW w:w="0" w:type="auto"/>
            <w:hideMark/>
          </w:tcPr>
          <w:p w14:paraId="6F5A0D6E" w14:textId="5A119D2F" w:rsidR="009753DC" w:rsidRPr="00260C1D" w:rsidRDefault="00FD588E"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10F37">
              <w:rPr>
                <w:rFonts w:eastAsia="Segoe UI" w:cstheme="minorHAnsi"/>
                <w:color w:val="323E4F" w:themeColor="text2" w:themeShade="BF"/>
                <w:sz w:val="24"/>
                <w:szCs w:val="24"/>
                <w:lang w:eastAsia="en-AU"/>
              </w:rPr>
              <w:t>2,934.55</w:t>
            </w:r>
            <w:r w:rsidR="00F1742D" w:rsidRPr="00260C1D">
              <w:rPr>
                <w:rFonts w:eastAsia="Segoe UI" w:cstheme="minorHAnsi"/>
                <w:color w:val="323E4F" w:themeColor="text2" w:themeShade="BF"/>
                <w:sz w:val="24"/>
                <w:szCs w:val="24"/>
                <w:lang w:eastAsia="en-AU"/>
              </w:rPr>
              <w:t xml:space="preserve"> </w:t>
            </w:r>
            <w:r w:rsidR="009753DC" w:rsidRPr="00260C1D">
              <w:rPr>
                <w:rFonts w:eastAsia="Segoe UI" w:cstheme="minorHAnsi"/>
                <w:color w:val="323E4F" w:themeColor="text2" w:themeShade="BF"/>
                <w:sz w:val="24"/>
                <w:szCs w:val="24"/>
                <w:lang w:eastAsia="en-AU"/>
              </w:rPr>
              <w:t>per annum</w:t>
            </w:r>
          </w:p>
        </w:tc>
      </w:tr>
      <w:tr w:rsidR="009753DC" w:rsidRPr="00260C1D" w14:paraId="4E1AEF99" w14:textId="77777777" w:rsidTr="00D93949">
        <w:tc>
          <w:tcPr>
            <w:tcW w:w="0" w:type="auto"/>
            <w:hideMark/>
          </w:tcPr>
          <w:p w14:paraId="70E604EE" w14:textId="77777777" w:rsidR="009753DC" w:rsidRPr="00260C1D" w:rsidRDefault="009753DC" w:rsidP="009753DC">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Casual Clerical Hours</w:t>
            </w:r>
          </w:p>
        </w:tc>
        <w:tc>
          <w:tcPr>
            <w:tcW w:w="0" w:type="auto"/>
            <w:hideMark/>
          </w:tcPr>
          <w:p w14:paraId="43582076" w14:textId="70C7FB9F" w:rsidR="009753DC" w:rsidRPr="00260C1D" w:rsidRDefault="00FD588E"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58701B">
              <w:rPr>
                <w:rFonts w:eastAsia="Segoe UI" w:cstheme="minorHAnsi"/>
                <w:color w:val="323E4F" w:themeColor="text2" w:themeShade="BF"/>
                <w:sz w:val="24"/>
                <w:szCs w:val="24"/>
                <w:lang w:eastAsia="en-AU"/>
              </w:rPr>
              <w:t>5,260</w:t>
            </w:r>
            <w:r w:rsidR="00046757" w:rsidRPr="00260C1D">
              <w:rPr>
                <w:rFonts w:eastAsia="Segoe UI" w:cstheme="minorHAnsi"/>
                <w:color w:val="323E4F" w:themeColor="text2" w:themeShade="BF"/>
                <w:sz w:val="24"/>
                <w:szCs w:val="24"/>
                <w:lang w:eastAsia="en-AU"/>
              </w:rPr>
              <w:t xml:space="preserve"> </w:t>
            </w:r>
            <w:r w:rsidR="009753DC" w:rsidRPr="00260C1D">
              <w:rPr>
                <w:rFonts w:eastAsia="Segoe UI" w:cstheme="minorHAnsi"/>
                <w:color w:val="323E4F" w:themeColor="text2" w:themeShade="BF"/>
                <w:sz w:val="24"/>
                <w:szCs w:val="24"/>
                <w:lang w:eastAsia="en-AU"/>
              </w:rPr>
              <w:t>per annum</w:t>
            </w:r>
          </w:p>
        </w:tc>
        <w:tc>
          <w:tcPr>
            <w:tcW w:w="0" w:type="auto"/>
            <w:hideMark/>
          </w:tcPr>
          <w:p w14:paraId="26E22E67" w14:textId="430D0403" w:rsidR="009753DC" w:rsidRPr="00260C1D" w:rsidRDefault="00FD588E"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10F37">
              <w:rPr>
                <w:rFonts w:eastAsia="Segoe UI" w:cstheme="minorHAnsi"/>
                <w:color w:val="323E4F" w:themeColor="text2" w:themeShade="BF"/>
                <w:sz w:val="24"/>
                <w:szCs w:val="24"/>
                <w:lang w:eastAsia="en-AU"/>
              </w:rPr>
              <w:t>5,260</w:t>
            </w:r>
            <w:r w:rsidR="00F1742D" w:rsidRPr="00260C1D">
              <w:rPr>
                <w:rFonts w:eastAsia="Segoe UI" w:cstheme="minorHAnsi"/>
                <w:color w:val="323E4F" w:themeColor="text2" w:themeShade="BF"/>
                <w:sz w:val="24"/>
                <w:szCs w:val="24"/>
                <w:lang w:eastAsia="en-AU"/>
              </w:rPr>
              <w:t xml:space="preserve"> </w:t>
            </w:r>
            <w:r w:rsidR="009753DC" w:rsidRPr="00260C1D">
              <w:rPr>
                <w:rFonts w:eastAsia="Segoe UI" w:cstheme="minorHAnsi"/>
                <w:color w:val="323E4F" w:themeColor="text2" w:themeShade="BF"/>
                <w:sz w:val="24"/>
                <w:szCs w:val="24"/>
                <w:lang w:eastAsia="en-AU"/>
              </w:rPr>
              <w:t>per annum</w:t>
            </w:r>
          </w:p>
        </w:tc>
      </w:tr>
    </w:tbl>
    <w:p w14:paraId="7A6693AD" w14:textId="77777777" w:rsidR="009753DC" w:rsidRPr="00260C1D" w:rsidRDefault="009753DC" w:rsidP="009753DC">
      <w:pPr>
        <w:rPr>
          <w:rFonts w:cstheme="minorHAnsi"/>
        </w:rPr>
      </w:pPr>
    </w:p>
    <w:p w14:paraId="4C3C3E8C" w14:textId="77777777" w:rsidR="009753DC" w:rsidRPr="00260C1D" w:rsidRDefault="009753DC" w:rsidP="009753DC">
      <w:pPr>
        <w:rPr>
          <w:rFonts w:cstheme="minorHAnsi"/>
        </w:rPr>
      </w:pPr>
      <w:r w:rsidRPr="00260C1D">
        <w:rPr>
          <w:rFonts w:cstheme="minorHAnsi"/>
        </w:rPr>
        <w:br w:type="page"/>
      </w:r>
    </w:p>
    <w:p w14:paraId="3E384D83" w14:textId="6AECA15B" w:rsidR="009753DC" w:rsidRPr="00260C1D" w:rsidRDefault="009753DC" w:rsidP="00532A33">
      <w:pPr>
        <w:pStyle w:val="Heading2"/>
      </w:pPr>
      <w:bookmarkStart w:id="187" w:name="_Toc141965273"/>
      <w:bookmarkStart w:id="188" w:name="_Toc145339602"/>
      <w:bookmarkStart w:id="189" w:name="_Toc153791925"/>
      <w:r w:rsidRPr="00260C1D">
        <w:lastRenderedPageBreak/>
        <w:t>Alternative Settings Teachers (Reference 47)</w:t>
      </w:r>
      <w:bookmarkEnd w:id="187"/>
      <w:bookmarkEnd w:id="188"/>
      <w:bookmarkEnd w:id="189"/>
    </w:p>
    <w:p w14:paraId="11026D77" w14:textId="320CFE90" w:rsidR="009753DC" w:rsidRPr="00260C1D" w:rsidRDefault="009753DC" w:rsidP="009753DC">
      <w:pPr>
        <w:spacing w:before="100" w:beforeAutospacing="1" w:after="100" w:afterAutospacing="1" w:line="312" w:lineRule="atLeast"/>
        <w:outlineLvl w:val="1"/>
        <w:rPr>
          <w:rFonts w:eastAsia="Segoe UI" w:cstheme="minorHAnsi"/>
          <w:color w:val="011A3C"/>
          <w:sz w:val="36"/>
          <w:szCs w:val="36"/>
          <w:lang w:val="en" w:eastAsia="en-AU"/>
        </w:rPr>
      </w:pPr>
      <w:r w:rsidRPr="00260C1D">
        <w:rPr>
          <w:rFonts w:eastAsia="Segoe UI" w:cstheme="minorHAnsi"/>
          <w:color w:val="011A3C"/>
          <w:sz w:val="36"/>
          <w:szCs w:val="36"/>
          <w:lang w:val="en" w:eastAsia="en-AU"/>
        </w:rPr>
        <w:t>Other/Alternative Programs</w:t>
      </w:r>
    </w:p>
    <w:p w14:paraId="252E1DA9" w14:textId="2BB7D58E" w:rsidR="009753DC" w:rsidRPr="00260C1D" w:rsidRDefault="009753DC" w:rsidP="009753D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​Flexible </w:t>
      </w:r>
      <w:r w:rsidR="00835229">
        <w:rPr>
          <w:rFonts w:eastAsia="Segoe UI" w:cstheme="minorHAnsi"/>
          <w:color w:val="011A3C"/>
          <w:sz w:val="24"/>
          <w:szCs w:val="24"/>
          <w:lang w:val="en" w:eastAsia="en-AU"/>
        </w:rPr>
        <w:t>L</w:t>
      </w:r>
      <w:r w:rsidRPr="00260C1D">
        <w:rPr>
          <w:rFonts w:eastAsia="Segoe UI" w:cstheme="minorHAnsi"/>
          <w:color w:val="011A3C"/>
          <w:sz w:val="24"/>
          <w:szCs w:val="24"/>
          <w:lang w:val="en" w:eastAsia="en-AU"/>
        </w:rPr>
        <w:t xml:space="preserve">earning </w:t>
      </w:r>
      <w:r w:rsidR="00835229">
        <w:rPr>
          <w:rFonts w:eastAsia="Segoe UI" w:cstheme="minorHAnsi"/>
          <w:color w:val="011A3C"/>
          <w:sz w:val="24"/>
          <w:szCs w:val="24"/>
          <w:lang w:val="en" w:eastAsia="en-AU"/>
        </w:rPr>
        <w:t>O</w:t>
      </w:r>
      <w:r w:rsidRPr="00260C1D">
        <w:rPr>
          <w:rFonts w:eastAsia="Segoe UI" w:cstheme="minorHAnsi"/>
          <w:color w:val="011A3C"/>
          <w:sz w:val="24"/>
          <w:szCs w:val="24"/>
          <w:lang w:val="en" w:eastAsia="en-AU"/>
        </w:rPr>
        <w:t>ptions provide alternative, tailored education and support for children and young people who are disengaged, or have been identified as at risk of disengaging, from mainstream school. They provide an opportunity for disengaged or at-risk children and young people to achieve positive learning outcomes through engagement in a more flexible learning environment, coupled with wellbeing supports.</w:t>
      </w:r>
      <w:r w:rsidR="00DC5ED6" w:rsidRPr="00260C1D">
        <w:rPr>
          <w:rFonts w:eastAsia="Segoe UI" w:cstheme="minorHAnsi"/>
          <w:color w:val="011A3C"/>
          <w:sz w:val="24"/>
          <w:szCs w:val="24"/>
          <w:lang w:val="en" w:eastAsia="en-AU"/>
        </w:rPr>
        <w:t xml:space="preserve"> For further information, refer to the </w:t>
      </w:r>
      <w:r w:rsidR="00B54945">
        <w:rPr>
          <w:rFonts w:eastAsia="Segoe UI" w:cstheme="minorHAnsi"/>
          <w:color w:val="011A3C"/>
          <w:sz w:val="24"/>
          <w:szCs w:val="24"/>
          <w:lang w:val="en" w:eastAsia="en-AU"/>
        </w:rPr>
        <w:t>d</w:t>
      </w:r>
      <w:r w:rsidR="00DC5ED6" w:rsidRPr="00260C1D">
        <w:rPr>
          <w:rFonts w:eastAsia="Segoe UI" w:cstheme="minorHAnsi"/>
          <w:color w:val="011A3C"/>
          <w:sz w:val="24"/>
          <w:szCs w:val="24"/>
          <w:lang w:val="en" w:eastAsia="en-AU"/>
        </w:rPr>
        <w:t xml:space="preserve">epartment’s policy on </w:t>
      </w:r>
      <w:hyperlink r:id="rId145" w:history="1">
        <w:r w:rsidR="00DC5ED6" w:rsidRPr="00A118C3">
          <w:rPr>
            <w:rStyle w:val="Hyperlink"/>
            <w:rFonts w:eastAsia="Segoe UI" w:cstheme="minorHAnsi"/>
            <w:sz w:val="24"/>
            <w:szCs w:val="24"/>
            <w:lang w:val="en" w:eastAsia="en-AU"/>
          </w:rPr>
          <w:t>Flexible Learning Options</w:t>
        </w:r>
      </w:hyperlink>
      <w:r w:rsidR="00DC5ED6" w:rsidRPr="00260C1D">
        <w:rPr>
          <w:rFonts w:eastAsia="Segoe UI" w:cstheme="minorHAnsi"/>
          <w:color w:val="011A3C"/>
          <w:sz w:val="24"/>
          <w:szCs w:val="24"/>
          <w:lang w:val="en" w:eastAsia="en-AU"/>
        </w:rPr>
        <w:t xml:space="preserve">. </w:t>
      </w:r>
    </w:p>
    <w:p w14:paraId="7534B568" w14:textId="77777777" w:rsidR="009753DC" w:rsidRPr="00260C1D" w:rsidRDefault="009753DC" w:rsidP="009753D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Lower teacher to student ratios are allocated to these settings to provide a tailored and supportive learning environment for a small number of students whose needs are not being met through mainstream settings.</w:t>
      </w:r>
    </w:p>
    <w:p w14:paraId="02204EE5" w14:textId="79E73078" w:rsidR="009753DC" w:rsidRPr="00260C1D" w:rsidRDefault="009753DC" w:rsidP="009753D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Alternative Settings Teachers should use the </w:t>
      </w:r>
      <w:r w:rsidR="00CF4347">
        <w:rPr>
          <w:rFonts w:eastAsia="Segoe UI" w:cstheme="minorHAnsi"/>
          <w:color w:val="011A3C"/>
          <w:sz w:val="24"/>
          <w:szCs w:val="24"/>
          <w:lang w:val="en" w:eastAsia="en-AU"/>
        </w:rPr>
        <w:t>d</w:t>
      </w:r>
      <w:r w:rsidRPr="00260C1D">
        <w:rPr>
          <w:rFonts w:eastAsia="Segoe UI" w:cstheme="minorHAnsi"/>
          <w:color w:val="011A3C"/>
          <w:sz w:val="24"/>
          <w:szCs w:val="24"/>
          <w:lang w:val="en" w:eastAsia="en-AU"/>
        </w:rPr>
        <w:t>epartment’s re-engagement guidelines to develop their programs to support at</w:t>
      </w:r>
      <w:r w:rsidR="001876C7">
        <w:rPr>
          <w:rFonts w:eastAsia="Segoe UI" w:cstheme="minorHAnsi"/>
          <w:color w:val="011A3C"/>
          <w:sz w:val="24"/>
          <w:szCs w:val="24"/>
          <w:lang w:val="en" w:eastAsia="en-AU"/>
        </w:rPr>
        <w:t>-</w:t>
      </w:r>
      <w:r w:rsidRPr="00260C1D">
        <w:rPr>
          <w:rFonts w:eastAsia="Segoe UI" w:cstheme="minorHAnsi"/>
          <w:color w:val="011A3C"/>
          <w:sz w:val="24"/>
          <w:szCs w:val="24"/>
          <w:lang w:val="en" w:eastAsia="en-AU"/>
        </w:rPr>
        <w:t>risk and vulnerable students, refer to </w:t>
      </w:r>
      <w:hyperlink r:id="rId146" w:history="1">
        <w:r w:rsidRPr="00AA5C95">
          <w:rPr>
            <w:rFonts w:eastAsia="Segoe UI" w:cstheme="minorHAnsi"/>
            <w:color w:val="011A3C"/>
            <w:sz w:val="24"/>
            <w:szCs w:val="24"/>
            <w:lang w:val="en" w:eastAsia="en-AU"/>
          </w:rPr>
          <w:t>​</w:t>
        </w:r>
        <w:r w:rsidRPr="00B148A2">
          <w:rPr>
            <w:rStyle w:val="Hyperlink"/>
            <w:sz w:val="24"/>
          </w:rPr>
          <w:t>Re-engagement Programs</w:t>
        </w:r>
      </w:hyperlink>
      <w:r w:rsidRPr="00260C1D">
        <w:rPr>
          <w:rFonts w:eastAsia="Segoe UI" w:cstheme="minorHAnsi"/>
          <w:color w:val="011A3C"/>
          <w:sz w:val="24"/>
          <w:szCs w:val="24"/>
          <w:lang w:val="en" w:eastAsia="en-AU"/>
        </w:rPr>
        <w:t>.</w:t>
      </w:r>
    </w:p>
    <w:p w14:paraId="2C7F6143" w14:textId="77777777" w:rsidR="009753DC" w:rsidRPr="00260C1D" w:rsidRDefault="009753DC" w:rsidP="009753D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Teacher salary charges to schools will continue to be based on actual payroll debits for individual staff as reflected on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This includes the actual cost of annual leave loading and all allowances, such as higher duties and special payments. Also included are non-cash benefits for teachers.</w:t>
      </w:r>
    </w:p>
    <w:p w14:paraId="18556992" w14:textId="378EB859" w:rsidR="00314DAA" w:rsidRPr="00260C1D" w:rsidRDefault="002104B8" w:rsidP="002104B8">
      <w:pPr>
        <w:spacing w:before="100" w:beforeAutospacing="1" w:after="100" w:afterAutospacing="1" w:line="288" w:lineRule="atLeast"/>
        <w:outlineLvl w:val="2"/>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All Alternative Settings Teacher funding allocations are </w:t>
      </w:r>
      <w:r w:rsidR="00314DAA" w:rsidRPr="00260C1D">
        <w:rPr>
          <w:rFonts w:eastAsia="Segoe UI" w:cstheme="minorHAnsi"/>
          <w:color w:val="011A3C"/>
          <w:sz w:val="24"/>
          <w:szCs w:val="24"/>
          <w:lang w:val="en" w:eastAsia="en-AU"/>
        </w:rPr>
        <w:t>determined by</w:t>
      </w:r>
      <w:r w:rsidRPr="00260C1D">
        <w:rPr>
          <w:rFonts w:eastAsia="Segoe UI" w:cstheme="minorHAnsi"/>
          <w:color w:val="011A3C"/>
          <w:sz w:val="24"/>
          <w:szCs w:val="24"/>
          <w:lang w:val="en" w:eastAsia="en-AU"/>
        </w:rPr>
        <w:t xml:space="preserve"> region</w:t>
      </w:r>
      <w:r w:rsidR="00314DAA" w:rsidRPr="00260C1D">
        <w:rPr>
          <w:rFonts w:eastAsia="Segoe UI" w:cstheme="minorHAnsi"/>
          <w:color w:val="011A3C"/>
          <w:sz w:val="24"/>
          <w:szCs w:val="24"/>
          <w:lang w:val="en" w:eastAsia="en-AU"/>
        </w:rPr>
        <w:t>al offices</w:t>
      </w:r>
      <w:r w:rsidRPr="00260C1D">
        <w:rPr>
          <w:rFonts w:eastAsia="Segoe UI" w:cstheme="minorHAnsi"/>
          <w:color w:val="011A3C"/>
          <w:sz w:val="24"/>
          <w:szCs w:val="24"/>
          <w:lang w:val="en" w:eastAsia="en-AU"/>
        </w:rPr>
        <w:t>.</w:t>
      </w:r>
    </w:p>
    <w:p w14:paraId="308C7985" w14:textId="44C595B8" w:rsidR="009753DC" w:rsidRPr="00260C1D" w:rsidRDefault="002104B8" w:rsidP="009753DC">
      <w:pPr>
        <w:spacing w:before="100" w:beforeAutospacing="1" w:after="100" w:afterAutospacing="1" w:line="288" w:lineRule="atLeast"/>
        <w:outlineLvl w:val="2"/>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calculated at the Indicative cycle and may be updated at the Confirmed cycle</w:t>
      </w:r>
      <w:r w:rsidR="00CA1A01">
        <w:rPr>
          <w:rFonts w:eastAsia="Segoe UI" w:cstheme="minorHAnsi"/>
          <w:color w:val="011A3C"/>
          <w:sz w:val="24"/>
          <w:szCs w:val="24"/>
          <w:lang w:val="en" w:eastAsia="en-AU"/>
        </w:rPr>
        <w:t>.</w:t>
      </w:r>
      <w:r w:rsidR="00E70C3D">
        <w:rPr>
          <w:rFonts w:eastAsia="Segoe UI" w:cstheme="minorHAnsi"/>
          <w:color w:val="011A3C"/>
          <w:sz w:val="24"/>
          <w:szCs w:val="24"/>
          <w:lang w:val="en" w:eastAsia="en-AU"/>
        </w:rPr>
        <w:t xml:space="preserve"> </w:t>
      </w:r>
      <w:r w:rsidR="00CA1A01">
        <w:rPr>
          <w:rFonts w:eastAsia="Segoe UI" w:cstheme="minorHAnsi"/>
          <w:color w:val="011A3C"/>
          <w:sz w:val="24"/>
          <w:szCs w:val="24"/>
          <w:lang w:val="en" w:eastAsia="en-AU"/>
        </w:rPr>
        <w:t>Funding</w:t>
      </w:r>
      <w:r w:rsidRPr="00260C1D">
        <w:rPr>
          <w:rFonts w:eastAsia="Segoe UI" w:cstheme="minorHAnsi"/>
          <w:color w:val="011A3C"/>
          <w:sz w:val="24"/>
          <w:szCs w:val="24"/>
          <w:lang w:val="en" w:eastAsia="en-AU"/>
        </w:rPr>
        <w:t xml:space="preserve"> is allocated through credit and cash funding.</w:t>
      </w:r>
    </w:p>
    <w:p w14:paraId="181EA315" w14:textId="2761E626" w:rsidR="009753DC" w:rsidRPr="00260C1D" w:rsidRDefault="009753DC" w:rsidP="009753DC">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Rates 202</w:t>
      </w:r>
      <w:r w:rsidR="00ED0F00">
        <w:rPr>
          <w:rFonts w:eastAsia="Segoe UI" w:cstheme="minorHAnsi"/>
          <w:b/>
          <w:color w:val="011A3C"/>
          <w:sz w:val="27"/>
          <w:szCs w:val="27"/>
          <w:lang w:val="en" w:eastAsia="en-A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64"/>
        <w:gridCol w:w="2714"/>
        <w:gridCol w:w="2335"/>
        <w:gridCol w:w="2443"/>
      </w:tblGrid>
      <w:tr w:rsidR="009753DC" w:rsidRPr="00260C1D" w14:paraId="12E77F99" w14:textId="77777777" w:rsidTr="00D93949">
        <w:trPr>
          <w:tblHeader/>
        </w:trPr>
        <w:tc>
          <w:tcPr>
            <w:tcW w:w="0" w:type="auto"/>
            <w:hideMark/>
          </w:tcPr>
          <w:p w14:paraId="6A632635" w14:textId="77777777" w:rsidR="009753DC" w:rsidRPr="00614B09" w:rsidRDefault="009753DC" w:rsidP="009753DC">
            <w:pPr>
              <w:spacing w:after="0" w:line="240" w:lineRule="atLeas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Sector</w:t>
            </w:r>
          </w:p>
        </w:tc>
        <w:tc>
          <w:tcPr>
            <w:tcW w:w="0" w:type="auto"/>
            <w:hideMark/>
          </w:tcPr>
          <w:p w14:paraId="78BDA753" w14:textId="77777777" w:rsidR="009753DC" w:rsidRPr="00614B09" w:rsidRDefault="009753DC"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Credit ($)</w:t>
            </w:r>
          </w:p>
        </w:tc>
        <w:tc>
          <w:tcPr>
            <w:tcW w:w="0" w:type="auto"/>
            <w:hideMark/>
          </w:tcPr>
          <w:p w14:paraId="1EC926D2" w14:textId="77777777" w:rsidR="009753DC" w:rsidRPr="00614B09" w:rsidRDefault="009753DC"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Cash ($)</w:t>
            </w:r>
          </w:p>
        </w:tc>
        <w:tc>
          <w:tcPr>
            <w:tcW w:w="0" w:type="auto"/>
            <w:hideMark/>
          </w:tcPr>
          <w:p w14:paraId="25E30FF2" w14:textId="77777777" w:rsidR="009753DC" w:rsidRPr="00614B09" w:rsidRDefault="009753DC"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Total ($)</w:t>
            </w:r>
          </w:p>
        </w:tc>
      </w:tr>
      <w:tr w:rsidR="0055637E" w:rsidRPr="00260C1D" w14:paraId="0CBEDA1C" w14:textId="77777777" w:rsidTr="00D93949">
        <w:tc>
          <w:tcPr>
            <w:tcW w:w="0" w:type="auto"/>
            <w:hideMark/>
          </w:tcPr>
          <w:p w14:paraId="5616CB66" w14:textId="77777777" w:rsidR="0055637E" w:rsidRPr="00260C1D" w:rsidRDefault="0055637E" w:rsidP="0055637E">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Primary</w:t>
            </w:r>
          </w:p>
        </w:tc>
        <w:tc>
          <w:tcPr>
            <w:tcW w:w="0" w:type="auto"/>
            <w:hideMark/>
          </w:tcPr>
          <w:p w14:paraId="4385F872" w14:textId="71C70F27" w:rsidR="0055637E" w:rsidRPr="0055637E" w:rsidRDefault="0055637E" w:rsidP="0055637E">
            <w:pPr>
              <w:spacing w:after="0" w:line="360" w:lineRule="atLeast"/>
              <w:jc w:val="right"/>
              <w:rPr>
                <w:rFonts w:eastAsia="Segoe UI" w:cstheme="minorHAnsi"/>
                <w:color w:val="323E4F" w:themeColor="text2" w:themeShade="BF"/>
                <w:sz w:val="24"/>
                <w:szCs w:val="24"/>
                <w:lang w:eastAsia="en-AU"/>
              </w:rPr>
            </w:pPr>
            <w:r w:rsidRPr="009B4DE1">
              <w:rPr>
                <w:sz w:val="24"/>
                <w:szCs w:val="24"/>
              </w:rPr>
              <w:t>130,828</w:t>
            </w:r>
          </w:p>
        </w:tc>
        <w:tc>
          <w:tcPr>
            <w:tcW w:w="0" w:type="auto"/>
            <w:hideMark/>
          </w:tcPr>
          <w:p w14:paraId="059918F1" w14:textId="35AF97E2" w:rsidR="0055637E" w:rsidRPr="0055637E" w:rsidRDefault="0055637E" w:rsidP="0055637E">
            <w:pPr>
              <w:spacing w:after="0" w:line="360" w:lineRule="atLeast"/>
              <w:jc w:val="right"/>
              <w:rPr>
                <w:rFonts w:eastAsia="Segoe UI" w:cstheme="minorHAnsi"/>
                <w:color w:val="323E4F" w:themeColor="text2" w:themeShade="BF"/>
                <w:sz w:val="24"/>
                <w:szCs w:val="24"/>
                <w:lang w:eastAsia="en-AU"/>
              </w:rPr>
            </w:pPr>
            <w:r w:rsidRPr="00833928">
              <w:rPr>
                <w:sz w:val="24"/>
              </w:rPr>
              <w:t>3,</w:t>
            </w:r>
            <w:r w:rsidRPr="009B4DE1">
              <w:rPr>
                <w:sz w:val="24"/>
                <w:szCs w:val="24"/>
              </w:rPr>
              <w:t>246</w:t>
            </w:r>
          </w:p>
        </w:tc>
        <w:tc>
          <w:tcPr>
            <w:tcW w:w="0" w:type="auto"/>
            <w:hideMark/>
          </w:tcPr>
          <w:p w14:paraId="5D5E7BC3" w14:textId="5AEB8D65" w:rsidR="0055637E" w:rsidRPr="0055637E" w:rsidRDefault="0055637E" w:rsidP="0055637E">
            <w:pPr>
              <w:spacing w:after="0" w:line="360" w:lineRule="atLeast"/>
              <w:jc w:val="right"/>
              <w:rPr>
                <w:rFonts w:eastAsia="Segoe UI" w:cstheme="minorHAnsi"/>
                <w:color w:val="323E4F" w:themeColor="text2" w:themeShade="BF"/>
                <w:sz w:val="24"/>
                <w:szCs w:val="24"/>
                <w:lang w:eastAsia="en-AU"/>
              </w:rPr>
            </w:pPr>
            <w:r w:rsidRPr="009B4DE1">
              <w:rPr>
                <w:sz w:val="24"/>
                <w:szCs w:val="24"/>
              </w:rPr>
              <w:t>134,074</w:t>
            </w:r>
          </w:p>
        </w:tc>
      </w:tr>
      <w:tr w:rsidR="0055637E" w:rsidRPr="00260C1D" w14:paraId="44AE4A17" w14:textId="77777777" w:rsidTr="00D93949">
        <w:tc>
          <w:tcPr>
            <w:tcW w:w="0" w:type="auto"/>
            <w:hideMark/>
          </w:tcPr>
          <w:p w14:paraId="10C217BA" w14:textId="77777777" w:rsidR="0055637E" w:rsidRPr="00260C1D" w:rsidRDefault="0055637E" w:rsidP="0055637E">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Secondary</w:t>
            </w:r>
          </w:p>
        </w:tc>
        <w:tc>
          <w:tcPr>
            <w:tcW w:w="0" w:type="auto"/>
            <w:hideMark/>
          </w:tcPr>
          <w:p w14:paraId="0114ECDA" w14:textId="199C5228" w:rsidR="0055637E" w:rsidRPr="0055637E" w:rsidRDefault="0055637E" w:rsidP="0055637E">
            <w:pPr>
              <w:spacing w:after="0" w:line="360" w:lineRule="atLeast"/>
              <w:jc w:val="right"/>
              <w:rPr>
                <w:rFonts w:eastAsia="Segoe UI" w:cstheme="minorHAnsi"/>
                <w:color w:val="323E4F" w:themeColor="text2" w:themeShade="BF"/>
                <w:sz w:val="24"/>
                <w:szCs w:val="24"/>
                <w:lang w:eastAsia="en-AU"/>
              </w:rPr>
            </w:pPr>
            <w:r w:rsidRPr="009B4DE1">
              <w:rPr>
                <w:sz w:val="24"/>
                <w:szCs w:val="24"/>
              </w:rPr>
              <w:t>131,974</w:t>
            </w:r>
          </w:p>
        </w:tc>
        <w:tc>
          <w:tcPr>
            <w:tcW w:w="0" w:type="auto"/>
            <w:hideMark/>
          </w:tcPr>
          <w:p w14:paraId="1ACF161A" w14:textId="6A89FEE3" w:rsidR="0055637E" w:rsidRPr="0055637E" w:rsidRDefault="0055637E" w:rsidP="0055637E">
            <w:pPr>
              <w:spacing w:after="0" w:line="360" w:lineRule="atLeast"/>
              <w:jc w:val="right"/>
              <w:rPr>
                <w:rFonts w:eastAsia="Segoe UI" w:cstheme="minorHAnsi"/>
                <w:color w:val="323E4F" w:themeColor="text2" w:themeShade="BF"/>
                <w:sz w:val="24"/>
                <w:szCs w:val="24"/>
                <w:lang w:eastAsia="en-AU"/>
              </w:rPr>
            </w:pPr>
            <w:r w:rsidRPr="00833928">
              <w:rPr>
                <w:sz w:val="24"/>
              </w:rPr>
              <w:t>1,</w:t>
            </w:r>
            <w:r w:rsidRPr="009B4DE1">
              <w:rPr>
                <w:sz w:val="24"/>
                <w:szCs w:val="24"/>
              </w:rPr>
              <w:t>686</w:t>
            </w:r>
          </w:p>
        </w:tc>
        <w:tc>
          <w:tcPr>
            <w:tcW w:w="0" w:type="auto"/>
            <w:hideMark/>
          </w:tcPr>
          <w:p w14:paraId="158FB20D" w14:textId="7B6719AF" w:rsidR="0055637E" w:rsidRPr="0055637E" w:rsidRDefault="0055637E" w:rsidP="0055637E">
            <w:pPr>
              <w:spacing w:after="0" w:line="360" w:lineRule="atLeast"/>
              <w:jc w:val="right"/>
              <w:rPr>
                <w:rFonts w:eastAsia="Segoe UI" w:cstheme="minorHAnsi"/>
                <w:color w:val="323E4F" w:themeColor="text2" w:themeShade="BF"/>
                <w:sz w:val="24"/>
                <w:szCs w:val="24"/>
                <w:lang w:eastAsia="en-AU"/>
              </w:rPr>
            </w:pPr>
            <w:r w:rsidRPr="009B4DE1">
              <w:rPr>
                <w:sz w:val="24"/>
                <w:szCs w:val="24"/>
              </w:rPr>
              <w:t>133,660</w:t>
            </w:r>
          </w:p>
        </w:tc>
      </w:tr>
    </w:tbl>
    <w:p w14:paraId="6D5D40BD" w14:textId="77777777" w:rsidR="009753DC" w:rsidRPr="00260C1D" w:rsidRDefault="009753DC" w:rsidP="009753DC">
      <w:pPr>
        <w:rPr>
          <w:rFonts w:cstheme="minorHAnsi"/>
        </w:rPr>
      </w:pPr>
    </w:p>
    <w:p w14:paraId="2D8975DE" w14:textId="77777777" w:rsidR="009753DC" w:rsidRPr="00260C1D" w:rsidRDefault="009753DC" w:rsidP="009753DC">
      <w:pPr>
        <w:rPr>
          <w:rFonts w:cstheme="minorHAnsi"/>
        </w:rPr>
      </w:pPr>
      <w:r w:rsidRPr="00260C1D">
        <w:rPr>
          <w:rFonts w:cstheme="minorHAnsi"/>
        </w:rPr>
        <w:br w:type="page"/>
      </w:r>
    </w:p>
    <w:p w14:paraId="0D7B8C02" w14:textId="0DF9DCE9" w:rsidR="009753DC" w:rsidRPr="00260C1D" w:rsidRDefault="009753DC" w:rsidP="00532A33">
      <w:pPr>
        <w:pStyle w:val="Heading2"/>
      </w:pPr>
      <w:bookmarkStart w:id="190" w:name="_Toc141965274"/>
      <w:bookmarkStart w:id="191" w:name="_Toc145339603"/>
      <w:bookmarkStart w:id="192" w:name="_Toc153791926"/>
      <w:r w:rsidRPr="00260C1D">
        <w:lastRenderedPageBreak/>
        <w:t>Ancillary Settings Teachers (Reference 48)</w:t>
      </w:r>
      <w:bookmarkEnd w:id="190"/>
      <w:bookmarkEnd w:id="191"/>
      <w:bookmarkEnd w:id="192"/>
    </w:p>
    <w:p w14:paraId="57B6F1B5" w14:textId="77777777" w:rsidR="009753DC" w:rsidRPr="00260C1D" w:rsidRDefault="009753DC" w:rsidP="009753D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Ancillary settings teachers are allocated to schools formerly having Social Adjustment </w:t>
      </w:r>
      <w:proofErr w:type="spellStart"/>
      <w:r w:rsidRPr="00260C1D">
        <w:rPr>
          <w:rFonts w:eastAsia="Segoe UI" w:cstheme="minorHAnsi"/>
          <w:color w:val="011A3C"/>
          <w:sz w:val="24"/>
          <w:szCs w:val="24"/>
          <w:lang w:val="en" w:eastAsia="en-AU"/>
        </w:rPr>
        <w:t>Centres</w:t>
      </w:r>
      <w:proofErr w:type="spellEnd"/>
      <w:r w:rsidRPr="00260C1D">
        <w:rPr>
          <w:rFonts w:eastAsia="Segoe UI" w:cstheme="minorHAnsi"/>
          <w:color w:val="011A3C"/>
          <w:sz w:val="24"/>
          <w:szCs w:val="24"/>
          <w:lang w:val="en" w:eastAsia="en-AU"/>
        </w:rPr>
        <w:t xml:space="preserve"> (SACs) and Secondary Teaching Units (STUs).</w:t>
      </w:r>
    </w:p>
    <w:p w14:paraId="20638373" w14:textId="05C2BB36" w:rsidR="009753DC" w:rsidRPr="00260C1D" w:rsidRDefault="009753DC" w:rsidP="009753D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Teacher salary charges to schools will continue to be based on actual payroll debits for individual staff as reflected on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This includes the actual cost of annual leave loading and all allowances, such as higher duties and special payments. Also included are non-cash benefits for teachers.</w:t>
      </w:r>
    </w:p>
    <w:p w14:paraId="580FCCBE" w14:textId="7986615C" w:rsidR="002104B8" w:rsidRPr="00260C1D" w:rsidRDefault="002104B8" w:rsidP="002104B8">
      <w:pPr>
        <w:spacing w:before="100" w:beforeAutospacing="1" w:after="100" w:afterAutospacing="1" w:line="360" w:lineRule="atLeast"/>
        <w:rPr>
          <w:rFonts w:eastAsia="Segoe UI" w:cstheme="minorHAnsi"/>
          <w:color w:val="011A3C"/>
          <w:sz w:val="24"/>
          <w:szCs w:val="24"/>
          <w:lang w:val="en" w:eastAsia="en-AU"/>
        </w:rPr>
      </w:pPr>
      <w:bookmarkStart w:id="193" w:name="_Hlk47962119"/>
      <w:r w:rsidRPr="00260C1D">
        <w:rPr>
          <w:rFonts w:eastAsia="Segoe UI" w:cstheme="minorHAnsi"/>
          <w:color w:val="011A3C"/>
          <w:sz w:val="24"/>
          <w:szCs w:val="24"/>
          <w:lang w:val="en" w:eastAsia="en-AU"/>
        </w:rPr>
        <w:t xml:space="preserve">Ancillary Settings Teacher funding allocations are </w:t>
      </w:r>
      <w:r w:rsidR="00565BC7" w:rsidRPr="00260C1D">
        <w:rPr>
          <w:rFonts w:eastAsia="Segoe UI" w:cstheme="minorHAnsi"/>
          <w:color w:val="011A3C"/>
          <w:sz w:val="24"/>
          <w:szCs w:val="24"/>
          <w:lang w:val="en" w:eastAsia="en-AU"/>
        </w:rPr>
        <w:t>determined by</w:t>
      </w:r>
      <w:r w:rsidRPr="00260C1D">
        <w:rPr>
          <w:rFonts w:eastAsia="Segoe UI" w:cstheme="minorHAnsi"/>
          <w:color w:val="011A3C"/>
          <w:sz w:val="24"/>
          <w:szCs w:val="24"/>
          <w:lang w:val="en" w:eastAsia="en-AU"/>
        </w:rPr>
        <w:t xml:space="preserve"> region</w:t>
      </w:r>
      <w:r w:rsidR="00565BC7" w:rsidRPr="00260C1D">
        <w:rPr>
          <w:rFonts w:eastAsia="Segoe UI" w:cstheme="minorHAnsi"/>
          <w:color w:val="011A3C"/>
          <w:sz w:val="24"/>
          <w:szCs w:val="24"/>
          <w:lang w:val="en" w:eastAsia="en-AU"/>
        </w:rPr>
        <w:t>al offices</w:t>
      </w:r>
      <w:r w:rsidRPr="00260C1D">
        <w:rPr>
          <w:rFonts w:eastAsia="Segoe UI" w:cstheme="minorHAnsi"/>
          <w:color w:val="011A3C"/>
          <w:sz w:val="24"/>
          <w:szCs w:val="24"/>
          <w:lang w:val="en" w:eastAsia="en-AU"/>
        </w:rPr>
        <w:t>.</w:t>
      </w:r>
    </w:p>
    <w:bookmarkEnd w:id="193"/>
    <w:p w14:paraId="1A94C329" w14:textId="02CD5B11" w:rsidR="002104B8" w:rsidRPr="00260C1D" w:rsidRDefault="002104B8" w:rsidP="009753D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calculated at the Indicative cycle and may be updated at the Confirmed cycle</w:t>
      </w:r>
      <w:r w:rsidR="00E70C3D">
        <w:rPr>
          <w:rFonts w:eastAsia="Segoe UI" w:cstheme="minorHAnsi"/>
          <w:color w:val="011A3C"/>
          <w:sz w:val="24"/>
          <w:szCs w:val="24"/>
          <w:lang w:val="en" w:eastAsia="en-AU"/>
        </w:rPr>
        <w:t>.</w:t>
      </w:r>
      <w:r w:rsidR="00325BDD">
        <w:rPr>
          <w:rFonts w:eastAsia="Segoe UI" w:cstheme="minorHAnsi"/>
          <w:color w:val="011A3C"/>
          <w:sz w:val="24"/>
          <w:szCs w:val="24"/>
          <w:lang w:val="en" w:eastAsia="en-AU"/>
        </w:rPr>
        <w:t xml:space="preserve"> </w:t>
      </w:r>
      <w:r w:rsidR="00E70C3D">
        <w:rPr>
          <w:rFonts w:eastAsia="Segoe UI" w:cstheme="minorHAnsi"/>
          <w:color w:val="011A3C"/>
          <w:sz w:val="24"/>
          <w:szCs w:val="24"/>
          <w:lang w:val="en" w:eastAsia="en-AU"/>
        </w:rPr>
        <w:t>Funding</w:t>
      </w:r>
      <w:r w:rsidR="00466B4C"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is allocated through credit and cash funding.</w:t>
      </w:r>
    </w:p>
    <w:p w14:paraId="3E08740E" w14:textId="70317D87" w:rsidR="009753DC" w:rsidRPr="00225968" w:rsidRDefault="009753DC" w:rsidP="009753DC">
      <w:pPr>
        <w:spacing w:before="100" w:beforeAutospacing="1" w:after="100" w:afterAutospacing="1" w:line="288" w:lineRule="atLeast"/>
        <w:outlineLvl w:val="2"/>
        <w:rPr>
          <w:rFonts w:eastAsia="Segoe UI" w:cstheme="minorHAnsi"/>
          <w:b/>
          <w:bCs/>
          <w:color w:val="011A3C"/>
          <w:sz w:val="27"/>
          <w:szCs w:val="27"/>
          <w:lang w:val="en" w:eastAsia="en-AU"/>
        </w:rPr>
      </w:pPr>
      <w:r w:rsidRPr="00260C1D">
        <w:rPr>
          <w:rFonts w:eastAsia="Segoe UI" w:cstheme="minorHAnsi"/>
          <w:b/>
          <w:color w:val="011A3C"/>
          <w:sz w:val="27"/>
          <w:szCs w:val="27"/>
          <w:lang w:val="en" w:eastAsia="en-AU"/>
        </w:rPr>
        <w:t>Rates 202</w:t>
      </w:r>
      <w:r w:rsidR="0055637E">
        <w:rPr>
          <w:rFonts w:eastAsia="Segoe UI" w:cstheme="minorHAnsi"/>
          <w:b/>
          <w:color w:val="011A3C"/>
          <w:sz w:val="27"/>
          <w:szCs w:val="27"/>
          <w:lang w:val="en" w:eastAsia="en-A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64"/>
        <w:gridCol w:w="2714"/>
        <w:gridCol w:w="2335"/>
        <w:gridCol w:w="2443"/>
      </w:tblGrid>
      <w:tr w:rsidR="009753DC" w:rsidRPr="00225968" w14:paraId="79CCF682" w14:textId="77777777" w:rsidTr="00D93949">
        <w:trPr>
          <w:tblHeader/>
        </w:trPr>
        <w:tc>
          <w:tcPr>
            <w:tcW w:w="0" w:type="auto"/>
            <w:hideMark/>
          </w:tcPr>
          <w:p w14:paraId="6559034B" w14:textId="77777777" w:rsidR="009753DC" w:rsidRPr="00614B09" w:rsidRDefault="009753DC" w:rsidP="009753DC">
            <w:pPr>
              <w:spacing w:after="0" w:line="240" w:lineRule="atLeas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Sector</w:t>
            </w:r>
          </w:p>
        </w:tc>
        <w:tc>
          <w:tcPr>
            <w:tcW w:w="0" w:type="auto"/>
            <w:hideMark/>
          </w:tcPr>
          <w:p w14:paraId="22E035A8" w14:textId="77777777" w:rsidR="009753DC" w:rsidRPr="00614B09" w:rsidRDefault="009753DC"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Credit ($)</w:t>
            </w:r>
          </w:p>
        </w:tc>
        <w:tc>
          <w:tcPr>
            <w:tcW w:w="0" w:type="auto"/>
            <w:hideMark/>
          </w:tcPr>
          <w:p w14:paraId="0E77269B" w14:textId="77777777" w:rsidR="009753DC" w:rsidRPr="00614B09" w:rsidRDefault="009753DC"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Cash ($)</w:t>
            </w:r>
          </w:p>
        </w:tc>
        <w:tc>
          <w:tcPr>
            <w:tcW w:w="0" w:type="auto"/>
            <w:hideMark/>
          </w:tcPr>
          <w:p w14:paraId="0C10C11C" w14:textId="77777777" w:rsidR="009753DC" w:rsidRPr="00614B09" w:rsidRDefault="009753DC"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Total ($)</w:t>
            </w:r>
          </w:p>
        </w:tc>
      </w:tr>
      <w:tr w:rsidR="00313C82" w:rsidRPr="00260C1D" w14:paraId="5036F9D7" w14:textId="77777777" w:rsidTr="00D93949">
        <w:tc>
          <w:tcPr>
            <w:tcW w:w="0" w:type="auto"/>
            <w:hideMark/>
          </w:tcPr>
          <w:p w14:paraId="4719C0ED" w14:textId="77777777" w:rsidR="00313C82" w:rsidRPr="00260C1D" w:rsidRDefault="00313C82" w:rsidP="00313C82">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Primary</w:t>
            </w:r>
          </w:p>
        </w:tc>
        <w:tc>
          <w:tcPr>
            <w:tcW w:w="0" w:type="auto"/>
            <w:hideMark/>
          </w:tcPr>
          <w:p w14:paraId="420B2CEC" w14:textId="35A99230" w:rsidR="00313C82" w:rsidRPr="00313C82" w:rsidRDefault="00313C82" w:rsidP="00313C82">
            <w:pPr>
              <w:spacing w:after="0" w:line="360" w:lineRule="atLeast"/>
              <w:jc w:val="right"/>
              <w:rPr>
                <w:rFonts w:eastAsia="Segoe UI" w:cstheme="minorHAnsi"/>
                <w:color w:val="323E4F" w:themeColor="text2" w:themeShade="BF"/>
                <w:sz w:val="24"/>
                <w:szCs w:val="24"/>
                <w:lang w:eastAsia="en-AU"/>
              </w:rPr>
            </w:pPr>
            <w:r w:rsidRPr="009B4DE1">
              <w:rPr>
                <w:sz w:val="24"/>
                <w:szCs w:val="24"/>
              </w:rPr>
              <w:t>130,828</w:t>
            </w:r>
          </w:p>
        </w:tc>
        <w:tc>
          <w:tcPr>
            <w:tcW w:w="0" w:type="auto"/>
            <w:hideMark/>
          </w:tcPr>
          <w:p w14:paraId="41C737FF" w14:textId="2C06156F" w:rsidR="00313C82" w:rsidRPr="00313C82" w:rsidRDefault="00313C82" w:rsidP="00313C82">
            <w:pPr>
              <w:spacing w:after="0" w:line="360" w:lineRule="atLeast"/>
              <w:jc w:val="right"/>
              <w:rPr>
                <w:rFonts w:eastAsia="Segoe UI" w:cstheme="minorHAnsi"/>
                <w:color w:val="323E4F" w:themeColor="text2" w:themeShade="BF"/>
                <w:sz w:val="24"/>
                <w:szCs w:val="24"/>
                <w:lang w:eastAsia="en-AU"/>
              </w:rPr>
            </w:pPr>
            <w:r w:rsidRPr="00833928">
              <w:rPr>
                <w:sz w:val="24"/>
              </w:rPr>
              <w:t>3,</w:t>
            </w:r>
            <w:r w:rsidRPr="009B4DE1">
              <w:rPr>
                <w:sz w:val="24"/>
                <w:szCs w:val="24"/>
              </w:rPr>
              <w:t>246</w:t>
            </w:r>
          </w:p>
        </w:tc>
        <w:tc>
          <w:tcPr>
            <w:tcW w:w="0" w:type="auto"/>
            <w:hideMark/>
          </w:tcPr>
          <w:p w14:paraId="12BBF872" w14:textId="09769F9D" w:rsidR="00313C82" w:rsidRPr="00313C82" w:rsidRDefault="00313C82" w:rsidP="00313C82">
            <w:pPr>
              <w:spacing w:after="0" w:line="360" w:lineRule="atLeast"/>
              <w:jc w:val="right"/>
              <w:rPr>
                <w:rFonts w:eastAsia="Segoe UI" w:cstheme="minorHAnsi"/>
                <w:color w:val="323E4F" w:themeColor="text2" w:themeShade="BF"/>
                <w:sz w:val="24"/>
                <w:szCs w:val="24"/>
                <w:lang w:eastAsia="en-AU"/>
              </w:rPr>
            </w:pPr>
            <w:r w:rsidRPr="009B4DE1">
              <w:rPr>
                <w:sz w:val="24"/>
                <w:szCs w:val="24"/>
              </w:rPr>
              <w:t>134,074</w:t>
            </w:r>
          </w:p>
        </w:tc>
      </w:tr>
      <w:tr w:rsidR="00313C82" w:rsidRPr="00260C1D" w14:paraId="594E9FED" w14:textId="77777777" w:rsidTr="00D93949">
        <w:tc>
          <w:tcPr>
            <w:tcW w:w="0" w:type="auto"/>
            <w:hideMark/>
          </w:tcPr>
          <w:p w14:paraId="681B916F" w14:textId="77777777" w:rsidR="00313C82" w:rsidRPr="00260C1D" w:rsidRDefault="00313C82" w:rsidP="00313C82">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Secondary</w:t>
            </w:r>
          </w:p>
        </w:tc>
        <w:tc>
          <w:tcPr>
            <w:tcW w:w="0" w:type="auto"/>
            <w:hideMark/>
          </w:tcPr>
          <w:p w14:paraId="04A7317C" w14:textId="26D5F99E" w:rsidR="00313C82" w:rsidRPr="00313C82" w:rsidRDefault="00313C82" w:rsidP="00313C82">
            <w:pPr>
              <w:spacing w:after="0" w:line="360" w:lineRule="atLeast"/>
              <w:jc w:val="right"/>
              <w:rPr>
                <w:rFonts w:eastAsia="Segoe UI" w:cstheme="minorHAnsi"/>
                <w:color w:val="323E4F" w:themeColor="text2" w:themeShade="BF"/>
                <w:sz w:val="24"/>
                <w:szCs w:val="24"/>
                <w:lang w:eastAsia="en-AU"/>
              </w:rPr>
            </w:pPr>
            <w:r w:rsidRPr="009B4DE1">
              <w:rPr>
                <w:sz w:val="24"/>
                <w:szCs w:val="24"/>
              </w:rPr>
              <w:t>131,974</w:t>
            </w:r>
          </w:p>
        </w:tc>
        <w:tc>
          <w:tcPr>
            <w:tcW w:w="0" w:type="auto"/>
            <w:hideMark/>
          </w:tcPr>
          <w:p w14:paraId="1D221394" w14:textId="1F2B0991" w:rsidR="00313C82" w:rsidRPr="00313C82" w:rsidRDefault="00313C82" w:rsidP="00313C82">
            <w:pPr>
              <w:spacing w:after="0" w:line="360" w:lineRule="atLeast"/>
              <w:jc w:val="right"/>
              <w:rPr>
                <w:rFonts w:eastAsia="Segoe UI" w:cstheme="minorHAnsi"/>
                <w:color w:val="323E4F" w:themeColor="text2" w:themeShade="BF"/>
                <w:sz w:val="24"/>
                <w:szCs w:val="24"/>
                <w:lang w:eastAsia="en-AU"/>
              </w:rPr>
            </w:pPr>
            <w:r w:rsidRPr="00833928">
              <w:rPr>
                <w:sz w:val="24"/>
              </w:rPr>
              <w:t>1,</w:t>
            </w:r>
            <w:r w:rsidRPr="009B4DE1">
              <w:rPr>
                <w:sz w:val="24"/>
                <w:szCs w:val="24"/>
              </w:rPr>
              <w:t>686</w:t>
            </w:r>
          </w:p>
        </w:tc>
        <w:tc>
          <w:tcPr>
            <w:tcW w:w="0" w:type="auto"/>
            <w:hideMark/>
          </w:tcPr>
          <w:p w14:paraId="3F55CAB7" w14:textId="0982A365" w:rsidR="00313C82" w:rsidRPr="00313C82" w:rsidRDefault="00313C82" w:rsidP="00313C82">
            <w:pPr>
              <w:spacing w:after="0" w:line="360" w:lineRule="atLeast"/>
              <w:jc w:val="right"/>
              <w:rPr>
                <w:rFonts w:eastAsia="Segoe UI" w:cstheme="minorHAnsi"/>
                <w:color w:val="323E4F" w:themeColor="text2" w:themeShade="BF"/>
                <w:sz w:val="24"/>
                <w:szCs w:val="24"/>
                <w:lang w:eastAsia="en-AU"/>
              </w:rPr>
            </w:pPr>
            <w:r w:rsidRPr="009B4DE1">
              <w:rPr>
                <w:sz w:val="24"/>
                <w:szCs w:val="24"/>
              </w:rPr>
              <w:t>133,660</w:t>
            </w:r>
          </w:p>
        </w:tc>
      </w:tr>
    </w:tbl>
    <w:p w14:paraId="385A31F2" w14:textId="77777777" w:rsidR="009753DC" w:rsidRPr="00260C1D" w:rsidRDefault="009753DC" w:rsidP="009753DC">
      <w:pPr>
        <w:rPr>
          <w:rFonts w:cstheme="minorHAnsi"/>
        </w:rPr>
      </w:pPr>
    </w:p>
    <w:p w14:paraId="773AEB80" w14:textId="77777777" w:rsidR="009753DC" w:rsidRPr="00260C1D" w:rsidRDefault="009753DC" w:rsidP="009753DC">
      <w:pPr>
        <w:rPr>
          <w:rFonts w:cstheme="minorHAnsi"/>
        </w:rPr>
      </w:pPr>
      <w:r w:rsidRPr="00260C1D">
        <w:rPr>
          <w:rFonts w:cstheme="minorHAnsi"/>
        </w:rPr>
        <w:br w:type="page"/>
      </w:r>
    </w:p>
    <w:p w14:paraId="2A697E7E" w14:textId="1BA4290B" w:rsidR="009753DC" w:rsidRPr="00260C1D" w:rsidRDefault="009753DC" w:rsidP="00532A33">
      <w:pPr>
        <w:pStyle w:val="Heading2"/>
      </w:pPr>
      <w:bookmarkStart w:id="194" w:name="_Toc141965275"/>
      <w:bookmarkStart w:id="195" w:name="_Toc145339604"/>
      <w:bookmarkStart w:id="196" w:name="_Toc153791927"/>
      <w:r w:rsidRPr="00260C1D">
        <w:lastRenderedPageBreak/>
        <w:t>Alternative programs — regional grants (Reference 49)</w:t>
      </w:r>
      <w:bookmarkEnd w:id="194"/>
      <w:bookmarkEnd w:id="195"/>
      <w:bookmarkEnd w:id="196"/>
    </w:p>
    <w:p w14:paraId="2C267E51" w14:textId="698BD649" w:rsidR="009753DC" w:rsidRPr="00260C1D" w:rsidRDefault="002104B8" w:rsidP="009753D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This is a</w:t>
      </w:r>
      <w:r w:rsidR="009753DC" w:rsidRPr="00260C1D">
        <w:rPr>
          <w:rFonts w:eastAsia="Segoe UI" w:cstheme="minorHAnsi"/>
          <w:color w:val="011A3C"/>
          <w:sz w:val="24"/>
          <w:szCs w:val="24"/>
          <w:lang w:val="en" w:eastAsia="en-AU"/>
        </w:rPr>
        <w:t xml:space="preserve"> </w:t>
      </w:r>
      <w:r w:rsidR="000B2150">
        <w:rPr>
          <w:rFonts w:eastAsia="Segoe UI" w:cstheme="minorHAnsi"/>
          <w:color w:val="011A3C"/>
          <w:sz w:val="24"/>
          <w:szCs w:val="24"/>
          <w:lang w:val="en" w:eastAsia="en-AU"/>
        </w:rPr>
        <w:t>r</w:t>
      </w:r>
      <w:r w:rsidR="009753DC" w:rsidRPr="00260C1D">
        <w:rPr>
          <w:rFonts w:eastAsia="Segoe UI" w:cstheme="minorHAnsi"/>
          <w:color w:val="011A3C"/>
          <w:sz w:val="24"/>
          <w:szCs w:val="24"/>
          <w:lang w:val="en" w:eastAsia="en-AU"/>
        </w:rPr>
        <w:t>egional allocation of funding</w:t>
      </w:r>
      <w:r w:rsidR="00C23301" w:rsidRPr="00260C1D">
        <w:rPr>
          <w:rFonts w:eastAsia="Segoe UI" w:cstheme="minorHAnsi"/>
          <w:color w:val="011A3C"/>
          <w:sz w:val="24"/>
          <w:szCs w:val="24"/>
          <w:lang w:val="en" w:eastAsia="en-AU"/>
        </w:rPr>
        <w:t xml:space="preserve">, determined by </w:t>
      </w:r>
      <w:r w:rsidR="0042488F" w:rsidRPr="00260C1D">
        <w:rPr>
          <w:rFonts w:eastAsia="Segoe UI" w:cstheme="minorHAnsi"/>
          <w:color w:val="011A3C"/>
          <w:sz w:val="24"/>
          <w:szCs w:val="24"/>
          <w:lang w:val="en" w:eastAsia="en-AU"/>
        </w:rPr>
        <w:t xml:space="preserve">each of the </w:t>
      </w:r>
      <w:r w:rsidR="000B2150">
        <w:rPr>
          <w:rFonts w:eastAsia="Segoe UI" w:cstheme="minorHAnsi"/>
          <w:color w:val="011A3C"/>
          <w:sz w:val="24"/>
          <w:szCs w:val="24"/>
          <w:lang w:val="en" w:eastAsia="en-AU"/>
        </w:rPr>
        <w:t>four</w:t>
      </w:r>
      <w:r w:rsidR="0042488F" w:rsidRPr="00260C1D">
        <w:rPr>
          <w:rFonts w:eastAsia="Segoe UI" w:cstheme="minorHAnsi"/>
          <w:color w:val="011A3C"/>
          <w:sz w:val="24"/>
          <w:szCs w:val="24"/>
          <w:lang w:val="en" w:eastAsia="en-AU"/>
        </w:rPr>
        <w:t xml:space="preserve"> </w:t>
      </w:r>
      <w:r w:rsidR="00C23301" w:rsidRPr="00260C1D">
        <w:rPr>
          <w:rFonts w:eastAsia="Segoe UI" w:cstheme="minorHAnsi"/>
          <w:color w:val="011A3C"/>
          <w:sz w:val="24"/>
          <w:szCs w:val="24"/>
          <w:lang w:val="en" w:eastAsia="en-AU"/>
        </w:rPr>
        <w:t>regional offices,</w:t>
      </w:r>
      <w:r w:rsidR="009753DC" w:rsidRPr="00260C1D">
        <w:rPr>
          <w:rFonts w:eastAsia="Segoe UI" w:cstheme="minorHAnsi"/>
          <w:color w:val="011A3C"/>
          <w:sz w:val="24"/>
          <w:szCs w:val="24"/>
          <w:lang w:val="en" w:eastAsia="en-AU"/>
        </w:rPr>
        <w:t xml:space="preserve"> to support alternative programs for students.</w:t>
      </w:r>
    </w:p>
    <w:p w14:paraId="5BC8BB65" w14:textId="77777777" w:rsidR="009753DC" w:rsidRPr="00260C1D" w:rsidRDefault="009753DC" w:rsidP="009753D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Where these funds are to be used by schools for salaries on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schools may need (depending on their overall budget surplus situation) to undertake a cash-to-credit transfer to offset the payroll charge-out.</w:t>
      </w:r>
    </w:p>
    <w:p w14:paraId="6779A2BE" w14:textId="4401FAE0" w:rsidR="009753DC" w:rsidRPr="00260C1D" w:rsidRDefault="002104B8" w:rsidP="009753D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Funding is calculated at the Indicative cycle and may be updated at the Confirmed </w:t>
      </w:r>
      <w:r w:rsidR="0042488F" w:rsidRPr="00260C1D">
        <w:rPr>
          <w:rFonts w:eastAsia="Segoe UI" w:cstheme="minorHAnsi"/>
          <w:color w:val="011A3C"/>
          <w:sz w:val="24"/>
          <w:szCs w:val="24"/>
          <w:lang w:val="en" w:eastAsia="en-AU"/>
        </w:rPr>
        <w:t>cycle</w:t>
      </w:r>
      <w:r w:rsidR="003C1AC9">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3C1AC9">
        <w:rPr>
          <w:rFonts w:eastAsia="Segoe UI" w:cstheme="minorHAnsi"/>
          <w:color w:val="011A3C"/>
          <w:sz w:val="24"/>
          <w:szCs w:val="24"/>
          <w:lang w:val="en" w:eastAsia="en-AU"/>
        </w:rPr>
        <w:t>F</w:t>
      </w:r>
      <w:r w:rsidRPr="00260C1D">
        <w:rPr>
          <w:rFonts w:eastAsia="Segoe UI" w:cstheme="minorHAnsi"/>
          <w:color w:val="011A3C"/>
          <w:sz w:val="24"/>
          <w:szCs w:val="24"/>
          <w:lang w:val="en" w:eastAsia="en-AU"/>
        </w:rPr>
        <w:t>unding is allocated through cash funding.</w:t>
      </w:r>
    </w:p>
    <w:p w14:paraId="406546A3" w14:textId="77777777" w:rsidR="009753DC" w:rsidRPr="00260C1D" w:rsidRDefault="009753DC" w:rsidP="009753DC">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br w:type="page"/>
      </w:r>
    </w:p>
    <w:p w14:paraId="0878E2F4" w14:textId="34B6D4D5" w:rsidR="008503A1" w:rsidRPr="00260C1D" w:rsidRDefault="008503A1" w:rsidP="00532A33">
      <w:pPr>
        <w:pStyle w:val="Heading2"/>
      </w:pPr>
      <w:bookmarkStart w:id="197" w:name="_Toc141965276"/>
      <w:bookmarkStart w:id="198" w:name="_Toc145339605"/>
      <w:bookmarkStart w:id="199" w:name="_Toc153791928"/>
      <w:bookmarkStart w:id="200" w:name="_Hlk49848111"/>
      <w:r w:rsidRPr="00260C1D">
        <w:lastRenderedPageBreak/>
        <w:t>Joint Community Program</w:t>
      </w:r>
      <w:r w:rsidR="003611D0" w:rsidRPr="00260C1D">
        <w:t xml:space="preserve"> </w:t>
      </w:r>
      <w:r w:rsidR="00891D19" w:rsidRPr="00260C1D">
        <w:t>(Reference 123)</w:t>
      </w:r>
      <w:bookmarkEnd w:id="197"/>
      <w:bookmarkEnd w:id="198"/>
      <w:bookmarkEnd w:id="199"/>
    </w:p>
    <w:p w14:paraId="20A75115" w14:textId="3D893475" w:rsidR="008503A1" w:rsidRPr="00260C1D" w:rsidRDefault="008503A1" w:rsidP="004D1CF3">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Joint Community Program grants are for </w:t>
      </w:r>
      <w:r w:rsidR="00210723">
        <w:rPr>
          <w:rFonts w:eastAsia="Segoe UI" w:cstheme="minorHAnsi"/>
          <w:color w:val="011A3C"/>
          <w:sz w:val="24"/>
          <w:szCs w:val="24"/>
          <w:lang w:val="en" w:eastAsia="en-AU"/>
        </w:rPr>
        <w:t>j</w:t>
      </w:r>
      <w:r w:rsidRPr="00260C1D">
        <w:rPr>
          <w:rFonts w:eastAsia="Segoe UI" w:cstheme="minorHAnsi"/>
          <w:color w:val="011A3C"/>
          <w:sz w:val="24"/>
          <w:szCs w:val="24"/>
          <w:lang w:val="en" w:eastAsia="en-AU"/>
        </w:rPr>
        <w:t>oint</w:t>
      </w:r>
      <w:r w:rsidR="00210723">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use facilities that were transferred from the Regional Offices </w:t>
      </w:r>
      <w:r w:rsidR="003611D0" w:rsidRPr="00260C1D">
        <w:rPr>
          <w:rFonts w:eastAsia="Segoe UI" w:cstheme="minorHAnsi"/>
          <w:color w:val="011A3C"/>
          <w:sz w:val="24"/>
          <w:szCs w:val="24"/>
          <w:lang w:val="en" w:eastAsia="en-AU"/>
        </w:rPr>
        <w:t xml:space="preserve">in 2010 </w:t>
      </w:r>
      <w:r w:rsidRPr="00260C1D">
        <w:rPr>
          <w:rFonts w:eastAsia="Segoe UI" w:cstheme="minorHAnsi"/>
          <w:color w:val="011A3C"/>
          <w:sz w:val="24"/>
          <w:szCs w:val="24"/>
          <w:lang w:val="en" w:eastAsia="en-AU"/>
        </w:rPr>
        <w:t>and incorporated into the Student Resource Package</w:t>
      </w:r>
      <w:r w:rsidR="00210723">
        <w:rPr>
          <w:rFonts w:eastAsia="Segoe UI" w:cstheme="minorHAnsi"/>
          <w:color w:val="011A3C"/>
          <w:sz w:val="24"/>
          <w:szCs w:val="24"/>
          <w:lang w:val="en" w:eastAsia="en-AU"/>
        </w:rPr>
        <w:t xml:space="preserve"> (SRP)</w:t>
      </w:r>
      <w:r w:rsidRPr="00260C1D">
        <w:rPr>
          <w:rFonts w:eastAsia="Segoe UI" w:cstheme="minorHAnsi"/>
          <w:color w:val="011A3C"/>
          <w:sz w:val="24"/>
          <w:szCs w:val="24"/>
          <w:lang w:val="en" w:eastAsia="en-AU"/>
        </w:rPr>
        <w:t>.</w:t>
      </w:r>
    </w:p>
    <w:p w14:paraId="4DDE4D13" w14:textId="53AE4990" w:rsidR="008503A1" w:rsidRPr="00260C1D" w:rsidRDefault="008503A1" w:rsidP="008503A1">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dependent on individual service agreement</w:t>
      </w:r>
      <w:r w:rsidR="00210723">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 (administered by regional offices) between the </w:t>
      </w:r>
      <w:r w:rsidR="00210723">
        <w:rPr>
          <w:rFonts w:eastAsia="Segoe UI" w:cstheme="minorHAnsi"/>
          <w:color w:val="011A3C"/>
          <w:sz w:val="24"/>
          <w:szCs w:val="24"/>
          <w:lang w:val="en" w:eastAsia="en-AU"/>
        </w:rPr>
        <w:t>d</w:t>
      </w:r>
      <w:r w:rsidRPr="00260C1D">
        <w:rPr>
          <w:rFonts w:eastAsia="Segoe UI" w:cstheme="minorHAnsi"/>
          <w:color w:val="011A3C"/>
          <w:sz w:val="24"/>
          <w:szCs w:val="24"/>
          <w:lang w:val="en" w:eastAsia="en-AU"/>
        </w:rPr>
        <w:t>epartment and an external provider.</w:t>
      </w:r>
    </w:p>
    <w:p w14:paraId="643F9F74" w14:textId="6D148943" w:rsidR="008503A1" w:rsidRPr="00260C1D" w:rsidRDefault="008503A1" w:rsidP="008503A1">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agreements are generally established under a </w:t>
      </w:r>
      <w:r w:rsidR="00210723">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ommittee of </w:t>
      </w:r>
      <w:r w:rsidR="00210723">
        <w:rPr>
          <w:rFonts w:eastAsia="Segoe UI" w:cstheme="minorHAnsi"/>
          <w:color w:val="011A3C"/>
          <w:sz w:val="24"/>
          <w:szCs w:val="24"/>
          <w:lang w:val="en" w:eastAsia="en-AU"/>
        </w:rPr>
        <w:t>M</w:t>
      </w:r>
      <w:r w:rsidRPr="00260C1D">
        <w:rPr>
          <w:rFonts w:eastAsia="Segoe UI" w:cstheme="minorHAnsi"/>
          <w:color w:val="011A3C"/>
          <w:sz w:val="24"/>
          <w:szCs w:val="24"/>
          <w:lang w:val="en" w:eastAsia="en-AU"/>
        </w:rPr>
        <w:t xml:space="preserve">anagement with representation from schools and other parties, such as municipal offices, and allocated on advice from regions. </w:t>
      </w:r>
    </w:p>
    <w:p w14:paraId="77D4FEE7" w14:textId="63ED517B" w:rsidR="008503A1" w:rsidRPr="00260C1D" w:rsidRDefault="008503A1" w:rsidP="008503A1">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calculated at the Indicative cycle and may be updated at the Confirmed cycle</w:t>
      </w:r>
      <w:r w:rsidR="00210723">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210723">
        <w:rPr>
          <w:rFonts w:eastAsia="Segoe UI" w:cstheme="minorHAnsi"/>
          <w:color w:val="011A3C"/>
          <w:sz w:val="24"/>
          <w:szCs w:val="24"/>
          <w:lang w:val="en" w:eastAsia="en-AU"/>
        </w:rPr>
        <w:t>Funding</w:t>
      </w:r>
      <w:r w:rsidRPr="00260C1D">
        <w:rPr>
          <w:rFonts w:eastAsia="Segoe UI" w:cstheme="minorHAnsi"/>
          <w:color w:val="011A3C"/>
          <w:sz w:val="24"/>
          <w:szCs w:val="24"/>
          <w:lang w:val="en" w:eastAsia="en-AU"/>
        </w:rPr>
        <w:t xml:space="preserve"> is allocated through cash funding.</w:t>
      </w:r>
    </w:p>
    <w:bookmarkEnd w:id="200"/>
    <w:p w14:paraId="3054F04B" w14:textId="77777777" w:rsidR="009C7551" w:rsidRPr="00260C1D" w:rsidRDefault="009C7551">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br w:type="page"/>
      </w:r>
    </w:p>
    <w:p w14:paraId="3BC86176" w14:textId="61DF7685" w:rsidR="00570DE3" w:rsidRPr="00260C1D" w:rsidRDefault="009C7551" w:rsidP="00532A33">
      <w:pPr>
        <w:pStyle w:val="Heading2"/>
      </w:pPr>
      <w:bookmarkStart w:id="201" w:name="_Toc141965277"/>
      <w:bookmarkStart w:id="202" w:name="_Toc145339606"/>
      <w:bookmarkStart w:id="203" w:name="_Toc153791929"/>
      <w:r w:rsidRPr="00260C1D">
        <w:lastRenderedPageBreak/>
        <w:t>Designated Bilingual Program</w:t>
      </w:r>
      <w:r w:rsidR="00B52991" w:rsidRPr="00260C1D">
        <w:t xml:space="preserve"> (Reference 124)</w:t>
      </w:r>
      <w:bookmarkEnd w:id="201"/>
      <w:bookmarkEnd w:id="202"/>
      <w:bookmarkEnd w:id="203"/>
    </w:p>
    <w:p w14:paraId="22D76EC5" w14:textId="7070EEDF" w:rsidR="00570DE3" w:rsidRPr="00260C1D" w:rsidRDefault="00570DE3" w:rsidP="006D6E02">
      <w:pPr>
        <w:spacing w:before="100" w:beforeAutospacing="1" w:after="100" w:afterAutospacing="1" w:line="360" w:lineRule="atLeast"/>
        <w:rPr>
          <w:rFonts w:cstheme="minorHAnsi"/>
          <w:color w:val="011A3C"/>
          <w:sz w:val="24"/>
          <w:szCs w:val="24"/>
          <w:lang w:val="en" w:eastAsia="en-AU"/>
        </w:rPr>
      </w:pPr>
      <w:r w:rsidRPr="00260C1D">
        <w:rPr>
          <w:rFonts w:cstheme="minorHAnsi"/>
          <w:color w:val="011A3C"/>
          <w:sz w:val="24"/>
          <w:szCs w:val="24"/>
          <w:lang w:val="en" w:eastAsia="en-AU"/>
        </w:rPr>
        <w:t xml:space="preserve">The Designated Bilingual Program (DBP) provides annual funding to support the delivery of bilingual education across a select number of government bilingual schools, through face-to-face teaching in the target language to 100% of students for a minimum of </w:t>
      </w:r>
      <w:r w:rsidR="006F2DF7" w:rsidRPr="00260C1D">
        <w:rPr>
          <w:rFonts w:cstheme="minorHAnsi"/>
          <w:color w:val="011A3C"/>
          <w:sz w:val="24"/>
          <w:szCs w:val="24"/>
          <w:lang w:val="en" w:eastAsia="en-AU"/>
        </w:rPr>
        <w:t>30% (</w:t>
      </w:r>
      <w:r w:rsidRPr="00260C1D">
        <w:rPr>
          <w:rFonts w:cstheme="minorHAnsi"/>
          <w:color w:val="011A3C"/>
          <w:sz w:val="24"/>
          <w:szCs w:val="24"/>
          <w:lang w:val="en" w:eastAsia="en-AU"/>
        </w:rPr>
        <w:t>7.5 hours</w:t>
      </w:r>
      <w:r w:rsidR="006F2DF7" w:rsidRPr="00260C1D">
        <w:rPr>
          <w:rFonts w:cstheme="minorHAnsi"/>
          <w:color w:val="011A3C"/>
          <w:sz w:val="24"/>
          <w:szCs w:val="24"/>
          <w:lang w:val="en" w:eastAsia="en-AU"/>
        </w:rPr>
        <w:t>) and</w:t>
      </w:r>
      <w:r w:rsidRPr="00260C1D">
        <w:rPr>
          <w:rFonts w:cstheme="minorHAnsi"/>
          <w:color w:val="011A3C"/>
          <w:sz w:val="24"/>
          <w:szCs w:val="24"/>
          <w:lang w:val="en" w:eastAsia="en-AU"/>
        </w:rPr>
        <w:t xml:space="preserve"> up to </w:t>
      </w:r>
      <w:r w:rsidR="006F2DF7" w:rsidRPr="00260C1D">
        <w:rPr>
          <w:rFonts w:cstheme="minorHAnsi"/>
          <w:color w:val="011A3C"/>
          <w:sz w:val="24"/>
          <w:szCs w:val="24"/>
          <w:lang w:val="en" w:eastAsia="en-AU"/>
        </w:rPr>
        <w:t>50% (</w:t>
      </w:r>
      <w:r w:rsidRPr="00260C1D">
        <w:rPr>
          <w:rFonts w:cstheme="minorHAnsi"/>
          <w:color w:val="011A3C"/>
          <w:sz w:val="24"/>
          <w:szCs w:val="24"/>
          <w:lang w:val="en" w:eastAsia="en-AU"/>
        </w:rPr>
        <w:t>12.5 hours</w:t>
      </w:r>
      <w:r w:rsidR="006F2DF7" w:rsidRPr="00260C1D">
        <w:rPr>
          <w:rFonts w:cstheme="minorHAnsi"/>
          <w:color w:val="011A3C"/>
          <w:sz w:val="24"/>
          <w:szCs w:val="24"/>
          <w:lang w:val="en" w:eastAsia="en-AU"/>
        </w:rPr>
        <w:t>)</w:t>
      </w:r>
      <w:r w:rsidRPr="00260C1D">
        <w:rPr>
          <w:rFonts w:cstheme="minorHAnsi"/>
          <w:color w:val="011A3C"/>
          <w:sz w:val="24"/>
          <w:szCs w:val="24"/>
          <w:lang w:val="en" w:eastAsia="en-AU"/>
        </w:rPr>
        <w:t xml:space="preserve"> per week.</w:t>
      </w:r>
      <w:r w:rsidR="00545553" w:rsidRPr="00260C1D">
        <w:rPr>
          <w:rFonts w:cstheme="minorHAnsi"/>
          <w:color w:val="011A3C"/>
          <w:sz w:val="24"/>
          <w:szCs w:val="24"/>
          <w:lang w:val="en" w:eastAsia="en-AU"/>
        </w:rPr>
        <w:t xml:space="preserve"> </w:t>
      </w:r>
      <w:r w:rsidRPr="00260C1D">
        <w:rPr>
          <w:rFonts w:cstheme="minorHAnsi"/>
          <w:color w:val="011A3C"/>
          <w:sz w:val="24"/>
          <w:szCs w:val="24"/>
          <w:lang w:val="en" w:eastAsia="en-AU"/>
        </w:rPr>
        <w:t xml:space="preserve">The DBP is managed by the </w:t>
      </w:r>
      <w:r w:rsidR="00C95315">
        <w:rPr>
          <w:rFonts w:cstheme="minorHAnsi"/>
          <w:color w:val="011A3C"/>
          <w:sz w:val="24"/>
          <w:szCs w:val="24"/>
          <w:lang w:val="en" w:eastAsia="en-AU"/>
        </w:rPr>
        <w:t>Curriculum</w:t>
      </w:r>
      <w:r w:rsidR="009820F7">
        <w:rPr>
          <w:rFonts w:cstheme="minorHAnsi"/>
          <w:color w:val="011A3C"/>
          <w:sz w:val="24"/>
          <w:szCs w:val="24"/>
          <w:lang w:val="en" w:eastAsia="en-AU"/>
        </w:rPr>
        <w:t xml:space="preserve"> Implementation </w:t>
      </w:r>
      <w:r w:rsidRPr="00260C1D">
        <w:rPr>
          <w:rFonts w:cstheme="minorHAnsi"/>
          <w:color w:val="011A3C"/>
          <w:sz w:val="24"/>
          <w:szCs w:val="24"/>
          <w:lang w:val="en" w:eastAsia="en-AU"/>
        </w:rPr>
        <w:t>Division.</w:t>
      </w:r>
    </w:p>
    <w:p w14:paraId="3DC14226" w14:textId="77777777" w:rsidR="00570DE3" w:rsidRPr="00260C1D" w:rsidRDefault="00570DE3" w:rsidP="004D307F">
      <w:pPr>
        <w:spacing w:before="100" w:beforeAutospacing="1" w:after="100" w:afterAutospacing="1" w:line="360"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3A1389B1" w14:textId="793205DE" w:rsidR="00570DE3" w:rsidRPr="00260C1D" w:rsidRDefault="00570DE3" w:rsidP="005A7E0A">
      <w:pPr>
        <w:spacing w:before="100" w:beforeAutospacing="1" w:after="100" w:afterAutospacing="1" w:line="360" w:lineRule="atLeast"/>
        <w:rPr>
          <w:rFonts w:cstheme="minorHAnsi"/>
          <w:color w:val="011A3C"/>
          <w:sz w:val="24"/>
          <w:szCs w:val="24"/>
          <w:lang w:val="en" w:eastAsia="en-AU"/>
        </w:rPr>
      </w:pPr>
      <w:r w:rsidRPr="00260C1D">
        <w:rPr>
          <w:rFonts w:cstheme="minorHAnsi"/>
          <w:color w:val="011A3C"/>
          <w:sz w:val="24"/>
          <w:szCs w:val="24"/>
          <w:lang w:val="en" w:eastAsia="en-AU"/>
        </w:rPr>
        <w:t>Schools with the following school types are included in the Designated Bilingual Program</w:t>
      </w:r>
      <w:r w:rsidR="00D86432">
        <w:rPr>
          <w:rFonts w:cstheme="minorHAnsi"/>
          <w:color w:val="011A3C"/>
          <w:sz w:val="24"/>
          <w:szCs w:val="24"/>
          <w:lang w:val="en" w:eastAsia="en-AU"/>
        </w:rPr>
        <w:t>:</w:t>
      </w:r>
    </w:p>
    <w:p w14:paraId="1A9615A2" w14:textId="58D3438D" w:rsidR="00570DE3" w:rsidRPr="00260C1D" w:rsidRDefault="00570DE3" w:rsidP="00F56244">
      <w:pPr>
        <w:pStyle w:val="ListParagraph"/>
        <w:numPr>
          <w:ilvl w:val="0"/>
          <w:numId w:val="31"/>
        </w:numPr>
        <w:spacing w:line="360" w:lineRule="atLeast"/>
        <w:rPr>
          <w:rFonts w:eastAsia="Segoe UI" w:cstheme="minorHAnsi"/>
          <w:lang w:val="en-US"/>
        </w:rPr>
      </w:pPr>
      <w:r w:rsidRPr="00260C1D">
        <w:rPr>
          <w:rFonts w:eastAsia="Segoe UI" w:cstheme="minorHAnsi"/>
          <w:color w:val="011A3C"/>
          <w:sz w:val="24"/>
          <w:szCs w:val="24"/>
          <w:lang w:val="en" w:eastAsia="en-AU"/>
        </w:rPr>
        <w:t>Primary</w:t>
      </w:r>
    </w:p>
    <w:p w14:paraId="32A0B1D6" w14:textId="50D237D6" w:rsidR="000B237C" w:rsidRPr="00260C1D" w:rsidRDefault="00A56EA7" w:rsidP="004D307F">
      <w:pPr>
        <w:spacing w:line="360" w:lineRule="atLeast"/>
        <w:rPr>
          <w:rFonts w:cstheme="minorHAnsi"/>
          <w:color w:val="011A3C"/>
          <w:sz w:val="24"/>
          <w:szCs w:val="24"/>
          <w:lang w:val="en" w:eastAsia="en-AU"/>
        </w:rPr>
      </w:pPr>
      <w:r w:rsidRPr="00260C1D">
        <w:rPr>
          <w:rFonts w:cstheme="minorHAnsi"/>
          <w:color w:val="011A3C"/>
          <w:sz w:val="24"/>
          <w:szCs w:val="24"/>
          <w:lang w:val="en" w:eastAsia="en-AU"/>
        </w:rPr>
        <w:t xml:space="preserve">Subject to Ministerial approval and the availability of resources, the </w:t>
      </w:r>
      <w:r w:rsidR="00D86432">
        <w:rPr>
          <w:rFonts w:cstheme="minorHAnsi"/>
          <w:color w:val="011A3C"/>
          <w:sz w:val="24"/>
          <w:szCs w:val="24"/>
          <w:lang w:val="en" w:eastAsia="en-AU"/>
        </w:rPr>
        <w:t>d</w:t>
      </w:r>
      <w:r w:rsidRPr="00260C1D">
        <w:rPr>
          <w:rFonts w:cstheme="minorHAnsi"/>
          <w:color w:val="011A3C"/>
          <w:sz w:val="24"/>
          <w:szCs w:val="24"/>
          <w:lang w:val="en" w:eastAsia="en-AU"/>
        </w:rPr>
        <w:t>epartment may provide an opportunity for a new school to enter the Designated Bilingual Program. This involves a targeted Expression of Interest (EOI) process to a small number of schools w</w:t>
      </w:r>
      <w:r w:rsidR="006717C9" w:rsidRPr="00260C1D">
        <w:rPr>
          <w:rFonts w:cstheme="minorHAnsi"/>
          <w:color w:val="011A3C"/>
          <w:sz w:val="24"/>
          <w:szCs w:val="24"/>
          <w:lang w:val="en" w:eastAsia="en-AU"/>
        </w:rPr>
        <w:t>ho</w:t>
      </w:r>
      <w:r w:rsidRPr="00260C1D">
        <w:rPr>
          <w:rFonts w:cstheme="minorHAnsi"/>
          <w:color w:val="011A3C"/>
          <w:sz w:val="24"/>
          <w:szCs w:val="24"/>
          <w:lang w:val="en" w:eastAsia="en-AU"/>
        </w:rPr>
        <w:t xml:space="preserve"> can demonstrate existing, strong language programs, such as highly successful Content and </w:t>
      </w:r>
      <w:r w:rsidR="006717C9" w:rsidRPr="00260C1D">
        <w:rPr>
          <w:rFonts w:cstheme="minorHAnsi"/>
          <w:color w:val="011A3C"/>
          <w:sz w:val="24"/>
          <w:szCs w:val="24"/>
          <w:lang w:val="en" w:eastAsia="en-AU"/>
        </w:rPr>
        <w:t>L</w:t>
      </w:r>
      <w:r w:rsidRPr="00260C1D">
        <w:rPr>
          <w:rFonts w:cstheme="minorHAnsi"/>
          <w:color w:val="011A3C"/>
          <w:sz w:val="24"/>
          <w:szCs w:val="24"/>
          <w:lang w:val="en" w:eastAsia="en-AU"/>
        </w:rPr>
        <w:t xml:space="preserve">anguage </w:t>
      </w:r>
      <w:r w:rsidR="006717C9" w:rsidRPr="00260C1D">
        <w:rPr>
          <w:rFonts w:cstheme="minorHAnsi"/>
          <w:color w:val="011A3C"/>
          <w:sz w:val="24"/>
          <w:szCs w:val="24"/>
          <w:lang w:val="en" w:eastAsia="en-AU"/>
        </w:rPr>
        <w:t>I</w:t>
      </w:r>
      <w:r w:rsidRPr="00260C1D">
        <w:rPr>
          <w:rFonts w:cstheme="minorHAnsi"/>
          <w:color w:val="011A3C"/>
          <w:sz w:val="24"/>
          <w:szCs w:val="24"/>
          <w:lang w:val="en" w:eastAsia="en-AU"/>
        </w:rPr>
        <w:t xml:space="preserve">ntegrated </w:t>
      </w:r>
      <w:r w:rsidR="006717C9" w:rsidRPr="00260C1D">
        <w:rPr>
          <w:rFonts w:cstheme="minorHAnsi"/>
          <w:color w:val="011A3C"/>
          <w:sz w:val="24"/>
          <w:szCs w:val="24"/>
          <w:lang w:val="en" w:eastAsia="en-AU"/>
        </w:rPr>
        <w:t>L</w:t>
      </w:r>
      <w:r w:rsidRPr="00260C1D">
        <w:rPr>
          <w:rFonts w:cstheme="minorHAnsi"/>
          <w:color w:val="011A3C"/>
          <w:sz w:val="24"/>
          <w:szCs w:val="24"/>
          <w:lang w:val="en" w:eastAsia="en-AU"/>
        </w:rPr>
        <w:t xml:space="preserve">earning (CLIL) programs, and have strong community support. </w:t>
      </w:r>
    </w:p>
    <w:p w14:paraId="356D3C92" w14:textId="1FC062F2" w:rsidR="00A56EA7" w:rsidRPr="00260C1D" w:rsidRDefault="00A56EA7" w:rsidP="004D307F">
      <w:pPr>
        <w:spacing w:line="360" w:lineRule="atLeast"/>
        <w:rPr>
          <w:rFonts w:cstheme="minorHAnsi"/>
          <w:color w:val="011A3C"/>
          <w:sz w:val="24"/>
          <w:szCs w:val="24"/>
          <w:lang w:val="en" w:eastAsia="en-AU"/>
        </w:rPr>
      </w:pPr>
      <w:r w:rsidRPr="00260C1D">
        <w:rPr>
          <w:rFonts w:cstheme="minorHAnsi"/>
          <w:color w:val="011A3C"/>
          <w:sz w:val="24"/>
          <w:szCs w:val="24"/>
          <w:lang w:val="en" w:eastAsia="en-AU"/>
        </w:rPr>
        <w:t>Applicant schools need to articulate an evidence-based pathway toward achieving 100% student participation in a bilingual program, with instruction time in the target language to be offered for a minimum of 30% (7.5 hours) per week and ranging through to an aspirational target of 50% (12.5 hours).</w:t>
      </w:r>
    </w:p>
    <w:p w14:paraId="4E0FAAC6" w14:textId="77777777" w:rsidR="00570DE3" w:rsidRPr="00260C1D" w:rsidRDefault="00570DE3" w:rsidP="004D307F">
      <w:pPr>
        <w:spacing w:before="100" w:beforeAutospacing="1" w:after="100" w:afterAutospacing="1" w:line="360"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266B79E9" w14:textId="3788D1EE" w:rsidR="00A56EA7" w:rsidRPr="00260C1D" w:rsidRDefault="00A56EA7" w:rsidP="002C74B8">
      <w:pPr>
        <w:spacing w:before="100" w:beforeAutospacing="1" w:after="80" w:line="360" w:lineRule="atLeast"/>
        <w:rPr>
          <w:rFonts w:cstheme="minorHAnsi"/>
          <w:color w:val="011A3C"/>
          <w:sz w:val="24"/>
          <w:szCs w:val="24"/>
          <w:lang w:val="en" w:eastAsia="en-AU"/>
        </w:rPr>
      </w:pPr>
      <w:r w:rsidRPr="00260C1D">
        <w:rPr>
          <w:rFonts w:cstheme="minorHAnsi"/>
          <w:color w:val="011A3C"/>
          <w:sz w:val="24"/>
          <w:szCs w:val="24"/>
          <w:lang w:val="en" w:eastAsia="en-AU"/>
        </w:rPr>
        <w:t>Funding is calculated at the Confirmed budget cycle. Funding is allocated through credit funding.</w:t>
      </w:r>
    </w:p>
    <w:p w14:paraId="4A173B55" w14:textId="7A1D6E58" w:rsidR="00570DE3" w:rsidRPr="00260C1D" w:rsidRDefault="00570DE3" w:rsidP="002C74B8">
      <w:pPr>
        <w:spacing w:before="100" w:beforeAutospacing="1" w:after="80" w:line="360" w:lineRule="atLeast"/>
        <w:rPr>
          <w:rFonts w:cstheme="minorHAnsi"/>
          <w:color w:val="011A3C"/>
          <w:sz w:val="24"/>
          <w:szCs w:val="24"/>
          <w:lang w:val="en" w:eastAsia="en-AU"/>
        </w:rPr>
      </w:pPr>
      <w:r w:rsidRPr="00260C1D">
        <w:rPr>
          <w:rFonts w:cstheme="minorHAnsi"/>
          <w:color w:val="011A3C"/>
          <w:sz w:val="24"/>
          <w:szCs w:val="24"/>
          <w:lang w:val="en" w:eastAsia="en-AU"/>
        </w:rPr>
        <w:t>Funding is per capita and based on all students being offered a bilingual education for a minimum of 30</w:t>
      </w:r>
      <w:r w:rsidR="00DC5ED6" w:rsidRPr="00260C1D">
        <w:rPr>
          <w:rFonts w:cstheme="minorHAnsi"/>
          <w:color w:val="011A3C"/>
          <w:sz w:val="24"/>
          <w:szCs w:val="24"/>
          <w:lang w:val="en" w:eastAsia="en-AU"/>
        </w:rPr>
        <w:t>%</w:t>
      </w:r>
      <w:r w:rsidRPr="00260C1D">
        <w:rPr>
          <w:rFonts w:cstheme="minorHAnsi"/>
          <w:color w:val="011A3C"/>
          <w:sz w:val="24"/>
          <w:szCs w:val="24"/>
          <w:lang w:val="en" w:eastAsia="en-AU"/>
        </w:rPr>
        <w:t xml:space="preserve"> (i.e. 7.5 hours) and up to 50</w:t>
      </w:r>
      <w:r w:rsidR="00DC5ED6" w:rsidRPr="00260C1D">
        <w:rPr>
          <w:rFonts w:cstheme="minorHAnsi"/>
          <w:color w:val="011A3C"/>
          <w:sz w:val="24"/>
          <w:szCs w:val="24"/>
          <w:lang w:val="en" w:eastAsia="en-AU"/>
        </w:rPr>
        <w:t>%</w:t>
      </w:r>
      <w:r w:rsidRPr="00260C1D">
        <w:rPr>
          <w:rFonts w:cstheme="minorHAnsi"/>
          <w:color w:val="011A3C"/>
          <w:sz w:val="24"/>
          <w:szCs w:val="24"/>
          <w:lang w:val="en" w:eastAsia="en-AU"/>
        </w:rPr>
        <w:t xml:space="preserve"> (i.e. 12.5 hours) of bilingual instruction in the target language per week, with funding scaled accordingly based on the DBP funding and operating model.  </w:t>
      </w:r>
    </w:p>
    <w:p w14:paraId="156AADB4" w14:textId="3FA1277E" w:rsidR="00570DE3" w:rsidRDefault="00570DE3" w:rsidP="002C74B8">
      <w:pPr>
        <w:spacing w:before="100" w:beforeAutospacing="1" w:after="100" w:afterAutospacing="1" w:line="360" w:lineRule="atLeast"/>
        <w:outlineLvl w:val="2"/>
        <w:rPr>
          <w:rFonts w:cstheme="minorHAnsi"/>
          <w:color w:val="011A3C"/>
          <w:sz w:val="24"/>
          <w:szCs w:val="24"/>
          <w:lang w:val="en" w:eastAsia="en-AU"/>
        </w:rPr>
      </w:pPr>
      <w:r w:rsidRPr="00260C1D">
        <w:rPr>
          <w:rFonts w:cstheme="minorHAnsi"/>
          <w:color w:val="011A3C"/>
          <w:sz w:val="24"/>
          <w:szCs w:val="24"/>
          <w:lang w:val="en" w:eastAsia="en-AU"/>
        </w:rPr>
        <w:t>Note</w:t>
      </w:r>
      <w:r w:rsidR="00CC1F05" w:rsidRPr="00260C1D">
        <w:rPr>
          <w:rFonts w:cstheme="minorHAnsi"/>
          <w:color w:val="011A3C"/>
          <w:sz w:val="24"/>
          <w:szCs w:val="24"/>
          <w:lang w:val="en" w:eastAsia="en-AU"/>
        </w:rPr>
        <w:t>:</w:t>
      </w:r>
      <w:r w:rsidR="002C74B8" w:rsidRPr="00260C1D">
        <w:rPr>
          <w:rFonts w:cstheme="minorHAnsi"/>
          <w:color w:val="011A3C"/>
          <w:sz w:val="24"/>
          <w:szCs w:val="24"/>
          <w:lang w:val="en" w:eastAsia="en-AU"/>
        </w:rPr>
        <w:t xml:space="preserve"> </w:t>
      </w:r>
      <w:r w:rsidRPr="00260C1D">
        <w:rPr>
          <w:rFonts w:cstheme="minorHAnsi"/>
          <w:color w:val="011A3C"/>
          <w:sz w:val="24"/>
          <w:szCs w:val="24"/>
          <w:lang w:val="en" w:eastAsia="en-AU"/>
        </w:rPr>
        <w:t>Allocations to Designated Bilingual Program schools include a 30</w:t>
      </w:r>
      <w:r w:rsidR="00DC5ED6" w:rsidRPr="00260C1D">
        <w:rPr>
          <w:rFonts w:cstheme="minorHAnsi"/>
          <w:color w:val="011A3C"/>
          <w:sz w:val="24"/>
          <w:szCs w:val="24"/>
          <w:lang w:val="en" w:eastAsia="en-AU"/>
        </w:rPr>
        <w:t>%</w:t>
      </w:r>
      <w:r w:rsidRPr="00260C1D">
        <w:rPr>
          <w:rFonts w:cstheme="minorHAnsi"/>
          <w:color w:val="011A3C"/>
          <w:sz w:val="24"/>
          <w:szCs w:val="24"/>
          <w:lang w:val="en" w:eastAsia="en-AU"/>
        </w:rPr>
        <w:t xml:space="preserve"> cash component.</w:t>
      </w:r>
      <w:r w:rsidR="009B2D25" w:rsidRPr="00260C1D" w:rsidDel="009B2D25">
        <w:rPr>
          <w:rFonts w:cstheme="minorHAnsi"/>
          <w:color w:val="011A3C"/>
          <w:sz w:val="24"/>
          <w:szCs w:val="24"/>
          <w:lang w:val="en" w:eastAsia="en-AU"/>
        </w:rPr>
        <w:t xml:space="preserve"> </w:t>
      </w:r>
    </w:p>
    <w:p w14:paraId="2B7C89C1" w14:textId="77777777" w:rsidR="002C5762" w:rsidRDefault="002C5762" w:rsidP="009B4DE1">
      <w:pPr>
        <w:rPr>
          <w:lang w:val="en" w:eastAsia="en-AU"/>
        </w:rPr>
      </w:pPr>
    </w:p>
    <w:p w14:paraId="6AB419C1" w14:textId="77777777" w:rsidR="002C5762" w:rsidRDefault="002C5762" w:rsidP="002C74B8">
      <w:pPr>
        <w:spacing w:before="100" w:beforeAutospacing="1" w:after="100" w:afterAutospacing="1" w:line="360" w:lineRule="atLeast"/>
        <w:outlineLvl w:val="2"/>
        <w:rPr>
          <w:rFonts w:ascii="Calibri Light" w:eastAsia="Calibri Light" w:hAnsi="Calibri Light" w:cs="Calibri Light"/>
          <w:b/>
          <w:bCs/>
          <w:color w:val="2F5496" w:themeColor="accent1" w:themeShade="BF"/>
          <w:sz w:val="36"/>
          <w:szCs w:val="36"/>
          <w:lang w:val="en" w:eastAsia="en-AU"/>
        </w:rPr>
      </w:pPr>
      <w:r>
        <w:rPr>
          <w:rFonts w:ascii="Calibri Light" w:eastAsia="Calibri Light" w:hAnsi="Calibri Light" w:cs="Calibri Light"/>
          <w:b/>
          <w:bCs/>
          <w:color w:val="2F5496" w:themeColor="accent1" w:themeShade="BF"/>
          <w:sz w:val="36"/>
          <w:szCs w:val="36"/>
          <w:lang w:val="en" w:eastAsia="en-AU"/>
        </w:rPr>
        <w:br w:type="page"/>
      </w:r>
    </w:p>
    <w:p w14:paraId="784692CB" w14:textId="168AED08" w:rsidR="002C5762" w:rsidRPr="009B4DE1" w:rsidRDefault="002C5762" w:rsidP="00532A33">
      <w:pPr>
        <w:pStyle w:val="Heading2"/>
      </w:pPr>
      <w:bookmarkStart w:id="204" w:name="_Toc145339607"/>
      <w:bookmarkStart w:id="205" w:name="_Toc153791930"/>
      <w:r w:rsidRPr="009B4DE1">
        <w:lastRenderedPageBreak/>
        <w:t>Science and Technology (Reference 145)</w:t>
      </w:r>
      <w:bookmarkEnd w:id="204"/>
      <w:bookmarkEnd w:id="205"/>
    </w:p>
    <w:p w14:paraId="3E2CB3BB" w14:textId="77777777" w:rsidR="00151036" w:rsidRPr="00833928" w:rsidRDefault="00151036" w:rsidP="00833928">
      <w:pPr>
        <w:rPr>
          <w:rStyle w:val="CommentReference"/>
        </w:rPr>
      </w:pPr>
    </w:p>
    <w:p w14:paraId="35060E52" w14:textId="77777777" w:rsidR="00020CFD" w:rsidRPr="009B4DE1" w:rsidRDefault="00020CFD" w:rsidP="00020CFD">
      <w:pPr>
        <w:rPr>
          <w:rFonts w:cstheme="minorHAnsi"/>
          <w:color w:val="011A3C"/>
          <w:sz w:val="24"/>
          <w:szCs w:val="24"/>
          <w:lang w:val="en" w:eastAsia="en-AU"/>
        </w:rPr>
      </w:pPr>
      <w:r w:rsidRPr="009B4DE1">
        <w:rPr>
          <w:rFonts w:cstheme="minorHAnsi"/>
          <w:color w:val="011A3C"/>
          <w:sz w:val="24"/>
          <w:szCs w:val="24"/>
          <w:lang w:val="en" w:eastAsia="en-AU"/>
        </w:rPr>
        <w:t>The allocation for a Science and Technology teaching role is allocated via each regional office to 14 secondary or primary/secondary combined schools in remote or isolated areas.</w:t>
      </w:r>
    </w:p>
    <w:p w14:paraId="44602E8A" w14:textId="77777777" w:rsidR="00020CFD" w:rsidRPr="009B4DE1" w:rsidRDefault="00020CFD" w:rsidP="00020CFD">
      <w:pPr>
        <w:rPr>
          <w:rFonts w:cstheme="minorHAnsi"/>
          <w:color w:val="011A3C"/>
          <w:sz w:val="24"/>
          <w:szCs w:val="24"/>
          <w:lang w:val="en" w:eastAsia="en-AU"/>
        </w:rPr>
      </w:pPr>
      <w:r w:rsidRPr="009B4DE1">
        <w:rPr>
          <w:rFonts w:cstheme="minorHAnsi"/>
          <w:color w:val="011A3C"/>
          <w:sz w:val="24"/>
          <w:szCs w:val="24"/>
          <w:lang w:val="en" w:eastAsia="en-AU"/>
        </w:rPr>
        <w:t>The allocation is based on the SRP teacher average rate and the EFT is advised by the region.</w:t>
      </w:r>
    </w:p>
    <w:p w14:paraId="73577177" w14:textId="7B34BCAA" w:rsidR="00020CFD" w:rsidRDefault="00020CFD" w:rsidP="00020CFD">
      <w:r w:rsidRPr="009B4DE1">
        <w:rPr>
          <w:rFonts w:cstheme="minorHAnsi"/>
          <w:color w:val="011A3C"/>
          <w:sz w:val="24"/>
          <w:szCs w:val="24"/>
          <w:lang w:val="en" w:eastAsia="en-AU"/>
        </w:rPr>
        <w:t xml:space="preserve">This school specific program is designed to provided additional resources to schools in hard to staff rural areas that struggle to find a science specialist to provide </w:t>
      </w:r>
      <w:proofErr w:type="spellStart"/>
      <w:r w:rsidRPr="009B4DE1">
        <w:rPr>
          <w:rFonts w:cstheme="minorHAnsi"/>
          <w:color w:val="011A3C"/>
          <w:sz w:val="24"/>
          <w:szCs w:val="24"/>
          <w:lang w:val="en" w:eastAsia="en-AU"/>
        </w:rPr>
        <w:t>specialised</w:t>
      </w:r>
      <w:proofErr w:type="spellEnd"/>
      <w:r w:rsidRPr="009B4DE1">
        <w:rPr>
          <w:rFonts w:cstheme="minorHAnsi"/>
          <w:color w:val="011A3C"/>
          <w:sz w:val="24"/>
          <w:szCs w:val="24"/>
          <w:lang w:val="en" w:eastAsia="en-AU"/>
        </w:rPr>
        <w:t xml:space="preserve"> tuition to students attending the selected schools.</w:t>
      </w:r>
    </w:p>
    <w:p w14:paraId="7CA8C5BB" w14:textId="77777777" w:rsidR="00020CFD" w:rsidRPr="009B4DE1" w:rsidRDefault="00020CFD" w:rsidP="009B4DE1">
      <w:pPr>
        <w:spacing w:before="100" w:beforeAutospacing="1" w:after="100" w:afterAutospacing="1" w:line="360" w:lineRule="atLeast"/>
        <w:outlineLvl w:val="2"/>
        <w:rPr>
          <w:rFonts w:eastAsia="Segoe UI" w:cstheme="minorHAnsi"/>
          <w:b/>
          <w:color w:val="011A3C"/>
          <w:sz w:val="27"/>
          <w:szCs w:val="27"/>
          <w:lang w:val="en" w:eastAsia="en-AU"/>
        </w:rPr>
      </w:pPr>
      <w:r w:rsidRPr="009B4DE1">
        <w:rPr>
          <w:rFonts w:eastAsia="Segoe UI" w:cstheme="minorHAnsi"/>
          <w:b/>
          <w:color w:val="011A3C"/>
          <w:sz w:val="27"/>
          <w:szCs w:val="27"/>
          <w:lang w:val="en" w:eastAsia="en-AU"/>
        </w:rPr>
        <w:t xml:space="preserve">Eligibility </w:t>
      </w:r>
    </w:p>
    <w:p w14:paraId="71B69F86" w14:textId="3136AE82" w:rsidR="00020CFD" w:rsidRDefault="00C06B42" w:rsidP="00020CFD">
      <w:pPr>
        <w:rPr>
          <w:rFonts w:cstheme="minorHAnsi"/>
          <w:color w:val="011A3C"/>
          <w:sz w:val="24"/>
          <w:szCs w:val="24"/>
          <w:lang w:val="en" w:eastAsia="en-AU"/>
        </w:rPr>
      </w:pPr>
      <w:r>
        <w:rPr>
          <w:rFonts w:cstheme="minorHAnsi"/>
          <w:color w:val="011A3C"/>
          <w:sz w:val="24"/>
          <w:szCs w:val="24"/>
          <w:lang w:val="en" w:eastAsia="en-AU"/>
        </w:rPr>
        <w:t xml:space="preserve">The following four </w:t>
      </w:r>
      <w:r w:rsidR="00020CFD" w:rsidRPr="009B4DE1">
        <w:rPr>
          <w:rFonts w:cstheme="minorHAnsi"/>
          <w:color w:val="011A3C"/>
          <w:sz w:val="24"/>
          <w:szCs w:val="24"/>
          <w:lang w:val="en" w:eastAsia="en-AU"/>
        </w:rPr>
        <w:t>secondary schools</w:t>
      </w:r>
      <w:r>
        <w:rPr>
          <w:rFonts w:cstheme="minorHAnsi"/>
          <w:color w:val="011A3C"/>
          <w:sz w:val="24"/>
          <w:szCs w:val="24"/>
          <w:lang w:val="en" w:eastAsia="en-AU"/>
        </w:rPr>
        <w:t xml:space="preserve"> are eligible:</w:t>
      </w:r>
    </w:p>
    <w:p w14:paraId="5D546209" w14:textId="77777777" w:rsidR="00FB2B48" w:rsidRPr="00FB2B48" w:rsidRDefault="00FB2B48" w:rsidP="00FB2B48">
      <w:pPr>
        <w:pStyle w:val="ListParagraph"/>
        <w:numPr>
          <w:ilvl w:val="0"/>
          <w:numId w:val="31"/>
        </w:numPr>
        <w:rPr>
          <w:rFonts w:cstheme="minorHAnsi"/>
          <w:color w:val="011A3C"/>
          <w:sz w:val="24"/>
          <w:szCs w:val="24"/>
          <w:lang w:val="en" w:eastAsia="en-AU"/>
        </w:rPr>
      </w:pPr>
      <w:proofErr w:type="spellStart"/>
      <w:r w:rsidRPr="00FB2B48">
        <w:rPr>
          <w:rFonts w:cstheme="minorHAnsi"/>
          <w:color w:val="011A3C"/>
          <w:sz w:val="24"/>
          <w:szCs w:val="24"/>
          <w:lang w:val="en" w:eastAsia="en-AU"/>
        </w:rPr>
        <w:t>Dimboola</w:t>
      </w:r>
      <w:proofErr w:type="spellEnd"/>
      <w:r w:rsidRPr="00FB2B48">
        <w:rPr>
          <w:rFonts w:cstheme="minorHAnsi"/>
          <w:color w:val="011A3C"/>
          <w:sz w:val="24"/>
          <w:szCs w:val="24"/>
          <w:lang w:val="en" w:eastAsia="en-AU"/>
        </w:rPr>
        <w:t xml:space="preserve"> Memorial Secondary College</w:t>
      </w:r>
    </w:p>
    <w:p w14:paraId="0941D62E" w14:textId="77777777" w:rsidR="00FB2B48" w:rsidRPr="00FB2B48" w:rsidRDefault="00FB2B48" w:rsidP="00FB2B48">
      <w:pPr>
        <w:pStyle w:val="ListParagraph"/>
        <w:numPr>
          <w:ilvl w:val="0"/>
          <w:numId w:val="31"/>
        </w:numPr>
        <w:rPr>
          <w:rFonts w:cstheme="minorHAnsi"/>
          <w:color w:val="011A3C"/>
          <w:sz w:val="24"/>
          <w:szCs w:val="24"/>
          <w:lang w:val="en" w:eastAsia="en-AU"/>
        </w:rPr>
      </w:pPr>
      <w:r w:rsidRPr="00FB2B48">
        <w:rPr>
          <w:rFonts w:cstheme="minorHAnsi"/>
          <w:color w:val="011A3C"/>
          <w:sz w:val="24"/>
          <w:szCs w:val="24"/>
          <w:lang w:val="en" w:eastAsia="en-AU"/>
        </w:rPr>
        <w:t>Donald High School</w:t>
      </w:r>
    </w:p>
    <w:p w14:paraId="3DC24D32" w14:textId="77777777" w:rsidR="00FB2B48" w:rsidRPr="00FB2B48" w:rsidRDefault="00FB2B48" w:rsidP="00FB2B48">
      <w:pPr>
        <w:pStyle w:val="ListParagraph"/>
        <w:numPr>
          <w:ilvl w:val="0"/>
          <w:numId w:val="31"/>
        </w:numPr>
        <w:rPr>
          <w:rFonts w:cstheme="minorHAnsi"/>
          <w:color w:val="011A3C"/>
          <w:sz w:val="24"/>
          <w:szCs w:val="24"/>
          <w:lang w:val="en" w:eastAsia="en-AU"/>
        </w:rPr>
      </w:pPr>
      <w:r w:rsidRPr="00FB2B48">
        <w:rPr>
          <w:rFonts w:cstheme="minorHAnsi"/>
          <w:color w:val="011A3C"/>
          <w:sz w:val="24"/>
          <w:szCs w:val="24"/>
          <w:lang w:val="en" w:eastAsia="en-AU"/>
        </w:rPr>
        <w:t>St Arnaud Secondary College</w:t>
      </w:r>
    </w:p>
    <w:p w14:paraId="1D14781B" w14:textId="621850A0" w:rsidR="00C06B42" w:rsidRPr="009B4DE1" w:rsidRDefault="00FB2B48" w:rsidP="009B4DE1">
      <w:pPr>
        <w:pStyle w:val="ListParagraph"/>
        <w:numPr>
          <w:ilvl w:val="0"/>
          <w:numId w:val="31"/>
        </w:numPr>
        <w:rPr>
          <w:rFonts w:cstheme="minorHAnsi"/>
          <w:color w:val="011A3C"/>
          <w:sz w:val="24"/>
          <w:szCs w:val="24"/>
          <w:lang w:val="en" w:eastAsia="en-AU"/>
        </w:rPr>
      </w:pPr>
      <w:proofErr w:type="spellStart"/>
      <w:r w:rsidRPr="00FB2B48">
        <w:rPr>
          <w:rFonts w:cstheme="minorHAnsi"/>
          <w:color w:val="011A3C"/>
          <w:sz w:val="24"/>
          <w:szCs w:val="24"/>
          <w:lang w:val="en" w:eastAsia="en-AU"/>
        </w:rPr>
        <w:t>Warracknabeal</w:t>
      </w:r>
      <w:proofErr w:type="spellEnd"/>
      <w:r w:rsidRPr="00FB2B48">
        <w:rPr>
          <w:rFonts w:cstheme="minorHAnsi"/>
          <w:color w:val="011A3C"/>
          <w:sz w:val="24"/>
          <w:szCs w:val="24"/>
          <w:lang w:val="en" w:eastAsia="en-AU"/>
        </w:rPr>
        <w:t xml:space="preserve"> Secondary College</w:t>
      </w:r>
    </w:p>
    <w:p w14:paraId="0612DCFB" w14:textId="19D188AC" w:rsidR="00020CFD" w:rsidRDefault="00C06B42" w:rsidP="00020CFD">
      <w:pPr>
        <w:rPr>
          <w:rFonts w:cstheme="minorHAnsi"/>
          <w:color w:val="011A3C"/>
          <w:sz w:val="24"/>
          <w:szCs w:val="24"/>
          <w:lang w:val="en" w:eastAsia="en-AU"/>
        </w:rPr>
      </w:pPr>
      <w:r>
        <w:rPr>
          <w:rFonts w:cstheme="minorHAnsi"/>
          <w:color w:val="011A3C"/>
          <w:sz w:val="24"/>
          <w:szCs w:val="24"/>
          <w:lang w:val="en" w:eastAsia="en-AU"/>
        </w:rPr>
        <w:t xml:space="preserve">The following ten </w:t>
      </w:r>
      <w:r w:rsidR="00020CFD" w:rsidRPr="009B4DE1">
        <w:rPr>
          <w:rFonts w:cstheme="minorHAnsi"/>
          <w:color w:val="011A3C"/>
          <w:sz w:val="24"/>
          <w:szCs w:val="24"/>
          <w:lang w:val="en" w:eastAsia="en-AU"/>
        </w:rPr>
        <w:t>primary/secondary combined schools</w:t>
      </w:r>
      <w:r>
        <w:rPr>
          <w:rFonts w:cstheme="minorHAnsi"/>
          <w:color w:val="011A3C"/>
          <w:sz w:val="24"/>
          <w:szCs w:val="24"/>
          <w:lang w:val="en" w:eastAsia="en-AU"/>
        </w:rPr>
        <w:t xml:space="preserve"> are eligible:</w:t>
      </w:r>
    </w:p>
    <w:p w14:paraId="2D9B07B1" w14:textId="77777777" w:rsidR="00385EF6" w:rsidRPr="00385EF6" w:rsidRDefault="00385EF6" w:rsidP="00385EF6">
      <w:pPr>
        <w:pStyle w:val="ListParagraph"/>
        <w:numPr>
          <w:ilvl w:val="0"/>
          <w:numId w:val="31"/>
        </w:numPr>
        <w:rPr>
          <w:rFonts w:cstheme="minorHAnsi"/>
          <w:color w:val="011A3C"/>
          <w:sz w:val="24"/>
          <w:szCs w:val="24"/>
          <w:lang w:val="en" w:eastAsia="en-AU"/>
        </w:rPr>
      </w:pPr>
      <w:proofErr w:type="spellStart"/>
      <w:r w:rsidRPr="00385EF6">
        <w:rPr>
          <w:rFonts w:cstheme="minorHAnsi"/>
          <w:color w:val="011A3C"/>
          <w:sz w:val="24"/>
          <w:szCs w:val="24"/>
          <w:lang w:val="en" w:eastAsia="en-AU"/>
        </w:rPr>
        <w:t>Murtoa</w:t>
      </w:r>
      <w:proofErr w:type="spellEnd"/>
      <w:r w:rsidRPr="00385EF6">
        <w:rPr>
          <w:rFonts w:cstheme="minorHAnsi"/>
          <w:color w:val="011A3C"/>
          <w:sz w:val="24"/>
          <w:szCs w:val="24"/>
          <w:lang w:val="en" w:eastAsia="en-AU"/>
        </w:rPr>
        <w:t xml:space="preserve"> College</w:t>
      </w:r>
    </w:p>
    <w:p w14:paraId="2F82E299" w14:textId="77777777" w:rsidR="00385EF6" w:rsidRPr="00385EF6" w:rsidRDefault="00385EF6" w:rsidP="00385EF6">
      <w:pPr>
        <w:pStyle w:val="ListParagraph"/>
        <w:numPr>
          <w:ilvl w:val="0"/>
          <w:numId w:val="31"/>
        </w:numPr>
        <w:rPr>
          <w:rFonts w:cstheme="minorHAnsi"/>
          <w:color w:val="011A3C"/>
          <w:sz w:val="24"/>
          <w:szCs w:val="24"/>
          <w:lang w:val="en" w:eastAsia="en-AU"/>
        </w:rPr>
      </w:pPr>
      <w:r w:rsidRPr="00385EF6">
        <w:rPr>
          <w:rFonts w:cstheme="minorHAnsi"/>
          <w:color w:val="011A3C"/>
          <w:sz w:val="24"/>
          <w:szCs w:val="24"/>
          <w:lang w:val="en" w:eastAsia="en-AU"/>
        </w:rPr>
        <w:t>Pyramid Hill College</w:t>
      </w:r>
    </w:p>
    <w:p w14:paraId="4B3BE47E" w14:textId="77777777" w:rsidR="00385EF6" w:rsidRPr="00385EF6" w:rsidRDefault="00385EF6" w:rsidP="00385EF6">
      <w:pPr>
        <w:pStyle w:val="ListParagraph"/>
        <w:numPr>
          <w:ilvl w:val="0"/>
          <w:numId w:val="31"/>
        </w:numPr>
        <w:rPr>
          <w:rFonts w:cstheme="minorHAnsi"/>
          <w:color w:val="011A3C"/>
          <w:sz w:val="24"/>
          <w:szCs w:val="24"/>
          <w:lang w:val="en" w:eastAsia="en-AU"/>
        </w:rPr>
      </w:pPr>
      <w:r w:rsidRPr="00385EF6">
        <w:rPr>
          <w:rFonts w:cstheme="minorHAnsi"/>
          <w:color w:val="011A3C"/>
          <w:sz w:val="24"/>
          <w:szCs w:val="24"/>
          <w:lang w:val="en" w:eastAsia="en-AU"/>
        </w:rPr>
        <w:t>Wedderburn College</w:t>
      </w:r>
    </w:p>
    <w:p w14:paraId="53B9989A" w14:textId="77777777" w:rsidR="00385EF6" w:rsidRPr="00385EF6" w:rsidRDefault="00385EF6" w:rsidP="00385EF6">
      <w:pPr>
        <w:pStyle w:val="ListParagraph"/>
        <w:numPr>
          <w:ilvl w:val="0"/>
          <w:numId w:val="31"/>
        </w:numPr>
        <w:rPr>
          <w:rFonts w:cstheme="minorHAnsi"/>
          <w:color w:val="011A3C"/>
          <w:sz w:val="24"/>
          <w:szCs w:val="24"/>
          <w:lang w:val="en" w:eastAsia="en-AU"/>
        </w:rPr>
      </w:pPr>
      <w:r w:rsidRPr="00385EF6">
        <w:rPr>
          <w:rFonts w:cstheme="minorHAnsi"/>
          <w:color w:val="011A3C"/>
          <w:sz w:val="24"/>
          <w:szCs w:val="24"/>
          <w:lang w:val="en" w:eastAsia="en-AU"/>
        </w:rPr>
        <w:t>Rainbow P-12 College</w:t>
      </w:r>
    </w:p>
    <w:p w14:paraId="12203C31" w14:textId="77777777" w:rsidR="00385EF6" w:rsidRPr="00385EF6" w:rsidRDefault="00385EF6" w:rsidP="00385EF6">
      <w:pPr>
        <w:pStyle w:val="ListParagraph"/>
        <w:numPr>
          <w:ilvl w:val="0"/>
          <w:numId w:val="31"/>
        </w:numPr>
        <w:rPr>
          <w:rFonts w:cstheme="minorHAnsi"/>
          <w:color w:val="011A3C"/>
          <w:sz w:val="24"/>
          <w:szCs w:val="24"/>
          <w:lang w:val="en" w:eastAsia="en-AU"/>
        </w:rPr>
      </w:pPr>
      <w:r w:rsidRPr="00385EF6">
        <w:rPr>
          <w:rFonts w:cstheme="minorHAnsi"/>
          <w:color w:val="011A3C"/>
          <w:sz w:val="24"/>
          <w:szCs w:val="24"/>
          <w:lang w:val="en" w:eastAsia="en-AU"/>
        </w:rPr>
        <w:t>Charlton College</w:t>
      </w:r>
    </w:p>
    <w:p w14:paraId="79B1DB05" w14:textId="77777777" w:rsidR="00385EF6" w:rsidRPr="00385EF6" w:rsidRDefault="00385EF6" w:rsidP="00385EF6">
      <w:pPr>
        <w:pStyle w:val="ListParagraph"/>
        <w:numPr>
          <w:ilvl w:val="0"/>
          <w:numId w:val="31"/>
        </w:numPr>
        <w:rPr>
          <w:rFonts w:cstheme="minorHAnsi"/>
          <w:color w:val="011A3C"/>
          <w:sz w:val="24"/>
          <w:szCs w:val="24"/>
          <w:lang w:val="en" w:eastAsia="en-AU"/>
        </w:rPr>
      </w:pPr>
      <w:proofErr w:type="spellStart"/>
      <w:r w:rsidRPr="00385EF6">
        <w:rPr>
          <w:rFonts w:cstheme="minorHAnsi"/>
          <w:color w:val="011A3C"/>
          <w:sz w:val="24"/>
          <w:szCs w:val="24"/>
          <w:lang w:val="en" w:eastAsia="en-AU"/>
        </w:rPr>
        <w:t>Wycheproof</w:t>
      </w:r>
      <w:proofErr w:type="spellEnd"/>
      <w:r w:rsidRPr="00385EF6">
        <w:rPr>
          <w:rFonts w:cstheme="minorHAnsi"/>
          <w:color w:val="011A3C"/>
          <w:sz w:val="24"/>
          <w:szCs w:val="24"/>
          <w:lang w:val="en" w:eastAsia="en-AU"/>
        </w:rPr>
        <w:t xml:space="preserve"> P-12 College</w:t>
      </w:r>
    </w:p>
    <w:p w14:paraId="372C4A00" w14:textId="77777777" w:rsidR="00385EF6" w:rsidRPr="00385EF6" w:rsidRDefault="00385EF6" w:rsidP="00385EF6">
      <w:pPr>
        <w:pStyle w:val="ListParagraph"/>
        <w:numPr>
          <w:ilvl w:val="0"/>
          <w:numId w:val="31"/>
        </w:numPr>
        <w:rPr>
          <w:rFonts w:cstheme="minorHAnsi"/>
          <w:color w:val="011A3C"/>
          <w:sz w:val="24"/>
          <w:szCs w:val="24"/>
          <w:lang w:val="en" w:eastAsia="en-AU"/>
        </w:rPr>
      </w:pPr>
      <w:r w:rsidRPr="00385EF6">
        <w:rPr>
          <w:rFonts w:cstheme="minorHAnsi"/>
          <w:color w:val="011A3C"/>
          <w:sz w:val="24"/>
          <w:szCs w:val="24"/>
          <w:lang w:val="en" w:eastAsia="en-AU"/>
        </w:rPr>
        <w:t>Nhill College</w:t>
      </w:r>
    </w:p>
    <w:p w14:paraId="391FAD27" w14:textId="77777777" w:rsidR="00385EF6" w:rsidRPr="00385EF6" w:rsidRDefault="00385EF6" w:rsidP="00385EF6">
      <w:pPr>
        <w:pStyle w:val="ListParagraph"/>
        <w:numPr>
          <w:ilvl w:val="0"/>
          <w:numId w:val="31"/>
        </w:numPr>
        <w:rPr>
          <w:rFonts w:cstheme="minorHAnsi"/>
          <w:color w:val="011A3C"/>
          <w:sz w:val="24"/>
          <w:szCs w:val="24"/>
          <w:lang w:val="en" w:eastAsia="en-AU"/>
        </w:rPr>
      </w:pPr>
      <w:r w:rsidRPr="00385EF6">
        <w:rPr>
          <w:rFonts w:cstheme="minorHAnsi"/>
          <w:color w:val="011A3C"/>
          <w:sz w:val="24"/>
          <w:szCs w:val="24"/>
          <w:lang w:val="en" w:eastAsia="en-AU"/>
        </w:rPr>
        <w:t>Kaniva College</w:t>
      </w:r>
    </w:p>
    <w:p w14:paraId="0F429221" w14:textId="77777777" w:rsidR="00385EF6" w:rsidRPr="00385EF6" w:rsidRDefault="00385EF6" w:rsidP="00385EF6">
      <w:pPr>
        <w:pStyle w:val="ListParagraph"/>
        <w:numPr>
          <w:ilvl w:val="0"/>
          <w:numId w:val="31"/>
        </w:numPr>
        <w:rPr>
          <w:rFonts w:cstheme="minorHAnsi"/>
          <w:color w:val="011A3C"/>
          <w:sz w:val="24"/>
          <w:szCs w:val="24"/>
          <w:lang w:val="en" w:eastAsia="en-AU"/>
        </w:rPr>
      </w:pPr>
      <w:r w:rsidRPr="00385EF6">
        <w:rPr>
          <w:rFonts w:cstheme="minorHAnsi"/>
          <w:color w:val="011A3C"/>
          <w:sz w:val="24"/>
          <w:szCs w:val="24"/>
          <w:lang w:val="en" w:eastAsia="en-AU"/>
        </w:rPr>
        <w:t>Boort District P-12 School</w:t>
      </w:r>
    </w:p>
    <w:p w14:paraId="1CB4420F" w14:textId="1674E0FD" w:rsidR="00020CFD" w:rsidRDefault="00385EF6" w:rsidP="009B4DE1">
      <w:pPr>
        <w:pStyle w:val="ListParagraph"/>
        <w:numPr>
          <w:ilvl w:val="0"/>
          <w:numId w:val="31"/>
        </w:numPr>
      </w:pPr>
      <w:r w:rsidRPr="00385EF6">
        <w:rPr>
          <w:rFonts w:cstheme="minorHAnsi"/>
          <w:color w:val="011A3C"/>
          <w:sz w:val="24"/>
          <w:szCs w:val="24"/>
          <w:lang w:val="en" w:eastAsia="en-AU"/>
        </w:rPr>
        <w:t>Hopetoun P-12 College</w:t>
      </w:r>
    </w:p>
    <w:p w14:paraId="0305BAB2" w14:textId="5A88B596" w:rsidR="00020CFD" w:rsidRDefault="00020CFD" w:rsidP="000338A3">
      <w:pPr>
        <w:spacing w:before="100" w:beforeAutospacing="1" w:after="100" w:afterAutospacing="1" w:line="360" w:lineRule="atLeast"/>
        <w:outlineLvl w:val="2"/>
        <w:rPr>
          <w:rFonts w:eastAsia="Segoe UI" w:cstheme="minorHAnsi"/>
          <w:b/>
          <w:color w:val="011A3C"/>
          <w:sz w:val="27"/>
          <w:szCs w:val="27"/>
          <w:lang w:val="en" w:eastAsia="en-AU"/>
        </w:rPr>
      </w:pPr>
      <w:r w:rsidRPr="009B4DE1">
        <w:rPr>
          <w:rFonts w:eastAsia="Segoe UI" w:cstheme="minorHAnsi"/>
          <w:b/>
          <w:color w:val="011A3C"/>
          <w:sz w:val="27"/>
          <w:szCs w:val="27"/>
          <w:lang w:val="en" w:eastAsia="en-AU"/>
        </w:rPr>
        <w:t>Rate</w:t>
      </w:r>
      <w:r w:rsidR="00C06B42">
        <w:rPr>
          <w:rFonts w:eastAsia="Segoe UI" w:cstheme="minorHAnsi"/>
          <w:b/>
          <w:color w:val="011A3C"/>
          <w:sz w:val="27"/>
          <w:szCs w:val="27"/>
          <w:lang w:val="en" w:eastAsia="en-AU"/>
        </w:rPr>
        <w:t xml:space="preserve"> – 2024</w:t>
      </w:r>
    </w:p>
    <w:p w14:paraId="0DD80181" w14:textId="0D633472" w:rsidR="00020CFD" w:rsidRDefault="00C06B42" w:rsidP="00BC3C6E">
      <w:r w:rsidRPr="009B4DE1">
        <w:rPr>
          <w:rFonts w:cstheme="minorHAnsi"/>
          <w:color w:val="011A3C"/>
          <w:sz w:val="24"/>
          <w:szCs w:val="24"/>
          <w:lang w:val="en" w:eastAsia="en-AU"/>
        </w:rPr>
        <w:t>Secondary teacher rates - $133,660</w:t>
      </w:r>
    </w:p>
    <w:p w14:paraId="32BE663E" w14:textId="77777777" w:rsidR="00020CFD" w:rsidRPr="009B4DE1" w:rsidRDefault="00020CFD" w:rsidP="009B4DE1">
      <w:pPr>
        <w:spacing w:before="100" w:beforeAutospacing="1" w:after="100" w:afterAutospacing="1" w:line="360" w:lineRule="atLeast"/>
        <w:outlineLvl w:val="2"/>
        <w:rPr>
          <w:rFonts w:eastAsia="Segoe UI" w:cstheme="minorHAnsi"/>
          <w:b/>
          <w:color w:val="011A3C"/>
          <w:sz w:val="27"/>
          <w:szCs w:val="27"/>
          <w:lang w:val="en" w:eastAsia="en-AU"/>
        </w:rPr>
      </w:pPr>
      <w:r w:rsidRPr="00833928">
        <w:rPr>
          <w:b/>
          <w:color w:val="011A3C"/>
          <w:sz w:val="27"/>
          <w:lang w:val="en"/>
        </w:rPr>
        <w:t>Formula</w:t>
      </w:r>
      <w:r w:rsidRPr="009B4DE1">
        <w:rPr>
          <w:rFonts w:eastAsia="Segoe UI" w:cstheme="minorHAnsi"/>
          <w:b/>
          <w:color w:val="011A3C"/>
          <w:sz w:val="27"/>
          <w:szCs w:val="27"/>
          <w:lang w:val="en" w:eastAsia="en-AU"/>
        </w:rPr>
        <w:t xml:space="preserve"> </w:t>
      </w:r>
    </w:p>
    <w:p w14:paraId="4D6521BA" w14:textId="77777777" w:rsidR="00020CFD" w:rsidRPr="009B4DE1" w:rsidRDefault="00020CFD" w:rsidP="00020CFD">
      <w:pPr>
        <w:rPr>
          <w:rFonts w:cstheme="minorHAnsi"/>
          <w:color w:val="011A3C"/>
          <w:sz w:val="24"/>
          <w:szCs w:val="24"/>
          <w:lang w:val="en" w:eastAsia="en-AU"/>
        </w:rPr>
      </w:pPr>
      <w:r w:rsidRPr="009B4DE1">
        <w:rPr>
          <w:rFonts w:cstheme="minorHAnsi"/>
          <w:color w:val="011A3C"/>
          <w:sz w:val="24"/>
          <w:szCs w:val="24"/>
          <w:lang w:val="en" w:eastAsia="en-AU"/>
        </w:rPr>
        <w:t>EFT x rate for these 14 specific schools only.</w:t>
      </w:r>
    </w:p>
    <w:p w14:paraId="2474E677" w14:textId="6D966850" w:rsidR="00CA3357" w:rsidRPr="00260C1D" w:rsidRDefault="00CA3357">
      <w:pPr>
        <w:rPr>
          <w:rStyle w:val="CommentReference"/>
          <w:rFonts w:cstheme="minorHAnsi"/>
        </w:rPr>
      </w:pPr>
      <w:r w:rsidRPr="00260C1D">
        <w:rPr>
          <w:rStyle w:val="CommentReference"/>
          <w:rFonts w:cstheme="minorHAnsi"/>
        </w:rPr>
        <w:br w:type="page"/>
      </w:r>
    </w:p>
    <w:p w14:paraId="7D8A1435" w14:textId="26079AF5" w:rsidR="00C53D64" w:rsidRPr="00260C1D" w:rsidRDefault="00C53D64" w:rsidP="003D144A">
      <w:pPr>
        <w:pStyle w:val="Heading1"/>
      </w:pPr>
      <w:bookmarkStart w:id="206" w:name="_Toc141965278"/>
      <w:bookmarkStart w:id="207" w:name="_Toc145339608"/>
      <w:bookmarkStart w:id="208" w:name="_Toc153791931"/>
      <w:r w:rsidRPr="00260C1D">
        <w:lastRenderedPageBreak/>
        <w:t>Targeted Initiatives</w:t>
      </w:r>
      <w:bookmarkEnd w:id="206"/>
      <w:bookmarkEnd w:id="207"/>
      <w:bookmarkEnd w:id="208"/>
    </w:p>
    <w:p w14:paraId="081A6111" w14:textId="77777777" w:rsidR="00C53D64" w:rsidRPr="00260C1D" w:rsidRDefault="00C53D64" w:rsidP="006C1424">
      <w:pPr>
        <w:pStyle w:val="Heading3"/>
      </w:pPr>
      <w:r w:rsidRPr="00260C1D">
        <w:t>Policy</w:t>
      </w:r>
    </w:p>
    <w:p w14:paraId="770A88C9" w14:textId="529CE05D" w:rsidR="00C53D64" w:rsidRPr="00260C1D" w:rsidRDefault="00C53D64" w:rsidP="00C53D64">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 xml:space="preserve">This policy provides information about how funding is allocated to schools through the Student Resource </w:t>
      </w:r>
      <w:r w:rsidR="00B24032" w:rsidRPr="00260C1D">
        <w:rPr>
          <w:rFonts w:asciiTheme="minorHAnsi" w:hAnsiTheme="minorHAnsi" w:cstheme="minorHAnsi"/>
          <w:color w:val="011A3C"/>
          <w:lang w:val="en"/>
        </w:rPr>
        <w:t>Package (</w:t>
      </w:r>
      <w:r w:rsidR="009A130D" w:rsidRPr="00260C1D">
        <w:rPr>
          <w:rFonts w:asciiTheme="minorHAnsi" w:hAnsiTheme="minorHAnsi" w:cstheme="minorHAnsi"/>
          <w:color w:val="011A3C"/>
          <w:lang w:val="en"/>
        </w:rPr>
        <w:t>SRP)</w:t>
      </w:r>
      <w:r w:rsidRPr="00260C1D">
        <w:rPr>
          <w:rFonts w:asciiTheme="minorHAnsi" w:hAnsiTheme="minorHAnsi" w:cstheme="minorHAnsi"/>
          <w:color w:val="011A3C"/>
          <w:lang w:val="en"/>
        </w:rPr>
        <w:t xml:space="preserve"> for targeted initiatives.</w:t>
      </w:r>
    </w:p>
    <w:p w14:paraId="6A2E8F63" w14:textId="77777777" w:rsidR="00C53D64" w:rsidRPr="00260C1D" w:rsidRDefault="00C53D64" w:rsidP="006C1424">
      <w:pPr>
        <w:pStyle w:val="Heading3"/>
      </w:pPr>
      <w:r w:rsidRPr="00260C1D">
        <w:t>Details</w:t>
      </w:r>
    </w:p>
    <w:p w14:paraId="173FB949" w14:textId="2BB4F485" w:rsidR="00C53D64" w:rsidRPr="00260C1D" w:rsidRDefault="00C53D64" w:rsidP="00C53D64">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Funding for ‘targeted initiatives’ is one of three categories of funding provided by the SRP.</w:t>
      </w:r>
    </w:p>
    <w:p w14:paraId="02B3E3B7" w14:textId="58155BBF" w:rsidR="00C53D64" w:rsidRPr="00260C1D" w:rsidRDefault="00C53D64" w:rsidP="00C53D64">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 xml:space="preserve">The </w:t>
      </w:r>
      <w:r w:rsidRPr="00260C1D">
        <w:rPr>
          <w:rStyle w:val="Strong"/>
          <w:rFonts w:asciiTheme="minorHAnsi" w:hAnsiTheme="minorHAnsi" w:cstheme="minorHAnsi"/>
          <w:b w:val="0"/>
          <w:color w:val="011A3C"/>
          <w:lang w:val="en"/>
        </w:rPr>
        <w:t>targeted initiatives</w:t>
      </w:r>
      <w:r w:rsidRPr="00260C1D">
        <w:rPr>
          <w:rFonts w:asciiTheme="minorHAnsi" w:hAnsiTheme="minorHAnsi" w:cstheme="minorHAnsi"/>
          <w:color w:val="011A3C"/>
          <w:lang w:val="en"/>
        </w:rPr>
        <w:t xml:space="preserve"> component provides funding for programs with specific target</w:t>
      </w:r>
      <w:r w:rsidR="002B67F2">
        <w:rPr>
          <w:rFonts w:asciiTheme="minorHAnsi" w:hAnsiTheme="minorHAnsi" w:cstheme="minorHAnsi"/>
          <w:color w:val="011A3C"/>
          <w:lang w:val="en"/>
        </w:rPr>
        <w:t>ed</w:t>
      </w:r>
      <w:r w:rsidRPr="00260C1D">
        <w:rPr>
          <w:rFonts w:asciiTheme="minorHAnsi" w:hAnsiTheme="minorHAnsi" w:cstheme="minorHAnsi"/>
          <w:color w:val="011A3C"/>
          <w:lang w:val="en"/>
        </w:rPr>
        <w:t xml:space="preserve"> criteria and/or defined life spans. The </w:t>
      </w:r>
      <w:hyperlink r:id="rId147" w:history="1">
        <w:r w:rsidRPr="00260C1D">
          <w:rPr>
            <w:rStyle w:val="rpl-text-label2"/>
            <w:rFonts w:asciiTheme="minorHAnsi" w:hAnsiTheme="minorHAnsi" w:cstheme="minorHAnsi"/>
            <w:lang w:val="en"/>
          </w:rPr>
          <w:t>Guidance tab</w:t>
        </w:r>
      </w:hyperlink>
      <w:r w:rsidRPr="00260C1D">
        <w:rPr>
          <w:rFonts w:asciiTheme="minorHAnsi" w:hAnsiTheme="minorHAnsi" w:cstheme="minorHAnsi"/>
          <w:color w:val="011A3C"/>
          <w:lang w:val="en"/>
        </w:rPr>
        <w:t xml:space="preserve"> provides information about the following specific types of targeted initiative funding:</w:t>
      </w:r>
    </w:p>
    <w:bookmarkStart w:id="209" w:name="_Hlk133501576"/>
    <w:p w14:paraId="6A578E34" w14:textId="581743FC" w:rsidR="00A8797A" w:rsidRPr="00614B09" w:rsidRDefault="00DA058A" w:rsidP="00F56244">
      <w:pPr>
        <w:pStyle w:val="ListParagraph"/>
        <w:numPr>
          <w:ilvl w:val="0"/>
          <w:numId w:val="88"/>
        </w:numPr>
        <w:spacing w:before="100" w:beforeAutospacing="1" w:after="100" w:afterAutospacing="1" w:line="360" w:lineRule="atLeast"/>
        <w:rPr>
          <w:rFonts w:eastAsia="Segoe UI"/>
          <w:color w:val="0563C1"/>
          <w:sz w:val="24"/>
          <w:szCs w:val="24"/>
          <w:u w:val="single"/>
          <w:lang w:eastAsia="en-AU"/>
        </w:rPr>
      </w:pPr>
      <w:r>
        <w:fldChar w:fldCharType="begin"/>
      </w:r>
      <w:r>
        <w:instrText>HYPERLINK "https://www2.education.vic.gov.au/pal/student-resource-package-srp-targeted-initiatives/guidance/primary-welfare-reference-50" \h</w:instrText>
      </w:r>
      <w:r>
        <w:fldChar w:fldCharType="separate"/>
      </w:r>
      <w:r w:rsidR="00C53D64" w:rsidRPr="738305D2">
        <w:rPr>
          <w:rFonts w:eastAsia="Segoe UI"/>
          <w:color w:val="0563C1"/>
          <w:sz w:val="24"/>
          <w:szCs w:val="24"/>
          <w:u w:val="single"/>
          <w:lang w:eastAsia="en-AU"/>
        </w:rPr>
        <w:t>Primary Welfare</w:t>
      </w:r>
      <w:r>
        <w:rPr>
          <w:rFonts w:eastAsia="Segoe UI"/>
          <w:color w:val="0563C1"/>
          <w:sz w:val="24"/>
          <w:szCs w:val="24"/>
          <w:u w:val="single"/>
          <w:lang w:eastAsia="en-AU"/>
        </w:rPr>
        <w:fldChar w:fldCharType="end"/>
      </w:r>
    </w:p>
    <w:p w14:paraId="5F47825D" w14:textId="77777777" w:rsidR="0009002E" w:rsidRPr="00614B09" w:rsidRDefault="00000000" w:rsidP="00F56244">
      <w:pPr>
        <w:pStyle w:val="ListParagraph"/>
        <w:numPr>
          <w:ilvl w:val="0"/>
          <w:numId w:val="88"/>
        </w:numPr>
        <w:spacing w:before="100" w:beforeAutospacing="1" w:after="100" w:afterAutospacing="1" w:line="360" w:lineRule="atLeast"/>
        <w:rPr>
          <w:rFonts w:eastAsia="Segoe UI"/>
          <w:color w:val="0563C1"/>
          <w:sz w:val="24"/>
          <w:szCs w:val="24"/>
          <w:u w:val="single"/>
          <w:lang w:eastAsia="en-AU"/>
        </w:rPr>
      </w:pPr>
      <w:hyperlink r:id="rId148" w:history="1">
        <w:r w:rsidR="0009002E" w:rsidRPr="0009002E">
          <w:rPr>
            <w:rStyle w:val="Hyperlink"/>
            <w:rFonts w:eastAsia="Segoe UI"/>
            <w:sz w:val="24"/>
            <w:szCs w:val="24"/>
            <w:lang w:eastAsia="en-AU"/>
          </w:rPr>
          <w:t>Late Enrolment and Senior Secondary Re-engagement</w:t>
        </w:r>
      </w:hyperlink>
    </w:p>
    <w:p w14:paraId="49789111" w14:textId="77777777" w:rsidR="00DB3F64" w:rsidRPr="00614B09" w:rsidRDefault="00000000" w:rsidP="00F56244">
      <w:pPr>
        <w:pStyle w:val="ListParagraph"/>
        <w:numPr>
          <w:ilvl w:val="0"/>
          <w:numId w:val="88"/>
        </w:numPr>
        <w:spacing w:before="100" w:beforeAutospacing="1" w:after="100" w:afterAutospacing="1" w:line="360" w:lineRule="atLeast"/>
        <w:rPr>
          <w:rFonts w:eastAsia="Segoe UI"/>
          <w:color w:val="0563C1"/>
          <w:sz w:val="24"/>
          <w:szCs w:val="24"/>
          <w:u w:val="single"/>
          <w:lang w:eastAsia="en-AU"/>
        </w:rPr>
      </w:pPr>
      <w:hyperlink r:id="rId149">
        <w:r w:rsidR="00DB3F64" w:rsidRPr="738305D2">
          <w:rPr>
            <w:rFonts w:eastAsia="Segoe UI"/>
            <w:color w:val="0563C1"/>
            <w:sz w:val="24"/>
            <w:szCs w:val="24"/>
            <w:u w:val="single"/>
            <w:lang w:eastAsia="en-AU"/>
          </w:rPr>
          <w:t>Doctors in Secondary Schools — School program lead funding</w:t>
        </w:r>
      </w:hyperlink>
    </w:p>
    <w:p w14:paraId="538D630E" w14:textId="77777777" w:rsidR="00A8797A" w:rsidRPr="00B148A2" w:rsidRDefault="00000000" w:rsidP="00F56244">
      <w:pPr>
        <w:pStyle w:val="ListParagraph"/>
        <w:numPr>
          <w:ilvl w:val="0"/>
          <w:numId w:val="88"/>
        </w:numPr>
        <w:spacing w:before="100" w:beforeAutospacing="1" w:after="100" w:afterAutospacing="1" w:line="360" w:lineRule="atLeast"/>
        <w:rPr>
          <w:rStyle w:val="Hyperlink"/>
          <w:rFonts w:eastAsia="Segoe UI"/>
          <w:color w:val="auto"/>
          <w:sz w:val="24"/>
          <w:szCs w:val="24"/>
          <w:u w:val="none"/>
          <w:lang w:eastAsia="en-AU"/>
        </w:rPr>
      </w:pPr>
      <w:hyperlink r:id="rId150">
        <w:r w:rsidR="00A8797A" w:rsidRPr="738305D2">
          <w:rPr>
            <w:rStyle w:val="Hyperlink"/>
            <w:rFonts w:eastAsia="Segoe UI"/>
            <w:sz w:val="24"/>
            <w:szCs w:val="24"/>
            <w:lang w:eastAsia="en-AU"/>
          </w:rPr>
          <w:t>Respectful Relationships</w:t>
        </w:r>
      </w:hyperlink>
    </w:p>
    <w:p w14:paraId="1DD20D39" w14:textId="12672EC3" w:rsidR="000F368D" w:rsidRPr="0082534A" w:rsidRDefault="00000000" w:rsidP="00F56244">
      <w:pPr>
        <w:pStyle w:val="ListParagraph"/>
        <w:numPr>
          <w:ilvl w:val="0"/>
          <w:numId w:val="88"/>
        </w:numPr>
        <w:spacing w:before="100" w:beforeAutospacing="1" w:after="100" w:afterAutospacing="1" w:line="360" w:lineRule="atLeast"/>
        <w:rPr>
          <w:rFonts w:eastAsia="Segoe UI"/>
          <w:sz w:val="24"/>
          <w:szCs w:val="24"/>
          <w:lang w:eastAsia="en-AU"/>
        </w:rPr>
      </w:pPr>
      <w:hyperlink r:id="rId151">
        <w:r w:rsidR="000F368D" w:rsidRPr="738305D2">
          <w:rPr>
            <w:rStyle w:val="Hyperlink"/>
            <w:rFonts w:eastAsia="Segoe UI"/>
            <w:sz w:val="24"/>
            <w:szCs w:val="24"/>
            <w:lang w:eastAsia="en-AU"/>
          </w:rPr>
          <w:t>Career Education Funding</w:t>
        </w:r>
      </w:hyperlink>
    </w:p>
    <w:p w14:paraId="1E187EA0" w14:textId="55A25E81" w:rsidR="00A8797A" w:rsidRPr="0082534A" w:rsidRDefault="00000000" w:rsidP="00F56244">
      <w:pPr>
        <w:pStyle w:val="ListParagraph"/>
        <w:numPr>
          <w:ilvl w:val="0"/>
          <w:numId w:val="88"/>
        </w:numPr>
        <w:spacing w:before="100" w:beforeAutospacing="1" w:after="100" w:afterAutospacing="1" w:line="360" w:lineRule="atLeast"/>
        <w:rPr>
          <w:rFonts w:eastAsia="Segoe UI"/>
          <w:sz w:val="24"/>
          <w:szCs w:val="24"/>
          <w:lang w:val="en" w:eastAsia="en-AU"/>
        </w:rPr>
      </w:pPr>
      <w:hyperlink r:id="rId152">
        <w:r w:rsidR="00A8797A" w:rsidRPr="738305D2">
          <w:rPr>
            <w:rStyle w:val="Hyperlink"/>
            <w:rFonts w:eastAsia="Segoe UI"/>
            <w:sz w:val="24"/>
            <w:szCs w:val="24"/>
            <w:lang w:eastAsia="en-AU"/>
          </w:rPr>
          <w:t>Swimming in Schools</w:t>
        </w:r>
      </w:hyperlink>
    </w:p>
    <w:p w14:paraId="47657A5F" w14:textId="3BCE7EEF" w:rsidR="000C6BBE" w:rsidRPr="0082534A" w:rsidRDefault="00000000" w:rsidP="00F56244">
      <w:pPr>
        <w:pStyle w:val="ListParagraph"/>
        <w:numPr>
          <w:ilvl w:val="0"/>
          <w:numId w:val="88"/>
        </w:numPr>
        <w:spacing w:before="100" w:beforeAutospacing="1" w:after="100" w:afterAutospacing="1" w:line="360" w:lineRule="atLeast"/>
        <w:rPr>
          <w:rFonts w:eastAsia="Segoe UI"/>
          <w:sz w:val="24"/>
          <w:szCs w:val="24"/>
          <w:lang w:eastAsia="en-AU"/>
        </w:rPr>
      </w:pPr>
      <w:hyperlink r:id="rId153">
        <w:r w:rsidR="000C6BBE" w:rsidRPr="738305D2">
          <w:rPr>
            <w:rStyle w:val="Hyperlink"/>
            <w:rFonts w:eastAsia="Segoe UI"/>
            <w:sz w:val="24"/>
            <w:szCs w:val="24"/>
            <w:lang w:eastAsia="en-AU"/>
          </w:rPr>
          <w:t>Head Start</w:t>
        </w:r>
      </w:hyperlink>
    </w:p>
    <w:p w14:paraId="31DC8E2C" w14:textId="6C7FE958" w:rsidR="00A8797A" w:rsidRPr="00950CBB" w:rsidRDefault="00000000" w:rsidP="00F56244">
      <w:pPr>
        <w:pStyle w:val="ListParagraph"/>
        <w:numPr>
          <w:ilvl w:val="0"/>
          <w:numId w:val="88"/>
        </w:numPr>
        <w:spacing w:before="100" w:beforeAutospacing="1" w:after="100" w:afterAutospacing="1" w:line="360" w:lineRule="atLeast"/>
        <w:rPr>
          <w:rStyle w:val="Hyperlink"/>
        </w:rPr>
      </w:pPr>
      <w:hyperlink r:id="rId154" w:history="1">
        <w:r w:rsidR="0038321E" w:rsidRPr="738305D2">
          <w:rPr>
            <w:rStyle w:val="Hyperlink"/>
            <w:rFonts w:eastAsia="Segoe UI"/>
            <w:sz w:val="24"/>
            <w:szCs w:val="24"/>
            <w:lang w:eastAsia="en-AU"/>
          </w:rPr>
          <w:t>National Student Wellbeing Program (NSWP)</w:t>
        </w:r>
      </w:hyperlink>
    </w:p>
    <w:p w14:paraId="4AE800F7" w14:textId="77777777" w:rsidR="00C53D64" w:rsidRPr="00614B09" w:rsidRDefault="00000000" w:rsidP="00F56244">
      <w:pPr>
        <w:pStyle w:val="ListParagraph"/>
        <w:numPr>
          <w:ilvl w:val="0"/>
          <w:numId w:val="88"/>
        </w:numPr>
        <w:spacing w:before="100" w:beforeAutospacing="1" w:after="100" w:afterAutospacing="1" w:line="360" w:lineRule="atLeast"/>
        <w:rPr>
          <w:rFonts w:eastAsia="Segoe UI"/>
          <w:color w:val="0563C1"/>
          <w:sz w:val="24"/>
          <w:szCs w:val="24"/>
          <w:u w:val="single"/>
          <w:lang w:val="en" w:eastAsia="en-AU"/>
        </w:rPr>
      </w:pPr>
      <w:hyperlink r:id="rId155">
        <w:r w:rsidR="00C53D64" w:rsidRPr="738305D2">
          <w:rPr>
            <w:rFonts w:eastAsia="Segoe UI"/>
            <w:color w:val="0563C1"/>
            <w:sz w:val="24"/>
            <w:szCs w:val="24"/>
            <w:u w:val="single"/>
            <w:lang w:eastAsia="en-AU"/>
          </w:rPr>
          <w:t>Middle Years Literacy &amp; Numeracy Support (MYLNS) Initiative</w:t>
        </w:r>
      </w:hyperlink>
    </w:p>
    <w:p w14:paraId="4179E942" w14:textId="77777777" w:rsidR="00C53D64" w:rsidRPr="00614B09" w:rsidRDefault="00000000" w:rsidP="00F56244">
      <w:pPr>
        <w:pStyle w:val="ListParagraph"/>
        <w:numPr>
          <w:ilvl w:val="0"/>
          <w:numId w:val="88"/>
        </w:numPr>
        <w:spacing w:before="100" w:beforeAutospacing="1" w:after="100" w:afterAutospacing="1" w:line="360" w:lineRule="atLeast"/>
        <w:rPr>
          <w:rFonts w:eastAsia="Segoe UI"/>
          <w:color w:val="0563C1"/>
          <w:sz w:val="24"/>
          <w:szCs w:val="24"/>
          <w:u w:val="single"/>
          <w:lang w:val="en" w:eastAsia="en-AU"/>
        </w:rPr>
      </w:pPr>
      <w:hyperlink r:id="rId156">
        <w:r w:rsidR="00C53D64" w:rsidRPr="738305D2">
          <w:rPr>
            <w:rFonts w:eastAsia="Segoe UI"/>
            <w:color w:val="0563C1"/>
            <w:sz w:val="24"/>
            <w:szCs w:val="24"/>
            <w:u w:val="single"/>
            <w:lang w:eastAsia="en-AU"/>
          </w:rPr>
          <w:t>Student Excellence Program Funding</w:t>
        </w:r>
      </w:hyperlink>
    </w:p>
    <w:p w14:paraId="7CF66788" w14:textId="77777777" w:rsidR="00C53D64" w:rsidRPr="00614B09" w:rsidRDefault="00000000" w:rsidP="00F56244">
      <w:pPr>
        <w:pStyle w:val="ListParagraph"/>
        <w:numPr>
          <w:ilvl w:val="0"/>
          <w:numId w:val="88"/>
        </w:numPr>
        <w:spacing w:before="100" w:beforeAutospacing="1" w:after="100" w:afterAutospacing="1" w:line="360" w:lineRule="atLeast"/>
        <w:rPr>
          <w:rFonts w:eastAsia="Segoe UI"/>
          <w:color w:val="0563C1"/>
          <w:sz w:val="24"/>
          <w:szCs w:val="24"/>
          <w:u w:val="single"/>
          <w:lang w:val="en" w:eastAsia="en-AU"/>
        </w:rPr>
      </w:pPr>
      <w:hyperlink r:id="rId157">
        <w:r w:rsidR="00C53D64" w:rsidRPr="738305D2">
          <w:rPr>
            <w:rFonts w:eastAsia="Segoe UI"/>
            <w:color w:val="0563C1"/>
            <w:sz w:val="24"/>
            <w:szCs w:val="24"/>
            <w:u w:val="single"/>
            <w:lang w:eastAsia="en-AU"/>
          </w:rPr>
          <w:t>VCE Revision Lectures</w:t>
        </w:r>
      </w:hyperlink>
    </w:p>
    <w:p w14:paraId="37BAEAAD" w14:textId="77777777" w:rsidR="00852A82" w:rsidRPr="00614B09" w:rsidRDefault="00000000" w:rsidP="00F56244">
      <w:pPr>
        <w:pStyle w:val="ListParagraph"/>
        <w:numPr>
          <w:ilvl w:val="0"/>
          <w:numId w:val="88"/>
        </w:numPr>
        <w:spacing w:before="100" w:beforeAutospacing="1" w:after="100" w:afterAutospacing="1" w:line="360" w:lineRule="atLeast"/>
        <w:rPr>
          <w:rFonts w:eastAsia="Segoe UI"/>
          <w:color w:val="0563C1"/>
          <w:sz w:val="24"/>
          <w:szCs w:val="24"/>
          <w:u w:val="single"/>
          <w:lang w:val="en" w:eastAsia="en-AU"/>
        </w:rPr>
      </w:pPr>
      <w:hyperlink r:id="rId158" w:history="1">
        <w:r w:rsidR="00852A82" w:rsidRPr="00852A82">
          <w:rPr>
            <w:rStyle w:val="Hyperlink"/>
            <w:rFonts w:eastAsia="Segoe UI"/>
            <w:sz w:val="24"/>
            <w:szCs w:val="24"/>
            <w:lang w:val="en" w:eastAsia="en-AU"/>
          </w:rPr>
          <w:t>Primary Mathematics and Science Specialists Initiative</w:t>
        </w:r>
      </w:hyperlink>
    </w:p>
    <w:p w14:paraId="320DB25B" w14:textId="09CC09CE" w:rsidR="00A8797A" w:rsidRPr="0082534A" w:rsidRDefault="00000000" w:rsidP="00F56244">
      <w:pPr>
        <w:pStyle w:val="ListParagraph"/>
        <w:numPr>
          <w:ilvl w:val="0"/>
          <w:numId w:val="88"/>
        </w:numPr>
        <w:spacing w:before="100" w:beforeAutospacing="1" w:after="100" w:afterAutospacing="1" w:line="360" w:lineRule="atLeast"/>
        <w:rPr>
          <w:rFonts w:eastAsia="Segoe UI"/>
          <w:sz w:val="24"/>
          <w:szCs w:val="24"/>
          <w:lang w:eastAsia="en-AU"/>
        </w:rPr>
      </w:pPr>
      <w:hyperlink r:id="rId159">
        <w:r w:rsidR="00A8797A" w:rsidRPr="738305D2">
          <w:rPr>
            <w:rStyle w:val="Hyperlink"/>
            <w:rFonts w:eastAsia="Segoe UI"/>
            <w:sz w:val="24"/>
            <w:szCs w:val="24"/>
            <w:lang w:eastAsia="en-AU"/>
          </w:rPr>
          <w:t>Transition Funding (Rural)</w:t>
        </w:r>
      </w:hyperlink>
    </w:p>
    <w:p w14:paraId="0600C461" w14:textId="466D8886" w:rsidR="00A8797A" w:rsidRPr="0082534A" w:rsidRDefault="00000000" w:rsidP="00F56244">
      <w:pPr>
        <w:pStyle w:val="ListParagraph"/>
        <w:numPr>
          <w:ilvl w:val="0"/>
          <w:numId w:val="88"/>
        </w:numPr>
        <w:spacing w:before="100" w:beforeAutospacing="1" w:after="100" w:afterAutospacing="1" w:line="360" w:lineRule="atLeast"/>
        <w:rPr>
          <w:rFonts w:eastAsia="Segoe UI"/>
          <w:sz w:val="24"/>
          <w:szCs w:val="24"/>
          <w:lang w:eastAsia="en-AU"/>
        </w:rPr>
      </w:pPr>
      <w:hyperlink r:id="rId160">
        <w:r w:rsidR="00A8797A" w:rsidRPr="738305D2">
          <w:rPr>
            <w:rStyle w:val="Hyperlink"/>
            <w:rFonts w:eastAsia="Segoe UI"/>
            <w:sz w:val="24"/>
            <w:szCs w:val="24"/>
            <w:lang w:eastAsia="en-AU"/>
          </w:rPr>
          <w:t xml:space="preserve">Jobs, </w:t>
        </w:r>
        <w:r w:rsidR="002B67F2" w:rsidRPr="738305D2">
          <w:rPr>
            <w:rStyle w:val="Hyperlink"/>
            <w:rFonts w:eastAsia="Segoe UI"/>
            <w:sz w:val="24"/>
            <w:szCs w:val="24"/>
            <w:lang w:eastAsia="en-AU"/>
          </w:rPr>
          <w:t>S</w:t>
        </w:r>
        <w:r w:rsidR="00A8797A" w:rsidRPr="738305D2">
          <w:rPr>
            <w:rStyle w:val="Hyperlink"/>
            <w:rFonts w:eastAsia="Segoe UI"/>
            <w:sz w:val="24"/>
            <w:szCs w:val="24"/>
            <w:lang w:eastAsia="en-AU"/>
          </w:rPr>
          <w:t xml:space="preserve">kills and </w:t>
        </w:r>
        <w:r w:rsidR="00413518" w:rsidRPr="738305D2">
          <w:rPr>
            <w:rStyle w:val="Hyperlink"/>
            <w:rFonts w:eastAsia="Segoe UI"/>
            <w:sz w:val="24"/>
            <w:szCs w:val="24"/>
            <w:lang w:eastAsia="en-AU"/>
          </w:rPr>
          <w:t>P</w:t>
        </w:r>
        <w:r w:rsidR="00A8797A" w:rsidRPr="738305D2">
          <w:rPr>
            <w:rStyle w:val="Hyperlink"/>
            <w:rFonts w:eastAsia="Segoe UI"/>
            <w:sz w:val="24"/>
            <w:szCs w:val="24"/>
            <w:lang w:eastAsia="en-AU"/>
          </w:rPr>
          <w:t>athways (</w:t>
        </w:r>
        <w:r w:rsidR="005145AE" w:rsidRPr="738305D2">
          <w:rPr>
            <w:rStyle w:val="Hyperlink"/>
            <w:rFonts w:eastAsia="Segoe UI"/>
            <w:sz w:val="24"/>
            <w:szCs w:val="24"/>
            <w:lang w:eastAsia="en-AU"/>
          </w:rPr>
          <w:t>JSP</w:t>
        </w:r>
        <w:r w:rsidR="00A8797A" w:rsidRPr="738305D2">
          <w:rPr>
            <w:rStyle w:val="Hyperlink"/>
            <w:rFonts w:eastAsia="Segoe UI"/>
            <w:sz w:val="24"/>
            <w:szCs w:val="24"/>
            <w:lang w:eastAsia="en-AU"/>
          </w:rPr>
          <w:t>) Coordination</w:t>
        </w:r>
      </w:hyperlink>
    </w:p>
    <w:p w14:paraId="12CE2DE2" w14:textId="2944D693" w:rsidR="00A8797A" w:rsidRPr="0082534A" w:rsidRDefault="00000000" w:rsidP="00F56244">
      <w:pPr>
        <w:pStyle w:val="ListParagraph"/>
        <w:numPr>
          <w:ilvl w:val="0"/>
          <w:numId w:val="88"/>
        </w:numPr>
        <w:spacing w:before="100" w:beforeAutospacing="1" w:after="100" w:afterAutospacing="1" w:line="360" w:lineRule="atLeast"/>
        <w:rPr>
          <w:rFonts w:eastAsia="Segoe UI"/>
          <w:sz w:val="24"/>
          <w:szCs w:val="24"/>
          <w:lang w:eastAsia="en-AU"/>
        </w:rPr>
      </w:pPr>
      <w:hyperlink r:id="rId161">
        <w:r w:rsidR="00A8797A" w:rsidRPr="738305D2">
          <w:rPr>
            <w:rStyle w:val="Hyperlink"/>
            <w:rFonts w:eastAsia="Segoe UI"/>
            <w:sz w:val="24"/>
            <w:szCs w:val="24"/>
            <w:lang w:eastAsia="en-AU"/>
          </w:rPr>
          <w:t>Tutor Learning Initiative</w:t>
        </w:r>
      </w:hyperlink>
    </w:p>
    <w:p w14:paraId="5A6201CC" w14:textId="18358530" w:rsidR="00A8797A" w:rsidRPr="0082534A" w:rsidRDefault="00000000" w:rsidP="00F56244">
      <w:pPr>
        <w:pStyle w:val="ListParagraph"/>
        <w:numPr>
          <w:ilvl w:val="0"/>
          <w:numId w:val="88"/>
        </w:numPr>
        <w:spacing w:before="100" w:beforeAutospacing="1" w:after="100" w:afterAutospacing="1" w:line="360" w:lineRule="atLeast"/>
        <w:rPr>
          <w:rFonts w:eastAsia="Segoe UI"/>
          <w:sz w:val="24"/>
          <w:szCs w:val="24"/>
          <w:lang w:eastAsia="en-AU"/>
        </w:rPr>
      </w:pPr>
      <w:hyperlink r:id="rId162">
        <w:r w:rsidR="00A8797A" w:rsidRPr="738305D2">
          <w:rPr>
            <w:rStyle w:val="Hyperlink"/>
            <w:rFonts w:eastAsia="Segoe UI"/>
            <w:sz w:val="24"/>
            <w:szCs w:val="24"/>
            <w:lang w:eastAsia="en-AU"/>
          </w:rPr>
          <w:t>Mental Health in Primary Schools</w:t>
        </w:r>
      </w:hyperlink>
    </w:p>
    <w:p w14:paraId="64428C61" w14:textId="212010D9" w:rsidR="00870E1E" w:rsidRPr="0082534A" w:rsidRDefault="00000000" w:rsidP="00F56244">
      <w:pPr>
        <w:pStyle w:val="ListParagraph"/>
        <w:numPr>
          <w:ilvl w:val="0"/>
          <w:numId w:val="88"/>
        </w:numPr>
        <w:spacing w:before="100" w:beforeAutospacing="1" w:after="100" w:afterAutospacing="1" w:line="360" w:lineRule="atLeast"/>
        <w:rPr>
          <w:rFonts w:eastAsia="Segoe UI"/>
          <w:sz w:val="24"/>
          <w:szCs w:val="24"/>
          <w:lang w:eastAsia="en-AU"/>
        </w:rPr>
      </w:pPr>
      <w:hyperlink r:id="rId163">
        <w:r w:rsidR="00A8797A" w:rsidRPr="738305D2">
          <w:rPr>
            <w:rStyle w:val="Hyperlink"/>
            <w:rFonts w:eastAsia="Segoe UI"/>
            <w:sz w:val="24"/>
            <w:szCs w:val="24"/>
            <w:lang w:eastAsia="en-AU"/>
          </w:rPr>
          <w:t>Mental Health in Specialist Schools</w:t>
        </w:r>
      </w:hyperlink>
      <w:r w:rsidR="00A8797A" w:rsidRPr="738305D2">
        <w:rPr>
          <w:rFonts w:eastAsia="Segoe UI"/>
          <w:sz w:val="24"/>
          <w:szCs w:val="24"/>
          <w:lang w:eastAsia="en-AU"/>
        </w:rPr>
        <w:t xml:space="preserve"> </w:t>
      </w:r>
    </w:p>
    <w:p w14:paraId="00F66589" w14:textId="77777777" w:rsidR="00852A82" w:rsidRPr="00B148A2" w:rsidRDefault="00000000" w:rsidP="00F56244">
      <w:pPr>
        <w:pStyle w:val="ListParagraph"/>
        <w:numPr>
          <w:ilvl w:val="0"/>
          <w:numId w:val="88"/>
        </w:numPr>
        <w:spacing w:before="100" w:beforeAutospacing="1" w:after="100" w:afterAutospacing="1" w:line="360" w:lineRule="atLeast"/>
        <w:rPr>
          <w:rStyle w:val="Hyperlink"/>
          <w:rFonts w:eastAsia="Segoe UI"/>
          <w:sz w:val="24"/>
          <w:szCs w:val="24"/>
          <w:lang w:eastAsia="en-AU"/>
        </w:rPr>
      </w:pPr>
      <w:hyperlink r:id="rId164" w:history="1">
        <w:r w:rsidR="00852A82" w:rsidRPr="00B148A2">
          <w:rPr>
            <w:rStyle w:val="Hyperlink"/>
            <w:rFonts w:eastAsia="Segoe UI"/>
            <w:sz w:val="24"/>
            <w:szCs w:val="24"/>
            <w:lang w:eastAsia="en-AU"/>
          </w:rPr>
          <w:t>Secondary Mathematics and Science Initiative</w:t>
        </w:r>
      </w:hyperlink>
    </w:p>
    <w:p w14:paraId="07A1F34B" w14:textId="77777777" w:rsidR="00852A82" w:rsidRPr="003853EC" w:rsidRDefault="00000000" w:rsidP="00F56244">
      <w:pPr>
        <w:pStyle w:val="ListParagraph"/>
        <w:numPr>
          <w:ilvl w:val="0"/>
          <w:numId w:val="88"/>
        </w:numPr>
        <w:spacing w:before="100" w:beforeAutospacing="1" w:after="100" w:afterAutospacing="1" w:line="360" w:lineRule="atLeast"/>
        <w:rPr>
          <w:rStyle w:val="Hyperlink"/>
        </w:rPr>
      </w:pPr>
      <w:hyperlink r:id="rId165" w:history="1">
        <w:r w:rsidR="00852A82" w:rsidRPr="00852A82">
          <w:rPr>
            <w:rStyle w:val="Hyperlink"/>
            <w:sz w:val="24"/>
            <w:szCs w:val="24"/>
          </w:rPr>
          <w:t>Outside School Hours Care (OSHC) Establishment Grant Initiative</w:t>
        </w:r>
      </w:hyperlink>
    </w:p>
    <w:bookmarkStart w:id="210" w:name="_Hlk99875462"/>
    <w:p w14:paraId="32055BF8" w14:textId="4896CF61" w:rsidR="009D5273" w:rsidRPr="0082534A" w:rsidRDefault="00515FFD" w:rsidP="00F56244">
      <w:pPr>
        <w:pStyle w:val="ListParagraph"/>
        <w:numPr>
          <w:ilvl w:val="0"/>
          <w:numId w:val="88"/>
        </w:numPr>
        <w:spacing w:before="100" w:beforeAutospacing="1" w:after="100" w:afterAutospacing="1" w:line="360" w:lineRule="atLeast"/>
        <w:rPr>
          <w:rFonts w:eastAsia="Segoe UI"/>
          <w:sz w:val="24"/>
          <w:szCs w:val="24"/>
          <w:lang w:val="en" w:eastAsia="en-AU"/>
        </w:rPr>
      </w:pPr>
      <w:r>
        <w:rPr>
          <w:rFonts w:eastAsia="Segoe UI"/>
          <w:sz w:val="24"/>
          <w:szCs w:val="24"/>
          <w:lang w:val="en" w:eastAsia="en-AU"/>
        </w:rPr>
        <w:fldChar w:fldCharType="begin"/>
      </w:r>
      <w:r>
        <w:rPr>
          <w:rFonts w:eastAsia="Segoe UI"/>
          <w:sz w:val="24"/>
          <w:szCs w:val="24"/>
          <w:lang w:val="en" w:eastAsia="en-AU"/>
        </w:rPr>
        <w:instrText xml:space="preserve"> HYPERLINK "https://www2.education.vic.gov.au/pal/student-resource-package-srp-targeted-initiatives/guidance/innovative-initial-teacher" </w:instrText>
      </w:r>
      <w:r>
        <w:rPr>
          <w:rFonts w:eastAsia="Segoe UI"/>
          <w:sz w:val="24"/>
          <w:szCs w:val="24"/>
          <w:lang w:val="en" w:eastAsia="en-AU"/>
        </w:rPr>
      </w:r>
      <w:r>
        <w:rPr>
          <w:rFonts w:eastAsia="Segoe UI"/>
          <w:sz w:val="24"/>
          <w:szCs w:val="24"/>
          <w:lang w:val="en" w:eastAsia="en-AU"/>
        </w:rPr>
        <w:fldChar w:fldCharType="separate"/>
      </w:r>
      <w:r w:rsidR="00213558" w:rsidRPr="738305D2">
        <w:rPr>
          <w:rStyle w:val="Hyperlink"/>
          <w:rFonts w:eastAsia="Segoe UI"/>
          <w:sz w:val="24"/>
          <w:szCs w:val="24"/>
          <w:lang w:val="en" w:eastAsia="en-AU"/>
        </w:rPr>
        <w:t>Teach Today &amp; Teach Tomorrow Programs (TTTT)</w:t>
      </w:r>
      <w:r>
        <w:rPr>
          <w:rFonts w:eastAsia="Segoe UI"/>
          <w:sz w:val="24"/>
          <w:szCs w:val="24"/>
          <w:lang w:val="en" w:eastAsia="en-AU"/>
        </w:rPr>
        <w:fldChar w:fldCharType="end"/>
      </w:r>
    </w:p>
    <w:p w14:paraId="3677901B" w14:textId="6E09A0BC" w:rsidR="00DB3F64" w:rsidRPr="0082534A" w:rsidRDefault="00000000" w:rsidP="00F56244">
      <w:pPr>
        <w:pStyle w:val="ListParagraph"/>
        <w:numPr>
          <w:ilvl w:val="0"/>
          <w:numId w:val="88"/>
        </w:numPr>
        <w:spacing w:before="100" w:beforeAutospacing="1" w:after="100" w:afterAutospacing="1" w:line="360" w:lineRule="atLeast"/>
        <w:rPr>
          <w:rFonts w:eastAsia="Segoe UI"/>
          <w:sz w:val="24"/>
          <w:szCs w:val="24"/>
          <w:lang w:eastAsia="en-AU"/>
        </w:rPr>
      </w:pPr>
      <w:hyperlink r:id="rId166">
        <w:r w:rsidR="00DB3F64" w:rsidRPr="738305D2">
          <w:rPr>
            <w:rStyle w:val="Hyperlink"/>
            <w:rFonts w:eastAsia="Segoe UI"/>
            <w:sz w:val="24"/>
            <w:szCs w:val="24"/>
            <w:lang w:eastAsia="en-AU"/>
          </w:rPr>
          <w:t>Inclusion Outreach Coaching (IOC) initiative</w:t>
        </w:r>
      </w:hyperlink>
    </w:p>
    <w:bookmarkEnd w:id="210"/>
    <w:p w14:paraId="000FF864" w14:textId="746CB2A6" w:rsidR="00F82BE0" w:rsidRPr="0082534A" w:rsidRDefault="0025187D" w:rsidP="00F56244">
      <w:pPr>
        <w:pStyle w:val="ListParagraph"/>
        <w:numPr>
          <w:ilvl w:val="0"/>
          <w:numId w:val="88"/>
        </w:numPr>
        <w:spacing w:before="100" w:beforeAutospacing="1" w:after="100" w:afterAutospacing="1" w:line="360" w:lineRule="atLeast"/>
        <w:rPr>
          <w:rFonts w:eastAsia="Segoe UI"/>
          <w:sz w:val="24"/>
          <w:szCs w:val="24"/>
          <w:lang w:val="en" w:eastAsia="en-AU"/>
        </w:rPr>
      </w:pPr>
      <w:r w:rsidRPr="738305D2">
        <w:fldChar w:fldCharType="begin"/>
      </w:r>
      <w:r>
        <w:instrText xml:space="preserve"> HYPERLINK "https://www2.education.vic.gov.au/pal/student-resource-package-srp-targeted-initiatives/guidance/school-mental-health-fund" </w:instrText>
      </w:r>
      <w:r w:rsidRPr="738305D2">
        <w:fldChar w:fldCharType="separate"/>
      </w:r>
      <w:r w:rsidR="009D5273" w:rsidRPr="738305D2">
        <w:rPr>
          <w:rStyle w:val="Hyperlink"/>
          <w:rFonts w:eastAsia="Segoe UI"/>
          <w:sz w:val="24"/>
          <w:szCs w:val="24"/>
          <w:lang w:val="en" w:eastAsia="en-AU"/>
        </w:rPr>
        <w:t>Schools Mental Health Fund</w:t>
      </w:r>
      <w:r w:rsidRPr="738305D2">
        <w:rPr>
          <w:rStyle w:val="Hyperlink"/>
          <w:rFonts w:eastAsia="Segoe UI"/>
          <w:sz w:val="24"/>
          <w:szCs w:val="24"/>
          <w:lang w:val="en" w:eastAsia="en-AU"/>
        </w:rPr>
        <w:fldChar w:fldCharType="end"/>
      </w:r>
      <w:r w:rsidR="00F82BE0" w:rsidRPr="738305D2">
        <w:rPr>
          <w:rFonts w:eastAsia="Segoe UI"/>
          <w:sz w:val="24"/>
          <w:szCs w:val="24"/>
          <w:lang w:val="en" w:eastAsia="en-AU"/>
        </w:rPr>
        <w:t xml:space="preserve"> </w:t>
      </w:r>
    </w:p>
    <w:p w14:paraId="6C51F220" w14:textId="6021FDEF" w:rsidR="00A33B68" w:rsidRPr="0082534A" w:rsidRDefault="00000000" w:rsidP="00F56244">
      <w:pPr>
        <w:pStyle w:val="ListParagraph"/>
        <w:numPr>
          <w:ilvl w:val="0"/>
          <w:numId w:val="88"/>
        </w:numPr>
        <w:spacing w:before="100" w:beforeAutospacing="1" w:after="100" w:afterAutospacing="1" w:line="360" w:lineRule="atLeast"/>
        <w:rPr>
          <w:rFonts w:eastAsia="Segoe UI"/>
          <w:sz w:val="24"/>
          <w:szCs w:val="24"/>
          <w:lang w:val="en" w:eastAsia="en-AU"/>
        </w:rPr>
      </w:pPr>
      <w:hyperlink r:id="rId167">
        <w:r w:rsidR="00A33B68" w:rsidRPr="738305D2">
          <w:rPr>
            <w:rStyle w:val="Hyperlink"/>
            <w:rFonts w:eastAsia="Segoe UI"/>
            <w:sz w:val="24"/>
            <w:szCs w:val="24"/>
            <w:lang w:val="en" w:eastAsia="en-AU"/>
          </w:rPr>
          <w:t>CRT Travel Fund</w:t>
        </w:r>
      </w:hyperlink>
    </w:p>
    <w:p w14:paraId="642052EE" w14:textId="31372201" w:rsidR="00A356F9" w:rsidRPr="00833928" w:rsidRDefault="00000000" w:rsidP="00F56244">
      <w:pPr>
        <w:pStyle w:val="ListParagraph"/>
        <w:numPr>
          <w:ilvl w:val="0"/>
          <w:numId w:val="88"/>
        </w:numPr>
        <w:spacing w:before="100" w:beforeAutospacing="1" w:after="100" w:afterAutospacing="1" w:line="360" w:lineRule="atLeast"/>
        <w:rPr>
          <w:rStyle w:val="Hyperlink"/>
          <w:rFonts w:eastAsia="Segoe UI"/>
          <w:color w:val="auto"/>
          <w:sz w:val="24"/>
          <w:szCs w:val="24"/>
          <w:u w:val="none"/>
          <w:lang w:val="en" w:eastAsia="en-AU"/>
        </w:rPr>
      </w:pPr>
      <w:hyperlink r:id="rId168">
        <w:r w:rsidR="00A356F9" w:rsidRPr="738305D2">
          <w:rPr>
            <w:rStyle w:val="Hyperlink"/>
            <w:rFonts w:eastAsia="Segoe UI"/>
            <w:sz w:val="24"/>
            <w:szCs w:val="24"/>
            <w:lang w:val="en" w:eastAsia="en-AU"/>
          </w:rPr>
          <w:t>Active Schools</w:t>
        </w:r>
      </w:hyperlink>
    </w:p>
    <w:p w14:paraId="2EFDBD3F" w14:textId="1DE4A499" w:rsidR="003D144A" w:rsidRPr="00833928" w:rsidRDefault="00000000" w:rsidP="003D144A">
      <w:pPr>
        <w:pStyle w:val="ListParagraph"/>
        <w:numPr>
          <w:ilvl w:val="0"/>
          <w:numId w:val="88"/>
        </w:numPr>
        <w:spacing w:before="100" w:beforeAutospacing="1" w:after="100" w:afterAutospacing="1" w:line="360" w:lineRule="atLeast"/>
        <w:rPr>
          <w:rFonts w:eastAsia="Segoe UI"/>
          <w:sz w:val="24"/>
          <w:szCs w:val="24"/>
          <w:lang w:val="en" w:eastAsia="en-AU"/>
        </w:rPr>
      </w:pPr>
      <w:hyperlink r:id="rId169" w:history="1">
        <w:r w:rsidR="003D144A">
          <w:rPr>
            <w:rStyle w:val="Hyperlink"/>
            <w:rFonts w:eastAsia="Segoe UI"/>
            <w:sz w:val="24"/>
            <w:szCs w:val="24"/>
            <w:lang w:val="en"/>
          </w:rPr>
          <w:t>Vocational Education and Training Delivered to School Students</w:t>
        </w:r>
      </w:hyperlink>
    </w:p>
    <w:bookmarkEnd w:id="209"/>
    <w:p w14:paraId="7600FF04" w14:textId="37BD2DCB" w:rsidR="00227C5B" w:rsidRPr="009B4DE1" w:rsidRDefault="00E25B9F" w:rsidP="00F56244">
      <w:pPr>
        <w:pStyle w:val="ListParagraph"/>
        <w:numPr>
          <w:ilvl w:val="0"/>
          <w:numId w:val="88"/>
        </w:numPr>
        <w:spacing w:before="100" w:beforeAutospacing="1" w:after="100" w:afterAutospacing="1" w:line="360" w:lineRule="atLeast"/>
        <w:rPr>
          <w:rStyle w:val="Hyperlink"/>
          <w:rFonts w:eastAsia="Segoe UI"/>
          <w:sz w:val="24"/>
          <w:szCs w:val="24"/>
          <w:lang w:val="en" w:eastAsia="en-AU"/>
        </w:rPr>
      </w:pPr>
      <w:r w:rsidRPr="00833928">
        <w:rPr>
          <w:rStyle w:val="Hyperlink"/>
          <w:rFonts w:eastAsia="Segoe UI"/>
          <w:sz w:val="24"/>
          <w:szCs w:val="24"/>
          <w:lang w:val="en" w:eastAsia="en-AU"/>
        </w:rPr>
        <w:lastRenderedPageBreak/>
        <w:t>NDIS Navigators</w:t>
      </w:r>
    </w:p>
    <w:p w14:paraId="40247EAB" w14:textId="5C36596C" w:rsidR="000A5D33" w:rsidRPr="009B4DE1" w:rsidRDefault="00FF7DAC" w:rsidP="00F56244">
      <w:pPr>
        <w:pStyle w:val="ListParagraph"/>
        <w:numPr>
          <w:ilvl w:val="0"/>
          <w:numId w:val="88"/>
        </w:numPr>
        <w:spacing w:before="100" w:beforeAutospacing="1" w:after="100" w:afterAutospacing="1" w:line="360" w:lineRule="atLeast"/>
        <w:rPr>
          <w:rStyle w:val="Hyperlink"/>
        </w:rPr>
      </w:pPr>
      <w:r w:rsidRPr="009B4DE1">
        <w:rPr>
          <w:rStyle w:val="Hyperlink"/>
          <w:rFonts w:eastAsia="Segoe UI"/>
          <w:sz w:val="24"/>
          <w:szCs w:val="24"/>
          <w:lang w:val="en" w:eastAsia="en-AU"/>
        </w:rPr>
        <w:t>Specialist School Activity Boost</w:t>
      </w:r>
    </w:p>
    <w:p w14:paraId="4B014F82" w14:textId="6B2067C4" w:rsidR="00C53D64" w:rsidRPr="00614B09" w:rsidRDefault="00C53D64" w:rsidP="00870E1E">
      <w:pPr>
        <w:spacing w:before="100" w:beforeAutospacing="1" w:after="100" w:afterAutospacing="1" w:line="360" w:lineRule="atLeast"/>
        <w:ind w:left="284"/>
        <w:rPr>
          <w:rFonts w:cstheme="minorHAnsi"/>
          <w:sz w:val="24"/>
          <w:szCs w:val="24"/>
          <w:lang w:val="en"/>
        </w:rPr>
      </w:pPr>
      <w:r w:rsidRPr="00614B09">
        <w:rPr>
          <w:rFonts w:cstheme="minorHAnsi"/>
          <w:sz w:val="24"/>
          <w:szCs w:val="24"/>
          <w:lang w:val="en"/>
        </w:rPr>
        <w:t>Schools are expected to use SRP funds for the purpose for which it was allocated.</w:t>
      </w:r>
    </w:p>
    <w:p w14:paraId="4E018E67" w14:textId="3F84415F" w:rsidR="00EA34C0" w:rsidRPr="00260C1D" w:rsidRDefault="00A12061" w:rsidP="00532A33">
      <w:pPr>
        <w:pStyle w:val="Heading2"/>
      </w:pPr>
      <w:r w:rsidRPr="00260C1D">
        <w:br w:type="page"/>
      </w:r>
      <w:bookmarkStart w:id="211" w:name="_Toc141965279"/>
      <w:bookmarkStart w:id="212" w:name="_Toc145339609"/>
      <w:bookmarkStart w:id="213" w:name="_Toc153791932"/>
      <w:r w:rsidR="00EA34C0" w:rsidRPr="00260C1D">
        <w:lastRenderedPageBreak/>
        <w:t>Primary Welfare (Reference 50)</w:t>
      </w:r>
      <w:bookmarkEnd w:id="211"/>
      <w:bookmarkEnd w:id="212"/>
      <w:bookmarkEnd w:id="213"/>
    </w:p>
    <w:p w14:paraId="6FC98FC3" w14:textId="3683125E" w:rsidR="00075BEB" w:rsidRPr="00260C1D" w:rsidRDefault="00075BEB" w:rsidP="002558B6">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Primary Welfare Officer </w:t>
      </w:r>
      <w:r w:rsidR="004A0895">
        <w:rPr>
          <w:rFonts w:eastAsia="Segoe UI" w:cstheme="minorHAnsi"/>
          <w:color w:val="011A3C"/>
          <w:sz w:val="24"/>
          <w:szCs w:val="24"/>
          <w:lang w:val="en" w:eastAsia="en-AU"/>
        </w:rPr>
        <w:t>i</w:t>
      </w:r>
      <w:r w:rsidRPr="00260C1D">
        <w:rPr>
          <w:rFonts w:eastAsia="Segoe UI" w:cstheme="minorHAnsi"/>
          <w:color w:val="011A3C"/>
          <w:sz w:val="24"/>
          <w:szCs w:val="24"/>
          <w:lang w:val="en" w:eastAsia="en-AU"/>
        </w:rPr>
        <w:t xml:space="preserve">nitiative is designed to enhance the capacity of schools to develop positive school cultures and to support students who are at risk of disengagement and not achieving their educational potential. The </w:t>
      </w:r>
      <w:r w:rsidR="004A0895">
        <w:rPr>
          <w:rFonts w:eastAsia="Segoe UI" w:cstheme="minorHAnsi"/>
          <w:color w:val="011A3C"/>
          <w:sz w:val="24"/>
          <w:szCs w:val="24"/>
          <w:lang w:val="en" w:eastAsia="en-AU"/>
        </w:rPr>
        <w:t>P</w:t>
      </w:r>
      <w:r w:rsidRPr="00260C1D">
        <w:rPr>
          <w:rFonts w:eastAsia="Segoe UI" w:cstheme="minorHAnsi"/>
          <w:color w:val="011A3C"/>
          <w:sz w:val="24"/>
          <w:szCs w:val="24"/>
          <w:lang w:val="en" w:eastAsia="en-AU"/>
        </w:rPr>
        <w:t xml:space="preserve">rimary </w:t>
      </w:r>
      <w:r w:rsidR="004A0895">
        <w:rPr>
          <w:rFonts w:eastAsia="Segoe UI" w:cstheme="minorHAnsi"/>
          <w:color w:val="011A3C"/>
          <w:sz w:val="24"/>
          <w:szCs w:val="24"/>
          <w:lang w:val="en" w:eastAsia="en-AU"/>
        </w:rPr>
        <w:t>W</w:t>
      </w:r>
      <w:r w:rsidRPr="00260C1D">
        <w:rPr>
          <w:rFonts w:eastAsia="Segoe UI" w:cstheme="minorHAnsi"/>
          <w:color w:val="011A3C"/>
          <w:sz w:val="24"/>
          <w:szCs w:val="24"/>
          <w:lang w:val="en" w:eastAsia="en-AU"/>
        </w:rPr>
        <w:t xml:space="preserve">elfare </w:t>
      </w:r>
      <w:r w:rsidR="004A0895">
        <w:rPr>
          <w:rFonts w:eastAsia="Segoe UI" w:cstheme="minorHAnsi"/>
          <w:color w:val="011A3C"/>
          <w:sz w:val="24"/>
          <w:szCs w:val="24"/>
          <w:lang w:val="en" w:eastAsia="en-AU"/>
        </w:rPr>
        <w:t>O</w:t>
      </w:r>
      <w:r w:rsidRPr="00260C1D">
        <w:rPr>
          <w:rFonts w:eastAsia="Segoe UI" w:cstheme="minorHAnsi"/>
          <w:color w:val="011A3C"/>
          <w:sz w:val="24"/>
          <w:szCs w:val="24"/>
          <w:lang w:val="en" w:eastAsia="en-AU"/>
        </w:rPr>
        <w:t>fficer initiative extends work undertaken in government primary, P-12 and special schools with the greatest need in Victoria to promote a safe and supportive environment and enhance student outcomes.</w:t>
      </w:r>
    </w:p>
    <w:p w14:paraId="229D30B1" w14:textId="25A8F379" w:rsidR="00075BEB" w:rsidRPr="00260C1D" w:rsidRDefault="00075BEB" w:rsidP="002558B6">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Primary Welfare Officer allocations in the Student Resource Package (SRP) have been set for 202</w:t>
      </w:r>
      <w:r w:rsidR="00C169D1">
        <w:rPr>
          <w:rFonts w:eastAsia="Segoe UI" w:cstheme="minorHAnsi"/>
          <w:color w:val="011A3C"/>
          <w:sz w:val="24"/>
          <w:szCs w:val="24"/>
          <w:lang w:val="en" w:eastAsia="en-AU"/>
        </w:rPr>
        <w:t>4</w:t>
      </w:r>
      <w:r w:rsidRPr="00260C1D">
        <w:rPr>
          <w:rFonts w:eastAsia="Segoe UI" w:cstheme="minorHAnsi"/>
          <w:color w:val="011A3C"/>
          <w:sz w:val="24"/>
          <w:szCs w:val="24"/>
          <w:lang w:val="en" w:eastAsia="en-AU"/>
        </w:rPr>
        <w:t>. Schools do not have to apply for funding. Funding is provided to schools that have primary enrolments at the campus level. Funding is provided consistent with the 2011 Student Family Occupation density for the campus, equal to or greater than 0.4559.</w:t>
      </w:r>
    </w:p>
    <w:p w14:paraId="0361ABBB" w14:textId="3DE3988C" w:rsidR="00075BEB" w:rsidRPr="00260C1D" w:rsidRDefault="00075BEB" w:rsidP="002558B6">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Where a school’s campus enrolments increase</w:t>
      </w:r>
      <w:r w:rsidR="004A0895">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additional per student funding will be provided. However, where enrolments decline</w:t>
      </w:r>
      <w:r w:rsidR="004972FC">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no adjustment will be made. No adjustments are made for changes to </w:t>
      </w:r>
      <w:r w:rsidR="004972FC">
        <w:rPr>
          <w:rFonts w:eastAsia="Segoe UI" w:cstheme="minorHAnsi"/>
          <w:color w:val="011A3C"/>
          <w:sz w:val="24"/>
          <w:szCs w:val="24"/>
          <w:lang w:val="en" w:eastAsia="en-AU"/>
        </w:rPr>
        <w:t xml:space="preserve">the </w:t>
      </w:r>
      <w:r w:rsidRPr="00260C1D">
        <w:rPr>
          <w:rFonts w:eastAsia="Segoe UI" w:cstheme="minorHAnsi"/>
          <w:color w:val="011A3C"/>
          <w:sz w:val="24"/>
          <w:szCs w:val="24"/>
          <w:lang w:val="en" w:eastAsia="en-AU"/>
        </w:rPr>
        <w:t>Student Family Occupation density.</w:t>
      </w:r>
    </w:p>
    <w:p w14:paraId="70E30614" w14:textId="5D91360F" w:rsidR="00A70C31" w:rsidRPr="00260C1D" w:rsidRDefault="001A75FA" w:rsidP="002558B6">
      <w:pPr>
        <w:spacing w:before="100" w:beforeAutospacing="1" w:after="100" w:afterAutospacing="1" w:line="360" w:lineRule="atLeast"/>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From 2023, the Primary Welfare Officer program is transitioning to the </w:t>
      </w:r>
      <w:r w:rsidR="00CB37E5">
        <w:rPr>
          <w:rFonts w:eastAsia="Segoe UI" w:cstheme="minorHAnsi"/>
          <w:color w:val="011A3C"/>
          <w:sz w:val="24"/>
          <w:szCs w:val="24"/>
          <w:lang w:val="en" w:eastAsia="en-AU"/>
        </w:rPr>
        <w:t>Mental Health in Primary Schools (</w:t>
      </w:r>
      <w:proofErr w:type="spellStart"/>
      <w:r w:rsidRPr="009B4DE1">
        <w:rPr>
          <w:rFonts w:eastAsia="Segoe UI" w:cstheme="minorHAnsi"/>
          <w:color w:val="011A3C"/>
          <w:sz w:val="24"/>
          <w:szCs w:val="24"/>
          <w:lang w:val="en" w:eastAsia="en-AU"/>
        </w:rPr>
        <w:t>M</w:t>
      </w:r>
      <w:r w:rsidR="00CB37E5">
        <w:rPr>
          <w:rFonts w:eastAsia="Segoe UI" w:cstheme="minorHAnsi"/>
          <w:color w:val="011A3C"/>
          <w:sz w:val="24"/>
          <w:szCs w:val="24"/>
          <w:lang w:val="en" w:eastAsia="en-AU"/>
        </w:rPr>
        <w:t>H</w:t>
      </w:r>
      <w:r w:rsidRPr="009B4DE1">
        <w:rPr>
          <w:rFonts w:eastAsia="Segoe UI" w:cstheme="minorHAnsi"/>
          <w:color w:val="011A3C"/>
          <w:sz w:val="24"/>
          <w:szCs w:val="24"/>
          <w:lang w:val="en" w:eastAsia="en-AU"/>
        </w:rPr>
        <w:t>iPS</w:t>
      </w:r>
      <w:proofErr w:type="spellEnd"/>
      <w:r w:rsidR="00CB37E5">
        <w:rPr>
          <w:rFonts w:eastAsia="Segoe UI" w:cstheme="minorHAnsi"/>
          <w:color w:val="011A3C"/>
          <w:sz w:val="24"/>
          <w:szCs w:val="24"/>
          <w:lang w:val="en" w:eastAsia="en-AU"/>
        </w:rPr>
        <w:t>)</w:t>
      </w:r>
      <w:r w:rsidRPr="009B4DE1">
        <w:rPr>
          <w:rFonts w:eastAsia="Segoe UI" w:cstheme="minorHAnsi"/>
          <w:color w:val="011A3C"/>
          <w:sz w:val="24"/>
          <w:szCs w:val="24"/>
          <w:lang w:val="en" w:eastAsia="en-AU"/>
        </w:rPr>
        <w:t xml:space="preserve"> program. Schools will transition in line with the </w:t>
      </w:r>
      <w:hyperlink r:id="rId170" w:anchor="implementation-rollout-schedule" w:history="1">
        <w:proofErr w:type="spellStart"/>
        <w:r w:rsidRPr="009B4DE1">
          <w:rPr>
            <w:rStyle w:val="Hyperlink"/>
            <w:sz w:val="24"/>
            <w:szCs w:val="24"/>
          </w:rPr>
          <w:t>MHiPS</w:t>
        </w:r>
        <w:proofErr w:type="spellEnd"/>
        <w:r w:rsidRPr="009B4DE1">
          <w:rPr>
            <w:rStyle w:val="Hyperlink"/>
            <w:sz w:val="24"/>
            <w:szCs w:val="24"/>
          </w:rPr>
          <w:t xml:space="preserve"> implementation rollout schedule</w:t>
        </w:r>
      </w:hyperlink>
      <w:r w:rsidRPr="009B4DE1">
        <w:rPr>
          <w:rFonts w:eastAsia="Segoe UI" w:cstheme="minorHAnsi"/>
          <w:color w:val="011A3C"/>
          <w:sz w:val="24"/>
          <w:szCs w:val="24"/>
          <w:lang w:val="en" w:eastAsia="en-AU"/>
        </w:rPr>
        <w:t>.</w:t>
      </w:r>
    </w:p>
    <w:p w14:paraId="5505C59A" w14:textId="47F75EE6" w:rsidR="00075BEB" w:rsidRPr="00260C1D" w:rsidRDefault="00404A47" w:rsidP="002558B6">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For s</w:t>
      </w:r>
      <w:r w:rsidR="00075BEB" w:rsidRPr="00260C1D">
        <w:rPr>
          <w:rFonts w:eastAsia="Segoe UI" w:cstheme="minorHAnsi"/>
          <w:color w:val="011A3C"/>
          <w:sz w:val="24"/>
          <w:szCs w:val="24"/>
          <w:lang w:val="en" w:eastAsia="en-AU"/>
        </w:rPr>
        <w:t xml:space="preserve">chools that are transitioning </w:t>
      </w:r>
      <w:proofErr w:type="spellStart"/>
      <w:r w:rsidR="00075BEB" w:rsidRPr="00260C1D">
        <w:rPr>
          <w:rFonts w:eastAsia="Segoe UI" w:cstheme="minorHAnsi"/>
          <w:color w:val="011A3C"/>
          <w:sz w:val="24"/>
          <w:szCs w:val="24"/>
          <w:lang w:val="en" w:eastAsia="en-AU"/>
        </w:rPr>
        <w:t>M</w:t>
      </w:r>
      <w:r w:rsidR="00CA0FBA">
        <w:rPr>
          <w:rFonts w:eastAsia="Segoe UI" w:cstheme="minorHAnsi"/>
          <w:color w:val="011A3C"/>
          <w:sz w:val="24"/>
          <w:szCs w:val="24"/>
          <w:lang w:val="en" w:eastAsia="en-AU"/>
        </w:rPr>
        <w:t>H</w:t>
      </w:r>
      <w:r w:rsidR="00075BEB" w:rsidRPr="00260C1D">
        <w:rPr>
          <w:rFonts w:eastAsia="Segoe UI" w:cstheme="minorHAnsi"/>
          <w:color w:val="011A3C"/>
          <w:sz w:val="24"/>
          <w:szCs w:val="24"/>
          <w:lang w:val="en" w:eastAsia="en-AU"/>
        </w:rPr>
        <w:t>iP</w:t>
      </w:r>
      <w:r w:rsidR="009C50DF">
        <w:rPr>
          <w:rFonts w:eastAsia="Segoe UI" w:cstheme="minorHAnsi"/>
          <w:color w:val="011A3C"/>
          <w:sz w:val="24"/>
          <w:szCs w:val="24"/>
          <w:lang w:val="en" w:eastAsia="en-AU"/>
        </w:rPr>
        <w:t>S</w:t>
      </w:r>
      <w:proofErr w:type="spellEnd"/>
      <w:r w:rsidR="004972FC">
        <w:rPr>
          <w:rFonts w:eastAsia="Segoe UI" w:cstheme="minorHAnsi"/>
          <w:color w:val="011A3C"/>
          <w:sz w:val="24"/>
          <w:szCs w:val="24"/>
          <w:lang w:val="en" w:eastAsia="en-AU"/>
        </w:rPr>
        <w:t xml:space="preserve"> </w:t>
      </w:r>
      <w:r w:rsidR="00075BEB" w:rsidRPr="00260C1D">
        <w:rPr>
          <w:rFonts w:eastAsia="Segoe UI" w:cstheme="minorHAnsi"/>
          <w:color w:val="011A3C"/>
          <w:sz w:val="24"/>
          <w:szCs w:val="24"/>
          <w:lang w:val="en" w:eastAsia="en-AU"/>
        </w:rPr>
        <w:t>in 202</w:t>
      </w:r>
      <w:r>
        <w:rPr>
          <w:rFonts w:eastAsia="Segoe UI" w:cstheme="minorHAnsi"/>
          <w:color w:val="011A3C"/>
          <w:sz w:val="24"/>
          <w:szCs w:val="24"/>
          <w:lang w:val="en" w:eastAsia="en-AU"/>
        </w:rPr>
        <w:t>4</w:t>
      </w:r>
      <w:r w:rsidR="007E465B">
        <w:rPr>
          <w:rFonts w:eastAsia="Segoe UI" w:cstheme="minorHAnsi"/>
          <w:color w:val="011A3C"/>
          <w:sz w:val="24"/>
          <w:szCs w:val="24"/>
          <w:lang w:val="en" w:eastAsia="en-AU"/>
        </w:rPr>
        <w:t xml:space="preserve"> or participated in the </w:t>
      </w:r>
      <w:proofErr w:type="spellStart"/>
      <w:r w:rsidR="007E465B">
        <w:rPr>
          <w:rFonts w:eastAsia="Segoe UI" w:cstheme="minorHAnsi"/>
          <w:color w:val="011A3C"/>
          <w:sz w:val="24"/>
          <w:szCs w:val="24"/>
          <w:lang w:val="en" w:eastAsia="en-AU"/>
        </w:rPr>
        <w:t>MHiPS</w:t>
      </w:r>
      <w:proofErr w:type="spellEnd"/>
      <w:r w:rsidR="007E465B">
        <w:rPr>
          <w:rFonts w:eastAsia="Segoe UI" w:cstheme="minorHAnsi"/>
          <w:color w:val="011A3C"/>
          <w:sz w:val="24"/>
          <w:szCs w:val="24"/>
          <w:lang w:val="en" w:eastAsia="en-AU"/>
        </w:rPr>
        <w:t xml:space="preserve"> pilot between 2020 and 2022</w:t>
      </w:r>
      <w:r w:rsidR="004B5C28">
        <w:rPr>
          <w:rFonts w:eastAsia="Segoe UI" w:cstheme="minorHAnsi"/>
          <w:color w:val="011A3C"/>
          <w:sz w:val="24"/>
          <w:szCs w:val="24"/>
          <w:lang w:val="en" w:eastAsia="en-AU"/>
        </w:rPr>
        <w:t>,r</w:t>
      </w:r>
      <w:r w:rsidR="007C54C3">
        <w:rPr>
          <w:rFonts w:eastAsia="Segoe UI" w:cstheme="minorHAnsi"/>
          <w:color w:val="011A3C"/>
          <w:sz w:val="24"/>
          <w:szCs w:val="24"/>
          <w:lang w:val="en" w:eastAsia="en-AU"/>
        </w:rPr>
        <w:t xml:space="preserve">efer to </w:t>
      </w:r>
      <w:r w:rsidR="0062634B">
        <w:rPr>
          <w:rFonts w:eastAsia="Segoe UI" w:cstheme="minorHAnsi"/>
          <w:color w:val="011A3C"/>
          <w:sz w:val="24"/>
          <w:szCs w:val="24"/>
          <w:lang w:val="en" w:eastAsia="en-AU"/>
        </w:rPr>
        <w:t>Mental Health in Primary Schools (Reference 130) for funding allocations</w:t>
      </w:r>
      <w:r w:rsidR="00075BEB" w:rsidRPr="00260C1D">
        <w:rPr>
          <w:rFonts w:eastAsia="Segoe UI" w:cstheme="minorHAnsi"/>
          <w:color w:val="011A3C"/>
          <w:sz w:val="24"/>
          <w:szCs w:val="24"/>
          <w:lang w:val="en" w:eastAsia="en-AU"/>
        </w:rPr>
        <w:t xml:space="preserve">. </w:t>
      </w:r>
    </w:p>
    <w:p w14:paraId="172F4518" w14:textId="77777777" w:rsidR="002E6A59" w:rsidRPr="00260C1D" w:rsidRDefault="002E6A59" w:rsidP="002E6A59">
      <w:pPr>
        <w:spacing w:before="100" w:beforeAutospacing="1" w:after="100" w:afterAutospacing="1" w:line="288" w:lineRule="atLeast"/>
        <w:outlineLvl w:val="2"/>
        <w:rPr>
          <w:rFonts w:eastAsia="Segoe UI" w:cstheme="minorHAnsi"/>
          <w:b/>
          <w:color w:val="011A3C"/>
          <w:sz w:val="27"/>
          <w:szCs w:val="27"/>
          <w:lang w:val="en" w:eastAsia="en-AU"/>
        </w:rPr>
      </w:pPr>
      <w:bookmarkStart w:id="214" w:name="_Hlk46922537"/>
      <w:r w:rsidRPr="00260C1D">
        <w:rPr>
          <w:rFonts w:eastAsia="Segoe UI" w:cstheme="minorHAnsi"/>
          <w:b/>
          <w:color w:val="011A3C"/>
          <w:sz w:val="27"/>
          <w:szCs w:val="27"/>
          <w:lang w:val="en" w:eastAsia="en-AU"/>
        </w:rPr>
        <w:t>Eligibility</w:t>
      </w:r>
    </w:p>
    <w:p w14:paraId="0B7A76AC" w14:textId="211F09BA" w:rsidR="002E6A59" w:rsidRPr="00260C1D" w:rsidRDefault="002E6A59" w:rsidP="002E6A5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with the following campus types are eligible for the Primary Welfare Funding at </w:t>
      </w:r>
      <w:r w:rsidR="004972FC">
        <w:rPr>
          <w:rFonts w:eastAsia="Segoe UI" w:cstheme="minorHAnsi"/>
          <w:color w:val="011A3C"/>
          <w:sz w:val="24"/>
          <w:szCs w:val="24"/>
          <w:lang w:val="en" w:eastAsia="en-AU"/>
        </w:rPr>
        <w:t xml:space="preserve">a </w:t>
      </w:r>
      <w:r w:rsidRPr="00260C1D">
        <w:rPr>
          <w:rFonts w:eastAsia="Segoe UI" w:cstheme="minorHAnsi"/>
          <w:color w:val="011A3C"/>
          <w:sz w:val="24"/>
          <w:szCs w:val="24"/>
          <w:lang w:val="en" w:eastAsia="en-AU"/>
        </w:rPr>
        <w:t>campus level</w:t>
      </w:r>
      <w:r w:rsidR="004972FC">
        <w:rPr>
          <w:rFonts w:eastAsia="Segoe UI" w:cstheme="minorHAnsi"/>
          <w:color w:val="011A3C"/>
          <w:sz w:val="24"/>
          <w:szCs w:val="24"/>
          <w:lang w:val="en" w:eastAsia="en-AU"/>
        </w:rPr>
        <w:t>:</w:t>
      </w:r>
    </w:p>
    <w:p w14:paraId="74276CDD" w14:textId="77777777" w:rsidR="002E6A59" w:rsidRPr="0082534A" w:rsidRDefault="002E6A59"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Primary</w:t>
      </w:r>
    </w:p>
    <w:p w14:paraId="278845F5" w14:textId="6179F97C" w:rsidR="002E6A59" w:rsidRPr="0082534A" w:rsidRDefault="002E6A59"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Pri</w:t>
      </w:r>
      <w:r w:rsidR="00E44A5A" w:rsidRPr="738305D2">
        <w:rPr>
          <w:rFonts w:eastAsia="Segoe UI"/>
          <w:color w:val="011A3C"/>
          <w:sz w:val="24"/>
          <w:szCs w:val="24"/>
          <w:lang w:val="en" w:eastAsia="en-AU"/>
        </w:rPr>
        <w:t>mary</w:t>
      </w:r>
      <w:r w:rsidRPr="738305D2">
        <w:rPr>
          <w:rFonts w:eastAsia="Segoe UI"/>
          <w:color w:val="011A3C"/>
          <w:sz w:val="24"/>
          <w:szCs w:val="24"/>
          <w:lang w:val="en" w:eastAsia="en-AU"/>
        </w:rPr>
        <w:t>/</w:t>
      </w:r>
      <w:r w:rsidR="00E44A5A" w:rsidRPr="738305D2">
        <w:rPr>
          <w:rFonts w:eastAsia="Segoe UI"/>
          <w:color w:val="011A3C"/>
          <w:sz w:val="24"/>
          <w:szCs w:val="24"/>
          <w:lang w:val="en" w:eastAsia="en-AU"/>
        </w:rPr>
        <w:t>S</w:t>
      </w:r>
      <w:r w:rsidRPr="738305D2">
        <w:rPr>
          <w:rFonts w:eastAsia="Segoe UI"/>
          <w:color w:val="011A3C"/>
          <w:sz w:val="24"/>
          <w:szCs w:val="24"/>
          <w:lang w:val="en" w:eastAsia="en-AU"/>
        </w:rPr>
        <w:t>ec</w:t>
      </w:r>
      <w:r w:rsidR="00E44A5A" w:rsidRPr="738305D2">
        <w:rPr>
          <w:rFonts w:eastAsia="Segoe UI"/>
          <w:color w:val="011A3C"/>
          <w:sz w:val="24"/>
          <w:szCs w:val="24"/>
          <w:lang w:val="en" w:eastAsia="en-AU"/>
        </w:rPr>
        <w:t>ondary Combined</w:t>
      </w:r>
    </w:p>
    <w:p w14:paraId="31F0A298" w14:textId="77777777" w:rsidR="002E6A59" w:rsidRPr="0082534A" w:rsidRDefault="002E6A59"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Special</w:t>
      </w:r>
    </w:p>
    <w:p w14:paraId="779A6BD8" w14:textId="3950F96C" w:rsidR="002E6A59" w:rsidRPr="0082534A" w:rsidRDefault="002E6A59"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Language</w:t>
      </w:r>
    </w:p>
    <w:p w14:paraId="33188388" w14:textId="3604C47B" w:rsidR="001A6E8C" w:rsidRPr="0082534A" w:rsidRDefault="001A6E8C"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Day Spec</w:t>
      </w:r>
      <w:r w:rsidR="00E838E1" w:rsidRPr="738305D2">
        <w:rPr>
          <w:rFonts w:eastAsia="Segoe UI"/>
          <w:color w:val="011A3C"/>
          <w:sz w:val="24"/>
          <w:szCs w:val="24"/>
          <w:lang w:val="en" w:eastAsia="en-AU"/>
        </w:rPr>
        <w:t>ial</w:t>
      </w:r>
    </w:p>
    <w:p w14:paraId="4E7ABB9E" w14:textId="5AE6DECC" w:rsidR="001A6E8C" w:rsidRPr="0082534A" w:rsidRDefault="001A6E8C"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Disability</w:t>
      </w:r>
    </w:p>
    <w:p w14:paraId="727D7621" w14:textId="70ED7FFA" w:rsidR="001A6E8C" w:rsidRPr="0082534A" w:rsidRDefault="001A6E8C"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Spec</w:t>
      </w:r>
      <w:r w:rsidR="00E838E1" w:rsidRPr="738305D2">
        <w:rPr>
          <w:rFonts w:eastAsia="Segoe UI"/>
          <w:color w:val="011A3C"/>
          <w:sz w:val="24"/>
          <w:szCs w:val="24"/>
          <w:lang w:val="en" w:eastAsia="en-AU"/>
        </w:rPr>
        <w:t>ial</w:t>
      </w:r>
      <w:r w:rsidRPr="738305D2">
        <w:rPr>
          <w:rFonts w:eastAsia="Segoe UI"/>
          <w:color w:val="011A3C"/>
          <w:sz w:val="24"/>
          <w:szCs w:val="24"/>
          <w:lang w:val="en" w:eastAsia="en-AU"/>
        </w:rPr>
        <w:t xml:space="preserve"> Dev</w:t>
      </w:r>
      <w:r w:rsidR="00E838E1" w:rsidRPr="738305D2">
        <w:rPr>
          <w:rFonts w:eastAsia="Segoe UI"/>
          <w:color w:val="011A3C"/>
          <w:sz w:val="24"/>
          <w:szCs w:val="24"/>
          <w:lang w:val="en" w:eastAsia="en-AU"/>
        </w:rPr>
        <w:t>elopment</w:t>
      </w:r>
    </w:p>
    <w:p w14:paraId="7D99152B" w14:textId="0C4B137F" w:rsidR="001A6E8C" w:rsidRPr="00260C1D" w:rsidRDefault="001A6E8C" w:rsidP="004363C4">
      <w:pPr>
        <w:spacing w:before="100" w:beforeAutospacing="1" w:after="100" w:afterAutospacing="1" w:line="360" w:lineRule="atLeast"/>
        <w:contextualSpacing/>
        <w:rPr>
          <w:rFonts w:eastAsia="Segoe UI" w:cstheme="minorHAnsi"/>
          <w:color w:val="011A3C"/>
          <w:sz w:val="24"/>
          <w:szCs w:val="24"/>
          <w:lang w:val="en" w:eastAsia="en-AU"/>
        </w:rPr>
      </w:pPr>
      <w:r w:rsidRPr="00260C1D">
        <w:rPr>
          <w:rFonts w:eastAsia="Segoe UI" w:cstheme="minorHAnsi"/>
          <w:color w:val="011A3C"/>
          <w:sz w:val="24"/>
          <w:szCs w:val="24"/>
          <w:lang w:val="en" w:eastAsia="en-AU"/>
        </w:rPr>
        <w:t>Campuses of secondary schools are not eligible</w:t>
      </w:r>
      <w:r w:rsidR="00633507">
        <w:rPr>
          <w:rFonts w:eastAsia="Segoe UI" w:cstheme="minorHAnsi"/>
          <w:color w:val="011A3C"/>
          <w:sz w:val="24"/>
          <w:szCs w:val="24"/>
          <w:lang w:val="en" w:eastAsia="en-AU"/>
        </w:rPr>
        <w:t>.</w:t>
      </w:r>
    </w:p>
    <w:p w14:paraId="041E85A5" w14:textId="71B0BF9B" w:rsidR="001A6E8C" w:rsidRPr="00260C1D" w:rsidRDefault="001A6E8C" w:rsidP="001A6E8C">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Camp/Outdoor schools are ineligible irrespective of their entity register classification</w:t>
      </w:r>
      <w:r w:rsidR="00633507">
        <w:rPr>
          <w:rFonts w:eastAsia="Segoe UI" w:cstheme="minorHAnsi"/>
          <w:color w:val="011A3C"/>
          <w:sz w:val="24"/>
          <w:szCs w:val="24"/>
          <w:lang w:val="en" w:eastAsia="en-AU"/>
        </w:rPr>
        <w:t>.</w:t>
      </w:r>
    </w:p>
    <w:p w14:paraId="7A283A5F" w14:textId="4DDB2889" w:rsidR="002E6A59" w:rsidRDefault="002E6A59" w:rsidP="002E6A59">
      <w:pPr>
        <w:spacing w:before="100" w:beforeAutospacing="1" w:after="100" w:afterAutospacing="1" w:line="360" w:lineRule="atLeast"/>
        <w:rPr>
          <w:rFonts w:eastAsia="Segoe UI"/>
          <w:color w:val="011A3C"/>
          <w:sz w:val="24"/>
          <w:szCs w:val="24"/>
          <w:lang w:val="en" w:eastAsia="en-AU"/>
        </w:rPr>
      </w:pPr>
      <w:r w:rsidRPr="54404B1A">
        <w:rPr>
          <w:rFonts w:eastAsia="Segoe UI"/>
          <w:color w:val="011A3C"/>
          <w:sz w:val="24"/>
          <w:szCs w:val="24"/>
          <w:lang w:val="en" w:eastAsia="en-AU"/>
        </w:rPr>
        <w:t xml:space="preserve">Funding is calculated at the Indicative, Confirmed and Revised </w:t>
      </w:r>
      <w:r w:rsidR="008A6CE0" w:rsidRPr="54404B1A">
        <w:rPr>
          <w:rFonts w:eastAsia="Segoe UI"/>
          <w:color w:val="011A3C"/>
          <w:sz w:val="24"/>
          <w:szCs w:val="24"/>
          <w:lang w:val="en" w:eastAsia="en-AU"/>
        </w:rPr>
        <w:t>cycles</w:t>
      </w:r>
      <w:r w:rsidR="00633507" w:rsidRPr="54404B1A">
        <w:rPr>
          <w:rFonts w:eastAsia="Segoe UI"/>
          <w:color w:val="011A3C"/>
          <w:sz w:val="24"/>
          <w:szCs w:val="24"/>
          <w:lang w:val="en" w:eastAsia="en-AU"/>
        </w:rPr>
        <w:t>.</w:t>
      </w:r>
      <w:r w:rsidRPr="54404B1A">
        <w:rPr>
          <w:rFonts w:eastAsia="Segoe UI"/>
          <w:color w:val="011A3C"/>
          <w:sz w:val="24"/>
          <w:szCs w:val="24"/>
          <w:lang w:val="en" w:eastAsia="en-AU"/>
        </w:rPr>
        <w:t xml:space="preserve"> </w:t>
      </w:r>
      <w:r w:rsidR="00633507" w:rsidRPr="54404B1A">
        <w:rPr>
          <w:rFonts w:eastAsia="Segoe UI"/>
          <w:color w:val="011A3C"/>
          <w:sz w:val="24"/>
          <w:szCs w:val="24"/>
          <w:lang w:val="en" w:eastAsia="en-AU"/>
        </w:rPr>
        <w:t>F</w:t>
      </w:r>
      <w:r w:rsidRPr="54404B1A">
        <w:rPr>
          <w:rFonts w:eastAsia="Segoe UI"/>
          <w:color w:val="011A3C"/>
          <w:sz w:val="24"/>
          <w:szCs w:val="24"/>
          <w:lang w:val="en" w:eastAsia="en-AU"/>
        </w:rPr>
        <w:t>unding is allocated through credit funding</w:t>
      </w:r>
      <w:bookmarkEnd w:id="214"/>
      <w:r w:rsidRPr="54404B1A">
        <w:rPr>
          <w:rFonts w:eastAsia="Segoe UI"/>
          <w:color w:val="011A3C"/>
          <w:sz w:val="24"/>
          <w:szCs w:val="24"/>
          <w:lang w:val="en" w:eastAsia="en-AU"/>
        </w:rPr>
        <w:t>.</w:t>
      </w:r>
    </w:p>
    <w:p w14:paraId="3E8C6F17" w14:textId="550DB794" w:rsidR="00E2109A" w:rsidRPr="00260C1D" w:rsidRDefault="00E2109A" w:rsidP="0072478F">
      <w:pPr>
        <w:spacing w:before="100" w:beforeAutospacing="1" w:after="100" w:afterAutospacing="1" w:line="360" w:lineRule="atLeast"/>
        <w:rPr>
          <w:rFonts w:eastAsia="Segoe UI"/>
          <w:color w:val="011A3C"/>
          <w:sz w:val="24"/>
          <w:szCs w:val="24"/>
          <w:lang w:val="en" w:eastAsia="en-AU"/>
        </w:rPr>
      </w:pPr>
      <w:r w:rsidRPr="54404B1A">
        <w:rPr>
          <w:rFonts w:eastAsia="Segoe UI"/>
          <w:color w:val="011A3C"/>
          <w:sz w:val="24"/>
          <w:szCs w:val="24"/>
          <w:lang w:val="en" w:eastAsia="en-AU"/>
        </w:rPr>
        <w:t>The following campuses are</w:t>
      </w:r>
      <w:r w:rsidR="00261400">
        <w:rPr>
          <w:rFonts w:eastAsia="Segoe UI"/>
          <w:color w:val="011A3C"/>
          <w:sz w:val="24"/>
          <w:szCs w:val="24"/>
          <w:lang w:val="en" w:eastAsia="en-AU"/>
        </w:rPr>
        <w:t xml:space="preserve"> not funded for this allocation</w:t>
      </w:r>
      <w:r w:rsidRPr="54404B1A">
        <w:rPr>
          <w:rFonts w:eastAsia="Segoe UI"/>
          <w:color w:val="011A3C"/>
          <w:sz w:val="24"/>
          <w:szCs w:val="24"/>
          <w:lang w:val="en" w:eastAsia="en-AU"/>
        </w:rPr>
        <w:t xml:space="preserve">: </w:t>
      </w:r>
      <w:r w:rsidR="0072478F" w:rsidRPr="0072478F">
        <w:rPr>
          <w:rFonts w:eastAsia="Segoe UI" w:cstheme="minorHAnsi"/>
          <w:color w:val="011A3C"/>
          <w:sz w:val="24"/>
          <w:szCs w:val="24"/>
          <w:lang w:val="en" w:eastAsia="en-AU"/>
        </w:rPr>
        <w:t>Aurora School</w:t>
      </w:r>
      <w:r w:rsidR="0072478F">
        <w:rPr>
          <w:rFonts w:eastAsia="Segoe UI" w:cstheme="minorHAnsi"/>
          <w:color w:val="011A3C"/>
          <w:sz w:val="24"/>
          <w:szCs w:val="24"/>
          <w:lang w:val="en" w:eastAsia="en-AU"/>
        </w:rPr>
        <w:t xml:space="preserve"> and </w:t>
      </w:r>
      <w:r w:rsidR="0072478F" w:rsidRPr="0072478F">
        <w:rPr>
          <w:rFonts w:eastAsia="Segoe UI" w:cstheme="minorHAnsi"/>
          <w:color w:val="011A3C"/>
          <w:sz w:val="24"/>
          <w:szCs w:val="24"/>
          <w:lang w:val="en" w:eastAsia="en-AU"/>
        </w:rPr>
        <w:t>Flying Fruit Fly Circus School</w:t>
      </w:r>
    </w:p>
    <w:p w14:paraId="041BD6C5" w14:textId="2B7A8E0C" w:rsidR="00EA34C0" w:rsidRPr="00260C1D" w:rsidRDefault="00EA34C0" w:rsidP="00EA34C0">
      <w:pPr>
        <w:spacing w:before="100" w:beforeAutospacing="1" w:after="100" w:afterAutospacing="1" w:line="288" w:lineRule="atLeast"/>
        <w:outlineLvl w:val="3"/>
        <w:rPr>
          <w:rFonts w:eastAsia="Segoe UI" w:cstheme="minorHAnsi"/>
          <w:b/>
          <w:color w:val="011A3C"/>
          <w:sz w:val="26"/>
          <w:szCs w:val="28"/>
          <w:lang w:val="en" w:eastAsia="en-AU"/>
        </w:rPr>
      </w:pPr>
      <w:r w:rsidRPr="00260C1D">
        <w:rPr>
          <w:rFonts w:eastAsia="Segoe UI" w:cstheme="minorHAnsi"/>
          <w:b/>
          <w:color w:val="011A3C"/>
          <w:sz w:val="26"/>
          <w:szCs w:val="28"/>
          <w:lang w:val="en" w:eastAsia="en-AU"/>
        </w:rPr>
        <w:lastRenderedPageBreak/>
        <w:t>Calculation</w:t>
      </w:r>
    </w:p>
    <w:p w14:paraId="3B0AF28C" w14:textId="100993BF" w:rsidR="00EA34C0" w:rsidRPr="00260C1D" w:rsidRDefault="00C97D49" w:rsidP="00EA34C0">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The </w:t>
      </w:r>
      <w:r w:rsidR="00EA34C0" w:rsidRPr="00260C1D">
        <w:rPr>
          <w:rFonts w:eastAsia="Segoe UI" w:cstheme="minorHAnsi"/>
          <w:color w:val="011A3C"/>
          <w:sz w:val="24"/>
          <w:szCs w:val="24"/>
          <w:lang w:val="en" w:eastAsia="en-AU"/>
        </w:rPr>
        <w:t>Primary Welfare Officer funding model in the SRP from 2012 consists of base funding and per student funding with a cap on the total funding available at each campus. The formula is as follows</w:t>
      </w:r>
      <w:r>
        <w:rPr>
          <w:rFonts w:eastAsia="Segoe UI" w:cstheme="minorHAnsi"/>
          <w:color w:val="011A3C"/>
          <w:sz w:val="24"/>
          <w:szCs w:val="24"/>
          <w:lang w:val="en" w:eastAsia="en-AU"/>
        </w:rPr>
        <w:t>:</w:t>
      </w:r>
    </w:p>
    <w:p w14:paraId="2E07BA6E" w14:textId="2BF61EF9" w:rsidR="00EA34C0" w:rsidRPr="00260C1D" w:rsidRDefault="00EA34C0" w:rsidP="00EA34C0">
      <w:pPr>
        <w:spacing w:before="100" w:beforeAutospacing="1" w:after="100" w:afterAutospacing="1" w:line="360" w:lineRule="atLeast"/>
        <w:rPr>
          <w:rFonts w:eastAsia="Segoe UI"/>
          <w:color w:val="011A3C"/>
          <w:sz w:val="24"/>
          <w:szCs w:val="24"/>
          <w:lang w:val="en" w:eastAsia="en-AU"/>
        </w:rPr>
      </w:pPr>
      <w:r w:rsidRPr="5A649888">
        <w:rPr>
          <w:rFonts w:eastAsia="Segoe UI"/>
          <w:color w:val="011A3C"/>
          <w:sz w:val="24"/>
          <w:szCs w:val="24"/>
          <w:lang w:val="en" w:eastAsia="en-AU"/>
        </w:rPr>
        <w:t xml:space="preserve">Base + ([School </w:t>
      </w:r>
      <w:r w:rsidR="00182A4D" w:rsidRPr="5A649888">
        <w:rPr>
          <w:rFonts w:eastAsia="Segoe UI"/>
          <w:color w:val="011A3C"/>
          <w:sz w:val="24"/>
          <w:szCs w:val="24"/>
          <w:lang w:val="en" w:eastAsia="en-AU"/>
        </w:rPr>
        <w:t>c</w:t>
      </w:r>
      <w:r w:rsidRPr="5A649888">
        <w:rPr>
          <w:rFonts w:eastAsia="Segoe UI"/>
          <w:color w:val="011A3C"/>
          <w:sz w:val="24"/>
          <w:szCs w:val="24"/>
          <w:lang w:val="en" w:eastAsia="en-AU"/>
        </w:rPr>
        <w:t xml:space="preserve">ampus SFO – State-wide SFO </w:t>
      </w:r>
      <w:r w:rsidR="00182A4D" w:rsidRPr="5A649888">
        <w:rPr>
          <w:rFonts w:eastAsia="Segoe UI"/>
          <w:color w:val="011A3C"/>
          <w:sz w:val="24"/>
          <w:szCs w:val="24"/>
          <w:lang w:val="en" w:eastAsia="en-AU"/>
        </w:rPr>
        <w:t>t</w:t>
      </w:r>
      <w:r w:rsidRPr="5A649888">
        <w:rPr>
          <w:rFonts w:eastAsia="Segoe UI"/>
          <w:color w:val="011A3C"/>
          <w:sz w:val="24"/>
          <w:szCs w:val="24"/>
          <w:lang w:val="en" w:eastAsia="en-AU"/>
        </w:rPr>
        <w:t>hreshold]</w:t>
      </w:r>
      <w:r w:rsidR="00E655E4" w:rsidRPr="5A649888">
        <w:rPr>
          <w:rFonts w:eastAsia="Segoe UI"/>
          <w:color w:val="011A3C"/>
          <w:sz w:val="24"/>
          <w:szCs w:val="24"/>
          <w:lang w:val="en" w:eastAsia="en-AU"/>
        </w:rPr>
        <w:t xml:space="preserve"> × </w:t>
      </w:r>
      <w:r w:rsidRPr="5A649888">
        <w:rPr>
          <w:rFonts w:eastAsia="Segoe UI"/>
          <w:color w:val="011A3C"/>
          <w:sz w:val="24"/>
          <w:szCs w:val="24"/>
          <w:lang w:val="en" w:eastAsia="en-AU"/>
        </w:rPr>
        <w:t xml:space="preserve">Student </w:t>
      </w:r>
      <w:r w:rsidR="00182A4D" w:rsidRPr="5A649888">
        <w:rPr>
          <w:rFonts w:eastAsia="Segoe UI"/>
          <w:color w:val="011A3C"/>
          <w:sz w:val="24"/>
          <w:szCs w:val="24"/>
          <w:lang w:val="en" w:eastAsia="en-AU"/>
        </w:rPr>
        <w:t>r</w:t>
      </w:r>
      <w:r w:rsidRPr="5A649888">
        <w:rPr>
          <w:rFonts w:eastAsia="Segoe UI"/>
          <w:color w:val="011A3C"/>
          <w:sz w:val="24"/>
          <w:szCs w:val="24"/>
          <w:lang w:val="en" w:eastAsia="en-AU"/>
        </w:rPr>
        <w:t>ate</w:t>
      </w:r>
      <w:r w:rsidR="00E655E4" w:rsidRPr="5A649888">
        <w:rPr>
          <w:rFonts w:eastAsia="Segoe UI"/>
          <w:color w:val="011A3C"/>
          <w:sz w:val="24"/>
          <w:szCs w:val="24"/>
          <w:lang w:val="en" w:eastAsia="en-AU"/>
        </w:rPr>
        <w:t xml:space="preserve"> × </w:t>
      </w:r>
      <w:r w:rsidR="00182A4D" w:rsidRPr="5A649888">
        <w:rPr>
          <w:rFonts w:eastAsia="Segoe UI"/>
          <w:color w:val="011A3C"/>
          <w:sz w:val="24"/>
          <w:szCs w:val="24"/>
          <w:lang w:val="en" w:eastAsia="en-AU"/>
        </w:rPr>
        <w:t>e</w:t>
      </w:r>
      <w:r w:rsidRPr="5A649888">
        <w:rPr>
          <w:rFonts w:eastAsia="Segoe UI"/>
          <w:color w:val="011A3C"/>
          <w:sz w:val="24"/>
          <w:szCs w:val="24"/>
          <w:lang w:val="en" w:eastAsia="en-AU"/>
        </w:rPr>
        <w:t>nrolments)</w:t>
      </w:r>
    </w:p>
    <w:p w14:paraId="41A49B0C" w14:textId="69ADBC5E" w:rsidR="0072478F" w:rsidRDefault="000E0B21" w:rsidP="00EA34C0">
      <w:pPr>
        <w:spacing w:before="100" w:beforeAutospacing="1" w:after="100" w:afterAutospacing="1" w:line="360" w:lineRule="atLeast"/>
        <w:rPr>
          <w:rFonts w:eastAsia="Segoe UI"/>
          <w:color w:val="011A3C"/>
          <w:sz w:val="24"/>
          <w:szCs w:val="24"/>
          <w:lang w:val="en" w:eastAsia="en-AU"/>
        </w:rPr>
      </w:pPr>
      <w:r>
        <w:rPr>
          <w:rFonts w:eastAsia="Segoe UI" w:cstheme="minorHAnsi"/>
          <w:color w:val="011A3C"/>
          <w:sz w:val="24"/>
          <w:szCs w:val="24"/>
          <w:lang w:val="en" w:eastAsia="en-AU"/>
        </w:rPr>
        <w:t xml:space="preserve">Primary, </w:t>
      </w:r>
      <w:proofErr w:type="spellStart"/>
      <w:r>
        <w:rPr>
          <w:rFonts w:eastAsia="Segoe UI" w:cstheme="minorHAnsi"/>
          <w:color w:val="011A3C"/>
          <w:sz w:val="24"/>
          <w:szCs w:val="24"/>
          <w:lang w:val="en" w:eastAsia="en-AU"/>
        </w:rPr>
        <w:t>Pri</w:t>
      </w:r>
      <w:proofErr w:type="spellEnd"/>
      <w:r>
        <w:rPr>
          <w:rFonts w:eastAsia="Segoe UI" w:cstheme="minorHAnsi"/>
          <w:color w:val="011A3C"/>
          <w:sz w:val="24"/>
          <w:szCs w:val="24"/>
          <w:lang w:val="en" w:eastAsia="en-AU"/>
        </w:rPr>
        <w:t>/Sec and Language schools are funded on Primary enrolments.</w:t>
      </w:r>
    </w:p>
    <w:p w14:paraId="32BBF6D2" w14:textId="3E4AF2EB" w:rsidR="000E0B21" w:rsidRDefault="000E0B21" w:rsidP="00EA34C0">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Special schools are funded on Total enrolments.</w:t>
      </w:r>
    </w:p>
    <w:p w14:paraId="7987D211" w14:textId="4666DE8D" w:rsidR="00EA34C0" w:rsidRPr="00260C1D" w:rsidRDefault="00EA34C0" w:rsidP="00EA34C0">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Rates — 202</w:t>
      </w:r>
      <w:r w:rsidR="00F12ED6">
        <w:rPr>
          <w:rFonts w:eastAsia="Segoe UI" w:cstheme="minorHAnsi"/>
          <w:b/>
          <w:color w:val="011A3C"/>
          <w:sz w:val="24"/>
          <w:szCs w:val="24"/>
          <w:lang w:val="en" w:eastAsia="en-AU"/>
        </w:rPr>
        <w:t>4</w:t>
      </w:r>
    </w:p>
    <w:p w14:paraId="04C64431" w14:textId="32492A0A" w:rsidR="000657A7" w:rsidRPr="00260C1D" w:rsidRDefault="00EA34C0"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 xml:space="preserve">SFO </w:t>
      </w:r>
      <w:r w:rsidR="00325BDD" w:rsidRPr="738305D2">
        <w:rPr>
          <w:rFonts w:eastAsia="Segoe UI"/>
          <w:color w:val="011A3C"/>
          <w:sz w:val="24"/>
          <w:szCs w:val="24"/>
          <w:lang w:val="en" w:eastAsia="en-AU"/>
        </w:rPr>
        <w:t>t</w:t>
      </w:r>
      <w:r w:rsidRPr="738305D2">
        <w:rPr>
          <w:rFonts w:eastAsia="Segoe UI"/>
          <w:color w:val="011A3C"/>
          <w:sz w:val="24"/>
          <w:szCs w:val="24"/>
          <w:lang w:val="en" w:eastAsia="en-AU"/>
        </w:rPr>
        <w:t>hreshold — 0.4559</w:t>
      </w:r>
    </w:p>
    <w:p w14:paraId="6B503357" w14:textId="7374A1F5" w:rsidR="00E8032F" w:rsidRDefault="00EA34C0"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Base</w:t>
      </w:r>
      <w:r w:rsidR="00E8032F" w:rsidRPr="738305D2">
        <w:rPr>
          <w:rFonts w:eastAsia="Segoe UI"/>
          <w:color w:val="011A3C"/>
          <w:sz w:val="24"/>
          <w:szCs w:val="24"/>
          <w:lang w:val="en" w:eastAsia="en-AU"/>
        </w:rPr>
        <w:t>:</w:t>
      </w:r>
      <w:r w:rsidRPr="738305D2">
        <w:rPr>
          <w:rFonts w:eastAsia="Segoe UI"/>
          <w:color w:val="011A3C"/>
          <w:sz w:val="24"/>
          <w:szCs w:val="24"/>
          <w:lang w:val="en" w:eastAsia="en-AU"/>
        </w:rPr>
        <w:t xml:space="preserve"> </w:t>
      </w:r>
      <w:r w:rsidR="00F12ED6" w:rsidRPr="00F12ED6">
        <w:rPr>
          <w:rFonts w:eastAsia="Segoe UI"/>
          <w:color w:val="011A3C"/>
          <w:sz w:val="24"/>
          <w:szCs w:val="24"/>
          <w:lang w:val="en" w:eastAsia="en-AU"/>
        </w:rPr>
        <w:t>$20,452</w:t>
      </w:r>
    </w:p>
    <w:p w14:paraId="59516762" w14:textId="5C7632EE" w:rsidR="000657A7" w:rsidRPr="00260C1D" w:rsidRDefault="00EA34C0"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 xml:space="preserve">Per </w:t>
      </w:r>
      <w:r w:rsidR="00E8032F" w:rsidRPr="738305D2">
        <w:rPr>
          <w:rFonts w:eastAsia="Segoe UI"/>
          <w:color w:val="011A3C"/>
          <w:sz w:val="24"/>
          <w:szCs w:val="24"/>
          <w:lang w:val="en" w:eastAsia="en-AU"/>
        </w:rPr>
        <w:t>s</w:t>
      </w:r>
      <w:r w:rsidRPr="738305D2">
        <w:rPr>
          <w:rFonts w:eastAsia="Segoe UI"/>
          <w:color w:val="011A3C"/>
          <w:sz w:val="24"/>
          <w:szCs w:val="24"/>
          <w:lang w:val="en" w:eastAsia="en-AU"/>
        </w:rPr>
        <w:t xml:space="preserve">tudent </w:t>
      </w:r>
      <w:r w:rsidR="00E8032F" w:rsidRPr="738305D2">
        <w:rPr>
          <w:rFonts w:eastAsia="Segoe UI"/>
          <w:color w:val="011A3C"/>
          <w:sz w:val="24"/>
          <w:szCs w:val="24"/>
          <w:lang w:val="en" w:eastAsia="en-AU"/>
        </w:rPr>
        <w:t>r</w:t>
      </w:r>
      <w:r w:rsidRPr="738305D2">
        <w:rPr>
          <w:rFonts w:eastAsia="Segoe UI"/>
          <w:color w:val="011A3C"/>
          <w:sz w:val="24"/>
          <w:szCs w:val="24"/>
          <w:lang w:val="en" w:eastAsia="en-AU"/>
        </w:rPr>
        <w:t>ate</w:t>
      </w:r>
      <w:r w:rsidR="00E8032F" w:rsidRPr="738305D2">
        <w:rPr>
          <w:rFonts w:eastAsia="Segoe UI"/>
          <w:color w:val="011A3C"/>
          <w:sz w:val="24"/>
          <w:szCs w:val="24"/>
          <w:lang w:val="en" w:eastAsia="en-AU"/>
        </w:rPr>
        <w:t>:</w:t>
      </w:r>
      <w:r w:rsidRPr="738305D2">
        <w:rPr>
          <w:rFonts w:eastAsia="Segoe UI"/>
          <w:color w:val="011A3C"/>
          <w:sz w:val="24"/>
          <w:szCs w:val="24"/>
          <w:lang w:val="en" w:eastAsia="en-AU"/>
        </w:rPr>
        <w:t xml:space="preserve"> </w:t>
      </w:r>
      <w:r w:rsidR="00F12ED6" w:rsidRPr="00F12ED6">
        <w:rPr>
          <w:rFonts w:eastAsia="Segoe UI"/>
          <w:color w:val="011A3C"/>
          <w:sz w:val="24"/>
          <w:szCs w:val="24"/>
          <w:lang w:val="en" w:eastAsia="en-AU"/>
        </w:rPr>
        <w:t>$1,303.98</w:t>
      </w:r>
    </w:p>
    <w:p w14:paraId="45EA7E26" w14:textId="3D8CC946" w:rsidR="003E6B76" w:rsidRPr="00260C1D" w:rsidRDefault="00EA34C0"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 xml:space="preserve">Total </w:t>
      </w:r>
      <w:r w:rsidR="00E8032F" w:rsidRPr="738305D2">
        <w:rPr>
          <w:rFonts w:eastAsia="Segoe UI"/>
          <w:color w:val="011A3C"/>
          <w:sz w:val="24"/>
          <w:szCs w:val="24"/>
          <w:lang w:val="en" w:eastAsia="en-AU"/>
        </w:rPr>
        <w:t>f</w:t>
      </w:r>
      <w:r w:rsidRPr="738305D2">
        <w:rPr>
          <w:rFonts w:eastAsia="Segoe UI"/>
          <w:color w:val="011A3C"/>
          <w:sz w:val="24"/>
          <w:szCs w:val="24"/>
          <w:lang w:val="en" w:eastAsia="en-AU"/>
        </w:rPr>
        <w:t xml:space="preserve">unding </w:t>
      </w:r>
      <w:r w:rsidR="00E8032F" w:rsidRPr="738305D2">
        <w:rPr>
          <w:rFonts w:eastAsia="Segoe UI"/>
          <w:color w:val="011A3C"/>
          <w:sz w:val="24"/>
          <w:szCs w:val="24"/>
          <w:lang w:val="en" w:eastAsia="en-AU"/>
        </w:rPr>
        <w:t>p</w:t>
      </w:r>
      <w:r w:rsidRPr="738305D2">
        <w:rPr>
          <w:rFonts w:eastAsia="Segoe UI"/>
          <w:color w:val="011A3C"/>
          <w:sz w:val="24"/>
          <w:szCs w:val="24"/>
          <w:lang w:val="en" w:eastAsia="en-AU"/>
        </w:rPr>
        <w:t xml:space="preserve">er </w:t>
      </w:r>
      <w:r w:rsidR="00E8032F" w:rsidRPr="738305D2">
        <w:rPr>
          <w:rFonts w:eastAsia="Segoe UI"/>
          <w:color w:val="011A3C"/>
          <w:sz w:val="24"/>
          <w:szCs w:val="24"/>
          <w:lang w:val="en" w:eastAsia="en-AU"/>
        </w:rPr>
        <w:t>c</w:t>
      </w:r>
      <w:r w:rsidRPr="738305D2">
        <w:rPr>
          <w:rFonts w:eastAsia="Segoe UI"/>
          <w:color w:val="011A3C"/>
          <w:sz w:val="24"/>
          <w:szCs w:val="24"/>
          <w:lang w:val="en" w:eastAsia="en-AU"/>
        </w:rPr>
        <w:t xml:space="preserve">ampus </w:t>
      </w:r>
      <w:r w:rsidR="00E8032F" w:rsidRPr="738305D2">
        <w:rPr>
          <w:rFonts w:eastAsia="Segoe UI"/>
          <w:color w:val="011A3C"/>
          <w:sz w:val="24"/>
          <w:szCs w:val="24"/>
          <w:lang w:val="en" w:eastAsia="en-AU"/>
        </w:rPr>
        <w:t>c</w:t>
      </w:r>
      <w:r w:rsidRPr="738305D2">
        <w:rPr>
          <w:rFonts w:eastAsia="Segoe UI"/>
          <w:color w:val="011A3C"/>
          <w:sz w:val="24"/>
          <w:szCs w:val="24"/>
          <w:lang w:val="en" w:eastAsia="en-AU"/>
        </w:rPr>
        <w:t>ap</w:t>
      </w:r>
      <w:r w:rsidR="00E8032F" w:rsidRPr="738305D2">
        <w:rPr>
          <w:rFonts w:eastAsia="Segoe UI"/>
          <w:color w:val="011A3C"/>
          <w:sz w:val="24"/>
          <w:szCs w:val="24"/>
          <w:lang w:val="en" w:eastAsia="en-AU"/>
        </w:rPr>
        <w:t>:</w:t>
      </w:r>
      <w:r w:rsidRPr="738305D2">
        <w:rPr>
          <w:rFonts w:eastAsia="Segoe UI"/>
          <w:color w:val="011A3C"/>
          <w:sz w:val="24"/>
          <w:szCs w:val="24"/>
          <w:lang w:val="en" w:eastAsia="en-AU"/>
        </w:rPr>
        <w:t xml:space="preserve"> </w:t>
      </w:r>
      <w:r w:rsidR="00F12ED6" w:rsidRPr="00F12ED6">
        <w:rPr>
          <w:rFonts w:eastAsia="Segoe UI"/>
          <w:color w:val="011A3C"/>
          <w:sz w:val="24"/>
          <w:szCs w:val="24"/>
          <w:lang w:val="en" w:eastAsia="en-AU"/>
        </w:rPr>
        <w:t>$97,555</w:t>
      </w:r>
    </w:p>
    <w:p w14:paraId="44E64EEC" w14:textId="2B492FDF" w:rsidR="00EA34C0" w:rsidRPr="00260C1D" w:rsidRDefault="00EA34C0" w:rsidP="000657A7">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 xml:space="preserve">Further </w:t>
      </w:r>
      <w:r w:rsidR="00FC6A28">
        <w:rPr>
          <w:rFonts w:eastAsia="Segoe UI" w:cstheme="minorHAnsi"/>
          <w:b/>
          <w:color w:val="011A3C"/>
          <w:sz w:val="24"/>
          <w:szCs w:val="24"/>
          <w:lang w:val="en" w:eastAsia="en-AU"/>
        </w:rPr>
        <w:t>i</w:t>
      </w:r>
      <w:r w:rsidRPr="00260C1D">
        <w:rPr>
          <w:rFonts w:eastAsia="Segoe UI" w:cstheme="minorHAnsi"/>
          <w:b/>
          <w:color w:val="011A3C"/>
          <w:sz w:val="24"/>
          <w:szCs w:val="24"/>
          <w:lang w:val="en" w:eastAsia="en-AU"/>
        </w:rPr>
        <w:t>nformation</w:t>
      </w:r>
    </w:p>
    <w:p w14:paraId="611C2C41" w14:textId="749E7366" w:rsidR="007001EC" w:rsidRPr="00260C1D" w:rsidRDefault="00000000" w:rsidP="000657A7">
      <w:pPr>
        <w:spacing w:before="100" w:beforeAutospacing="1" w:after="100" w:afterAutospacing="1" w:line="288" w:lineRule="atLeast"/>
        <w:outlineLvl w:val="3"/>
        <w:rPr>
          <w:rFonts w:eastAsia="Segoe UI" w:cstheme="minorHAnsi"/>
          <w:color w:val="011A3C"/>
          <w:sz w:val="24"/>
          <w:szCs w:val="24"/>
          <w:lang w:val="en" w:eastAsia="en-AU"/>
        </w:rPr>
      </w:pPr>
      <w:hyperlink r:id="rId171" w:anchor="primary-welfare-officers" w:history="1">
        <w:r w:rsidR="00F66286" w:rsidRPr="0040359F">
          <w:rPr>
            <w:rStyle w:val="Hyperlink"/>
            <w:rFonts w:cstheme="minorHAnsi"/>
            <w:sz w:val="24"/>
            <w:szCs w:val="24"/>
            <w:lang w:val="en-US"/>
          </w:rPr>
          <w:t>Primary Welfare Officer Initiative</w:t>
        </w:r>
      </w:hyperlink>
      <w:r w:rsidR="003266E3">
        <w:rPr>
          <w:rFonts w:eastAsia="Segoe UI" w:cstheme="minorHAnsi"/>
          <w:color w:val="011A3C"/>
          <w:sz w:val="24"/>
          <w:szCs w:val="24"/>
          <w:lang w:val="en" w:eastAsia="en-AU"/>
        </w:rPr>
        <w:t>:</w:t>
      </w:r>
      <w:r w:rsidR="007001EC" w:rsidRPr="00260C1D">
        <w:rPr>
          <w:rFonts w:eastAsia="Segoe UI" w:cstheme="minorHAnsi"/>
          <w:color w:val="011A3C"/>
          <w:sz w:val="24"/>
          <w:szCs w:val="24"/>
          <w:lang w:val="en" w:eastAsia="en-AU"/>
        </w:rPr>
        <w:t xml:space="preserve"> provides general information about the Primary Welfare Officer </w:t>
      </w:r>
      <w:r w:rsidR="0023291B">
        <w:rPr>
          <w:rFonts w:eastAsia="Segoe UI" w:cstheme="minorHAnsi"/>
          <w:color w:val="011A3C"/>
          <w:sz w:val="24"/>
          <w:szCs w:val="24"/>
          <w:lang w:val="en" w:eastAsia="en-AU"/>
        </w:rPr>
        <w:t>I</w:t>
      </w:r>
      <w:r w:rsidR="0023291B" w:rsidRPr="00260C1D">
        <w:rPr>
          <w:rFonts w:eastAsia="Segoe UI" w:cstheme="minorHAnsi"/>
          <w:color w:val="011A3C"/>
          <w:sz w:val="24"/>
          <w:szCs w:val="24"/>
          <w:lang w:val="en" w:eastAsia="en-AU"/>
        </w:rPr>
        <w:t>nitiative</w:t>
      </w:r>
      <w:r w:rsidR="00715FAE">
        <w:rPr>
          <w:rFonts w:eastAsia="Segoe UI" w:cstheme="minorHAnsi"/>
          <w:color w:val="011A3C"/>
          <w:sz w:val="24"/>
          <w:szCs w:val="24"/>
          <w:lang w:val="en" w:eastAsia="en-AU"/>
        </w:rPr>
        <w:t>.</w:t>
      </w:r>
    </w:p>
    <w:p w14:paraId="10DA9CD2" w14:textId="40AD6373" w:rsidR="007001EC" w:rsidRPr="00260C1D" w:rsidRDefault="00000000" w:rsidP="000657A7">
      <w:pPr>
        <w:spacing w:before="100" w:beforeAutospacing="1" w:after="100" w:afterAutospacing="1" w:line="288" w:lineRule="atLeast"/>
        <w:outlineLvl w:val="3"/>
        <w:rPr>
          <w:rFonts w:eastAsia="Segoe UI" w:cstheme="minorHAnsi"/>
          <w:color w:val="011A3C"/>
          <w:sz w:val="24"/>
          <w:szCs w:val="24"/>
          <w:lang w:val="en" w:eastAsia="en-AU"/>
        </w:rPr>
      </w:pPr>
      <w:hyperlink r:id="rId172" w:history="1">
        <w:r w:rsidR="007001EC" w:rsidRPr="00260C1D">
          <w:rPr>
            <w:rStyle w:val="Hyperlink"/>
            <w:rFonts w:eastAsia="Segoe UI" w:cstheme="minorHAnsi"/>
            <w:sz w:val="24"/>
            <w:szCs w:val="24"/>
            <w:lang w:val="en" w:eastAsia="en-AU"/>
          </w:rPr>
          <w:t>The Student Engagement Policy</w:t>
        </w:r>
      </w:hyperlink>
      <w:r w:rsidR="003266E3">
        <w:rPr>
          <w:rStyle w:val="Hyperlink"/>
          <w:rFonts w:eastAsia="Segoe UI" w:cstheme="minorHAnsi"/>
          <w:sz w:val="24"/>
          <w:szCs w:val="24"/>
          <w:lang w:val="en" w:eastAsia="en-AU"/>
        </w:rPr>
        <w:t>:</w:t>
      </w:r>
      <w:r w:rsidR="007001EC" w:rsidRPr="00260C1D">
        <w:rPr>
          <w:rFonts w:eastAsia="Segoe UI" w:cstheme="minorHAnsi"/>
          <w:color w:val="011A3C"/>
          <w:sz w:val="24"/>
          <w:szCs w:val="24"/>
          <w:lang w:val="en" w:eastAsia="en-AU"/>
        </w:rPr>
        <w:t xml:space="preserve"> provides advice, resources and strategies for schools on developing a Student Engagement Policy; promoting positive student </w:t>
      </w:r>
      <w:proofErr w:type="spellStart"/>
      <w:r w:rsidR="007001EC" w:rsidRPr="00260C1D">
        <w:rPr>
          <w:rFonts w:eastAsia="Segoe UI" w:cstheme="minorHAnsi"/>
          <w:color w:val="011A3C"/>
          <w:sz w:val="24"/>
          <w:szCs w:val="24"/>
          <w:lang w:val="en" w:eastAsia="en-AU"/>
        </w:rPr>
        <w:t>behaviour</w:t>
      </w:r>
      <w:proofErr w:type="spellEnd"/>
      <w:r w:rsidR="007001EC" w:rsidRPr="00260C1D">
        <w:rPr>
          <w:rFonts w:eastAsia="Segoe UI" w:cstheme="minorHAnsi"/>
          <w:color w:val="011A3C"/>
          <w:sz w:val="24"/>
          <w:szCs w:val="24"/>
          <w:lang w:val="en" w:eastAsia="en-AU"/>
        </w:rPr>
        <w:t xml:space="preserve">; and responding to challenging </w:t>
      </w:r>
      <w:proofErr w:type="spellStart"/>
      <w:r w:rsidR="007001EC" w:rsidRPr="00260C1D">
        <w:rPr>
          <w:rFonts w:eastAsia="Segoe UI" w:cstheme="minorHAnsi"/>
          <w:color w:val="011A3C"/>
          <w:sz w:val="24"/>
          <w:szCs w:val="24"/>
          <w:lang w:val="en" w:eastAsia="en-AU"/>
        </w:rPr>
        <w:t>behaviour</w:t>
      </w:r>
      <w:proofErr w:type="spellEnd"/>
      <w:r w:rsidR="007001EC" w:rsidRPr="00260C1D">
        <w:rPr>
          <w:rFonts w:eastAsia="Segoe UI" w:cstheme="minorHAnsi"/>
          <w:color w:val="011A3C"/>
          <w:sz w:val="24"/>
          <w:szCs w:val="24"/>
          <w:lang w:val="en" w:eastAsia="en-AU"/>
        </w:rPr>
        <w:t xml:space="preserve">. It provides resources </w:t>
      </w:r>
      <w:r w:rsidR="003266E3">
        <w:rPr>
          <w:rFonts w:eastAsia="Segoe UI" w:cstheme="minorHAnsi"/>
          <w:color w:val="011A3C"/>
          <w:sz w:val="24"/>
          <w:szCs w:val="24"/>
          <w:lang w:val="en" w:eastAsia="en-AU"/>
        </w:rPr>
        <w:t xml:space="preserve">that </w:t>
      </w:r>
      <w:r w:rsidR="007001EC" w:rsidRPr="00260C1D">
        <w:rPr>
          <w:rFonts w:eastAsia="Segoe UI" w:cstheme="minorHAnsi"/>
          <w:color w:val="011A3C"/>
          <w:sz w:val="24"/>
          <w:szCs w:val="24"/>
          <w:lang w:val="en" w:eastAsia="en-AU"/>
        </w:rPr>
        <w:t>schools can access to support and improve student engagement.</w:t>
      </w:r>
    </w:p>
    <w:p w14:paraId="14425BF1" w14:textId="77777777" w:rsidR="00BB6150" w:rsidRPr="00260C1D" w:rsidRDefault="00BB6150" w:rsidP="00BB6150">
      <w:pPr>
        <w:rPr>
          <w:rFonts w:cstheme="minorHAnsi"/>
        </w:rPr>
      </w:pPr>
      <w:bookmarkStart w:id="215" w:name="_Hlk50304235"/>
      <w:r w:rsidRPr="00260C1D">
        <w:rPr>
          <w:rFonts w:cstheme="minorHAnsi"/>
        </w:rPr>
        <w:br w:type="page"/>
      </w:r>
    </w:p>
    <w:p w14:paraId="4CB18E03" w14:textId="10F02E56" w:rsidR="00087543" w:rsidRPr="00763576" w:rsidRDefault="00087543" w:rsidP="00532A33">
      <w:pPr>
        <w:pStyle w:val="Heading2"/>
      </w:pPr>
      <w:bookmarkStart w:id="216" w:name="_Toc141965280"/>
      <w:bookmarkStart w:id="217" w:name="_Toc145339610"/>
      <w:bookmarkStart w:id="218" w:name="_Toc153791933"/>
      <w:bookmarkEnd w:id="215"/>
      <w:r w:rsidRPr="00FF525D">
        <w:lastRenderedPageBreak/>
        <w:t>Late Enrolment and Senior Secondary Re-engagement (Reference 53)</w:t>
      </w:r>
      <w:bookmarkEnd w:id="216"/>
      <w:bookmarkEnd w:id="217"/>
      <w:bookmarkEnd w:id="218"/>
    </w:p>
    <w:p w14:paraId="52A1D478" w14:textId="77777777" w:rsidR="00087543" w:rsidRPr="00FF525D" w:rsidRDefault="00087543" w:rsidP="00087543">
      <w:pPr>
        <w:spacing w:before="100" w:beforeAutospacing="1" w:after="100" w:afterAutospacing="1" w:line="288" w:lineRule="atLeast"/>
        <w:outlineLvl w:val="2"/>
        <w:rPr>
          <w:rFonts w:eastAsia="Segoe UI" w:cstheme="minorHAnsi"/>
          <w:b/>
          <w:color w:val="011A3C"/>
          <w:sz w:val="27"/>
          <w:szCs w:val="27"/>
          <w:lang w:val="en" w:eastAsia="en-AU"/>
        </w:rPr>
      </w:pPr>
      <w:r w:rsidRPr="00FF525D">
        <w:rPr>
          <w:rFonts w:eastAsia="Segoe UI" w:cstheme="minorHAnsi"/>
          <w:b/>
          <w:color w:val="011A3C"/>
          <w:sz w:val="27"/>
          <w:szCs w:val="27"/>
          <w:lang w:val="en" w:eastAsia="en-AU"/>
        </w:rPr>
        <w:t>Late Enrolment and Senior Secondary Re-engagement Funding</w:t>
      </w:r>
    </w:p>
    <w:p w14:paraId="2560CF18" w14:textId="0A4890B2" w:rsidR="00087543" w:rsidRPr="00FF525D" w:rsidRDefault="00087543" w:rsidP="00087543">
      <w:p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 xml:space="preserve">Late Enrolment Funding is available to support young people experiencing vulnerability re-engaging in education following the February census. The Senior Secondary Re-engagement Funding aims to target senior secondary students re-engaging into education via </w:t>
      </w:r>
      <w:r w:rsidR="00A01A53" w:rsidRPr="00A01A53">
        <w:rPr>
          <w:rFonts w:eastAsia="Segoe UI" w:cstheme="minorHAnsi"/>
          <w:color w:val="011A3C"/>
          <w:sz w:val="24"/>
          <w:szCs w:val="24"/>
          <w:lang w:val="en" w:eastAsia="en-AU"/>
        </w:rPr>
        <w:t>contracted provision of the VCE Vocational Major or VPC</w:t>
      </w:r>
      <w:r w:rsidRPr="00FF525D">
        <w:rPr>
          <w:rFonts w:eastAsia="Segoe UI" w:cstheme="minorHAnsi"/>
          <w:color w:val="011A3C"/>
          <w:sz w:val="24"/>
          <w:szCs w:val="24"/>
          <w:lang w:val="en" w:eastAsia="en-AU"/>
        </w:rPr>
        <w:t>.</w:t>
      </w:r>
    </w:p>
    <w:p w14:paraId="0DF59AD9" w14:textId="77777777" w:rsidR="00087543" w:rsidRPr="00FF525D" w:rsidRDefault="00087543" w:rsidP="00087543">
      <w:p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If a young person is eligible, funds will be allocated directly to the school where the young person is enrolled, paid pro-rate from the date of the young person’s enrolment.</w:t>
      </w:r>
    </w:p>
    <w:p w14:paraId="2242231E" w14:textId="77777777" w:rsidR="00087543" w:rsidRPr="00FF525D" w:rsidRDefault="00087543" w:rsidP="00087543">
      <w:pPr>
        <w:spacing w:before="100" w:beforeAutospacing="1" w:after="100" w:afterAutospacing="1" w:line="288" w:lineRule="atLeast"/>
        <w:outlineLvl w:val="2"/>
        <w:rPr>
          <w:rFonts w:eastAsia="Segoe UI" w:cstheme="minorHAnsi"/>
          <w:b/>
          <w:color w:val="011A3C"/>
          <w:sz w:val="27"/>
          <w:szCs w:val="27"/>
          <w:lang w:val="en" w:eastAsia="en-AU"/>
        </w:rPr>
      </w:pPr>
      <w:r w:rsidRPr="00FF525D">
        <w:rPr>
          <w:rFonts w:eastAsia="Segoe UI" w:cstheme="minorHAnsi"/>
          <w:b/>
          <w:color w:val="011A3C"/>
          <w:sz w:val="27"/>
          <w:szCs w:val="27"/>
          <w:lang w:val="en" w:eastAsia="en-AU"/>
        </w:rPr>
        <w:t>Payments</w:t>
      </w:r>
    </w:p>
    <w:p w14:paraId="5E49F6C9" w14:textId="7DBDF49B" w:rsidR="00087543" w:rsidRPr="00FF525D" w:rsidRDefault="007C3663" w:rsidP="00087543">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The </w:t>
      </w:r>
      <w:r w:rsidR="00087543" w:rsidRPr="00FF525D">
        <w:rPr>
          <w:rFonts w:eastAsia="Segoe UI" w:cstheme="minorHAnsi"/>
          <w:color w:val="011A3C"/>
          <w:sz w:val="24"/>
          <w:szCs w:val="24"/>
          <w:lang w:val="en" w:eastAsia="en-AU"/>
        </w:rPr>
        <w:t>Late Enrolment and Senior Secondary Re-engagement Program provide</w:t>
      </w:r>
      <w:r w:rsidR="00E324DC">
        <w:rPr>
          <w:rFonts w:eastAsia="Segoe UI" w:cstheme="minorHAnsi"/>
          <w:color w:val="011A3C"/>
          <w:sz w:val="24"/>
          <w:szCs w:val="24"/>
          <w:lang w:val="en" w:eastAsia="en-AU"/>
        </w:rPr>
        <w:t>s</w:t>
      </w:r>
      <w:r w:rsidR="00087543" w:rsidRPr="00FF525D">
        <w:rPr>
          <w:rFonts w:eastAsia="Segoe UI" w:cstheme="minorHAnsi"/>
          <w:color w:val="011A3C"/>
          <w:sz w:val="24"/>
          <w:szCs w:val="24"/>
          <w:lang w:val="en" w:eastAsia="en-AU"/>
        </w:rPr>
        <w:t xml:space="preserve"> targeted funding through the Student Resource Package (SRP) to schools for individual young people who </w:t>
      </w:r>
      <w:proofErr w:type="spellStart"/>
      <w:r w:rsidR="00087543" w:rsidRPr="00FF525D">
        <w:rPr>
          <w:rFonts w:eastAsia="Segoe UI" w:cstheme="minorHAnsi"/>
          <w:color w:val="011A3C"/>
          <w:sz w:val="24"/>
          <w:szCs w:val="24"/>
          <w:lang w:val="en" w:eastAsia="en-AU"/>
        </w:rPr>
        <w:t>enrol</w:t>
      </w:r>
      <w:proofErr w:type="spellEnd"/>
      <w:r w:rsidR="00087543" w:rsidRPr="00FF525D">
        <w:rPr>
          <w:rFonts w:eastAsia="Segoe UI" w:cstheme="minorHAnsi"/>
          <w:color w:val="011A3C"/>
          <w:sz w:val="24"/>
          <w:szCs w:val="24"/>
          <w:lang w:val="en" w:eastAsia="en-AU"/>
        </w:rPr>
        <w:t xml:space="preserve"> after the February census is completed and who meet the eligibility criteria.</w:t>
      </w:r>
    </w:p>
    <w:p w14:paraId="568D6265" w14:textId="77777777" w:rsidR="00087543" w:rsidRPr="00FF525D" w:rsidRDefault="00087543" w:rsidP="00087543">
      <w:pPr>
        <w:spacing w:before="100" w:beforeAutospacing="1" w:after="100" w:afterAutospacing="1" w:line="288" w:lineRule="atLeast"/>
        <w:outlineLvl w:val="2"/>
        <w:rPr>
          <w:rFonts w:eastAsia="Segoe UI" w:cstheme="minorHAnsi"/>
          <w:b/>
          <w:color w:val="011A3C"/>
          <w:sz w:val="27"/>
          <w:szCs w:val="27"/>
          <w:lang w:val="en" w:eastAsia="en-AU"/>
        </w:rPr>
      </w:pPr>
      <w:r w:rsidRPr="00FF525D">
        <w:rPr>
          <w:rFonts w:eastAsia="Segoe UI" w:cstheme="minorHAnsi"/>
          <w:b/>
          <w:color w:val="011A3C"/>
          <w:sz w:val="27"/>
          <w:szCs w:val="27"/>
          <w:lang w:val="en" w:eastAsia="en-AU"/>
        </w:rPr>
        <w:t>Application deadlines</w:t>
      </w:r>
    </w:p>
    <w:p w14:paraId="1A4CD1CA" w14:textId="01559D98" w:rsidR="00581FDA" w:rsidRPr="00B148A2" w:rsidRDefault="00581FDA" w:rsidP="00581FDA">
      <w:pPr>
        <w:spacing w:before="100" w:beforeAutospacing="1" w:after="100" w:afterAutospacing="1" w:line="360" w:lineRule="atLeast"/>
        <w:rPr>
          <w:color w:val="011A3C"/>
          <w:sz w:val="24"/>
          <w:lang w:val="en"/>
        </w:rPr>
      </w:pPr>
      <w:r w:rsidRPr="00B148A2">
        <w:rPr>
          <w:color w:val="011A3C"/>
          <w:sz w:val="24"/>
          <w:lang w:val="en"/>
        </w:rPr>
        <w:t>Applications open on Monday 2</w:t>
      </w:r>
      <w:r w:rsidR="007A6D54">
        <w:rPr>
          <w:color w:val="011A3C"/>
          <w:sz w:val="24"/>
          <w:lang w:val="en"/>
        </w:rPr>
        <w:t>2</w:t>
      </w:r>
      <w:r w:rsidRPr="00B148A2">
        <w:rPr>
          <w:color w:val="011A3C"/>
          <w:sz w:val="24"/>
          <w:lang w:val="en"/>
        </w:rPr>
        <w:t xml:space="preserve"> April </w:t>
      </w:r>
      <w:r w:rsidR="004F668E" w:rsidRPr="00B148A2">
        <w:rPr>
          <w:color w:val="011A3C"/>
          <w:sz w:val="24"/>
          <w:lang w:val="en"/>
        </w:rPr>
        <w:t>202</w:t>
      </w:r>
      <w:r w:rsidR="004F668E">
        <w:rPr>
          <w:color w:val="011A3C"/>
          <w:sz w:val="24"/>
          <w:lang w:val="en"/>
        </w:rPr>
        <w:t>4</w:t>
      </w:r>
      <w:r w:rsidR="004F668E" w:rsidRPr="00B148A2">
        <w:rPr>
          <w:color w:val="011A3C"/>
          <w:sz w:val="24"/>
          <w:lang w:val="en"/>
        </w:rPr>
        <w:t xml:space="preserve"> </w:t>
      </w:r>
      <w:r w:rsidRPr="00B148A2">
        <w:rPr>
          <w:color w:val="011A3C"/>
          <w:sz w:val="24"/>
          <w:lang w:val="en"/>
        </w:rPr>
        <w:t>and close on Friday 1</w:t>
      </w:r>
      <w:r w:rsidR="00EA02F8">
        <w:rPr>
          <w:color w:val="011A3C"/>
          <w:sz w:val="24"/>
          <w:lang w:val="en"/>
        </w:rPr>
        <w:t>7</w:t>
      </w:r>
      <w:r w:rsidRPr="00B148A2">
        <w:rPr>
          <w:color w:val="011A3C"/>
          <w:sz w:val="24"/>
          <w:lang w:val="en"/>
        </w:rPr>
        <w:t xml:space="preserve"> May </w:t>
      </w:r>
      <w:r w:rsidR="004F668E" w:rsidRPr="00B148A2">
        <w:rPr>
          <w:color w:val="011A3C"/>
          <w:sz w:val="24"/>
          <w:lang w:val="en"/>
        </w:rPr>
        <w:t>202</w:t>
      </w:r>
      <w:r w:rsidR="004F668E">
        <w:rPr>
          <w:color w:val="011A3C"/>
          <w:sz w:val="24"/>
          <w:lang w:val="en"/>
        </w:rPr>
        <w:t>4</w:t>
      </w:r>
      <w:r w:rsidRPr="00B148A2">
        <w:rPr>
          <w:color w:val="011A3C"/>
          <w:sz w:val="24"/>
          <w:lang w:val="en"/>
        </w:rPr>
        <w:t>.</w:t>
      </w:r>
    </w:p>
    <w:p w14:paraId="049FF351" w14:textId="2DC809BE" w:rsidR="00581FDA" w:rsidRPr="00B148A2" w:rsidRDefault="00581FDA" w:rsidP="00581FDA">
      <w:pPr>
        <w:spacing w:before="100" w:beforeAutospacing="1" w:after="100" w:afterAutospacing="1" w:line="360" w:lineRule="atLeast"/>
        <w:rPr>
          <w:color w:val="011A3C"/>
          <w:sz w:val="24"/>
          <w:lang w:val="en"/>
        </w:rPr>
      </w:pPr>
      <w:r w:rsidRPr="00B148A2">
        <w:rPr>
          <w:color w:val="011A3C"/>
          <w:sz w:val="24"/>
          <w:lang w:val="en"/>
        </w:rPr>
        <w:t xml:space="preserve">Schools will be allocated their payment from the first round of funding as part of the revised SRP in June </w:t>
      </w:r>
      <w:r w:rsidR="004F668E" w:rsidRPr="00B148A2">
        <w:rPr>
          <w:color w:val="011A3C"/>
          <w:sz w:val="24"/>
          <w:lang w:val="en"/>
        </w:rPr>
        <w:t>202</w:t>
      </w:r>
      <w:r w:rsidR="004F668E">
        <w:rPr>
          <w:color w:val="011A3C"/>
          <w:sz w:val="24"/>
          <w:lang w:val="en"/>
        </w:rPr>
        <w:t>4</w:t>
      </w:r>
      <w:r w:rsidRPr="00B148A2">
        <w:rPr>
          <w:color w:val="011A3C"/>
          <w:sz w:val="24"/>
          <w:lang w:val="en"/>
        </w:rPr>
        <w:t>.</w:t>
      </w:r>
    </w:p>
    <w:p w14:paraId="62C4379C" w14:textId="77777777" w:rsidR="00087543" w:rsidRPr="00FF525D" w:rsidRDefault="00087543" w:rsidP="00087543">
      <w:pPr>
        <w:spacing w:before="100" w:beforeAutospacing="1" w:after="100" w:afterAutospacing="1" w:line="288" w:lineRule="atLeast"/>
        <w:outlineLvl w:val="2"/>
        <w:rPr>
          <w:rFonts w:eastAsia="Segoe UI" w:cstheme="minorHAnsi"/>
          <w:b/>
          <w:color w:val="011A3C"/>
          <w:sz w:val="27"/>
          <w:szCs w:val="27"/>
          <w:lang w:val="en" w:eastAsia="en-AU"/>
        </w:rPr>
      </w:pPr>
      <w:r w:rsidRPr="00FF525D">
        <w:rPr>
          <w:rFonts w:eastAsia="Segoe UI" w:cstheme="minorHAnsi"/>
          <w:b/>
          <w:color w:val="011A3C"/>
          <w:sz w:val="27"/>
          <w:szCs w:val="27"/>
          <w:lang w:val="en" w:eastAsia="en-AU"/>
        </w:rPr>
        <w:t>Individual rate</w:t>
      </w:r>
    </w:p>
    <w:p w14:paraId="1C9641CD" w14:textId="1CB2F316" w:rsidR="00087543" w:rsidRPr="00FF525D" w:rsidRDefault="00087543" w:rsidP="00087543">
      <w:p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 xml:space="preserve">The </w:t>
      </w:r>
      <w:r w:rsidR="004F668E" w:rsidRPr="00FF525D">
        <w:rPr>
          <w:rFonts w:eastAsia="Segoe UI" w:cstheme="minorHAnsi"/>
          <w:color w:val="011A3C"/>
          <w:sz w:val="24"/>
          <w:szCs w:val="24"/>
          <w:lang w:val="en" w:eastAsia="en-AU"/>
        </w:rPr>
        <w:t>202</w:t>
      </w:r>
      <w:r w:rsidR="004F668E">
        <w:rPr>
          <w:rFonts w:eastAsia="Segoe UI" w:cstheme="minorHAnsi"/>
          <w:color w:val="011A3C"/>
          <w:sz w:val="24"/>
          <w:szCs w:val="24"/>
          <w:lang w:val="en" w:eastAsia="en-AU"/>
        </w:rPr>
        <w:t>4</w:t>
      </w:r>
      <w:r w:rsidRPr="00FF525D">
        <w:rPr>
          <w:rFonts w:eastAsia="Segoe UI" w:cstheme="minorHAnsi"/>
          <w:color w:val="011A3C"/>
          <w:sz w:val="24"/>
          <w:szCs w:val="24"/>
          <w:lang w:val="en" w:eastAsia="en-AU"/>
        </w:rPr>
        <w:t xml:space="preserve"> individual rate is a targeted payment of $10,000, which will be paid out pro-rata (100% or 75%) based on the enrolment date of the young person. There will be additional funding of $2,000 available to schools on top of the Late Enrolment Funding payment if they </w:t>
      </w:r>
      <w:proofErr w:type="spellStart"/>
      <w:r w:rsidRPr="00FF525D">
        <w:rPr>
          <w:rFonts w:eastAsia="Segoe UI" w:cstheme="minorHAnsi"/>
          <w:color w:val="011A3C"/>
          <w:sz w:val="24"/>
          <w:szCs w:val="24"/>
          <w:lang w:val="en" w:eastAsia="en-AU"/>
        </w:rPr>
        <w:t>enrol</w:t>
      </w:r>
      <w:proofErr w:type="spellEnd"/>
      <w:r w:rsidRPr="00FF525D">
        <w:rPr>
          <w:rFonts w:eastAsia="Segoe UI" w:cstheme="minorHAnsi"/>
          <w:color w:val="011A3C"/>
          <w:sz w:val="24"/>
          <w:szCs w:val="24"/>
          <w:lang w:val="en" w:eastAsia="en-AU"/>
        </w:rPr>
        <w:t xml:space="preserve"> a young person who has been involved in youth justice – either in custody or appearing before the Children’s Courts, in recognition of the often more </w:t>
      </w:r>
      <w:proofErr w:type="spellStart"/>
      <w:r w:rsidRPr="00FF525D">
        <w:rPr>
          <w:rFonts w:eastAsia="Segoe UI" w:cstheme="minorHAnsi"/>
          <w:color w:val="011A3C"/>
          <w:sz w:val="24"/>
          <w:szCs w:val="24"/>
          <w:lang w:val="en" w:eastAsia="en-AU"/>
        </w:rPr>
        <w:t>personalised</w:t>
      </w:r>
      <w:proofErr w:type="spellEnd"/>
      <w:r w:rsidRPr="00FF525D">
        <w:rPr>
          <w:rFonts w:eastAsia="Segoe UI" w:cstheme="minorHAnsi"/>
          <w:color w:val="011A3C"/>
          <w:sz w:val="24"/>
          <w:szCs w:val="24"/>
          <w:lang w:val="en" w:eastAsia="en-AU"/>
        </w:rPr>
        <w:t xml:space="preserve"> approach required to ensure ongoing engagement in education for this cohort.</w:t>
      </w:r>
    </w:p>
    <w:p w14:paraId="4B671F0D" w14:textId="77777777" w:rsidR="00087543" w:rsidRPr="00FF525D" w:rsidRDefault="00087543" w:rsidP="00087543">
      <w:p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Funding will be paid pro-rata based on the date of enrolment: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20"/>
        <w:gridCol w:w="1737"/>
        <w:gridCol w:w="1461"/>
        <w:gridCol w:w="3538"/>
      </w:tblGrid>
      <w:tr w:rsidR="00087543" w:rsidRPr="00FF525D" w14:paraId="1AC7006A" w14:textId="77777777">
        <w:trPr>
          <w:tblHeader/>
        </w:trPr>
        <w:tc>
          <w:tcPr>
            <w:tcW w:w="0" w:type="auto"/>
            <w:gridSpan w:val="4"/>
            <w:vAlign w:val="center"/>
            <w:hideMark/>
          </w:tcPr>
          <w:p w14:paraId="4E1F1DCC" w14:textId="77777777" w:rsidR="00087543" w:rsidRPr="00FF525D" w:rsidRDefault="00087543">
            <w:pPr>
              <w:spacing w:before="100" w:beforeAutospacing="1" w:after="100" w:afterAutospacing="1" w:line="288" w:lineRule="atLeast"/>
              <w:textAlignment w:val="top"/>
              <w:outlineLvl w:val="3"/>
              <w:rPr>
                <w:rFonts w:eastAsia="Segoe UI" w:cstheme="minorHAnsi"/>
                <w:sz w:val="24"/>
                <w:szCs w:val="24"/>
                <w:lang w:eastAsia="en-AU"/>
              </w:rPr>
            </w:pPr>
            <w:r w:rsidRPr="00FF525D">
              <w:rPr>
                <w:rFonts w:eastAsia="Segoe UI" w:cstheme="minorHAnsi"/>
                <w:sz w:val="24"/>
                <w:szCs w:val="24"/>
                <w:lang w:eastAsia="en-AU"/>
              </w:rPr>
              <w:t>Funding will be paid pro-rata based on the date of enrolment:</w:t>
            </w:r>
          </w:p>
        </w:tc>
      </w:tr>
      <w:tr w:rsidR="00087543" w:rsidRPr="00FF525D" w14:paraId="38B72AA8" w14:textId="77777777">
        <w:trPr>
          <w:tblHeader/>
        </w:trPr>
        <w:tc>
          <w:tcPr>
            <w:tcW w:w="0" w:type="auto"/>
            <w:hideMark/>
          </w:tcPr>
          <w:p w14:paraId="5F67AC29" w14:textId="77777777" w:rsidR="00087543" w:rsidRPr="00FF525D" w:rsidRDefault="00087543">
            <w:pPr>
              <w:spacing w:after="0" w:line="240" w:lineRule="atLeast"/>
              <w:rPr>
                <w:rFonts w:eastAsia="Segoe UI" w:cstheme="minorHAnsi"/>
                <w:sz w:val="24"/>
                <w:szCs w:val="24"/>
                <w:lang w:eastAsia="en-AU"/>
              </w:rPr>
            </w:pPr>
            <w:r w:rsidRPr="00FF525D">
              <w:rPr>
                <w:rFonts w:eastAsia="Segoe UI" w:cstheme="minorHAnsi"/>
                <w:sz w:val="24"/>
                <w:szCs w:val="24"/>
                <w:lang w:eastAsia="en-AU"/>
              </w:rPr>
              <w:t>Enrolment Period</w:t>
            </w:r>
          </w:p>
        </w:tc>
        <w:tc>
          <w:tcPr>
            <w:tcW w:w="0" w:type="auto"/>
            <w:hideMark/>
          </w:tcPr>
          <w:p w14:paraId="27448FF1" w14:textId="77777777" w:rsidR="00087543" w:rsidRPr="00FF525D" w:rsidRDefault="00087543">
            <w:pPr>
              <w:spacing w:after="0" w:line="240" w:lineRule="atLeast"/>
              <w:rPr>
                <w:rFonts w:eastAsia="Segoe UI" w:cstheme="minorHAnsi"/>
                <w:sz w:val="24"/>
                <w:szCs w:val="24"/>
                <w:lang w:eastAsia="en-AU"/>
              </w:rPr>
            </w:pPr>
            <w:r w:rsidRPr="00FF525D">
              <w:rPr>
                <w:rFonts w:eastAsia="Segoe UI" w:cstheme="minorHAnsi"/>
                <w:sz w:val="24"/>
                <w:szCs w:val="24"/>
                <w:lang w:eastAsia="en-AU"/>
              </w:rPr>
              <w:t>Proportion of amount</w:t>
            </w:r>
          </w:p>
        </w:tc>
        <w:tc>
          <w:tcPr>
            <w:tcW w:w="0" w:type="auto"/>
            <w:hideMark/>
          </w:tcPr>
          <w:p w14:paraId="0C52CB5F" w14:textId="77777777" w:rsidR="00087543" w:rsidRPr="00FF525D" w:rsidRDefault="00087543">
            <w:pPr>
              <w:spacing w:after="0" w:line="240" w:lineRule="atLeast"/>
              <w:rPr>
                <w:rFonts w:eastAsia="Segoe UI" w:cstheme="minorHAnsi"/>
                <w:sz w:val="24"/>
                <w:szCs w:val="24"/>
                <w:lang w:eastAsia="en-AU"/>
              </w:rPr>
            </w:pPr>
            <w:r w:rsidRPr="00FF525D">
              <w:rPr>
                <w:rFonts w:eastAsia="Segoe UI" w:cstheme="minorHAnsi"/>
                <w:sz w:val="24"/>
                <w:szCs w:val="24"/>
                <w:lang w:eastAsia="en-AU"/>
              </w:rPr>
              <w:t>Targeted payment</w:t>
            </w:r>
          </w:p>
        </w:tc>
        <w:tc>
          <w:tcPr>
            <w:tcW w:w="0" w:type="auto"/>
            <w:hideMark/>
          </w:tcPr>
          <w:p w14:paraId="5F50C58A" w14:textId="77777777" w:rsidR="00087543" w:rsidRPr="00FF525D" w:rsidRDefault="00087543">
            <w:pPr>
              <w:spacing w:after="0" w:line="240" w:lineRule="atLeast"/>
              <w:rPr>
                <w:rFonts w:eastAsia="Segoe UI" w:cstheme="minorHAnsi"/>
                <w:sz w:val="24"/>
                <w:szCs w:val="24"/>
                <w:lang w:eastAsia="en-AU"/>
              </w:rPr>
            </w:pPr>
            <w:r w:rsidRPr="00FF525D">
              <w:rPr>
                <w:rFonts w:eastAsia="Segoe UI" w:cstheme="minorHAnsi"/>
                <w:sz w:val="24"/>
                <w:szCs w:val="24"/>
                <w:lang w:eastAsia="en-AU"/>
              </w:rPr>
              <w:t>Payment with additional youth justice facility loading</w:t>
            </w:r>
          </w:p>
        </w:tc>
      </w:tr>
      <w:tr w:rsidR="00087543" w:rsidRPr="00FF525D" w14:paraId="45B89D72" w14:textId="77777777">
        <w:tc>
          <w:tcPr>
            <w:tcW w:w="0" w:type="auto"/>
            <w:hideMark/>
          </w:tcPr>
          <w:p w14:paraId="65EC3B9B" w14:textId="5F0E8961" w:rsidR="00087543" w:rsidRPr="00FF525D" w:rsidRDefault="00087543">
            <w:pPr>
              <w:spacing w:after="0" w:line="360" w:lineRule="atLeast"/>
              <w:rPr>
                <w:rFonts w:eastAsia="Segoe UI" w:cstheme="minorHAnsi"/>
                <w:sz w:val="24"/>
                <w:szCs w:val="24"/>
                <w:lang w:eastAsia="en-AU"/>
              </w:rPr>
            </w:pPr>
            <w:r w:rsidRPr="00FF525D">
              <w:rPr>
                <w:rFonts w:eastAsia="Segoe UI" w:cstheme="minorHAnsi"/>
                <w:sz w:val="24"/>
                <w:szCs w:val="24"/>
                <w:lang w:eastAsia="en-AU"/>
              </w:rPr>
              <w:t xml:space="preserve">Between </w:t>
            </w:r>
            <w:r w:rsidR="008B3641">
              <w:rPr>
                <w:rFonts w:eastAsia="Segoe UI" w:cstheme="minorHAnsi"/>
                <w:sz w:val="24"/>
                <w:szCs w:val="24"/>
                <w:lang w:eastAsia="en-AU"/>
              </w:rPr>
              <w:t>Thursday</w:t>
            </w:r>
            <w:r w:rsidR="008B3641" w:rsidRPr="00FF525D">
              <w:rPr>
                <w:rFonts w:eastAsia="Segoe UI" w:cstheme="minorHAnsi"/>
                <w:sz w:val="24"/>
                <w:szCs w:val="24"/>
                <w:lang w:eastAsia="en-AU"/>
              </w:rPr>
              <w:t xml:space="preserve"> </w:t>
            </w:r>
            <w:r w:rsidRPr="00FF525D">
              <w:rPr>
                <w:rFonts w:eastAsia="Segoe UI" w:cstheme="minorHAnsi"/>
                <w:sz w:val="24"/>
                <w:szCs w:val="24"/>
                <w:lang w:eastAsia="en-AU"/>
              </w:rPr>
              <w:t>2</w:t>
            </w:r>
            <w:r w:rsidR="008B3641">
              <w:rPr>
                <w:rFonts w:eastAsia="Segoe UI" w:cstheme="minorHAnsi"/>
                <w:sz w:val="24"/>
                <w:szCs w:val="24"/>
                <w:lang w:eastAsia="en-AU"/>
              </w:rPr>
              <w:t>9</w:t>
            </w:r>
            <w:r w:rsidRPr="00FF525D">
              <w:rPr>
                <w:rFonts w:eastAsia="Segoe UI" w:cstheme="minorHAnsi"/>
                <w:sz w:val="24"/>
                <w:szCs w:val="24"/>
                <w:lang w:eastAsia="en-AU"/>
              </w:rPr>
              <w:t xml:space="preserve"> February and Friday 2</w:t>
            </w:r>
            <w:r w:rsidR="00C5408F">
              <w:rPr>
                <w:rFonts w:eastAsia="Segoe UI" w:cstheme="minorHAnsi"/>
                <w:sz w:val="24"/>
                <w:szCs w:val="24"/>
                <w:lang w:eastAsia="en-AU"/>
              </w:rPr>
              <w:t>4</w:t>
            </w:r>
            <w:r w:rsidRPr="00FF525D">
              <w:rPr>
                <w:rFonts w:eastAsia="Segoe UI" w:cstheme="minorHAnsi"/>
                <w:sz w:val="24"/>
                <w:szCs w:val="24"/>
                <w:lang w:eastAsia="en-AU"/>
              </w:rPr>
              <w:t xml:space="preserve"> May </w:t>
            </w:r>
            <w:r w:rsidR="004F48A0" w:rsidRPr="00FF525D">
              <w:rPr>
                <w:rFonts w:eastAsia="Segoe UI" w:cstheme="minorHAnsi"/>
                <w:sz w:val="24"/>
                <w:szCs w:val="24"/>
                <w:lang w:eastAsia="en-AU"/>
              </w:rPr>
              <w:t>202</w:t>
            </w:r>
            <w:r w:rsidR="004F48A0">
              <w:rPr>
                <w:rFonts w:eastAsia="Segoe UI" w:cstheme="minorHAnsi"/>
                <w:sz w:val="24"/>
                <w:szCs w:val="24"/>
                <w:lang w:eastAsia="en-AU"/>
              </w:rPr>
              <w:t>4</w:t>
            </w:r>
          </w:p>
        </w:tc>
        <w:tc>
          <w:tcPr>
            <w:tcW w:w="0" w:type="auto"/>
            <w:hideMark/>
          </w:tcPr>
          <w:p w14:paraId="32B79B93" w14:textId="77777777" w:rsidR="00087543" w:rsidRPr="00FF525D" w:rsidRDefault="00087543">
            <w:pPr>
              <w:spacing w:after="0" w:line="360" w:lineRule="atLeast"/>
              <w:rPr>
                <w:rFonts w:eastAsia="Segoe UI" w:cstheme="minorHAnsi"/>
                <w:sz w:val="24"/>
                <w:szCs w:val="24"/>
                <w:lang w:eastAsia="en-AU"/>
              </w:rPr>
            </w:pPr>
            <w:r w:rsidRPr="00FF525D">
              <w:rPr>
                <w:rFonts w:eastAsia="Segoe UI" w:cstheme="minorHAnsi"/>
                <w:sz w:val="24"/>
                <w:szCs w:val="24"/>
                <w:lang w:eastAsia="en-AU"/>
              </w:rPr>
              <w:t>100% of full-time SRP</w:t>
            </w:r>
          </w:p>
        </w:tc>
        <w:tc>
          <w:tcPr>
            <w:tcW w:w="0" w:type="auto"/>
            <w:hideMark/>
          </w:tcPr>
          <w:p w14:paraId="48D83051" w14:textId="77777777" w:rsidR="00087543" w:rsidRPr="00FF525D" w:rsidRDefault="00087543">
            <w:pPr>
              <w:spacing w:after="0" w:line="360" w:lineRule="atLeast"/>
              <w:rPr>
                <w:rFonts w:eastAsia="Segoe UI" w:cstheme="minorHAnsi"/>
                <w:sz w:val="24"/>
                <w:szCs w:val="24"/>
                <w:lang w:eastAsia="en-AU"/>
              </w:rPr>
            </w:pPr>
            <w:r w:rsidRPr="00FF525D">
              <w:rPr>
                <w:rFonts w:eastAsia="Segoe UI" w:cstheme="minorHAnsi"/>
                <w:sz w:val="24"/>
                <w:szCs w:val="24"/>
                <w:lang w:eastAsia="en-AU"/>
              </w:rPr>
              <w:t>$10,000</w:t>
            </w:r>
          </w:p>
        </w:tc>
        <w:tc>
          <w:tcPr>
            <w:tcW w:w="0" w:type="auto"/>
            <w:hideMark/>
          </w:tcPr>
          <w:p w14:paraId="28C26C11" w14:textId="77777777" w:rsidR="00087543" w:rsidRPr="00FF525D" w:rsidRDefault="00087543">
            <w:pPr>
              <w:spacing w:after="0" w:line="360" w:lineRule="atLeast"/>
              <w:rPr>
                <w:rFonts w:eastAsia="Segoe UI" w:cstheme="minorHAnsi"/>
                <w:sz w:val="24"/>
                <w:szCs w:val="24"/>
                <w:lang w:eastAsia="en-AU"/>
              </w:rPr>
            </w:pPr>
            <w:r w:rsidRPr="00FF525D">
              <w:rPr>
                <w:rFonts w:eastAsia="Segoe UI" w:cstheme="minorHAnsi"/>
                <w:sz w:val="24"/>
                <w:szCs w:val="24"/>
                <w:lang w:eastAsia="en-AU"/>
              </w:rPr>
              <w:t>$12,000</w:t>
            </w:r>
          </w:p>
        </w:tc>
      </w:tr>
      <w:tr w:rsidR="00087543" w:rsidRPr="00FF525D" w14:paraId="629EF16A" w14:textId="77777777">
        <w:tc>
          <w:tcPr>
            <w:tcW w:w="0" w:type="auto"/>
            <w:hideMark/>
          </w:tcPr>
          <w:p w14:paraId="567CED03" w14:textId="2F4097D8" w:rsidR="00087543" w:rsidRPr="00FF525D" w:rsidRDefault="00087543">
            <w:pPr>
              <w:spacing w:after="0" w:line="360" w:lineRule="atLeast"/>
              <w:rPr>
                <w:rFonts w:eastAsia="Segoe UI" w:cstheme="minorHAnsi"/>
                <w:sz w:val="24"/>
                <w:szCs w:val="24"/>
                <w:lang w:eastAsia="en-AU"/>
              </w:rPr>
            </w:pPr>
            <w:r w:rsidRPr="00FF525D">
              <w:rPr>
                <w:rFonts w:eastAsia="Segoe UI" w:cstheme="minorHAnsi"/>
                <w:sz w:val="24"/>
                <w:szCs w:val="24"/>
                <w:lang w:eastAsia="en-AU"/>
              </w:rPr>
              <w:t xml:space="preserve">Between Monday </w:t>
            </w:r>
            <w:r>
              <w:rPr>
                <w:rFonts w:eastAsia="Segoe UI" w:cstheme="minorHAnsi"/>
                <w:sz w:val="24"/>
                <w:szCs w:val="24"/>
                <w:lang w:eastAsia="en-AU"/>
              </w:rPr>
              <w:t>2</w:t>
            </w:r>
            <w:r w:rsidR="00D92C96">
              <w:rPr>
                <w:rFonts w:eastAsia="Segoe UI" w:cstheme="minorHAnsi"/>
                <w:sz w:val="24"/>
                <w:szCs w:val="24"/>
                <w:lang w:eastAsia="en-AU"/>
              </w:rPr>
              <w:t>7</w:t>
            </w:r>
            <w:r w:rsidRPr="00FF525D">
              <w:rPr>
                <w:rFonts w:eastAsia="Segoe UI" w:cstheme="minorHAnsi"/>
                <w:sz w:val="24"/>
                <w:szCs w:val="24"/>
                <w:lang w:eastAsia="en-AU"/>
              </w:rPr>
              <w:t xml:space="preserve"> May and Friday </w:t>
            </w:r>
            <w:r w:rsidR="008240A8">
              <w:rPr>
                <w:rFonts w:eastAsia="Segoe UI" w:cstheme="minorHAnsi"/>
                <w:sz w:val="24"/>
                <w:szCs w:val="24"/>
                <w:lang w:eastAsia="en-AU"/>
              </w:rPr>
              <w:t>9</w:t>
            </w:r>
            <w:r w:rsidRPr="00FF525D">
              <w:rPr>
                <w:rFonts w:eastAsia="Segoe UI" w:cstheme="minorHAnsi"/>
                <w:sz w:val="24"/>
                <w:szCs w:val="24"/>
                <w:lang w:eastAsia="en-AU"/>
              </w:rPr>
              <w:t xml:space="preserve"> August </w:t>
            </w:r>
            <w:r w:rsidR="004F48A0" w:rsidRPr="00FF525D">
              <w:rPr>
                <w:rFonts w:eastAsia="Segoe UI" w:cstheme="minorHAnsi"/>
                <w:sz w:val="24"/>
                <w:szCs w:val="24"/>
                <w:lang w:eastAsia="en-AU"/>
              </w:rPr>
              <w:t>202</w:t>
            </w:r>
            <w:r w:rsidR="004F48A0">
              <w:rPr>
                <w:rFonts w:eastAsia="Segoe UI" w:cstheme="minorHAnsi"/>
                <w:sz w:val="24"/>
                <w:szCs w:val="24"/>
                <w:lang w:eastAsia="en-AU"/>
              </w:rPr>
              <w:t>4</w:t>
            </w:r>
          </w:p>
        </w:tc>
        <w:tc>
          <w:tcPr>
            <w:tcW w:w="0" w:type="auto"/>
            <w:hideMark/>
          </w:tcPr>
          <w:p w14:paraId="119D7AB0" w14:textId="77777777" w:rsidR="00087543" w:rsidRPr="00FF525D" w:rsidRDefault="00087543">
            <w:pPr>
              <w:spacing w:after="0" w:line="360" w:lineRule="atLeast"/>
              <w:rPr>
                <w:rFonts w:eastAsia="Segoe UI" w:cstheme="minorHAnsi"/>
                <w:sz w:val="24"/>
                <w:szCs w:val="24"/>
                <w:lang w:eastAsia="en-AU"/>
              </w:rPr>
            </w:pPr>
            <w:r w:rsidRPr="00FF525D">
              <w:rPr>
                <w:rFonts w:eastAsia="Segoe UI" w:cstheme="minorHAnsi"/>
                <w:sz w:val="24"/>
                <w:szCs w:val="24"/>
                <w:lang w:eastAsia="en-AU"/>
              </w:rPr>
              <w:t>75% of full-time SRP</w:t>
            </w:r>
          </w:p>
        </w:tc>
        <w:tc>
          <w:tcPr>
            <w:tcW w:w="0" w:type="auto"/>
            <w:hideMark/>
          </w:tcPr>
          <w:p w14:paraId="6178694F" w14:textId="77777777" w:rsidR="00087543" w:rsidRPr="00FF525D" w:rsidRDefault="00087543">
            <w:pPr>
              <w:spacing w:after="0" w:line="360" w:lineRule="atLeast"/>
              <w:rPr>
                <w:rFonts w:eastAsia="Segoe UI" w:cstheme="minorHAnsi"/>
                <w:sz w:val="24"/>
                <w:szCs w:val="24"/>
                <w:lang w:eastAsia="en-AU"/>
              </w:rPr>
            </w:pPr>
            <w:r w:rsidRPr="00FF525D">
              <w:rPr>
                <w:rFonts w:eastAsia="Segoe UI" w:cstheme="minorHAnsi"/>
                <w:sz w:val="24"/>
                <w:szCs w:val="24"/>
                <w:lang w:eastAsia="en-AU"/>
              </w:rPr>
              <w:t>$7,500</w:t>
            </w:r>
          </w:p>
        </w:tc>
        <w:tc>
          <w:tcPr>
            <w:tcW w:w="0" w:type="auto"/>
            <w:hideMark/>
          </w:tcPr>
          <w:p w14:paraId="636CDE74" w14:textId="77777777" w:rsidR="00087543" w:rsidRPr="00FF525D" w:rsidRDefault="00087543">
            <w:pPr>
              <w:spacing w:after="0" w:line="360" w:lineRule="atLeast"/>
              <w:rPr>
                <w:rFonts w:eastAsia="Segoe UI" w:cstheme="minorHAnsi"/>
                <w:sz w:val="24"/>
                <w:szCs w:val="24"/>
                <w:lang w:eastAsia="en-AU"/>
              </w:rPr>
            </w:pPr>
            <w:r w:rsidRPr="00FF525D">
              <w:rPr>
                <w:rFonts w:eastAsia="Segoe UI" w:cstheme="minorHAnsi"/>
                <w:sz w:val="24"/>
                <w:szCs w:val="24"/>
                <w:lang w:eastAsia="en-AU"/>
              </w:rPr>
              <w:t>$9,500</w:t>
            </w:r>
          </w:p>
        </w:tc>
      </w:tr>
    </w:tbl>
    <w:p w14:paraId="06A05138" w14:textId="6C830DE3" w:rsidR="00087543" w:rsidRPr="00FF525D" w:rsidRDefault="00087543" w:rsidP="00087543">
      <w:pPr>
        <w:spacing w:before="100" w:beforeAutospacing="1" w:after="100" w:afterAutospacing="1" w:line="288" w:lineRule="atLeast"/>
        <w:outlineLvl w:val="2"/>
        <w:rPr>
          <w:rFonts w:eastAsia="Segoe UI" w:cstheme="minorHAnsi"/>
          <w:b/>
          <w:color w:val="011A3C"/>
          <w:sz w:val="27"/>
          <w:szCs w:val="27"/>
          <w:lang w:val="en" w:eastAsia="en-AU"/>
        </w:rPr>
      </w:pPr>
      <w:r w:rsidRPr="00FF525D">
        <w:rPr>
          <w:rFonts w:eastAsia="Segoe UI" w:cstheme="minorHAnsi"/>
          <w:b/>
          <w:color w:val="011A3C"/>
          <w:sz w:val="27"/>
          <w:szCs w:val="27"/>
          <w:lang w:val="en" w:eastAsia="en-AU"/>
        </w:rPr>
        <w:lastRenderedPageBreak/>
        <w:t xml:space="preserve">Eligibility </w:t>
      </w:r>
      <w:r w:rsidR="006B6CED">
        <w:rPr>
          <w:rFonts w:eastAsia="Segoe UI" w:cstheme="minorHAnsi"/>
          <w:b/>
          <w:color w:val="011A3C"/>
          <w:sz w:val="27"/>
          <w:szCs w:val="27"/>
          <w:lang w:val="en" w:eastAsia="en-AU"/>
        </w:rPr>
        <w:t>c</w:t>
      </w:r>
      <w:r w:rsidRPr="00FF525D">
        <w:rPr>
          <w:rFonts w:eastAsia="Segoe UI" w:cstheme="minorHAnsi"/>
          <w:b/>
          <w:color w:val="011A3C"/>
          <w:sz w:val="27"/>
          <w:szCs w:val="27"/>
          <w:lang w:val="en" w:eastAsia="en-AU"/>
        </w:rPr>
        <w:t>riteria</w:t>
      </w:r>
    </w:p>
    <w:p w14:paraId="4F587F6D" w14:textId="77777777" w:rsidR="00087543" w:rsidRPr="00FF525D" w:rsidRDefault="00087543" w:rsidP="00087543">
      <w:p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For schools to apply for Late Enrolment Funding, the young person must be re-engaging with education after the February census and meet the following criteria:</w:t>
      </w:r>
    </w:p>
    <w:p w14:paraId="111D4747" w14:textId="7AB89C52" w:rsidR="00087543" w:rsidRPr="00FF525D" w:rsidRDefault="00087543" w:rsidP="00087543">
      <w:pPr>
        <w:numPr>
          <w:ilvl w:val="0"/>
          <w:numId w:val="107"/>
        </w:num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 xml:space="preserve">not been counted (funded) in a Department of Education school census in the same year and must meet at least one of the following criteria: </w:t>
      </w:r>
    </w:p>
    <w:p w14:paraId="2B4417A1" w14:textId="77777777" w:rsidR="00087543" w:rsidRPr="00FF525D" w:rsidRDefault="00087543" w:rsidP="00087543">
      <w:pPr>
        <w:numPr>
          <w:ilvl w:val="1"/>
          <w:numId w:val="107"/>
        </w:num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disengaged from school (defined as less than 30% attendance)</w:t>
      </w:r>
    </w:p>
    <w:p w14:paraId="6E4B551A" w14:textId="77777777" w:rsidR="00087543" w:rsidRPr="00FF525D" w:rsidRDefault="00087543" w:rsidP="00087543">
      <w:pPr>
        <w:numPr>
          <w:ilvl w:val="1"/>
          <w:numId w:val="107"/>
        </w:num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residing in statutory Out of Home Care (defined as young people who cannot live in their family home and are residing in a temporary, medium or long-term living arrangement)</w:t>
      </w:r>
    </w:p>
    <w:p w14:paraId="5B0CA993" w14:textId="77777777" w:rsidR="00087543" w:rsidRPr="00FF525D" w:rsidRDefault="00087543" w:rsidP="00087543">
      <w:pPr>
        <w:numPr>
          <w:ilvl w:val="1"/>
          <w:numId w:val="107"/>
        </w:num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involved with the youth justice system, including a young person with a youth control order and intensive bail conditions (identified by Education Justice Initiative staff, Parkville College staff or court liaison officers)</w:t>
      </w:r>
    </w:p>
    <w:p w14:paraId="0FD2523C" w14:textId="77777777" w:rsidR="00087543" w:rsidRPr="00FF525D" w:rsidRDefault="00087543" w:rsidP="00087543">
      <w:pPr>
        <w:numPr>
          <w:ilvl w:val="0"/>
          <w:numId w:val="107"/>
        </w:num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have a confirmed school enrolment (or equivalent) at a government school with an Individual Education Plan (IEP) in place (please note there is no age limit for applications)</w:t>
      </w:r>
    </w:p>
    <w:p w14:paraId="12A97582" w14:textId="77777777" w:rsidR="00087543" w:rsidRPr="00FF525D" w:rsidRDefault="00087543" w:rsidP="00087543">
      <w:pPr>
        <w:numPr>
          <w:ilvl w:val="0"/>
          <w:numId w:val="107"/>
        </w:num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not have received Late Enrolment Funding within the current financial year</w:t>
      </w:r>
    </w:p>
    <w:p w14:paraId="0A0DA810" w14:textId="4658D4C2" w:rsidR="00087543" w:rsidRPr="00FF525D" w:rsidRDefault="00087543" w:rsidP="00087543">
      <w:pPr>
        <w:numPr>
          <w:ilvl w:val="0"/>
          <w:numId w:val="107"/>
        </w:num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 xml:space="preserve">not be participating in an approved senior </w:t>
      </w:r>
      <w:r w:rsidR="00C325F3">
        <w:rPr>
          <w:rFonts w:eastAsia="Segoe UI" w:cstheme="minorHAnsi"/>
          <w:color w:val="011A3C"/>
          <w:sz w:val="24"/>
          <w:szCs w:val="24"/>
          <w:lang w:val="en" w:eastAsia="en-AU"/>
        </w:rPr>
        <w:t xml:space="preserve">or foundational </w:t>
      </w:r>
      <w:r w:rsidRPr="00FF525D">
        <w:rPr>
          <w:rFonts w:eastAsia="Segoe UI" w:cstheme="minorHAnsi"/>
          <w:color w:val="011A3C"/>
          <w:sz w:val="24"/>
          <w:szCs w:val="24"/>
          <w:lang w:val="en" w:eastAsia="en-AU"/>
        </w:rPr>
        <w:t>secondary re-engagement program</w:t>
      </w:r>
      <w:r w:rsidR="00923847">
        <w:rPr>
          <w:rFonts w:eastAsia="Segoe UI" w:cstheme="minorHAnsi"/>
          <w:color w:val="011A3C"/>
          <w:sz w:val="24"/>
          <w:szCs w:val="24"/>
          <w:lang w:val="en" w:eastAsia="en-AU"/>
        </w:rPr>
        <w:t>.</w:t>
      </w:r>
    </w:p>
    <w:p w14:paraId="48F52B41" w14:textId="77777777" w:rsidR="00087543" w:rsidRPr="00FF525D" w:rsidRDefault="00087543" w:rsidP="00087543">
      <w:p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For schools to be eligible for Senior Secondary Re-engagement Funding, the following criteria must be met:</w:t>
      </w:r>
    </w:p>
    <w:p w14:paraId="0089345C" w14:textId="77777777" w:rsidR="00087543" w:rsidRPr="00FF525D" w:rsidRDefault="00087543" w:rsidP="00087543">
      <w:pPr>
        <w:numPr>
          <w:ilvl w:val="0"/>
          <w:numId w:val="108"/>
        </w:num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the young person must be re-engaging with education after the February census</w:t>
      </w:r>
    </w:p>
    <w:p w14:paraId="2AAA556F" w14:textId="4185DE1F" w:rsidR="00087543" w:rsidRPr="00FF525D" w:rsidRDefault="00087543" w:rsidP="00087543">
      <w:pPr>
        <w:numPr>
          <w:ilvl w:val="0"/>
          <w:numId w:val="108"/>
        </w:num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the young person must not have been counted (funded) in a Department of Education</w:t>
      </w:r>
      <w:r w:rsidR="00274BD6">
        <w:rPr>
          <w:rFonts w:eastAsia="Segoe UI" w:cstheme="minorHAnsi"/>
          <w:color w:val="011A3C"/>
          <w:sz w:val="24"/>
          <w:szCs w:val="24"/>
          <w:lang w:val="en" w:eastAsia="en-AU"/>
        </w:rPr>
        <w:t xml:space="preserve"> </w:t>
      </w:r>
      <w:r w:rsidRPr="00FF525D">
        <w:rPr>
          <w:rFonts w:eastAsia="Segoe UI" w:cstheme="minorHAnsi"/>
          <w:color w:val="011A3C"/>
          <w:sz w:val="24"/>
          <w:szCs w:val="24"/>
          <w:lang w:val="en" w:eastAsia="en-AU"/>
        </w:rPr>
        <w:t>school census in the same year</w:t>
      </w:r>
    </w:p>
    <w:p w14:paraId="639C5D03" w14:textId="47A70FD2" w:rsidR="00087543" w:rsidRPr="00FF525D" w:rsidRDefault="00087543" w:rsidP="00087543">
      <w:pPr>
        <w:numPr>
          <w:ilvl w:val="0"/>
          <w:numId w:val="108"/>
        </w:num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 xml:space="preserve">the young person must be participating in an approved senior secondary re-engagement program </w:t>
      </w:r>
      <w:r w:rsidRPr="00FF525D">
        <w:rPr>
          <w:rFonts w:eastAsia="Segoe UI" w:cstheme="minorHAnsi"/>
          <w:color w:val="011A3C"/>
          <w:sz w:val="24"/>
          <w:szCs w:val="24"/>
          <w:lang w:val="en"/>
        </w:rPr>
        <w:t>with an</w:t>
      </w:r>
      <w:r w:rsidR="000F53DA">
        <w:rPr>
          <w:rFonts w:eastAsia="Segoe UI" w:cstheme="minorHAnsi"/>
          <w:color w:val="011A3C"/>
          <w:sz w:val="24"/>
          <w:szCs w:val="24"/>
          <w:lang w:val="en"/>
        </w:rPr>
        <w:t xml:space="preserve"> IEP</w:t>
      </w:r>
      <w:r w:rsidRPr="00FF525D">
        <w:rPr>
          <w:rFonts w:eastAsia="Segoe UI" w:cstheme="minorHAnsi"/>
          <w:color w:val="011A3C"/>
          <w:sz w:val="24"/>
          <w:szCs w:val="24"/>
          <w:lang w:val="en"/>
        </w:rPr>
        <w:t xml:space="preserve"> in place.</w:t>
      </w:r>
    </w:p>
    <w:p w14:paraId="00A931B2" w14:textId="77777777" w:rsidR="00087543" w:rsidRPr="00FF525D" w:rsidRDefault="00087543" w:rsidP="00087543">
      <w:pPr>
        <w:spacing w:before="100" w:beforeAutospacing="1" w:after="100" w:afterAutospacing="1" w:line="288" w:lineRule="atLeast"/>
        <w:outlineLvl w:val="2"/>
        <w:rPr>
          <w:rFonts w:eastAsia="Segoe UI" w:cstheme="minorHAnsi"/>
          <w:b/>
          <w:color w:val="011A3C"/>
          <w:sz w:val="27"/>
          <w:szCs w:val="27"/>
          <w:lang w:val="en" w:eastAsia="en-AU"/>
        </w:rPr>
      </w:pPr>
      <w:r w:rsidRPr="00FF525D">
        <w:rPr>
          <w:rFonts w:eastAsia="Segoe UI" w:cstheme="minorHAnsi"/>
          <w:b/>
          <w:color w:val="011A3C"/>
          <w:sz w:val="27"/>
          <w:szCs w:val="27"/>
          <w:lang w:val="en" w:eastAsia="en-AU"/>
        </w:rPr>
        <w:t>Applying for funding</w:t>
      </w:r>
    </w:p>
    <w:p w14:paraId="75E41D2D" w14:textId="77777777" w:rsidR="00087543" w:rsidRPr="00FF525D" w:rsidRDefault="00087543" w:rsidP="00087543">
      <w:p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Once a young person is identified as eligible for funding:</w:t>
      </w:r>
    </w:p>
    <w:p w14:paraId="4B404B4C" w14:textId="77777777" w:rsidR="00087543" w:rsidRPr="00FF525D" w:rsidRDefault="00087543" w:rsidP="00087543">
      <w:pPr>
        <w:spacing w:before="100" w:beforeAutospacing="1" w:after="100" w:afterAutospacing="1" w:line="288" w:lineRule="atLeast"/>
        <w:outlineLvl w:val="3"/>
        <w:rPr>
          <w:rFonts w:eastAsia="Segoe UI" w:cstheme="minorHAnsi"/>
          <w:b/>
          <w:color w:val="011A3C"/>
          <w:sz w:val="24"/>
          <w:szCs w:val="24"/>
          <w:lang w:val="en" w:eastAsia="en-AU"/>
        </w:rPr>
      </w:pPr>
      <w:r w:rsidRPr="00FF525D">
        <w:rPr>
          <w:rFonts w:eastAsia="Segoe UI" w:cstheme="minorHAnsi"/>
          <w:b/>
          <w:color w:val="011A3C"/>
          <w:sz w:val="24"/>
          <w:szCs w:val="24"/>
          <w:lang w:val="en" w:eastAsia="en-AU"/>
        </w:rPr>
        <w:t>Step 1</w:t>
      </w:r>
    </w:p>
    <w:p w14:paraId="7C95830A" w14:textId="31B2D1E4" w:rsidR="00087543" w:rsidRPr="00FF525D" w:rsidRDefault="00087543" w:rsidP="00087543">
      <w:pPr>
        <w:pStyle w:val="xmsonormal"/>
        <w:rPr>
          <w:rFonts w:asciiTheme="minorHAnsi" w:eastAsia="Segoe UI" w:hAnsiTheme="minorHAnsi" w:cstheme="minorHAnsi"/>
          <w:color w:val="011A3C"/>
          <w:sz w:val="24"/>
          <w:szCs w:val="24"/>
          <w:lang w:val="en"/>
        </w:rPr>
      </w:pPr>
      <w:r w:rsidRPr="00FF525D">
        <w:rPr>
          <w:rFonts w:asciiTheme="minorHAnsi" w:eastAsia="Segoe UI" w:hAnsiTheme="minorHAnsi" w:cstheme="minorHAnsi"/>
          <w:color w:val="011A3C"/>
          <w:sz w:val="24"/>
          <w:szCs w:val="24"/>
          <w:lang w:val="en"/>
        </w:rPr>
        <w:t xml:space="preserve">The school develops an </w:t>
      </w:r>
      <w:r w:rsidR="000F53DA">
        <w:rPr>
          <w:rFonts w:asciiTheme="minorHAnsi" w:eastAsia="Segoe UI" w:hAnsiTheme="minorHAnsi" w:cstheme="minorHAnsi"/>
          <w:color w:val="011A3C"/>
          <w:sz w:val="24"/>
          <w:szCs w:val="24"/>
          <w:lang w:val="en"/>
        </w:rPr>
        <w:t>IE</w:t>
      </w:r>
      <w:r w:rsidR="00224B5F">
        <w:rPr>
          <w:rFonts w:asciiTheme="minorHAnsi" w:eastAsia="Segoe UI" w:hAnsiTheme="minorHAnsi" w:cstheme="minorHAnsi"/>
          <w:color w:val="011A3C"/>
          <w:sz w:val="24"/>
          <w:szCs w:val="24"/>
          <w:lang w:val="en"/>
        </w:rPr>
        <w:t xml:space="preserve">P </w:t>
      </w:r>
      <w:r w:rsidRPr="00FF525D">
        <w:rPr>
          <w:rFonts w:asciiTheme="minorHAnsi" w:eastAsia="Segoe UI" w:hAnsiTheme="minorHAnsi" w:cstheme="minorHAnsi"/>
          <w:color w:val="011A3C"/>
          <w:sz w:val="24"/>
          <w:szCs w:val="24"/>
          <w:lang w:val="en"/>
        </w:rPr>
        <w:t xml:space="preserve">for the young person. An IEP is required for both Late Enrolment Funding and Senior Secondary Re-engagement Funding applications. Schools must use the IEP template developed by the Department which is available </w:t>
      </w:r>
      <w:bookmarkStart w:id="219" w:name="_Hlk65691116"/>
      <w:r w:rsidRPr="00FF525D">
        <w:rPr>
          <w:rFonts w:asciiTheme="minorHAnsi" w:eastAsia="Segoe UI" w:hAnsiTheme="minorHAnsi" w:cstheme="minorHAnsi"/>
          <w:color w:val="011A3C"/>
          <w:sz w:val="24"/>
          <w:szCs w:val="24"/>
          <w:lang w:val="en"/>
        </w:rPr>
        <w:t xml:space="preserve">at </w:t>
      </w:r>
      <w:hyperlink r:id="rId173" w:history="1">
        <w:r w:rsidRPr="00FF525D">
          <w:rPr>
            <w:rFonts w:asciiTheme="minorHAnsi" w:eastAsia="Segoe UI" w:hAnsiTheme="minorHAnsi" w:cstheme="minorHAnsi"/>
            <w:color w:val="011A3C"/>
            <w:sz w:val="24"/>
            <w:szCs w:val="24"/>
            <w:lang w:val="en"/>
          </w:rPr>
          <w:t>Individual Education Plans – Resources.</w:t>
        </w:r>
      </w:hyperlink>
      <w:bookmarkEnd w:id="219"/>
    </w:p>
    <w:p w14:paraId="0ED10E12" w14:textId="77777777" w:rsidR="00087543" w:rsidRPr="00FF525D" w:rsidRDefault="00087543" w:rsidP="00087543">
      <w:pPr>
        <w:pStyle w:val="xmsonormal"/>
        <w:shd w:val="clear" w:color="auto" w:fill="FFFFFF"/>
        <w:spacing w:after="360"/>
        <w:rPr>
          <w:rFonts w:asciiTheme="minorHAnsi" w:eastAsia="Segoe UI" w:hAnsiTheme="minorHAnsi" w:cstheme="minorHAnsi"/>
          <w:color w:val="011A3C"/>
          <w:sz w:val="24"/>
          <w:szCs w:val="24"/>
          <w:lang w:val="en"/>
        </w:rPr>
      </w:pPr>
    </w:p>
    <w:p w14:paraId="051590B3" w14:textId="342AD665" w:rsidR="00087543" w:rsidRPr="00FF525D" w:rsidRDefault="00087543" w:rsidP="00087543">
      <w:pPr>
        <w:pStyle w:val="xmsonormal"/>
        <w:shd w:val="clear" w:color="auto" w:fill="FFFFFF"/>
        <w:spacing w:after="360"/>
        <w:rPr>
          <w:rFonts w:asciiTheme="minorHAnsi" w:eastAsia="Segoe UI" w:hAnsiTheme="minorHAnsi" w:cstheme="minorHAnsi"/>
          <w:color w:val="011A3C"/>
          <w:sz w:val="24"/>
          <w:szCs w:val="24"/>
          <w:lang w:val="en"/>
        </w:rPr>
      </w:pPr>
      <w:r w:rsidRPr="00FF525D">
        <w:rPr>
          <w:rFonts w:asciiTheme="minorHAnsi" w:eastAsia="Segoe UI" w:hAnsiTheme="minorHAnsi" w:cstheme="minorHAnsi"/>
          <w:color w:val="011A3C"/>
          <w:sz w:val="24"/>
          <w:szCs w:val="24"/>
          <w:lang w:val="en"/>
        </w:rPr>
        <w:t xml:space="preserve">It is </w:t>
      </w:r>
      <w:r w:rsidR="00CE1C89">
        <w:rPr>
          <w:rFonts w:asciiTheme="minorHAnsi" w:eastAsia="Segoe UI" w:hAnsiTheme="minorHAnsi" w:cstheme="minorHAnsi"/>
          <w:color w:val="011A3C"/>
          <w:sz w:val="24"/>
          <w:szCs w:val="24"/>
          <w:lang w:val="en"/>
        </w:rPr>
        <w:t>required</w:t>
      </w:r>
      <w:r w:rsidRPr="00FF525D">
        <w:rPr>
          <w:rFonts w:asciiTheme="minorHAnsi" w:eastAsia="Segoe UI" w:hAnsiTheme="minorHAnsi" w:cstheme="minorHAnsi"/>
          <w:color w:val="011A3C"/>
          <w:sz w:val="24"/>
          <w:szCs w:val="24"/>
          <w:lang w:val="en"/>
        </w:rPr>
        <w:t xml:space="preserve"> that school staff take the following steps when developing an IEP:</w:t>
      </w:r>
    </w:p>
    <w:p w14:paraId="275CD36F" w14:textId="6F4498E4" w:rsidR="00087543" w:rsidRPr="00FF525D" w:rsidRDefault="00087543" w:rsidP="00087543">
      <w:pPr>
        <w:pStyle w:val="xmsonormal"/>
        <w:numPr>
          <w:ilvl w:val="0"/>
          <w:numId w:val="109"/>
        </w:numPr>
        <w:shd w:val="clear" w:color="auto" w:fill="FFFFFF"/>
        <w:spacing w:after="360"/>
        <w:rPr>
          <w:rFonts w:asciiTheme="minorHAnsi" w:eastAsia="Segoe UI" w:hAnsiTheme="minorHAnsi" w:cstheme="minorHAnsi"/>
          <w:color w:val="011A3C"/>
          <w:sz w:val="24"/>
          <w:szCs w:val="24"/>
          <w:lang w:val="en"/>
        </w:rPr>
      </w:pPr>
      <w:proofErr w:type="spellStart"/>
      <w:r w:rsidRPr="00FF525D">
        <w:rPr>
          <w:rFonts w:asciiTheme="minorHAnsi" w:eastAsia="Segoe UI" w:hAnsiTheme="minorHAnsi" w:cstheme="minorHAnsi"/>
          <w:color w:val="011A3C"/>
          <w:sz w:val="24"/>
          <w:szCs w:val="24"/>
          <w:lang w:val="en"/>
        </w:rPr>
        <w:t>Utilise</w:t>
      </w:r>
      <w:proofErr w:type="spellEnd"/>
      <w:r w:rsidRPr="00FF525D">
        <w:rPr>
          <w:rFonts w:asciiTheme="minorHAnsi" w:eastAsia="Segoe UI" w:hAnsiTheme="minorHAnsi" w:cstheme="minorHAnsi"/>
          <w:color w:val="011A3C"/>
          <w:sz w:val="24"/>
          <w:szCs w:val="24"/>
          <w:lang w:val="en"/>
        </w:rPr>
        <w:t xml:space="preserve"> the department’s</w:t>
      </w:r>
      <w:r w:rsidRPr="00B547CD">
        <w:rPr>
          <w:rFonts w:asciiTheme="minorHAnsi" w:eastAsia="Segoe UI" w:hAnsiTheme="minorHAnsi" w:cstheme="minorHAnsi"/>
          <w:color w:val="011A3C"/>
          <w:sz w:val="24"/>
          <w:szCs w:val="24"/>
          <w:lang w:val="en"/>
        </w:rPr>
        <w:t xml:space="preserve"> </w:t>
      </w:r>
      <w:hyperlink r:id="rId174" w:history="1">
        <w:r w:rsidR="00B10716" w:rsidRPr="00833928">
          <w:rPr>
            <w:rStyle w:val="Hyperlink"/>
            <w:rFonts w:asciiTheme="minorHAnsi" w:hAnsiTheme="minorHAnsi"/>
            <w:sz w:val="24"/>
            <w:lang w:val="en"/>
          </w:rPr>
          <w:t>IEP</w:t>
        </w:r>
        <w:r w:rsidR="00B10716" w:rsidRPr="00B10716">
          <w:rPr>
            <w:rStyle w:val="Hyperlink"/>
            <w:rFonts w:asciiTheme="minorHAnsi" w:eastAsia="Segoe UI" w:hAnsiTheme="minorHAnsi" w:cstheme="minorHAnsi"/>
            <w:sz w:val="24"/>
            <w:szCs w:val="24"/>
            <w:lang w:val="en"/>
          </w:rPr>
          <w:t xml:space="preserve"> </w:t>
        </w:r>
        <w:r w:rsidR="00B10716" w:rsidRPr="00833928">
          <w:rPr>
            <w:rStyle w:val="Hyperlink"/>
            <w:rFonts w:asciiTheme="minorHAnsi" w:hAnsiTheme="minorHAnsi"/>
            <w:sz w:val="24"/>
            <w:lang w:val="en"/>
          </w:rPr>
          <w:t>template</w:t>
        </w:r>
      </w:hyperlink>
    </w:p>
    <w:p w14:paraId="2F2809D7" w14:textId="77777777" w:rsidR="00087543" w:rsidRPr="00FF525D" w:rsidRDefault="00087543" w:rsidP="00087543">
      <w:pPr>
        <w:pStyle w:val="xmsonormal"/>
        <w:numPr>
          <w:ilvl w:val="0"/>
          <w:numId w:val="109"/>
        </w:numPr>
        <w:shd w:val="clear" w:color="auto" w:fill="FFFFFF"/>
        <w:spacing w:after="360"/>
        <w:rPr>
          <w:rFonts w:asciiTheme="minorHAnsi" w:eastAsia="Segoe UI" w:hAnsiTheme="minorHAnsi" w:cstheme="minorHAnsi"/>
          <w:color w:val="011A3C"/>
          <w:sz w:val="24"/>
          <w:szCs w:val="24"/>
          <w:lang w:val="en"/>
        </w:rPr>
      </w:pPr>
      <w:r w:rsidRPr="00FF525D">
        <w:rPr>
          <w:rFonts w:asciiTheme="minorHAnsi" w:eastAsia="Segoe UI" w:hAnsiTheme="minorHAnsi" w:cstheme="minorHAnsi"/>
          <w:color w:val="011A3C"/>
          <w:sz w:val="24"/>
          <w:szCs w:val="24"/>
          <w:lang w:val="en"/>
        </w:rPr>
        <w:t xml:space="preserve">Complete the IEP eLearning module on </w:t>
      </w:r>
      <w:proofErr w:type="spellStart"/>
      <w:r w:rsidRPr="00FF525D">
        <w:rPr>
          <w:rFonts w:asciiTheme="minorHAnsi" w:eastAsia="Segoe UI" w:hAnsiTheme="minorHAnsi" w:cstheme="minorHAnsi"/>
          <w:color w:val="011A3C"/>
          <w:sz w:val="24"/>
          <w:szCs w:val="24"/>
          <w:lang w:val="en"/>
        </w:rPr>
        <w:t>LearnED</w:t>
      </w:r>
      <w:proofErr w:type="spellEnd"/>
      <w:r w:rsidRPr="00FF525D">
        <w:rPr>
          <w:rFonts w:asciiTheme="minorHAnsi" w:eastAsia="Segoe UI" w:hAnsiTheme="minorHAnsi" w:cstheme="minorHAnsi"/>
          <w:color w:val="011A3C"/>
          <w:sz w:val="24"/>
          <w:szCs w:val="24"/>
          <w:lang w:val="en"/>
        </w:rPr>
        <w:t xml:space="preserve"> (available via </w:t>
      </w:r>
      <w:hyperlink r:id="rId175" w:tgtFrame="_blank" w:history="1">
        <w:proofErr w:type="spellStart"/>
        <w:r w:rsidRPr="00AB7A20">
          <w:rPr>
            <w:rStyle w:val="Hyperlink"/>
            <w:rFonts w:eastAsia="Segoe UI"/>
          </w:rPr>
          <w:t>eduPay</w:t>
        </w:r>
        <w:proofErr w:type="spellEnd"/>
      </w:hyperlink>
      <w:r w:rsidRPr="00FF525D">
        <w:rPr>
          <w:rFonts w:asciiTheme="minorHAnsi" w:eastAsia="Segoe UI" w:hAnsiTheme="minorHAnsi" w:cstheme="minorHAnsi"/>
          <w:color w:val="011A3C"/>
          <w:sz w:val="24"/>
          <w:szCs w:val="24"/>
          <w:lang w:val="en"/>
        </w:rPr>
        <w:t>) and attend an IEP webinar (available via</w:t>
      </w:r>
      <w:r w:rsidRPr="00FF525D">
        <w:rPr>
          <w:rFonts w:asciiTheme="minorHAnsi" w:hAnsiTheme="minorHAnsi" w:cstheme="minorHAnsi"/>
        </w:rPr>
        <w:t> </w:t>
      </w:r>
      <w:hyperlink r:id="rId176" w:tgtFrame="_blank" w:history="1">
        <w:r w:rsidRPr="00AB7A20">
          <w:rPr>
            <w:rStyle w:val="Hyperlink"/>
            <w:rFonts w:eastAsia="Segoe UI"/>
          </w:rPr>
          <w:t>Arc – Individual Education Planning</w:t>
        </w:r>
      </w:hyperlink>
      <w:r w:rsidRPr="00FF525D">
        <w:rPr>
          <w:rFonts w:asciiTheme="minorHAnsi" w:eastAsia="Segoe UI" w:hAnsiTheme="minorHAnsi" w:cstheme="minorHAnsi"/>
          <w:color w:val="011A3C"/>
          <w:sz w:val="24"/>
          <w:szCs w:val="24"/>
          <w:lang w:val="en"/>
        </w:rPr>
        <w:t>)</w:t>
      </w:r>
    </w:p>
    <w:p w14:paraId="2E0E3FA5" w14:textId="6A6FADDE" w:rsidR="00087543" w:rsidRPr="00FF525D" w:rsidRDefault="00087543" w:rsidP="00087543">
      <w:pPr>
        <w:pStyle w:val="xmsonormal"/>
        <w:numPr>
          <w:ilvl w:val="0"/>
          <w:numId w:val="109"/>
        </w:numPr>
        <w:shd w:val="clear" w:color="auto" w:fill="FFFFFF"/>
        <w:spacing w:after="360"/>
        <w:rPr>
          <w:rFonts w:asciiTheme="minorHAnsi" w:eastAsia="Segoe UI" w:hAnsiTheme="minorHAnsi" w:cstheme="minorHAnsi"/>
          <w:color w:val="011A3C"/>
          <w:sz w:val="24"/>
          <w:szCs w:val="24"/>
          <w:lang w:val="en"/>
        </w:rPr>
      </w:pPr>
      <w:r w:rsidRPr="00FF525D">
        <w:rPr>
          <w:rFonts w:asciiTheme="minorHAnsi" w:eastAsia="Segoe UI" w:hAnsiTheme="minorHAnsi" w:cstheme="minorHAnsi"/>
          <w:color w:val="011A3C"/>
          <w:sz w:val="24"/>
          <w:szCs w:val="24"/>
          <w:lang w:val="en"/>
        </w:rPr>
        <w:lastRenderedPageBreak/>
        <w:t>Schedule a</w:t>
      </w:r>
      <w:r w:rsidR="00A717C8">
        <w:rPr>
          <w:rFonts w:asciiTheme="minorHAnsi" w:eastAsia="Segoe UI" w:hAnsiTheme="minorHAnsi" w:cstheme="minorHAnsi"/>
          <w:color w:val="011A3C"/>
          <w:sz w:val="24"/>
          <w:szCs w:val="24"/>
          <w:lang w:val="en"/>
        </w:rPr>
        <w:t xml:space="preserve"> </w:t>
      </w:r>
      <w:r w:rsidRPr="00FF525D">
        <w:rPr>
          <w:rFonts w:asciiTheme="minorHAnsi" w:eastAsia="Segoe UI" w:hAnsiTheme="minorHAnsi" w:cstheme="minorHAnsi"/>
          <w:color w:val="011A3C"/>
          <w:sz w:val="24"/>
          <w:szCs w:val="24"/>
          <w:lang w:val="en"/>
        </w:rPr>
        <w:t>S</w:t>
      </w:r>
      <w:r w:rsidR="00A717C8">
        <w:rPr>
          <w:rFonts w:asciiTheme="minorHAnsi" w:eastAsia="Segoe UI" w:hAnsiTheme="minorHAnsi" w:cstheme="minorHAnsi"/>
          <w:color w:val="011A3C"/>
          <w:sz w:val="24"/>
          <w:szCs w:val="24"/>
          <w:lang w:val="en"/>
        </w:rPr>
        <w:t xml:space="preserve">tudent </w:t>
      </w:r>
      <w:r w:rsidRPr="00FF525D">
        <w:rPr>
          <w:rFonts w:asciiTheme="minorHAnsi" w:eastAsia="Segoe UI" w:hAnsiTheme="minorHAnsi" w:cstheme="minorHAnsi"/>
          <w:color w:val="011A3C"/>
          <w:sz w:val="24"/>
          <w:szCs w:val="24"/>
          <w:lang w:val="en"/>
        </w:rPr>
        <w:t>S</w:t>
      </w:r>
      <w:r w:rsidR="00A717C8">
        <w:rPr>
          <w:rFonts w:asciiTheme="minorHAnsi" w:eastAsia="Segoe UI" w:hAnsiTheme="minorHAnsi" w:cstheme="minorHAnsi"/>
          <w:color w:val="011A3C"/>
          <w:sz w:val="24"/>
          <w:szCs w:val="24"/>
          <w:lang w:val="en"/>
        </w:rPr>
        <w:t xml:space="preserve">upport </w:t>
      </w:r>
      <w:r w:rsidRPr="00FF525D">
        <w:rPr>
          <w:rFonts w:asciiTheme="minorHAnsi" w:eastAsia="Segoe UI" w:hAnsiTheme="minorHAnsi" w:cstheme="minorHAnsi"/>
          <w:color w:val="011A3C"/>
          <w:sz w:val="24"/>
          <w:szCs w:val="24"/>
          <w:lang w:val="en"/>
        </w:rPr>
        <w:t>G</w:t>
      </w:r>
      <w:r w:rsidR="00A717C8">
        <w:rPr>
          <w:rFonts w:asciiTheme="minorHAnsi" w:eastAsia="Segoe UI" w:hAnsiTheme="minorHAnsi" w:cstheme="minorHAnsi"/>
          <w:color w:val="011A3C"/>
          <w:sz w:val="24"/>
          <w:szCs w:val="24"/>
          <w:lang w:val="en"/>
        </w:rPr>
        <w:t>roups (SSG)</w:t>
      </w:r>
      <w:r w:rsidRPr="00FF525D">
        <w:rPr>
          <w:rFonts w:asciiTheme="minorHAnsi" w:eastAsia="Segoe UI" w:hAnsiTheme="minorHAnsi" w:cstheme="minorHAnsi"/>
          <w:color w:val="011A3C"/>
          <w:sz w:val="24"/>
          <w:szCs w:val="24"/>
          <w:lang w:val="en"/>
        </w:rPr>
        <w:t xml:space="preserve"> meeting with the student (where appropriate), their parent/carer, teacher and education support staff. The SSG is an opportunity to get to know the student and how they learn. The meeting will assist school staff in understanding the student’s strengths and interests and any challenges or barriers to learning and will assist in developing student-</w:t>
      </w:r>
      <w:proofErr w:type="spellStart"/>
      <w:r w:rsidRPr="00FF525D">
        <w:rPr>
          <w:rFonts w:asciiTheme="minorHAnsi" w:eastAsia="Segoe UI" w:hAnsiTheme="minorHAnsi" w:cstheme="minorHAnsi"/>
          <w:color w:val="011A3C"/>
          <w:sz w:val="24"/>
          <w:szCs w:val="24"/>
          <w:lang w:val="en"/>
        </w:rPr>
        <w:t>centred</w:t>
      </w:r>
      <w:proofErr w:type="spellEnd"/>
      <w:r w:rsidRPr="00FF525D">
        <w:rPr>
          <w:rFonts w:asciiTheme="minorHAnsi" w:eastAsia="Segoe UI" w:hAnsiTheme="minorHAnsi" w:cstheme="minorHAnsi"/>
          <w:color w:val="011A3C"/>
          <w:sz w:val="24"/>
          <w:szCs w:val="24"/>
          <w:lang w:val="en"/>
        </w:rPr>
        <w:t xml:space="preserve"> approaches. </w:t>
      </w:r>
    </w:p>
    <w:p w14:paraId="364AD6E3" w14:textId="35AA5877" w:rsidR="00087543" w:rsidRPr="00833928" w:rsidRDefault="00087543" w:rsidP="009B4DE1">
      <w:pPr>
        <w:pStyle w:val="xmsonormal"/>
        <w:numPr>
          <w:ilvl w:val="0"/>
          <w:numId w:val="109"/>
        </w:numPr>
        <w:shd w:val="clear" w:color="auto" w:fill="FFFFFF"/>
        <w:spacing w:after="360"/>
        <w:rPr>
          <w:color w:val="011A3C"/>
          <w:sz w:val="24"/>
          <w:lang w:val="en"/>
        </w:rPr>
      </w:pPr>
      <w:r w:rsidRPr="00FF525D">
        <w:rPr>
          <w:rFonts w:asciiTheme="minorHAnsi" w:eastAsia="Segoe UI" w:hAnsiTheme="minorHAnsi" w:cstheme="minorHAnsi"/>
          <w:color w:val="011A3C"/>
          <w:sz w:val="24"/>
          <w:szCs w:val="24"/>
          <w:lang w:val="en"/>
        </w:rPr>
        <w:t xml:space="preserve">After the IEP has been developed, use the IEP </w:t>
      </w:r>
      <w:hyperlink r:id="rId177" w:history="1">
        <w:r w:rsidRPr="00FF525D">
          <w:rPr>
            <w:rStyle w:val="Hyperlink"/>
            <w:rFonts w:asciiTheme="minorHAnsi" w:eastAsia="Segoe UI" w:hAnsiTheme="minorHAnsi" w:cstheme="minorHAnsi"/>
            <w:sz w:val="24"/>
            <w:szCs w:val="24"/>
            <w:lang w:val="en"/>
          </w:rPr>
          <w:t>quality checklist rubric</w:t>
        </w:r>
      </w:hyperlink>
      <w:r w:rsidRPr="00FF525D">
        <w:rPr>
          <w:rFonts w:asciiTheme="minorHAnsi" w:eastAsia="Segoe UI" w:hAnsiTheme="minorHAnsi" w:cstheme="minorHAnsi"/>
          <w:color w:val="011A3C"/>
          <w:sz w:val="24"/>
          <w:szCs w:val="24"/>
          <w:lang w:val="en"/>
        </w:rPr>
        <w:t xml:space="preserve"> to check that it includes the essential components. </w:t>
      </w:r>
    </w:p>
    <w:p w14:paraId="70228F6A" w14:textId="77777777" w:rsidR="00087543" w:rsidRPr="00FF525D" w:rsidRDefault="00087543" w:rsidP="00087543">
      <w:pPr>
        <w:spacing w:before="100" w:beforeAutospacing="1" w:after="100" w:afterAutospacing="1" w:line="288" w:lineRule="atLeast"/>
        <w:outlineLvl w:val="3"/>
        <w:rPr>
          <w:rFonts w:eastAsia="Segoe UI" w:cstheme="minorHAnsi"/>
          <w:b/>
          <w:color w:val="011A3C"/>
          <w:sz w:val="24"/>
          <w:szCs w:val="24"/>
          <w:lang w:val="en" w:eastAsia="en-AU"/>
        </w:rPr>
      </w:pPr>
      <w:r w:rsidRPr="00FF525D">
        <w:rPr>
          <w:rFonts w:eastAsia="Segoe UI" w:cstheme="minorHAnsi"/>
          <w:b/>
          <w:color w:val="011A3C"/>
          <w:sz w:val="24"/>
          <w:szCs w:val="24"/>
          <w:lang w:val="en" w:eastAsia="en-AU"/>
        </w:rPr>
        <w:t>Step 2</w:t>
      </w:r>
    </w:p>
    <w:p w14:paraId="78E4C440" w14:textId="77777777" w:rsidR="00087543" w:rsidRPr="00FF525D" w:rsidRDefault="00087543" w:rsidP="00087543">
      <w:p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 xml:space="preserve">The school completes the </w:t>
      </w:r>
      <w:hyperlink r:id="rId178" w:history="1">
        <w:r w:rsidRPr="00B148A2">
          <w:rPr>
            <w:rStyle w:val="Hyperlink"/>
            <w:sz w:val="24"/>
          </w:rPr>
          <w:t>online application form</w:t>
        </w:r>
      </w:hyperlink>
      <w:r w:rsidRPr="00FF525D">
        <w:rPr>
          <w:rFonts w:eastAsia="Segoe UI" w:cstheme="minorHAnsi"/>
          <w:color w:val="011A3C"/>
          <w:sz w:val="24"/>
          <w:szCs w:val="24"/>
          <w:lang w:val="en" w:eastAsia="en-AU"/>
        </w:rPr>
        <w:t xml:space="preserve"> (staff login required) and attaches the completed IEP.</w:t>
      </w:r>
    </w:p>
    <w:p w14:paraId="7B49B712" w14:textId="77777777" w:rsidR="00087543" w:rsidRPr="00FF525D" w:rsidRDefault="00087543" w:rsidP="00087543">
      <w:pPr>
        <w:spacing w:before="100" w:beforeAutospacing="1" w:after="100" w:afterAutospacing="1" w:line="288" w:lineRule="atLeast"/>
        <w:outlineLvl w:val="3"/>
        <w:rPr>
          <w:rFonts w:eastAsia="Segoe UI" w:cstheme="minorHAnsi"/>
          <w:b/>
          <w:color w:val="011A3C"/>
          <w:sz w:val="24"/>
          <w:szCs w:val="24"/>
          <w:lang w:val="en" w:eastAsia="en-AU"/>
        </w:rPr>
      </w:pPr>
      <w:r w:rsidRPr="00FF525D">
        <w:rPr>
          <w:rFonts w:eastAsia="Segoe UI" w:cstheme="minorHAnsi"/>
          <w:b/>
          <w:color w:val="011A3C"/>
          <w:sz w:val="24"/>
          <w:szCs w:val="24"/>
          <w:lang w:val="en" w:eastAsia="en-AU"/>
        </w:rPr>
        <w:t>Step 3</w:t>
      </w:r>
    </w:p>
    <w:p w14:paraId="56011610" w14:textId="77777777" w:rsidR="00087543" w:rsidRPr="00FF525D" w:rsidRDefault="00087543" w:rsidP="00087543">
      <w:p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The application is initially sent to the Performance and Evaluation Division to determine whether the young person was funded during the February census. If a young person was not funded, the application will then go through a series of approvals. If the young person was funded, the principal will be notified immediately, and the application will be deemed ineligible.  </w:t>
      </w:r>
    </w:p>
    <w:p w14:paraId="02B84CA4" w14:textId="77777777" w:rsidR="00087543" w:rsidRPr="00FF525D" w:rsidRDefault="00087543" w:rsidP="00087543">
      <w:pPr>
        <w:spacing w:before="100" w:beforeAutospacing="1" w:after="100" w:afterAutospacing="1" w:line="288" w:lineRule="atLeast"/>
        <w:outlineLvl w:val="3"/>
        <w:rPr>
          <w:rFonts w:eastAsia="Segoe UI" w:cstheme="minorHAnsi"/>
          <w:b/>
          <w:color w:val="011A3C"/>
          <w:sz w:val="24"/>
          <w:szCs w:val="24"/>
          <w:lang w:val="en" w:eastAsia="en-AU"/>
        </w:rPr>
      </w:pPr>
      <w:r w:rsidRPr="00FF525D">
        <w:rPr>
          <w:rFonts w:eastAsia="Segoe UI" w:cstheme="minorHAnsi"/>
          <w:b/>
          <w:color w:val="011A3C"/>
          <w:sz w:val="24"/>
          <w:szCs w:val="24"/>
          <w:lang w:val="en" w:eastAsia="en-AU"/>
        </w:rPr>
        <w:t>Step 4</w:t>
      </w:r>
    </w:p>
    <w:p w14:paraId="7360E779" w14:textId="77777777" w:rsidR="00087543" w:rsidRPr="00FF525D" w:rsidRDefault="00087543" w:rsidP="00087543">
      <w:p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Schools will receive advice via email confirming the application's approval and the direct payment of approved funds to the school which takes place via the SRP update.</w:t>
      </w:r>
    </w:p>
    <w:p w14:paraId="679CFA21" w14:textId="77777777" w:rsidR="00087543" w:rsidRPr="00FF525D" w:rsidRDefault="00087543" w:rsidP="00087543">
      <w:pPr>
        <w:spacing w:before="100" w:beforeAutospacing="1" w:after="100" w:afterAutospacing="1" w:line="288" w:lineRule="atLeast"/>
        <w:outlineLvl w:val="2"/>
        <w:rPr>
          <w:rFonts w:eastAsia="Segoe UI" w:cstheme="minorHAnsi"/>
          <w:b/>
          <w:color w:val="011A3C"/>
          <w:sz w:val="27"/>
          <w:szCs w:val="27"/>
          <w:lang w:val="en" w:eastAsia="en-AU"/>
        </w:rPr>
      </w:pPr>
      <w:r w:rsidRPr="00FF525D">
        <w:rPr>
          <w:rFonts w:eastAsia="Segoe UI" w:cstheme="minorHAnsi"/>
          <w:b/>
          <w:color w:val="011A3C"/>
          <w:sz w:val="27"/>
          <w:szCs w:val="27"/>
          <w:lang w:val="en" w:eastAsia="en-AU"/>
        </w:rPr>
        <w:t>Links</w:t>
      </w:r>
    </w:p>
    <w:p w14:paraId="5B078F22" w14:textId="6DD9D4E9" w:rsidR="00087543" w:rsidRPr="00B148A2" w:rsidRDefault="00087543" w:rsidP="00087543">
      <w:pPr>
        <w:spacing w:before="100" w:beforeAutospacing="1" w:after="100" w:afterAutospacing="1" w:line="360" w:lineRule="atLeast"/>
        <w:rPr>
          <w:rStyle w:val="Hyperlink"/>
          <w:sz w:val="24"/>
        </w:rPr>
      </w:pPr>
      <w:r w:rsidRPr="00FF525D">
        <w:rPr>
          <w:rFonts w:eastAsia="Segoe UI" w:cstheme="minorHAnsi"/>
          <w:color w:val="011A3C"/>
          <w:sz w:val="24"/>
          <w:szCs w:val="24"/>
          <w:lang w:val="en" w:eastAsia="en-AU"/>
        </w:rPr>
        <w:t>For further information on VET delivered to secondary school students refer to </w:t>
      </w:r>
      <w:hyperlink r:id="rId179" w:history="1">
        <w:r w:rsidRPr="00B148A2">
          <w:rPr>
            <w:rStyle w:val="Hyperlink"/>
            <w:sz w:val="24"/>
          </w:rPr>
          <w:t>Vocational Education and Training Delivered to School Students</w:t>
        </w:r>
      </w:hyperlink>
      <w:r w:rsidRPr="00B148A2">
        <w:rPr>
          <w:rStyle w:val="Hyperlink"/>
          <w:sz w:val="24"/>
        </w:rPr>
        <w:t>.</w:t>
      </w:r>
    </w:p>
    <w:p w14:paraId="4C0AEE55" w14:textId="77777777" w:rsidR="00087543" w:rsidRPr="00FF525D" w:rsidRDefault="00087543" w:rsidP="00087543">
      <w:pPr>
        <w:spacing w:before="100" w:beforeAutospacing="1" w:after="100" w:afterAutospacing="1" w:line="288" w:lineRule="atLeast"/>
        <w:outlineLvl w:val="2"/>
        <w:rPr>
          <w:rFonts w:eastAsia="Segoe UI" w:cstheme="minorHAnsi"/>
          <w:b/>
          <w:color w:val="011A3C"/>
          <w:sz w:val="27"/>
          <w:szCs w:val="27"/>
          <w:lang w:val="en" w:eastAsia="en-AU"/>
        </w:rPr>
      </w:pPr>
      <w:r w:rsidRPr="00FF525D">
        <w:rPr>
          <w:rFonts w:eastAsia="Segoe UI" w:cstheme="minorHAnsi"/>
          <w:b/>
          <w:color w:val="011A3C"/>
          <w:sz w:val="27"/>
          <w:szCs w:val="27"/>
          <w:lang w:val="en" w:eastAsia="en-AU"/>
        </w:rPr>
        <w:t>Contacts</w:t>
      </w:r>
    </w:p>
    <w:p w14:paraId="5A660AB2" w14:textId="77777777" w:rsidR="00087543" w:rsidRPr="00FF525D" w:rsidRDefault="00087543" w:rsidP="00087543">
      <w:p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Schools should contact the Manager of Youth Pathways and Transition in their region to discuss applications and determine time frames to ensure the timely submission of applications.</w:t>
      </w:r>
    </w:p>
    <w:p w14:paraId="17B52403" w14:textId="77777777" w:rsidR="00087543" w:rsidRPr="00FF525D" w:rsidRDefault="00087543" w:rsidP="00087543">
      <w:p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 xml:space="preserve">If you require further information, please email: </w:t>
      </w:r>
      <w:hyperlink r:id="rId180" w:history="1">
        <w:r w:rsidRPr="00FF525D">
          <w:rPr>
            <w:rStyle w:val="Hyperlink"/>
            <w:rFonts w:eastAsia="Segoe UI" w:cstheme="minorHAnsi"/>
            <w:sz w:val="24"/>
            <w:szCs w:val="24"/>
            <w:lang w:val="en" w:eastAsia="en-AU"/>
          </w:rPr>
          <w:t>youth.participation@education.vic.gov.au</w:t>
        </w:r>
      </w:hyperlink>
    </w:p>
    <w:p w14:paraId="0426A2A7" w14:textId="77777777" w:rsidR="003C364D" w:rsidRDefault="003C364D" w:rsidP="00532A33">
      <w:pPr>
        <w:pStyle w:val="Heading2"/>
      </w:pPr>
      <w:r>
        <w:br w:type="page"/>
      </w:r>
    </w:p>
    <w:p w14:paraId="7AA3C834" w14:textId="67A9C13E" w:rsidR="00EA34C0" w:rsidRPr="00260C1D" w:rsidRDefault="00EA34C0" w:rsidP="00532A33">
      <w:pPr>
        <w:pStyle w:val="Heading2"/>
      </w:pPr>
      <w:bookmarkStart w:id="220" w:name="_Toc141965281"/>
      <w:bookmarkStart w:id="221" w:name="_Toc145339611"/>
      <w:bookmarkStart w:id="222" w:name="_Toc153791934"/>
      <w:r w:rsidRPr="00260C1D">
        <w:lastRenderedPageBreak/>
        <w:t>Doctors in Secondary Schools — School program lead funding (Reference 64)</w:t>
      </w:r>
      <w:bookmarkEnd w:id="220"/>
      <w:bookmarkEnd w:id="221"/>
      <w:bookmarkEnd w:id="222"/>
    </w:p>
    <w:p w14:paraId="784467DA" w14:textId="24CD2DFE" w:rsidR="00EA34C0" w:rsidRPr="00260C1D" w:rsidRDefault="00EA34C0" w:rsidP="00EA34C0">
      <w:pPr>
        <w:spacing w:before="100" w:beforeAutospacing="1" w:after="100" w:afterAutospacing="1" w:line="360" w:lineRule="atLeast"/>
        <w:rPr>
          <w:rFonts w:eastAsia="Segoe UI"/>
          <w:color w:val="011A3C"/>
          <w:sz w:val="24"/>
          <w:szCs w:val="24"/>
          <w:lang w:val="en" w:eastAsia="en-AU"/>
        </w:rPr>
      </w:pPr>
      <w:r w:rsidRPr="53B52E16">
        <w:rPr>
          <w:rFonts w:eastAsia="Segoe UI"/>
          <w:color w:val="011A3C"/>
          <w:sz w:val="24"/>
          <w:szCs w:val="24"/>
          <w:lang w:val="en" w:eastAsia="en-AU"/>
        </w:rPr>
        <w:t xml:space="preserve">The </w:t>
      </w:r>
      <w:hyperlink r:id="rId181">
        <w:r w:rsidR="632B865B" w:rsidRPr="53B52E16">
          <w:rPr>
            <w:rFonts w:eastAsia="Segoe UI"/>
            <w:color w:val="011A3C"/>
            <w:sz w:val="24"/>
            <w:szCs w:val="24"/>
            <w:lang w:val="en" w:eastAsia="en-AU"/>
          </w:rPr>
          <w:t>Doctors in Secondary Schools Program</w:t>
        </w:r>
      </w:hyperlink>
      <w:r w:rsidRPr="53B52E16">
        <w:rPr>
          <w:rFonts w:eastAsia="Segoe UI"/>
          <w:color w:val="011A3C"/>
          <w:sz w:val="24"/>
          <w:szCs w:val="24"/>
          <w:lang w:val="en" w:eastAsia="en-AU"/>
        </w:rPr>
        <w:t> (</w:t>
      </w:r>
      <w:proofErr w:type="spellStart"/>
      <w:r w:rsidRPr="53B52E16">
        <w:rPr>
          <w:rFonts w:eastAsia="Segoe UI"/>
          <w:color w:val="011A3C"/>
          <w:sz w:val="24"/>
          <w:szCs w:val="24"/>
          <w:lang w:val="en" w:eastAsia="en-AU"/>
        </w:rPr>
        <w:t>DiSS</w:t>
      </w:r>
      <w:proofErr w:type="spellEnd"/>
      <w:r w:rsidRPr="53B52E16">
        <w:rPr>
          <w:rFonts w:eastAsia="Segoe UI"/>
          <w:color w:val="011A3C"/>
          <w:sz w:val="24"/>
          <w:szCs w:val="24"/>
          <w:lang w:val="en" w:eastAsia="en-AU"/>
        </w:rPr>
        <w:t>) </w:t>
      </w:r>
      <w:r w:rsidR="559751AF" w:rsidRPr="53B52E16">
        <w:rPr>
          <w:rFonts w:eastAsia="Segoe UI"/>
          <w:color w:val="011A3C"/>
          <w:sz w:val="24"/>
          <w:szCs w:val="24"/>
          <w:lang w:val="en" w:eastAsia="en-AU"/>
        </w:rPr>
        <w:t>funds</w:t>
      </w:r>
      <w:r w:rsidRPr="53B52E16">
        <w:rPr>
          <w:rFonts w:eastAsia="Segoe UI"/>
          <w:color w:val="011A3C"/>
          <w:sz w:val="24"/>
          <w:szCs w:val="24"/>
          <w:lang w:val="en" w:eastAsia="en-AU"/>
        </w:rPr>
        <w:t xml:space="preserve"> general practitioners (GPs) and practice nurses to attend 100 Victorian government secondary schools up to one day a week to provide medical advice and health care to those students most in need. </w:t>
      </w:r>
    </w:p>
    <w:p w14:paraId="735104DD" w14:textId="77777777" w:rsidR="00EA34C0" w:rsidRPr="00260C1D" w:rsidRDefault="00EA34C0" w:rsidP="00EA34C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School program lead funding</w:t>
      </w:r>
    </w:p>
    <w:p w14:paraId="06347711" w14:textId="77777777" w:rsidR="00EA34C0" w:rsidRPr="00260C1D" w:rsidRDefault="00EA34C0"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will be required to appoint a Leading Teacher to hold overall responsibility for program coordination duties for the school.</w:t>
      </w:r>
    </w:p>
    <w:p w14:paraId="25C8867E" w14:textId="78B83997" w:rsidR="00EA34C0" w:rsidRPr="00260C1D" w:rsidRDefault="00EA34C0" w:rsidP="00EA34C0">
      <w:pPr>
        <w:spacing w:before="100" w:beforeAutospacing="1" w:after="100" w:afterAutospacing="1" w:line="360" w:lineRule="atLeast"/>
        <w:rPr>
          <w:rFonts w:eastAsia="Segoe UI"/>
          <w:color w:val="011A3C"/>
          <w:sz w:val="24"/>
          <w:szCs w:val="24"/>
          <w:lang w:val="en" w:eastAsia="en-AU"/>
        </w:rPr>
      </w:pPr>
      <w:r w:rsidRPr="7584BEA6">
        <w:rPr>
          <w:rFonts w:eastAsia="Segoe UI"/>
          <w:color w:val="011A3C"/>
          <w:sz w:val="24"/>
          <w:szCs w:val="24"/>
          <w:lang w:val="en" w:eastAsia="en-AU"/>
        </w:rPr>
        <w:t xml:space="preserve">Schools will be provided with the funding equivalent to 0.2 FTE at </w:t>
      </w:r>
      <w:r w:rsidR="00AC3675" w:rsidRPr="7584BEA6">
        <w:rPr>
          <w:rFonts w:eastAsia="Segoe UI"/>
          <w:color w:val="011A3C"/>
          <w:sz w:val="24"/>
          <w:szCs w:val="24"/>
          <w:lang w:val="en" w:eastAsia="en-AU"/>
        </w:rPr>
        <w:t xml:space="preserve">a </w:t>
      </w:r>
      <w:r w:rsidRPr="7584BEA6">
        <w:rPr>
          <w:rFonts w:eastAsia="Segoe UI"/>
          <w:color w:val="011A3C"/>
          <w:sz w:val="24"/>
          <w:szCs w:val="24"/>
          <w:lang w:val="en" w:eastAsia="en-AU"/>
        </w:rPr>
        <w:t>Leading Teacher Level 3.1 pay rate to support this</w:t>
      </w:r>
      <w:r w:rsidR="11921B84" w:rsidRPr="2719AD59">
        <w:rPr>
          <w:rFonts w:eastAsia="Segoe UI"/>
          <w:color w:val="011A3C"/>
          <w:sz w:val="24"/>
          <w:szCs w:val="24"/>
          <w:lang w:val="en" w:eastAsia="en-AU"/>
        </w:rPr>
        <w:t xml:space="preserve"> for the school year</w:t>
      </w:r>
      <w:r w:rsidR="632B865B" w:rsidRPr="2719AD59">
        <w:rPr>
          <w:rFonts w:eastAsia="Segoe UI"/>
          <w:color w:val="011A3C"/>
          <w:sz w:val="24"/>
          <w:szCs w:val="24"/>
          <w:lang w:val="en" w:eastAsia="en-AU"/>
        </w:rPr>
        <w:t>.</w:t>
      </w:r>
      <w:r w:rsidRPr="7584BEA6">
        <w:rPr>
          <w:rFonts w:eastAsia="Segoe UI"/>
          <w:color w:val="011A3C"/>
          <w:sz w:val="24"/>
          <w:szCs w:val="24"/>
          <w:lang w:val="en" w:eastAsia="en-AU"/>
        </w:rPr>
        <w:t xml:space="preserve"> </w:t>
      </w:r>
    </w:p>
    <w:p w14:paraId="18DC55E9" w14:textId="77777777" w:rsidR="00EA34C0" w:rsidRPr="00260C1D" w:rsidRDefault="00EA34C0"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responsibility for coordination of the program within the school can also rest with an Assistant Principal, if that is more appropriate than a Leading Teacher. However, if a school appoints an Assistant Principal to the School Program Lead role, the school will still receive the same amount of funding as if a Leading Teacher were appointed.</w:t>
      </w:r>
    </w:p>
    <w:p w14:paraId="4DED19EC" w14:textId="423EF8D6" w:rsidR="00006C3B" w:rsidRPr="00260C1D" w:rsidRDefault="00006C3B" w:rsidP="00006C3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r w:rsidR="00FE03D7" w:rsidRPr="00260C1D">
        <w:rPr>
          <w:rFonts w:eastAsia="Segoe UI" w:cstheme="minorHAnsi"/>
          <w:b/>
          <w:color w:val="011A3C"/>
          <w:sz w:val="27"/>
          <w:szCs w:val="27"/>
          <w:lang w:val="en" w:eastAsia="en-AU"/>
        </w:rPr>
        <w:t xml:space="preserve"> </w:t>
      </w:r>
    </w:p>
    <w:p w14:paraId="1C084B74" w14:textId="7167D1B7" w:rsidR="00006C3B" w:rsidRPr="00260C1D" w:rsidRDefault="00006C3B" w:rsidP="00006C3B">
      <w:pPr>
        <w:rPr>
          <w:rFonts w:eastAsia="Segoe UI"/>
          <w:color w:val="323E4F" w:themeColor="text2" w:themeShade="BF"/>
          <w:sz w:val="24"/>
          <w:szCs w:val="24"/>
          <w:lang w:val="en" w:eastAsia="en-AU"/>
        </w:rPr>
      </w:pPr>
      <w:r w:rsidRPr="21E4B94E">
        <w:rPr>
          <w:rFonts w:eastAsia="Segoe UI"/>
          <w:color w:val="011A3C"/>
          <w:sz w:val="24"/>
          <w:szCs w:val="24"/>
          <w:lang w:val="en" w:eastAsia="en-AU"/>
        </w:rPr>
        <w:t xml:space="preserve">Schools with </w:t>
      </w:r>
      <w:r w:rsidRPr="21E4B94E">
        <w:rPr>
          <w:rFonts w:eastAsia="Segoe UI"/>
          <w:color w:val="323E4F" w:themeColor="text2" w:themeShade="BF"/>
          <w:sz w:val="24"/>
          <w:szCs w:val="24"/>
          <w:lang w:val="en" w:eastAsia="en-AU"/>
        </w:rPr>
        <w:t xml:space="preserve">the following campus types are eligible for </w:t>
      </w:r>
      <w:proofErr w:type="spellStart"/>
      <w:r w:rsidRPr="21E4B94E">
        <w:rPr>
          <w:rFonts w:eastAsia="Segoe UI"/>
          <w:color w:val="323E4F" w:themeColor="text2" w:themeShade="BF"/>
          <w:sz w:val="24"/>
          <w:szCs w:val="24"/>
          <w:lang w:val="en" w:eastAsia="en-AU"/>
        </w:rPr>
        <w:t>DiSS</w:t>
      </w:r>
      <w:proofErr w:type="spellEnd"/>
      <w:r w:rsidRPr="21E4B94E">
        <w:rPr>
          <w:rFonts w:eastAsia="Segoe UI"/>
          <w:color w:val="323E4F" w:themeColor="text2" w:themeShade="BF"/>
          <w:sz w:val="24"/>
          <w:szCs w:val="24"/>
          <w:lang w:val="en" w:eastAsia="en-AU"/>
        </w:rPr>
        <w:t xml:space="preserve"> Funding at </w:t>
      </w:r>
      <w:r w:rsidR="008110E1" w:rsidRPr="21E4B94E">
        <w:rPr>
          <w:rFonts w:eastAsia="Segoe UI"/>
          <w:color w:val="323E4F" w:themeColor="text2" w:themeShade="BF"/>
          <w:sz w:val="24"/>
          <w:szCs w:val="24"/>
          <w:lang w:val="en" w:eastAsia="en-AU"/>
        </w:rPr>
        <w:t xml:space="preserve">a </w:t>
      </w:r>
      <w:r w:rsidRPr="21E4B94E">
        <w:rPr>
          <w:rFonts w:eastAsia="Segoe UI"/>
          <w:color w:val="323E4F" w:themeColor="text2" w:themeShade="BF"/>
          <w:sz w:val="24"/>
          <w:szCs w:val="24"/>
          <w:lang w:val="en" w:eastAsia="en-AU"/>
        </w:rPr>
        <w:t>school level</w:t>
      </w:r>
      <w:r w:rsidR="008110E1" w:rsidRPr="21E4B94E">
        <w:rPr>
          <w:rFonts w:eastAsia="Segoe UI"/>
          <w:color w:val="323E4F" w:themeColor="text2" w:themeShade="BF"/>
          <w:sz w:val="24"/>
          <w:szCs w:val="24"/>
          <w:lang w:val="en" w:eastAsia="en-AU"/>
        </w:rPr>
        <w:t>:</w:t>
      </w:r>
    </w:p>
    <w:p w14:paraId="05435705" w14:textId="1D2F0899" w:rsidR="00006C3B" w:rsidRPr="00FC67DC" w:rsidRDefault="00006C3B" w:rsidP="00F56244">
      <w:pPr>
        <w:numPr>
          <w:ilvl w:val="0"/>
          <w:numId w:val="13"/>
        </w:numPr>
        <w:spacing w:before="100" w:beforeAutospacing="1" w:after="100" w:afterAutospacing="1" w:line="360" w:lineRule="atLeast"/>
        <w:rPr>
          <w:rFonts w:eastAsia="Segoe UI"/>
          <w:color w:val="011A3C"/>
          <w:sz w:val="24"/>
          <w:szCs w:val="24"/>
          <w:lang w:val="en" w:eastAsia="en-AU"/>
        </w:rPr>
      </w:pPr>
      <w:r w:rsidRPr="5B4F8E09">
        <w:rPr>
          <w:rFonts w:eastAsia="Segoe UI"/>
          <w:color w:val="011A3C"/>
          <w:sz w:val="24"/>
          <w:szCs w:val="24"/>
          <w:lang w:val="en" w:eastAsia="en-AU"/>
        </w:rPr>
        <w:t>Secondary</w:t>
      </w:r>
    </w:p>
    <w:p w14:paraId="38D5A5FD" w14:textId="1D2F0899" w:rsidR="00006C3B" w:rsidRPr="00FC67DC" w:rsidRDefault="00006C3B" w:rsidP="00F56244">
      <w:pPr>
        <w:numPr>
          <w:ilvl w:val="0"/>
          <w:numId w:val="13"/>
        </w:numPr>
        <w:spacing w:before="100" w:beforeAutospacing="1" w:after="100" w:afterAutospacing="1" w:line="360" w:lineRule="atLeast"/>
        <w:rPr>
          <w:rFonts w:eastAsia="Segoe UI"/>
          <w:color w:val="011A3C"/>
          <w:sz w:val="24"/>
          <w:szCs w:val="24"/>
          <w:lang w:val="en" w:eastAsia="en-AU"/>
        </w:rPr>
      </w:pPr>
      <w:r w:rsidRPr="21E4B94E">
        <w:rPr>
          <w:rFonts w:eastAsia="Segoe UI"/>
          <w:color w:val="011A3C"/>
          <w:sz w:val="24"/>
          <w:szCs w:val="24"/>
          <w:lang w:val="en" w:eastAsia="en-AU"/>
        </w:rPr>
        <w:t>Pri</w:t>
      </w:r>
      <w:r w:rsidR="001F2ECD" w:rsidRPr="21E4B94E">
        <w:rPr>
          <w:rFonts w:eastAsia="Segoe UI"/>
          <w:color w:val="011A3C"/>
          <w:sz w:val="24"/>
          <w:szCs w:val="24"/>
          <w:lang w:val="en" w:eastAsia="en-AU"/>
        </w:rPr>
        <w:t>mary</w:t>
      </w:r>
      <w:r w:rsidRPr="21E4B94E">
        <w:rPr>
          <w:rFonts w:eastAsia="Segoe UI"/>
          <w:color w:val="011A3C"/>
          <w:sz w:val="24"/>
          <w:szCs w:val="24"/>
          <w:lang w:val="en" w:eastAsia="en-AU"/>
        </w:rPr>
        <w:t>/</w:t>
      </w:r>
      <w:r w:rsidR="001F2ECD" w:rsidRPr="21E4B94E">
        <w:rPr>
          <w:rFonts w:eastAsia="Segoe UI"/>
          <w:color w:val="011A3C"/>
          <w:sz w:val="24"/>
          <w:szCs w:val="24"/>
          <w:lang w:val="en" w:eastAsia="en-AU"/>
        </w:rPr>
        <w:t>S</w:t>
      </w:r>
      <w:r w:rsidRPr="21E4B94E">
        <w:rPr>
          <w:rFonts w:eastAsia="Segoe UI"/>
          <w:color w:val="011A3C"/>
          <w:sz w:val="24"/>
          <w:szCs w:val="24"/>
          <w:lang w:val="en" w:eastAsia="en-AU"/>
        </w:rPr>
        <w:t>ec</w:t>
      </w:r>
      <w:r w:rsidR="001F2ECD" w:rsidRPr="21E4B94E">
        <w:rPr>
          <w:rFonts w:eastAsia="Segoe UI"/>
          <w:color w:val="011A3C"/>
          <w:sz w:val="24"/>
          <w:szCs w:val="24"/>
          <w:lang w:val="en" w:eastAsia="en-AU"/>
        </w:rPr>
        <w:t>ondary Combined</w:t>
      </w:r>
    </w:p>
    <w:p w14:paraId="5D8625D9" w14:textId="1D2F0899" w:rsidR="00837C6F" w:rsidRPr="009B4DE1" w:rsidRDefault="00837C6F" w:rsidP="00833928">
      <w:pPr>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The </w:t>
      </w:r>
      <w:r w:rsidRPr="009B4DE1" w:rsidDel="009379CC">
        <w:rPr>
          <w:rFonts w:eastAsia="Segoe UI" w:cstheme="minorHAnsi"/>
          <w:color w:val="011A3C"/>
          <w:sz w:val="24"/>
          <w:szCs w:val="24"/>
          <w:lang w:val="en" w:eastAsia="en-AU"/>
        </w:rPr>
        <w:t xml:space="preserve">two schools </w:t>
      </w:r>
      <w:r w:rsidRPr="009B4DE1">
        <w:rPr>
          <w:rFonts w:eastAsia="Segoe UI" w:cstheme="minorHAnsi"/>
          <w:color w:val="011A3C"/>
          <w:sz w:val="24"/>
          <w:szCs w:val="24"/>
          <w:lang w:val="en" w:eastAsia="en-AU"/>
        </w:rPr>
        <w:t xml:space="preserve">below </w:t>
      </w:r>
      <w:r w:rsidR="009379CC" w:rsidRPr="009B4DE1">
        <w:rPr>
          <w:rFonts w:eastAsia="Segoe UI" w:cstheme="minorHAnsi"/>
          <w:color w:val="011A3C"/>
          <w:sz w:val="24"/>
          <w:szCs w:val="24"/>
          <w:lang w:val="en" w:eastAsia="en-AU"/>
        </w:rPr>
        <w:t xml:space="preserve">schools </w:t>
      </w:r>
      <w:r w:rsidRPr="009B4DE1">
        <w:rPr>
          <w:rFonts w:eastAsia="Segoe UI" w:cstheme="minorHAnsi"/>
          <w:color w:val="011A3C"/>
          <w:sz w:val="24"/>
          <w:szCs w:val="24"/>
          <w:lang w:val="en" w:eastAsia="en-AU"/>
        </w:rPr>
        <w:t>are also eligible for this funding:</w:t>
      </w:r>
    </w:p>
    <w:p w14:paraId="2792A306" w14:textId="1D2F0899" w:rsidR="009379CC" w:rsidRPr="009B4DE1" w:rsidRDefault="009379CC" w:rsidP="00833928">
      <w:pPr>
        <w:pStyle w:val="ListParagraph"/>
        <w:numPr>
          <w:ilvl w:val="0"/>
          <w:numId w:val="182"/>
        </w:numPr>
        <w:rPr>
          <w:rFonts w:eastAsia="Segoe UI" w:cstheme="minorHAnsi"/>
          <w:color w:val="011A3C"/>
          <w:sz w:val="24"/>
          <w:szCs w:val="24"/>
          <w:lang w:val="en" w:eastAsia="en-AU"/>
        </w:rPr>
      </w:pPr>
      <w:r w:rsidRPr="009B4DE1">
        <w:rPr>
          <w:rFonts w:eastAsia="Segoe UI" w:cstheme="minorHAnsi"/>
          <w:color w:val="011A3C"/>
          <w:sz w:val="24"/>
          <w:szCs w:val="24"/>
          <w:lang w:val="en" w:eastAsia="en-AU"/>
        </w:rPr>
        <w:t>Croydon Community School</w:t>
      </w:r>
    </w:p>
    <w:p w14:paraId="48688A16" w14:textId="1D2F0899" w:rsidR="00837C6F" w:rsidRPr="009B4DE1" w:rsidRDefault="009379CC" w:rsidP="00833928">
      <w:pPr>
        <w:pStyle w:val="ListParagraph"/>
        <w:numPr>
          <w:ilvl w:val="0"/>
          <w:numId w:val="182"/>
        </w:numPr>
        <w:rPr>
          <w:rFonts w:eastAsia="Segoe UI" w:cstheme="minorHAnsi"/>
          <w:color w:val="011A3C"/>
          <w:sz w:val="24"/>
          <w:szCs w:val="24"/>
          <w:lang w:val="en" w:eastAsia="en-AU"/>
        </w:rPr>
      </w:pPr>
      <w:r w:rsidRPr="009B4DE1">
        <w:rPr>
          <w:rFonts w:eastAsia="Segoe UI" w:cstheme="minorHAnsi"/>
          <w:color w:val="011A3C"/>
          <w:sz w:val="24"/>
          <w:szCs w:val="24"/>
          <w:lang w:val="en" w:eastAsia="en-AU"/>
        </w:rPr>
        <w:t>Oakwood School</w:t>
      </w:r>
    </w:p>
    <w:p w14:paraId="2DD9DF6E" w14:textId="0707051A" w:rsidR="00006C3B" w:rsidRPr="009B4DE1" w:rsidRDefault="00006C3B" w:rsidP="00833928">
      <w:pPr>
        <w:rPr>
          <w:rFonts w:eastAsia="Segoe UI" w:cstheme="minorHAnsi"/>
          <w:color w:val="011A3C"/>
          <w:sz w:val="24"/>
          <w:szCs w:val="24"/>
          <w:lang w:val="en" w:eastAsia="en-AU"/>
        </w:rPr>
      </w:pPr>
      <w:r w:rsidRPr="009B4DE1">
        <w:rPr>
          <w:rFonts w:eastAsia="Segoe UI" w:cstheme="minorHAnsi"/>
          <w:color w:val="011A3C"/>
          <w:sz w:val="24"/>
          <w:szCs w:val="24"/>
          <w:lang w:val="en" w:eastAsia="en-AU"/>
        </w:rPr>
        <w:t>Funding is calculated at the Indicative budget cycle</w:t>
      </w:r>
      <w:r w:rsidR="008110E1" w:rsidRPr="009B4DE1">
        <w:rPr>
          <w:rFonts w:eastAsia="Segoe UI" w:cstheme="minorHAnsi"/>
          <w:color w:val="011A3C"/>
          <w:sz w:val="24"/>
          <w:szCs w:val="24"/>
          <w:lang w:val="en" w:eastAsia="en-AU"/>
        </w:rPr>
        <w:t>. Funding is allocated</w:t>
      </w:r>
      <w:r w:rsidRPr="009B4DE1">
        <w:rPr>
          <w:rFonts w:eastAsia="Segoe UI" w:cstheme="minorHAnsi"/>
          <w:color w:val="011A3C"/>
          <w:sz w:val="24"/>
          <w:szCs w:val="24"/>
          <w:lang w:val="en" w:eastAsia="en-AU"/>
        </w:rPr>
        <w:t xml:space="preserve"> through credit funding.</w:t>
      </w:r>
    </w:p>
    <w:p w14:paraId="1A5D592D" w14:textId="77777777" w:rsidR="00006C3B" w:rsidRPr="00260C1D" w:rsidRDefault="00006C3B" w:rsidP="009B1B1C">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0A32E180" w14:textId="12F42540" w:rsidR="00006C3B" w:rsidRPr="00260C1D" w:rsidRDefault="00006C3B" w:rsidP="00006C3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Funding</w:t>
      </w:r>
      <w:r w:rsidRPr="00260C1D">
        <w:rPr>
          <w:rFonts w:eastAsia="Segoe UI" w:cstheme="minorHAnsi"/>
          <w:color w:val="011A3C"/>
          <w:sz w:val="24"/>
          <w:szCs w:val="24"/>
          <w:lang w:val="en" w:eastAsia="en-AU"/>
        </w:rPr>
        <w:t xml:space="preserve"> = Leading Teacher Level 3.1</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0.2 FTE</w:t>
      </w:r>
    </w:p>
    <w:p w14:paraId="52CAECD9" w14:textId="3B45BB5A" w:rsidR="00006C3B" w:rsidRPr="00260C1D" w:rsidRDefault="00006C3B" w:rsidP="00006C3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w:t>
      </w:r>
      <w:r w:rsidR="009A130D" w:rsidRPr="00260C1D">
        <w:rPr>
          <w:rFonts w:eastAsia="Segoe UI" w:cstheme="minorHAnsi"/>
          <w:color w:val="011A3C"/>
          <w:sz w:val="24"/>
          <w:szCs w:val="24"/>
          <w:lang w:val="en" w:eastAsia="en-AU"/>
        </w:rPr>
        <w:t>Student Resource Package (</w:t>
      </w:r>
      <w:r w:rsidRPr="00260C1D">
        <w:rPr>
          <w:rFonts w:eastAsia="Segoe UI" w:cstheme="minorHAnsi"/>
          <w:color w:val="011A3C"/>
          <w:sz w:val="24"/>
          <w:szCs w:val="24"/>
          <w:lang w:val="en" w:eastAsia="en-AU"/>
        </w:rPr>
        <w:t>SRP</w:t>
      </w:r>
      <w:r w:rsidR="009A130D"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Indexation has been applied to the rate annually since commencement</w:t>
      </w:r>
      <w:r w:rsidR="005905DB" w:rsidRPr="00260C1D">
        <w:rPr>
          <w:rFonts w:eastAsia="Segoe UI" w:cstheme="minorHAnsi"/>
          <w:color w:val="011A3C"/>
          <w:sz w:val="24"/>
          <w:szCs w:val="24"/>
          <w:lang w:val="en" w:eastAsia="en-AU"/>
        </w:rPr>
        <w:t>, noting payroll tax and superannuation ha</w:t>
      </w:r>
      <w:r w:rsidR="008110E1">
        <w:rPr>
          <w:rFonts w:eastAsia="Segoe UI" w:cstheme="minorHAnsi"/>
          <w:color w:val="011A3C"/>
          <w:sz w:val="24"/>
          <w:szCs w:val="24"/>
          <w:lang w:val="en" w:eastAsia="en-AU"/>
        </w:rPr>
        <w:t>ve</w:t>
      </w:r>
      <w:r w:rsidR="005905DB" w:rsidRPr="00260C1D">
        <w:rPr>
          <w:rFonts w:eastAsia="Segoe UI" w:cstheme="minorHAnsi"/>
          <w:color w:val="011A3C"/>
          <w:sz w:val="24"/>
          <w:szCs w:val="24"/>
          <w:lang w:val="en" w:eastAsia="en-AU"/>
        </w:rPr>
        <w:t xml:space="preserve"> also been applied to the allocation.</w:t>
      </w:r>
    </w:p>
    <w:p w14:paraId="0E230D4E" w14:textId="634B1754" w:rsidR="00EA34C0" w:rsidRPr="00260C1D" w:rsidRDefault="00EA34C0" w:rsidP="004D1CF3">
      <w:pPr>
        <w:keepNext/>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lastRenderedPageBreak/>
        <w:t>Responsibilities of the school program lead</w:t>
      </w:r>
    </w:p>
    <w:p w14:paraId="71C2329D" w14:textId="75FABBBC" w:rsidR="00EA34C0" w:rsidRPr="00260C1D" w:rsidRDefault="00EA34C0"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Doctors in Secondary Schools Program Lead is responsible for providing leadership in the school around the implementation of the </w:t>
      </w:r>
      <w:r w:rsidR="00EF1322" w:rsidRPr="00260C1D">
        <w:rPr>
          <w:rFonts w:eastAsia="Segoe UI" w:cstheme="minorHAnsi"/>
          <w:color w:val="011A3C"/>
          <w:sz w:val="24"/>
          <w:szCs w:val="24"/>
          <w:lang w:val="en" w:eastAsia="en-AU"/>
        </w:rPr>
        <w:t>program and</w:t>
      </w:r>
      <w:r w:rsidRPr="00260C1D">
        <w:rPr>
          <w:rFonts w:eastAsia="Segoe UI" w:cstheme="minorHAnsi"/>
          <w:color w:val="011A3C"/>
          <w:sz w:val="24"/>
          <w:szCs w:val="24"/>
          <w:lang w:val="en" w:eastAsia="en-AU"/>
        </w:rPr>
        <w:t xml:space="preserve"> plays a crucial role in leading the partnership between the health and education sectors as part of the </w:t>
      </w:r>
      <w:proofErr w:type="spellStart"/>
      <w:r w:rsidRPr="00260C1D">
        <w:rPr>
          <w:rFonts w:eastAsia="Segoe UI" w:cstheme="minorHAnsi"/>
          <w:color w:val="011A3C"/>
          <w:sz w:val="24"/>
          <w:szCs w:val="24"/>
          <w:lang w:val="en" w:eastAsia="en-AU"/>
        </w:rPr>
        <w:t>DiSS</w:t>
      </w:r>
      <w:proofErr w:type="spellEnd"/>
      <w:r w:rsidRPr="00260C1D">
        <w:rPr>
          <w:rFonts w:eastAsia="Segoe UI" w:cstheme="minorHAnsi"/>
          <w:color w:val="011A3C"/>
          <w:sz w:val="24"/>
          <w:szCs w:val="24"/>
          <w:lang w:val="en" w:eastAsia="en-AU"/>
        </w:rPr>
        <w:t xml:space="preserve"> program. This includes:</w:t>
      </w:r>
    </w:p>
    <w:p w14:paraId="421CA39A" w14:textId="7D3140E3" w:rsidR="00EA34C0" w:rsidRPr="00260C1D" w:rsidRDefault="00817555" w:rsidP="00F56244">
      <w:pPr>
        <w:numPr>
          <w:ilvl w:val="0"/>
          <w:numId w:val="13"/>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S</w:t>
      </w:r>
      <w:r w:rsidR="00EA34C0" w:rsidRPr="00260C1D">
        <w:rPr>
          <w:rFonts w:eastAsia="Segoe UI" w:cstheme="minorHAnsi"/>
          <w:color w:val="011A3C"/>
          <w:sz w:val="24"/>
          <w:szCs w:val="24"/>
          <w:lang w:val="en" w:eastAsia="en-AU"/>
        </w:rPr>
        <w:t>upport the GP to deliver youth-friendly primary health care to the student population</w:t>
      </w:r>
    </w:p>
    <w:p w14:paraId="5FBD1A71" w14:textId="65933275" w:rsidR="00EA34C0" w:rsidRPr="00260C1D" w:rsidRDefault="00817555" w:rsidP="00F56244">
      <w:pPr>
        <w:numPr>
          <w:ilvl w:val="0"/>
          <w:numId w:val="13"/>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C</w:t>
      </w:r>
      <w:r w:rsidR="00EA34C0" w:rsidRPr="00260C1D">
        <w:rPr>
          <w:rFonts w:eastAsia="Segoe UI" w:cstheme="minorHAnsi"/>
          <w:color w:val="011A3C"/>
          <w:sz w:val="24"/>
          <w:szCs w:val="24"/>
          <w:lang w:val="en" w:eastAsia="en-AU"/>
        </w:rPr>
        <w:t>ollaborate with the practice nurse to ensure effective management of the service, including appointment systems</w:t>
      </w:r>
    </w:p>
    <w:p w14:paraId="74AC5689" w14:textId="5B03A538" w:rsidR="00EA34C0" w:rsidRPr="00260C1D" w:rsidRDefault="00817555" w:rsidP="00F56244">
      <w:pPr>
        <w:numPr>
          <w:ilvl w:val="0"/>
          <w:numId w:val="13"/>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I</w:t>
      </w:r>
      <w:r w:rsidR="00EA34C0" w:rsidRPr="00260C1D">
        <w:rPr>
          <w:rFonts w:eastAsia="Segoe UI" w:cstheme="minorHAnsi"/>
          <w:color w:val="011A3C"/>
          <w:sz w:val="24"/>
          <w:szCs w:val="24"/>
          <w:lang w:val="en" w:eastAsia="en-AU"/>
        </w:rPr>
        <w:t>ntegrate the GP service into the broader health and wellbeing offering of the school</w:t>
      </w:r>
    </w:p>
    <w:p w14:paraId="1280BEC8" w14:textId="35E632B5" w:rsidR="00EA34C0" w:rsidRPr="00260C1D" w:rsidRDefault="00817555" w:rsidP="00F56244">
      <w:pPr>
        <w:numPr>
          <w:ilvl w:val="0"/>
          <w:numId w:val="13"/>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P</w:t>
      </w:r>
      <w:r w:rsidR="00EA34C0" w:rsidRPr="00260C1D">
        <w:rPr>
          <w:rFonts w:eastAsia="Segoe UI" w:cstheme="minorHAnsi"/>
          <w:color w:val="011A3C"/>
          <w:sz w:val="24"/>
          <w:szCs w:val="24"/>
          <w:lang w:val="en" w:eastAsia="en-AU"/>
        </w:rPr>
        <w:t>rovide leadership around parent/carer/broader school community involvement in the Doctors in Secondary Schools program</w:t>
      </w:r>
    </w:p>
    <w:p w14:paraId="7023BF9E" w14:textId="6B48990C" w:rsidR="00EA34C0" w:rsidRPr="00260C1D" w:rsidRDefault="00817555" w:rsidP="00F56244">
      <w:pPr>
        <w:numPr>
          <w:ilvl w:val="0"/>
          <w:numId w:val="13"/>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S</w:t>
      </w:r>
      <w:r w:rsidR="00EA34C0" w:rsidRPr="00260C1D">
        <w:rPr>
          <w:rFonts w:eastAsia="Segoe UI" w:cstheme="minorHAnsi"/>
          <w:color w:val="011A3C"/>
          <w:sz w:val="24"/>
          <w:szCs w:val="24"/>
          <w:lang w:val="en" w:eastAsia="en-AU"/>
        </w:rPr>
        <w:t>upporting the program</w:t>
      </w:r>
      <w:r w:rsidR="001F7A34">
        <w:rPr>
          <w:rFonts w:eastAsia="Segoe UI" w:cstheme="minorHAnsi"/>
          <w:color w:val="011A3C"/>
          <w:sz w:val="24"/>
          <w:szCs w:val="24"/>
          <w:lang w:val="en" w:eastAsia="en-AU"/>
        </w:rPr>
        <w:t>’</w:t>
      </w:r>
      <w:r w:rsidR="00EA34C0" w:rsidRPr="00260C1D">
        <w:rPr>
          <w:rFonts w:eastAsia="Segoe UI" w:cstheme="minorHAnsi"/>
          <w:color w:val="011A3C"/>
          <w:sz w:val="24"/>
          <w:szCs w:val="24"/>
          <w:lang w:val="en" w:eastAsia="en-AU"/>
        </w:rPr>
        <w:t>s strategic planning to ensure a high-quality service that is trusted, fully</w:t>
      </w:r>
      <w:r w:rsidR="001F7A34">
        <w:rPr>
          <w:rFonts w:eastAsia="Segoe UI" w:cstheme="minorHAnsi"/>
          <w:color w:val="011A3C"/>
          <w:sz w:val="24"/>
          <w:szCs w:val="24"/>
          <w:lang w:val="en" w:eastAsia="en-AU"/>
        </w:rPr>
        <w:t>-</w:t>
      </w:r>
      <w:proofErr w:type="spellStart"/>
      <w:r w:rsidR="00EA34C0" w:rsidRPr="00260C1D">
        <w:rPr>
          <w:rFonts w:eastAsia="Segoe UI" w:cstheme="minorHAnsi"/>
          <w:color w:val="011A3C"/>
          <w:sz w:val="24"/>
          <w:szCs w:val="24"/>
          <w:lang w:val="en" w:eastAsia="en-AU"/>
        </w:rPr>
        <w:t>utilised</w:t>
      </w:r>
      <w:proofErr w:type="spellEnd"/>
      <w:r w:rsidR="00EA34C0" w:rsidRPr="00260C1D">
        <w:rPr>
          <w:rFonts w:eastAsia="Segoe UI" w:cstheme="minorHAnsi"/>
          <w:color w:val="011A3C"/>
          <w:sz w:val="24"/>
          <w:szCs w:val="24"/>
          <w:lang w:val="en" w:eastAsia="en-AU"/>
        </w:rPr>
        <w:t xml:space="preserve"> and youth</w:t>
      </w:r>
      <w:r w:rsidR="001F7A34">
        <w:rPr>
          <w:rFonts w:eastAsia="Segoe UI" w:cstheme="minorHAnsi"/>
          <w:color w:val="011A3C"/>
          <w:sz w:val="24"/>
          <w:szCs w:val="24"/>
          <w:lang w:val="en" w:eastAsia="en-AU"/>
        </w:rPr>
        <w:t>-</w:t>
      </w:r>
      <w:r w:rsidR="00EA34C0" w:rsidRPr="00260C1D">
        <w:rPr>
          <w:rFonts w:eastAsia="Segoe UI" w:cstheme="minorHAnsi"/>
          <w:color w:val="011A3C"/>
          <w:sz w:val="24"/>
          <w:szCs w:val="24"/>
          <w:lang w:val="en" w:eastAsia="en-AU"/>
        </w:rPr>
        <w:t>friendly</w:t>
      </w:r>
    </w:p>
    <w:p w14:paraId="267AFCBF" w14:textId="5B24477C" w:rsidR="00EA34C0" w:rsidRPr="00260C1D" w:rsidRDefault="00817555" w:rsidP="00F56244">
      <w:pPr>
        <w:numPr>
          <w:ilvl w:val="0"/>
          <w:numId w:val="13"/>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P</w:t>
      </w:r>
      <w:r w:rsidR="00EA34C0" w:rsidRPr="00260C1D">
        <w:rPr>
          <w:rFonts w:eastAsia="Segoe UI" w:cstheme="minorHAnsi"/>
          <w:color w:val="011A3C"/>
          <w:sz w:val="24"/>
          <w:szCs w:val="24"/>
          <w:lang w:val="en" w:eastAsia="en-AU"/>
        </w:rPr>
        <w:t>romoting the service to the students and the broader school community and linking the clinical team with other members of school staff</w:t>
      </w:r>
    </w:p>
    <w:p w14:paraId="573EF80A" w14:textId="19D75011" w:rsidR="00EA34C0" w:rsidRPr="00260C1D" w:rsidRDefault="00817555" w:rsidP="00F56244">
      <w:pPr>
        <w:numPr>
          <w:ilvl w:val="0"/>
          <w:numId w:val="13"/>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E</w:t>
      </w:r>
      <w:r w:rsidR="00EA34C0" w:rsidRPr="00260C1D">
        <w:rPr>
          <w:rFonts w:eastAsia="Segoe UI" w:cstheme="minorHAnsi"/>
          <w:color w:val="011A3C"/>
          <w:sz w:val="24"/>
          <w:szCs w:val="24"/>
          <w:lang w:val="en" w:eastAsia="en-AU"/>
        </w:rPr>
        <w:t xml:space="preserve">nsure compliance to relevant privacy legislation and provide a child safe environment in accordance with the </w:t>
      </w:r>
      <w:hyperlink r:id="rId182" w:history="1">
        <w:r w:rsidR="00EA34C0" w:rsidRPr="008614E4">
          <w:rPr>
            <w:rStyle w:val="Hyperlink"/>
          </w:rPr>
          <w:t>Child Safe Standards</w:t>
        </w:r>
      </w:hyperlink>
    </w:p>
    <w:p w14:paraId="25BE6A81" w14:textId="742764DA" w:rsidR="00EA34C0" w:rsidRPr="00260C1D" w:rsidRDefault="00817555" w:rsidP="00F56244">
      <w:pPr>
        <w:numPr>
          <w:ilvl w:val="0"/>
          <w:numId w:val="13"/>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B</w:t>
      </w:r>
      <w:r w:rsidR="00EA34C0" w:rsidRPr="00260C1D">
        <w:rPr>
          <w:rFonts w:eastAsia="Segoe UI" w:cstheme="minorHAnsi"/>
          <w:color w:val="011A3C"/>
          <w:sz w:val="24"/>
          <w:szCs w:val="24"/>
          <w:lang w:val="en" w:eastAsia="en-AU"/>
        </w:rPr>
        <w:t>uild a positive relationship with the local GP practice and facilitate partnerships with community health providers for the benefit of the student population</w:t>
      </w:r>
    </w:p>
    <w:p w14:paraId="1508ACA9" w14:textId="77777777" w:rsidR="00EA34C0" w:rsidRPr="00260C1D" w:rsidRDefault="00EA34C0" w:rsidP="00EA34C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Further information</w:t>
      </w:r>
    </w:p>
    <w:p w14:paraId="6BA8642A" w14:textId="5E9488D1" w:rsidR="00EA34C0" w:rsidRPr="00260C1D" w:rsidRDefault="00EA34C0" w:rsidP="00614B0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Contact </w:t>
      </w:r>
      <w:hyperlink r:id="rId183" w:history="1">
        <w:r w:rsidR="00DD4FDB" w:rsidRPr="00260C1D">
          <w:rPr>
            <w:rStyle w:val="Hyperlink"/>
            <w:rFonts w:eastAsia="Segoe UI" w:cstheme="minorHAnsi"/>
            <w:sz w:val="24"/>
            <w:szCs w:val="24"/>
            <w:lang w:val="en" w:eastAsia="en-AU"/>
          </w:rPr>
          <w:t>doctors.in.schools@education.vic.gov.au</w:t>
        </w:r>
      </w:hyperlink>
    </w:p>
    <w:p w14:paraId="36178FBA" w14:textId="77777777" w:rsidR="00EA34C0" w:rsidRPr="00260C1D" w:rsidRDefault="00EA34C0" w:rsidP="00EA34C0">
      <w:pPr>
        <w:rPr>
          <w:rFonts w:cstheme="minorHAnsi"/>
        </w:rPr>
      </w:pPr>
      <w:r w:rsidRPr="00260C1D">
        <w:rPr>
          <w:rFonts w:cstheme="minorHAnsi"/>
        </w:rPr>
        <w:br w:type="page"/>
      </w:r>
    </w:p>
    <w:p w14:paraId="7CD337DF" w14:textId="77777777" w:rsidR="0034555D" w:rsidRPr="00260C1D" w:rsidRDefault="007F66A6" w:rsidP="00532A33">
      <w:pPr>
        <w:pStyle w:val="Heading2"/>
      </w:pPr>
      <w:bookmarkStart w:id="223" w:name="_Toc141965282"/>
      <w:bookmarkStart w:id="224" w:name="_Toc145339612"/>
      <w:bookmarkStart w:id="225" w:name="_Toc153791935"/>
      <w:r w:rsidRPr="00260C1D">
        <w:lastRenderedPageBreak/>
        <w:t xml:space="preserve">Respectful </w:t>
      </w:r>
      <w:r w:rsidR="006A743D" w:rsidRPr="00260C1D">
        <w:t>Relationships (</w:t>
      </w:r>
      <w:r w:rsidR="000E2D3A" w:rsidRPr="00260C1D">
        <w:t xml:space="preserve">Reference </w:t>
      </w:r>
      <w:r w:rsidR="00934E2E" w:rsidRPr="00260C1D">
        <w:t>86)</w:t>
      </w:r>
      <w:bookmarkEnd w:id="223"/>
      <w:bookmarkEnd w:id="224"/>
      <w:bookmarkEnd w:id="225"/>
    </w:p>
    <w:p w14:paraId="4E13670A" w14:textId="77777777" w:rsidR="0034555D" w:rsidRPr="00260C1D" w:rsidRDefault="00000000" w:rsidP="0034555D">
      <w:pPr>
        <w:spacing w:before="100" w:beforeAutospacing="1" w:after="100" w:afterAutospacing="1" w:line="360" w:lineRule="atLeast"/>
        <w:rPr>
          <w:rFonts w:eastAsia="Segoe UI" w:cstheme="minorHAnsi"/>
          <w:color w:val="011A3C"/>
          <w:sz w:val="24"/>
          <w:szCs w:val="24"/>
          <w:lang w:val="en" w:eastAsia="en-AU"/>
        </w:rPr>
      </w:pPr>
      <w:hyperlink r:id="rId184" w:history="1">
        <w:r w:rsidR="0034555D" w:rsidRPr="00260C1D">
          <w:rPr>
            <w:rFonts w:eastAsia="Segoe UI" w:cstheme="minorHAnsi"/>
            <w:color w:val="011A3C"/>
            <w:sz w:val="24"/>
            <w:szCs w:val="24"/>
            <w:lang w:val="en" w:eastAsia="en-AU"/>
          </w:rPr>
          <w:t>Respectful Relationships</w:t>
        </w:r>
      </w:hyperlink>
      <w:r w:rsidR="0034555D" w:rsidRPr="00260C1D">
        <w:rPr>
          <w:rFonts w:eastAsia="Segoe UI" w:cstheme="minorHAnsi"/>
          <w:color w:val="011A3C"/>
          <w:sz w:val="24"/>
          <w:szCs w:val="24"/>
          <w:lang w:val="en" w:eastAsia="en-AU"/>
        </w:rPr>
        <w:t xml:space="preserve"> is being </w:t>
      </w:r>
      <w:r w:rsidR="00D03E83" w:rsidRPr="00260C1D">
        <w:rPr>
          <w:rFonts w:eastAsia="Segoe UI" w:cstheme="minorHAnsi"/>
          <w:color w:val="011A3C"/>
          <w:sz w:val="24"/>
          <w:szCs w:val="24"/>
          <w:lang w:val="en" w:eastAsia="en-AU"/>
        </w:rPr>
        <w:t>implemented</w:t>
      </w:r>
      <w:r w:rsidR="0034555D" w:rsidRPr="00260C1D">
        <w:rPr>
          <w:rFonts w:eastAsia="Segoe UI" w:cstheme="minorHAnsi"/>
          <w:color w:val="011A3C"/>
          <w:sz w:val="24"/>
          <w:szCs w:val="24"/>
          <w:lang w:val="en" w:eastAsia="en-AU"/>
        </w:rPr>
        <w:t xml:space="preserve"> across the state through a </w:t>
      </w:r>
      <w:hyperlink r:id="rId185" w:history="1">
        <w:r w:rsidR="00D87130">
          <w:rPr>
            <w:rFonts w:eastAsia="Segoe UI" w:cstheme="minorHAnsi"/>
            <w:color w:val="011A3C"/>
            <w:sz w:val="24"/>
            <w:szCs w:val="24"/>
            <w:lang w:val="en" w:eastAsia="en-AU"/>
          </w:rPr>
          <w:t>l</w:t>
        </w:r>
        <w:r w:rsidR="0034555D" w:rsidRPr="00260C1D">
          <w:rPr>
            <w:rFonts w:eastAsia="Segoe UI" w:cstheme="minorHAnsi"/>
            <w:color w:val="011A3C"/>
            <w:sz w:val="24"/>
            <w:szCs w:val="24"/>
            <w:lang w:val="en" w:eastAsia="en-AU"/>
          </w:rPr>
          <w:t xml:space="preserve">ead and </w:t>
        </w:r>
        <w:r w:rsidR="00D87130">
          <w:rPr>
            <w:rFonts w:eastAsia="Segoe UI" w:cstheme="minorHAnsi"/>
            <w:color w:val="011A3C"/>
            <w:sz w:val="24"/>
            <w:szCs w:val="24"/>
            <w:lang w:val="en" w:eastAsia="en-AU"/>
          </w:rPr>
          <w:t>p</w:t>
        </w:r>
        <w:r w:rsidR="0034555D" w:rsidRPr="00260C1D">
          <w:rPr>
            <w:rFonts w:eastAsia="Segoe UI" w:cstheme="minorHAnsi"/>
            <w:color w:val="011A3C"/>
            <w:sz w:val="24"/>
            <w:szCs w:val="24"/>
            <w:lang w:val="en" w:eastAsia="en-AU"/>
          </w:rPr>
          <w:t>artner school model</w:t>
        </w:r>
      </w:hyperlink>
      <w:r w:rsidR="0034555D" w:rsidRPr="00260C1D">
        <w:rPr>
          <w:rFonts w:eastAsia="Segoe UI" w:cstheme="minorHAnsi"/>
          <w:color w:val="011A3C"/>
          <w:sz w:val="24"/>
          <w:szCs w:val="24"/>
          <w:lang w:val="en" w:eastAsia="en-AU"/>
        </w:rPr>
        <w:t>.</w:t>
      </w:r>
      <w:r w:rsidR="00DB5CA6" w:rsidRPr="00260C1D">
        <w:rPr>
          <w:rFonts w:eastAsia="Segoe UI" w:cstheme="minorHAnsi"/>
          <w:color w:val="011A3C"/>
          <w:sz w:val="24"/>
          <w:szCs w:val="24"/>
          <w:lang w:val="en" w:eastAsia="en-AU"/>
        </w:rPr>
        <w:t xml:space="preserve"> </w:t>
      </w:r>
      <w:r w:rsidR="0034555D" w:rsidRPr="00260C1D">
        <w:rPr>
          <w:rFonts w:eastAsia="Segoe UI" w:cstheme="minorHAnsi"/>
          <w:color w:val="011A3C"/>
          <w:sz w:val="24"/>
          <w:szCs w:val="24"/>
          <w:lang w:val="en" w:eastAsia="en-AU"/>
        </w:rPr>
        <w:t xml:space="preserve">Funding for this initiative is allocated through the </w:t>
      </w:r>
      <w:r w:rsidR="00133037" w:rsidRPr="00260C1D">
        <w:rPr>
          <w:rFonts w:eastAsia="Segoe UI" w:cstheme="minorHAnsi"/>
          <w:color w:val="011A3C"/>
          <w:sz w:val="24"/>
          <w:szCs w:val="24"/>
          <w:lang w:val="en" w:eastAsia="en-AU"/>
        </w:rPr>
        <w:t>S</w:t>
      </w:r>
      <w:r w:rsidR="0034555D" w:rsidRPr="00260C1D">
        <w:rPr>
          <w:rFonts w:eastAsia="Segoe UI" w:cstheme="minorHAnsi"/>
          <w:color w:val="011A3C"/>
          <w:sz w:val="24"/>
          <w:szCs w:val="24"/>
          <w:lang w:val="en" w:eastAsia="en-AU"/>
        </w:rPr>
        <w:t xml:space="preserve">tudent </w:t>
      </w:r>
      <w:r w:rsidR="00133037" w:rsidRPr="00260C1D">
        <w:rPr>
          <w:rFonts w:eastAsia="Segoe UI" w:cstheme="minorHAnsi"/>
          <w:color w:val="011A3C"/>
          <w:sz w:val="24"/>
          <w:szCs w:val="24"/>
          <w:lang w:val="en" w:eastAsia="en-AU"/>
        </w:rPr>
        <w:t>R</w:t>
      </w:r>
      <w:r w:rsidR="0034555D" w:rsidRPr="00260C1D">
        <w:rPr>
          <w:rFonts w:eastAsia="Segoe UI" w:cstheme="minorHAnsi"/>
          <w:color w:val="011A3C"/>
          <w:sz w:val="24"/>
          <w:szCs w:val="24"/>
          <w:lang w:val="en" w:eastAsia="en-AU"/>
        </w:rPr>
        <w:t xml:space="preserve">esource </w:t>
      </w:r>
      <w:r w:rsidR="00133037" w:rsidRPr="00260C1D">
        <w:rPr>
          <w:rFonts w:eastAsia="Segoe UI" w:cstheme="minorHAnsi"/>
          <w:color w:val="011A3C"/>
          <w:sz w:val="24"/>
          <w:szCs w:val="24"/>
          <w:lang w:val="en" w:eastAsia="en-AU"/>
        </w:rPr>
        <w:t>P</w:t>
      </w:r>
      <w:r w:rsidR="0034555D" w:rsidRPr="00260C1D">
        <w:rPr>
          <w:rFonts w:eastAsia="Segoe UI" w:cstheme="minorHAnsi"/>
          <w:color w:val="011A3C"/>
          <w:sz w:val="24"/>
          <w:szCs w:val="24"/>
          <w:lang w:val="en" w:eastAsia="en-AU"/>
        </w:rPr>
        <w:t>ackage (SRP)</w:t>
      </w:r>
      <w:r w:rsidR="00133037" w:rsidRPr="00260C1D">
        <w:rPr>
          <w:rFonts w:eastAsia="Segoe UI" w:cstheme="minorHAnsi"/>
          <w:color w:val="011A3C"/>
          <w:sz w:val="24"/>
          <w:szCs w:val="24"/>
          <w:lang w:val="en" w:eastAsia="en-AU"/>
        </w:rPr>
        <w:t>.</w:t>
      </w:r>
    </w:p>
    <w:p w14:paraId="5964BC61" w14:textId="77777777" w:rsidR="0034555D" w:rsidRPr="00260C1D" w:rsidRDefault="0034555D" w:rsidP="00F56244">
      <w:pPr>
        <w:numPr>
          <w:ilvl w:val="0"/>
          <w:numId w:val="1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are encouraged to use the CASES21 sub-program code for their R</w:t>
      </w:r>
      <w:r w:rsidR="00DD0EC0">
        <w:rPr>
          <w:rFonts w:eastAsia="Segoe UI" w:cstheme="minorHAnsi"/>
          <w:color w:val="011A3C"/>
          <w:sz w:val="24"/>
          <w:szCs w:val="24"/>
          <w:lang w:val="en" w:eastAsia="en-AU"/>
        </w:rPr>
        <w:t xml:space="preserve">espectful </w:t>
      </w:r>
      <w:r w:rsidRPr="00260C1D">
        <w:rPr>
          <w:rFonts w:eastAsia="Segoe UI" w:cstheme="minorHAnsi"/>
          <w:color w:val="011A3C"/>
          <w:sz w:val="24"/>
          <w:szCs w:val="24"/>
          <w:lang w:val="en" w:eastAsia="en-AU"/>
        </w:rPr>
        <w:t>R</w:t>
      </w:r>
      <w:r w:rsidR="00DD0EC0">
        <w:rPr>
          <w:rFonts w:eastAsia="Segoe UI" w:cstheme="minorHAnsi"/>
          <w:color w:val="011A3C"/>
          <w:sz w:val="24"/>
          <w:szCs w:val="24"/>
          <w:lang w:val="en" w:eastAsia="en-AU"/>
        </w:rPr>
        <w:t>elationships</w:t>
      </w:r>
      <w:r w:rsidRPr="00260C1D">
        <w:rPr>
          <w:rFonts w:eastAsia="Segoe UI" w:cstheme="minorHAnsi"/>
          <w:color w:val="011A3C"/>
          <w:sz w:val="24"/>
          <w:szCs w:val="24"/>
          <w:lang w:val="en" w:eastAsia="en-AU"/>
        </w:rPr>
        <w:t xml:space="preserve"> transactions.</w:t>
      </w:r>
    </w:p>
    <w:p w14:paraId="089BB59A" w14:textId="77777777" w:rsidR="0034555D" w:rsidRPr="00260C1D" w:rsidRDefault="0034555D" w:rsidP="00F56244">
      <w:pPr>
        <w:numPr>
          <w:ilvl w:val="0"/>
          <w:numId w:val="1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Lead schools CASES21 Respectful Relationships sub-program code is 5215.</w:t>
      </w:r>
    </w:p>
    <w:p w14:paraId="589278AF" w14:textId="77777777" w:rsidR="0034555D" w:rsidRPr="00260C1D" w:rsidRDefault="0034555D" w:rsidP="00F56244">
      <w:pPr>
        <w:numPr>
          <w:ilvl w:val="0"/>
          <w:numId w:val="1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Partner schools CASES21 Respectful Relationships sub-program code is 5216.</w:t>
      </w:r>
    </w:p>
    <w:p w14:paraId="062CC412" w14:textId="77777777" w:rsidR="0034555D" w:rsidRPr="00260C1D" w:rsidRDefault="0034555D" w:rsidP="0034555D">
      <w:pPr>
        <w:spacing w:before="100" w:beforeAutospacing="1" w:after="100" w:afterAutospacing="1" w:line="360" w:lineRule="atLeast"/>
        <w:rPr>
          <w:rFonts w:eastAsia="Segoe UI" w:cstheme="minorHAnsi"/>
          <w:b/>
          <w:color w:val="011A3C"/>
          <w:sz w:val="26"/>
          <w:szCs w:val="28"/>
          <w:lang w:val="en" w:eastAsia="en-AU"/>
        </w:rPr>
      </w:pPr>
      <w:r w:rsidRPr="00260C1D">
        <w:rPr>
          <w:rFonts w:eastAsia="Segoe UI" w:cstheme="minorHAnsi"/>
          <w:b/>
          <w:color w:val="011A3C"/>
          <w:sz w:val="26"/>
          <w:szCs w:val="28"/>
          <w:lang w:val="en" w:eastAsia="en-AU"/>
        </w:rPr>
        <w:t>Eligibility</w:t>
      </w:r>
    </w:p>
    <w:p w14:paraId="7E6A88A1" w14:textId="77777777" w:rsidR="0034555D" w:rsidRPr="00260C1D" w:rsidRDefault="0034555D" w:rsidP="0034555D">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with the following school types are eligible for Respectful Relationships funding at </w:t>
      </w:r>
      <w:r w:rsidR="004C0B4E">
        <w:rPr>
          <w:rFonts w:eastAsia="Segoe UI" w:cstheme="minorHAnsi"/>
          <w:color w:val="011A3C"/>
          <w:sz w:val="24"/>
          <w:szCs w:val="24"/>
          <w:lang w:val="en" w:eastAsia="en-AU"/>
        </w:rPr>
        <w:t xml:space="preserve">a </w:t>
      </w:r>
      <w:r w:rsidRPr="00260C1D">
        <w:rPr>
          <w:rFonts w:eastAsia="Segoe UI" w:cstheme="minorHAnsi"/>
          <w:color w:val="011A3C"/>
          <w:sz w:val="24"/>
          <w:szCs w:val="24"/>
          <w:lang w:val="en" w:eastAsia="en-AU"/>
        </w:rPr>
        <w:t>school level</w:t>
      </w:r>
      <w:r w:rsidR="00DD3790" w:rsidRPr="00260C1D">
        <w:rPr>
          <w:rFonts w:eastAsia="Segoe UI" w:cstheme="minorHAnsi"/>
          <w:color w:val="011A3C"/>
          <w:sz w:val="24"/>
          <w:szCs w:val="24"/>
          <w:lang w:val="en" w:eastAsia="en-AU"/>
        </w:rPr>
        <w:t>:</w:t>
      </w:r>
    </w:p>
    <w:p w14:paraId="58087B21" w14:textId="77777777" w:rsidR="0034555D" w:rsidRPr="0082534A" w:rsidRDefault="0034555D"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Primary</w:t>
      </w:r>
    </w:p>
    <w:p w14:paraId="58687787" w14:textId="77777777" w:rsidR="0034555D" w:rsidRPr="0082534A" w:rsidRDefault="0034555D"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Secondary</w:t>
      </w:r>
    </w:p>
    <w:p w14:paraId="3ABE6E61" w14:textId="77777777" w:rsidR="00413518" w:rsidRPr="0082534A" w:rsidRDefault="0034555D"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Primary/Secondary Combined</w:t>
      </w:r>
    </w:p>
    <w:p w14:paraId="369D4E24" w14:textId="77777777" w:rsidR="0034555D" w:rsidRPr="0082534A" w:rsidRDefault="0034555D"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Special</w:t>
      </w:r>
      <w:r w:rsidR="001C2D5B" w:rsidRPr="738305D2">
        <w:rPr>
          <w:rFonts w:eastAsia="Segoe UI"/>
          <w:color w:val="011A3C"/>
          <w:sz w:val="24"/>
          <w:szCs w:val="24"/>
          <w:lang w:val="en" w:eastAsia="en-AU"/>
        </w:rPr>
        <w:t>ist</w:t>
      </w:r>
    </w:p>
    <w:p w14:paraId="4BCB78D2" w14:textId="77777777" w:rsidR="0034555D" w:rsidRPr="0082534A" w:rsidRDefault="0034555D"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Language</w:t>
      </w:r>
    </w:p>
    <w:p w14:paraId="57E6DD8A" w14:textId="77777777" w:rsidR="0034555D" w:rsidRPr="00260C1D" w:rsidRDefault="0034555D" w:rsidP="0082534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may be calculated at the Indicative, Confirmed and Revised cycles</w:t>
      </w:r>
      <w:r w:rsidR="00A42513">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A42513">
        <w:rPr>
          <w:rFonts w:eastAsia="Segoe UI" w:cstheme="minorHAnsi"/>
          <w:color w:val="011A3C"/>
          <w:sz w:val="24"/>
          <w:szCs w:val="24"/>
          <w:lang w:val="en" w:eastAsia="en-AU"/>
        </w:rPr>
        <w:t>F</w:t>
      </w:r>
      <w:r w:rsidRPr="00260C1D">
        <w:rPr>
          <w:rFonts w:eastAsia="Segoe UI" w:cstheme="minorHAnsi"/>
          <w:color w:val="011A3C"/>
          <w:sz w:val="24"/>
          <w:szCs w:val="24"/>
          <w:lang w:val="en" w:eastAsia="en-AU"/>
        </w:rPr>
        <w:t>unding is allocated through cash funding.</w:t>
      </w:r>
    </w:p>
    <w:p w14:paraId="4ECDDB63" w14:textId="77777777" w:rsidR="0034555D" w:rsidRPr="00502685" w:rsidRDefault="0034555D" w:rsidP="0034555D">
      <w:pPr>
        <w:spacing w:before="100" w:beforeAutospacing="1" w:after="100" w:afterAutospacing="1" w:line="288" w:lineRule="atLeast"/>
        <w:outlineLvl w:val="2"/>
        <w:rPr>
          <w:rFonts w:eastAsia="Segoe UI" w:cstheme="minorHAnsi"/>
          <w:b/>
          <w:color w:val="011A3C"/>
          <w:sz w:val="27"/>
          <w:szCs w:val="27"/>
          <w:lang w:val="en" w:eastAsia="en-AU"/>
        </w:rPr>
      </w:pPr>
      <w:r w:rsidRPr="00502685">
        <w:rPr>
          <w:rFonts w:eastAsia="Segoe UI" w:cstheme="minorHAnsi"/>
          <w:b/>
          <w:color w:val="011A3C"/>
          <w:sz w:val="27"/>
          <w:szCs w:val="27"/>
          <w:lang w:val="en" w:eastAsia="en-AU"/>
        </w:rPr>
        <w:t>Funding allocation</w:t>
      </w:r>
    </w:p>
    <w:p w14:paraId="69581608" w14:textId="77777777" w:rsidR="00A30C25" w:rsidRPr="00833928" w:rsidRDefault="00A30C25" w:rsidP="00833928">
      <w:pPr>
        <w:rPr>
          <w:lang w:val="en"/>
        </w:rPr>
      </w:pPr>
    </w:p>
    <w:p w14:paraId="73520D24" w14:textId="77777777" w:rsidR="009A70F7" w:rsidRPr="00260C1D" w:rsidRDefault="009A70F7" w:rsidP="009A70F7">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Funding for partner schools</w:t>
      </w:r>
    </w:p>
    <w:p w14:paraId="2DCF0EEC" w14:textId="11FF07A3" w:rsidR="009A70F7" w:rsidRPr="00260C1D" w:rsidRDefault="009A70F7" w:rsidP="004D307F">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New schools opening in 202</w:t>
      </w:r>
      <w:r w:rsidR="00060DDC">
        <w:rPr>
          <w:rFonts w:eastAsia="Segoe UI" w:cstheme="minorHAnsi"/>
          <w:color w:val="011A3C"/>
          <w:sz w:val="24"/>
          <w:szCs w:val="24"/>
          <w:lang w:val="en" w:eastAsia="en-AU"/>
        </w:rPr>
        <w:t>4</w:t>
      </w:r>
      <w:r w:rsidRPr="00260C1D">
        <w:rPr>
          <w:rFonts w:eastAsia="Segoe UI" w:cstheme="minorHAnsi"/>
          <w:color w:val="011A3C"/>
          <w:sz w:val="24"/>
          <w:szCs w:val="24"/>
          <w:lang w:val="en" w:eastAsia="en-AU"/>
        </w:rPr>
        <w:t xml:space="preserve"> will receive $4,000 to:</w:t>
      </w:r>
    </w:p>
    <w:p w14:paraId="7B7C3C7D" w14:textId="77777777" w:rsidR="009A70F7" w:rsidRPr="00260C1D" w:rsidRDefault="001174A8"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S</w:t>
      </w:r>
      <w:r w:rsidR="009A70F7" w:rsidRPr="738305D2">
        <w:rPr>
          <w:rFonts w:eastAsia="Segoe UI"/>
          <w:color w:val="011A3C"/>
          <w:sz w:val="24"/>
          <w:szCs w:val="24"/>
          <w:lang w:val="en" w:eastAsia="en-AU"/>
        </w:rPr>
        <w:t xml:space="preserve">upport the implementation of the whole school approach to Respectful Relationships as a </w:t>
      </w:r>
      <w:r w:rsidR="00D87130" w:rsidRPr="738305D2">
        <w:rPr>
          <w:rFonts w:eastAsia="Segoe UI"/>
          <w:color w:val="011A3C"/>
          <w:sz w:val="24"/>
          <w:szCs w:val="24"/>
          <w:lang w:val="en" w:eastAsia="en-AU"/>
        </w:rPr>
        <w:t>p</w:t>
      </w:r>
      <w:r w:rsidR="009A70F7" w:rsidRPr="738305D2">
        <w:rPr>
          <w:rFonts w:eastAsia="Segoe UI"/>
          <w:color w:val="011A3C"/>
          <w:sz w:val="24"/>
          <w:szCs w:val="24"/>
          <w:lang w:val="en" w:eastAsia="en-AU"/>
        </w:rPr>
        <w:t>artner School</w:t>
      </w:r>
    </w:p>
    <w:p w14:paraId="68296F8F" w14:textId="77777777" w:rsidR="009A70F7" w:rsidRPr="00260C1D" w:rsidRDefault="001174A8"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P</w:t>
      </w:r>
      <w:r w:rsidR="009A70F7" w:rsidRPr="738305D2">
        <w:rPr>
          <w:rFonts w:eastAsia="Segoe UI"/>
          <w:color w:val="011A3C"/>
          <w:sz w:val="24"/>
          <w:szCs w:val="24"/>
          <w:lang w:val="en" w:eastAsia="en-AU"/>
        </w:rPr>
        <w:t>articipate in your local lead and partner school cluster</w:t>
      </w:r>
    </w:p>
    <w:p w14:paraId="18A9AD60" w14:textId="77777777" w:rsidR="009A70F7" w:rsidRPr="00260C1D" w:rsidRDefault="001174A8" w:rsidP="00F56244">
      <w:pPr>
        <w:pStyle w:val="ListParagraph"/>
        <w:numPr>
          <w:ilvl w:val="0"/>
          <w:numId w:val="88"/>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P</w:t>
      </w:r>
      <w:r w:rsidR="009A70F7" w:rsidRPr="738305D2">
        <w:rPr>
          <w:rFonts w:eastAsia="Segoe UI"/>
          <w:color w:val="011A3C"/>
          <w:sz w:val="24"/>
          <w:szCs w:val="24"/>
          <w:lang w:val="en" w:eastAsia="en-AU"/>
        </w:rPr>
        <w:t>articipate in Respectful Relationships professional learning</w:t>
      </w:r>
    </w:p>
    <w:p w14:paraId="406CE8FB" w14:textId="77777777" w:rsidR="0034555D" w:rsidRPr="00260C1D" w:rsidRDefault="0034555D" w:rsidP="0034555D">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More information</w:t>
      </w:r>
    </w:p>
    <w:p w14:paraId="2D32CC5C" w14:textId="77777777" w:rsidR="0034555D" w:rsidRPr="00260C1D" w:rsidRDefault="00000000" w:rsidP="00F56244">
      <w:pPr>
        <w:numPr>
          <w:ilvl w:val="0"/>
          <w:numId w:val="15"/>
        </w:numPr>
        <w:spacing w:before="100" w:beforeAutospacing="1" w:after="100" w:afterAutospacing="1" w:line="360" w:lineRule="atLeast"/>
        <w:rPr>
          <w:rFonts w:eastAsia="Segoe UI" w:cstheme="minorHAnsi"/>
          <w:color w:val="011A3C"/>
          <w:sz w:val="24"/>
          <w:szCs w:val="24"/>
          <w:lang w:val="en" w:eastAsia="en-AU"/>
        </w:rPr>
      </w:pPr>
      <w:hyperlink r:id="rId186" w:history="1">
        <w:r w:rsidR="0034555D" w:rsidRPr="00260C1D">
          <w:rPr>
            <w:rFonts w:eastAsia="Segoe UI" w:cstheme="minorHAnsi"/>
            <w:color w:val="011A3C"/>
            <w:sz w:val="24"/>
            <w:szCs w:val="24"/>
            <w:lang w:val="en" w:eastAsia="en-AU"/>
          </w:rPr>
          <w:t>Respectful Relationships</w:t>
        </w:r>
      </w:hyperlink>
    </w:p>
    <w:p w14:paraId="10D6C3D6" w14:textId="77777777" w:rsidR="00CF603A" w:rsidRPr="00260C1D" w:rsidRDefault="0034555D" w:rsidP="00F56244">
      <w:pPr>
        <w:numPr>
          <w:ilvl w:val="0"/>
          <w:numId w:val="15"/>
        </w:numPr>
        <w:spacing w:before="100" w:beforeAutospacing="1" w:after="100" w:afterAutospacing="1" w:line="360" w:lineRule="atLeast"/>
        <w:rPr>
          <w:rStyle w:val="Hyperlink"/>
          <w:rFonts w:cstheme="minorHAnsi"/>
          <w:color w:val="auto"/>
          <w:u w:val="none"/>
        </w:rPr>
      </w:pPr>
      <w:r w:rsidRPr="00260C1D">
        <w:rPr>
          <w:rFonts w:eastAsia="Segoe UI" w:cstheme="minorHAnsi"/>
          <w:color w:val="011A3C"/>
          <w:sz w:val="24"/>
          <w:szCs w:val="24"/>
          <w:lang w:val="en" w:eastAsia="en-AU"/>
        </w:rPr>
        <w:t xml:space="preserve">Email: </w:t>
      </w:r>
      <w:hyperlink r:id="rId187" w:history="1">
        <w:r w:rsidR="00DD239B" w:rsidRPr="00260C1D">
          <w:rPr>
            <w:rStyle w:val="Hyperlink"/>
            <w:rFonts w:eastAsia="Segoe UI" w:cstheme="minorHAnsi"/>
            <w:sz w:val="24"/>
            <w:szCs w:val="24"/>
            <w:lang w:val="en" w:eastAsia="en-AU"/>
          </w:rPr>
          <w:t>respectful.relationships@education.vic.gov.au</w:t>
        </w:r>
      </w:hyperlink>
    </w:p>
    <w:p w14:paraId="1A239720" w14:textId="77777777" w:rsidR="007F66A6" w:rsidRPr="00260C1D" w:rsidRDefault="007F66A6" w:rsidP="004D307F">
      <w:pPr>
        <w:spacing w:before="100" w:beforeAutospacing="1" w:after="100" w:afterAutospacing="1" w:line="360" w:lineRule="atLeast"/>
        <w:rPr>
          <w:rFonts w:cstheme="minorHAnsi"/>
        </w:rPr>
      </w:pPr>
    </w:p>
    <w:p w14:paraId="00E8BC5D" w14:textId="55A3620D" w:rsidR="00EA34C0" w:rsidRPr="00260C1D" w:rsidRDefault="00EA34C0" w:rsidP="00532A33">
      <w:pPr>
        <w:pStyle w:val="Heading2"/>
      </w:pPr>
      <w:bookmarkStart w:id="226" w:name="_Toc141965285"/>
      <w:bookmarkStart w:id="227" w:name="_Toc145339613"/>
      <w:bookmarkStart w:id="228" w:name="_Toc153791936"/>
      <w:r>
        <w:lastRenderedPageBreak/>
        <w:t>Career Education Funding (Ref</w:t>
      </w:r>
      <w:r w:rsidR="003E5908">
        <w:t>erence</w:t>
      </w:r>
      <w:r>
        <w:t xml:space="preserve"> 91)</w:t>
      </w:r>
      <w:bookmarkEnd w:id="226"/>
      <w:bookmarkEnd w:id="227"/>
      <w:bookmarkEnd w:id="228"/>
    </w:p>
    <w:p w14:paraId="7B8EDC13" w14:textId="77777777" w:rsidR="00EA34C0" w:rsidRPr="00260C1D" w:rsidRDefault="00EA34C0" w:rsidP="00EA34C0">
      <w:pPr>
        <w:spacing w:before="100" w:beforeAutospacing="1" w:after="100" w:afterAutospacing="1" w:line="360" w:lineRule="atLeast"/>
        <w:rPr>
          <w:rFonts w:eastAsia="Segoe UI" w:cstheme="minorHAnsi"/>
          <w:color w:val="011A3C"/>
          <w:sz w:val="24"/>
          <w:szCs w:val="24"/>
          <w:lang w:val="en" w:eastAsia="en-AU"/>
        </w:rPr>
      </w:pPr>
      <w:bookmarkStart w:id="229" w:name="_Hlk50545369"/>
      <w:r w:rsidRPr="00260C1D">
        <w:rPr>
          <w:rFonts w:eastAsia="Segoe UI" w:cstheme="minorHAnsi"/>
          <w:color w:val="011A3C"/>
          <w:sz w:val="24"/>
          <w:szCs w:val="24"/>
          <w:lang w:val="en" w:eastAsia="en-AU"/>
        </w:rPr>
        <w:t>Career Education Funding (CEF) supports schools to provide career education activities for all students in Years 7 to 12.</w:t>
      </w:r>
    </w:p>
    <w:p w14:paraId="329DD01F" w14:textId="77777777" w:rsidR="00EA34C0" w:rsidRPr="00260C1D" w:rsidRDefault="00EA34C0"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CEF replaced managed individual pathways (MIPs) funding in 2019.</w:t>
      </w:r>
    </w:p>
    <w:p w14:paraId="6B460702" w14:textId="324090B1" w:rsidR="00EA34C0" w:rsidRPr="00260C1D" w:rsidRDefault="00EA34C0"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CEF accountability and reporting requirements are available at </w:t>
      </w:r>
      <w:hyperlink r:id="rId188" w:history="1">
        <w:r w:rsidR="00EA6F80" w:rsidRPr="00614B09">
          <w:rPr>
            <w:rStyle w:val="Hyperlink"/>
            <w:rFonts w:eastAsia="Segoe UI" w:cstheme="minorHAnsi"/>
            <w:sz w:val="24"/>
            <w:szCs w:val="24"/>
            <w:lang w:val="en" w:eastAsia="en-AU"/>
          </w:rPr>
          <w:t>Career Education Funding – Accountability and Reporting Requirements</w:t>
        </w:r>
      </w:hyperlink>
      <w:r w:rsidRPr="00260C1D">
        <w:rPr>
          <w:rFonts w:eastAsia="Segoe UI" w:cstheme="minorHAnsi"/>
          <w:color w:val="011A3C"/>
          <w:sz w:val="24"/>
          <w:szCs w:val="24"/>
          <w:lang w:val="en" w:eastAsia="en-AU"/>
        </w:rPr>
        <w:t>.</w:t>
      </w:r>
    </w:p>
    <w:p w14:paraId="7887B815" w14:textId="77777777" w:rsidR="00EA34C0" w:rsidRPr="00260C1D" w:rsidRDefault="00EA34C0" w:rsidP="00EA34C0">
      <w:pPr>
        <w:spacing w:before="100" w:beforeAutospacing="1" w:after="100" w:afterAutospacing="1" w:line="288" w:lineRule="atLeast"/>
        <w:outlineLvl w:val="2"/>
        <w:rPr>
          <w:rFonts w:eastAsia="Segoe UI" w:cstheme="minorHAnsi"/>
          <w:b/>
          <w:color w:val="011A3C"/>
          <w:sz w:val="27"/>
          <w:szCs w:val="27"/>
          <w:lang w:val="en" w:eastAsia="en-AU"/>
        </w:rPr>
      </w:pPr>
      <w:bookmarkStart w:id="230" w:name="_Hlk74755711"/>
      <w:r w:rsidRPr="00260C1D">
        <w:rPr>
          <w:rFonts w:eastAsia="Segoe UI" w:cstheme="minorHAnsi"/>
          <w:b/>
          <w:color w:val="011A3C"/>
          <w:sz w:val="27"/>
          <w:szCs w:val="27"/>
          <w:lang w:val="en" w:eastAsia="en-AU"/>
        </w:rPr>
        <w:t>Funding and Eligibility</w:t>
      </w:r>
    </w:p>
    <w:p w14:paraId="09ADEE40" w14:textId="3DA35DD6" w:rsidR="00EA34C0" w:rsidRPr="00260C1D" w:rsidRDefault="00EA34C0"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Eligible School </w:t>
      </w:r>
      <w:r w:rsidR="00081E3C" w:rsidRPr="00260C1D">
        <w:rPr>
          <w:rFonts w:eastAsia="Segoe UI" w:cstheme="minorHAnsi"/>
          <w:color w:val="011A3C"/>
          <w:sz w:val="24"/>
          <w:szCs w:val="24"/>
          <w:lang w:val="en" w:eastAsia="en-AU"/>
        </w:rPr>
        <w:t xml:space="preserve">or </w:t>
      </w:r>
      <w:r w:rsidR="00B52991" w:rsidRPr="00260C1D">
        <w:rPr>
          <w:rFonts w:eastAsia="Segoe UI" w:cstheme="minorHAnsi"/>
          <w:color w:val="011A3C"/>
          <w:sz w:val="24"/>
          <w:szCs w:val="24"/>
          <w:lang w:val="en" w:eastAsia="en-AU"/>
        </w:rPr>
        <w:t xml:space="preserve">Campus </w:t>
      </w:r>
      <w:r w:rsidRPr="00260C1D">
        <w:rPr>
          <w:rFonts w:eastAsia="Segoe UI" w:cstheme="minorHAnsi"/>
          <w:color w:val="011A3C"/>
          <w:sz w:val="24"/>
          <w:szCs w:val="24"/>
          <w:lang w:val="en" w:eastAsia="en-AU"/>
        </w:rPr>
        <w:t>Types:</w:t>
      </w:r>
    </w:p>
    <w:bookmarkEnd w:id="229"/>
    <w:p w14:paraId="7099C106" w14:textId="77777777" w:rsidR="00EA34C0" w:rsidRPr="00260C1D" w:rsidRDefault="00EA34C0" w:rsidP="00F56244">
      <w:pPr>
        <w:numPr>
          <w:ilvl w:val="0"/>
          <w:numId w:val="13"/>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Secondary</w:t>
      </w:r>
    </w:p>
    <w:p w14:paraId="558EF0B9" w14:textId="77777777" w:rsidR="00EA34C0" w:rsidRPr="00260C1D" w:rsidRDefault="00EA34C0" w:rsidP="00F56244">
      <w:pPr>
        <w:numPr>
          <w:ilvl w:val="0"/>
          <w:numId w:val="13"/>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Primary/Secondary combined</w:t>
      </w:r>
    </w:p>
    <w:p w14:paraId="37DA91D8" w14:textId="3F53A452" w:rsidR="0003603B" w:rsidRPr="00260C1D" w:rsidRDefault="00EA34C0" w:rsidP="00F56244">
      <w:pPr>
        <w:numPr>
          <w:ilvl w:val="0"/>
          <w:numId w:val="13"/>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Special</w:t>
      </w:r>
    </w:p>
    <w:p w14:paraId="26ECD443" w14:textId="31104407" w:rsidR="00B13202" w:rsidRPr="00260C1D" w:rsidRDefault="00B13202" w:rsidP="00F56244">
      <w:pPr>
        <w:numPr>
          <w:ilvl w:val="0"/>
          <w:numId w:val="13"/>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Spec Dev</w:t>
      </w:r>
    </w:p>
    <w:p w14:paraId="106D2ADD" w14:textId="7130CB1D" w:rsidR="00081E3C" w:rsidRPr="00424249" w:rsidRDefault="00EA34C0" w:rsidP="00F56244">
      <w:pPr>
        <w:numPr>
          <w:ilvl w:val="0"/>
          <w:numId w:val="13"/>
        </w:numPr>
        <w:spacing w:before="100" w:beforeAutospacing="1" w:after="100" w:afterAutospacing="1" w:line="360" w:lineRule="atLeast"/>
        <w:rPr>
          <w:rFonts w:eastAsia="Segoe UI" w:cstheme="minorHAnsi"/>
          <w:color w:val="011A3C"/>
          <w:sz w:val="24"/>
          <w:szCs w:val="24"/>
          <w:lang w:val="en" w:eastAsia="en-AU"/>
        </w:rPr>
      </w:pPr>
      <w:r w:rsidRPr="00424249">
        <w:rPr>
          <w:rFonts w:eastAsia="Segoe UI" w:cstheme="minorHAnsi"/>
          <w:color w:val="011A3C"/>
          <w:sz w:val="24"/>
          <w:szCs w:val="24"/>
          <w:lang w:val="en" w:eastAsia="en-AU"/>
        </w:rPr>
        <w:t>Language</w:t>
      </w:r>
    </w:p>
    <w:bookmarkEnd w:id="230"/>
    <w:p w14:paraId="047F81C7" w14:textId="0E004BB9" w:rsidR="00E177EC" w:rsidRPr="00614B09" w:rsidRDefault="00B52991" w:rsidP="00614B09">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Hospital</w:t>
      </w:r>
      <w:r w:rsidR="000A702D">
        <w:rPr>
          <w:rFonts w:eastAsia="Segoe UI" w:cstheme="minorHAnsi"/>
          <w:color w:val="011A3C"/>
          <w:sz w:val="24"/>
          <w:szCs w:val="24"/>
          <w:lang w:val="en" w:eastAsia="en-AU"/>
        </w:rPr>
        <w:t>, Deaf</w:t>
      </w:r>
      <w:r w:rsidRPr="00260C1D">
        <w:rPr>
          <w:rFonts w:eastAsia="Segoe UI" w:cstheme="minorHAnsi"/>
          <w:color w:val="011A3C"/>
          <w:sz w:val="24"/>
          <w:szCs w:val="24"/>
          <w:lang w:val="en" w:eastAsia="en-AU"/>
        </w:rPr>
        <w:t xml:space="preserve"> and Misc campuses are not eligible for CEF funding except </w:t>
      </w:r>
      <w:r w:rsidR="000E3DA7">
        <w:rPr>
          <w:rFonts w:eastAsia="Segoe UI" w:cstheme="minorHAnsi"/>
          <w:color w:val="011A3C"/>
          <w:sz w:val="24"/>
          <w:szCs w:val="24"/>
          <w:lang w:val="en" w:eastAsia="en-AU"/>
        </w:rPr>
        <w:t xml:space="preserve">for </w:t>
      </w:r>
      <w:r w:rsidRPr="00260C1D">
        <w:rPr>
          <w:rFonts w:eastAsia="Segoe UI" w:cstheme="minorHAnsi"/>
          <w:color w:val="011A3C"/>
          <w:sz w:val="24"/>
          <w:szCs w:val="24"/>
          <w:lang w:val="en" w:eastAsia="en-AU"/>
        </w:rPr>
        <w:t>Virtual School Victoria</w:t>
      </w:r>
      <w:r w:rsidR="000A702D">
        <w:rPr>
          <w:rFonts w:eastAsia="Segoe UI" w:cstheme="minorHAnsi"/>
          <w:color w:val="011A3C"/>
          <w:sz w:val="24"/>
          <w:szCs w:val="24"/>
          <w:lang w:val="en" w:eastAsia="en-AU"/>
        </w:rPr>
        <w:t xml:space="preserve"> and </w:t>
      </w:r>
      <w:r w:rsidR="000A702D" w:rsidRPr="000A702D">
        <w:rPr>
          <w:rFonts w:eastAsia="Segoe UI" w:cstheme="minorHAnsi"/>
          <w:color w:val="011A3C"/>
          <w:sz w:val="24"/>
          <w:szCs w:val="24"/>
          <w:lang w:val="en" w:eastAsia="en-AU"/>
        </w:rPr>
        <w:t>Victorian College of the Deaf</w:t>
      </w:r>
      <w:r w:rsidRPr="00260C1D">
        <w:rPr>
          <w:rFonts w:eastAsia="Segoe UI" w:cstheme="minorHAnsi"/>
          <w:color w:val="011A3C"/>
          <w:sz w:val="24"/>
          <w:szCs w:val="24"/>
          <w:lang w:val="en" w:eastAsia="en-AU"/>
        </w:rPr>
        <w:t>. Camp/Outdoor schools are ineligible irrespective of their entity register classification.</w:t>
      </w:r>
      <w:r w:rsidR="00C30C5F" w:rsidRPr="00260C1D">
        <w:rPr>
          <w:rFonts w:eastAsia="Segoe UI" w:cstheme="minorHAnsi"/>
          <w:color w:val="011A3C"/>
          <w:sz w:val="24"/>
          <w:szCs w:val="24"/>
          <w:lang w:val="en" w:eastAsia="en-AU"/>
        </w:rPr>
        <w:t xml:space="preserve"> Aurora School, </w:t>
      </w:r>
      <w:proofErr w:type="spellStart"/>
      <w:r w:rsidR="00C30C5F" w:rsidRPr="00260C1D">
        <w:rPr>
          <w:rFonts w:eastAsia="Segoe UI" w:cstheme="minorHAnsi"/>
          <w:color w:val="011A3C"/>
          <w:sz w:val="24"/>
          <w:szCs w:val="24"/>
          <w:lang w:val="en" w:eastAsia="en-AU"/>
        </w:rPr>
        <w:t>Yarra</w:t>
      </w:r>
      <w:proofErr w:type="spellEnd"/>
      <w:r w:rsidR="00C30C5F" w:rsidRPr="00260C1D">
        <w:rPr>
          <w:rFonts w:eastAsia="Segoe UI" w:cstheme="minorHAnsi"/>
          <w:color w:val="011A3C"/>
          <w:sz w:val="24"/>
          <w:szCs w:val="24"/>
          <w:lang w:val="en" w:eastAsia="en-AU"/>
        </w:rPr>
        <w:t xml:space="preserve"> Me School and the </w:t>
      </w:r>
      <w:proofErr w:type="spellStart"/>
      <w:r w:rsidR="00C30C5F" w:rsidRPr="00260C1D">
        <w:rPr>
          <w:rFonts w:eastAsia="Segoe UI" w:cstheme="minorHAnsi"/>
          <w:color w:val="011A3C"/>
          <w:sz w:val="24"/>
          <w:szCs w:val="24"/>
          <w:lang w:val="en" w:eastAsia="en-AU"/>
        </w:rPr>
        <w:t>Netschool</w:t>
      </w:r>
      <w:proofErr w:type="spellEnd"/>
      <w:r w:rsidR="00C30C5F" w:rsidRPr="00260C1D">
        <w:rPr>
          <w:rFonts w:eastAsia="Segoe UI" w:cstheme="minorHAnsi"/>
          <w:color w:val="011A3C"/>
          <w:sz w:val="24"/>
          <w:szCs w:val="24"/>
          <w:lang w:val="en" w:eastAsia="en-AU"/>
        </w:rPr>
        <w:t xml:space="preserve"> Campus of Bendigo Senior Secondary College are not eligible.</w:t>
      </w:r>
      <w:r w:rsidR="00E9609B" w:rsidRPr="00260C1D">
        <w:rPr>
          <w:rFonts w:eastAsia="Segoe UI" w:cstheme="minorHAnsi"/>
          <w:color w:val="011A3C"/>
          <w:sz w:val="24"/>
          <w:szCs w:val="24"/>
          <w:lang w:val="en" w:eastAsia="en-AU"/>
        </w:rPr>
        <w:t xml:space="preserve"> </w:t>
      </w:r>
      <w:r w:rsidR="00E177EC" w:rsidRPr="00260C1D">
        <w:rPr>
          <w:rFonts w:eastAsia="Segoe UI" w:cstheme="minorHAnsi"/>
          <w:color w:val="011A3C"/>
          <w:sz w:val="24"/>
          <w:szCs w:val="24"/>
          <w:lang w:val="en" w:eastAsia="en-AU"/>
        </w:rPr>
        <w:t>Funding is calculated at the Indicative, Confirmed and Revised cycles</w:t>
      </w:r>
      <w:r w:rsidR="000E3DA7">
        <w:rPr>
          <w:rFonts w:eastAsia="Segoe UI" w:cstheme="minorHAnsi"/>
          <w:color w:val="011A3C"/>
          <w:sz w:val="24"/>
          <w:szCs w:val="24"/>
          <w:lang w:val="en" w:eastAsia="en-AU"/>
        </w:rPr>
        <w:t>.</w:t>
      </w:r>
      <w:r w:rsidR="00E177EC" w:rsidRPr="00260C1D">
        <w:rPr>
          <w:rFonts w:eastAsia="Segoe UI" w:cstheme="minorHAnsi"/>
          <w:color w:val="011A3C"/>
          <w:sz w:val="24"/>
          <w:szCs w:val="24"/>
          <w:lang w:val="en" w:eastAsia="en-AU"/>
        </w:rPr>
        <w:t xml:space="preserve"> </w:t>
      </w:r>
      <w:r w:rsidR="000E3DA7">
        <w:rPr>
          <w:rFonts w:eastAsia="Segoe UI" w:cstheme="minorHAnsi"/>
          <w:color w:val="011A3C"/>
          <w:sz w:val="24"/>
          <w:szCs w:val="24"/>
          <w:lang w:val="en" w:eastAsia="en-AU"/>
        </w:rPr>
        <w:t>F</w:t>
      </w:r>
      <w:r w:rsidR="00E177EC" w:rsidRPr="00260C1D">
        <w:rPr>
          <w:rFonts w:eastAsia="Segoe UI" w:cstheme="minorHAnsi"/>
          <w:color w:val="011A3C"/>
          <w:sz w:val="24"/>
          <w:szCs w:val="24"/>
          <w:lang w:val="en" w:eastAsia="en-AU"/>
        </w:rPr>
        <w:t>unding is allocated through cash funding.</w:t>
      </w:r>
    </w:p>
    <w:p w14:paraId="65D9A53B" w14:textId="5F8ECDF1" w:rsidR="00EA34C0" w:rsidRPr="00260C1D" w:rsidRDefault="00EA34C0" w:rsidP="00EA34C0">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For Years 7 to 9</w:t>
      </w:r>
    </w:p>
    <w:p w14:paraId="69A4A9C3" w14:textId="77777777" w:rsidR="00EA34C0" w:rsidRPr="00260C1D" w:rsidRDefault="00EA34C0"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CEF funding is based on enrolments of students in Years 7 to 9 in Victorian government secondary school settings and students aged 12 to 14 years in Victorian government specialist schools and English Language settings.</w:t>
      </w:r>
    </w:p>
    <w:p w14:paraId="6D119C2B" w14:textId="77777777" w:rsidR="00EA34C0" w:rsidRPr="00260C1D" w:rsidRDefault="00EA34C0" w:rsidP="00EA34C0">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For Years 10 to 12</w:t>
      </w:r>
    </w:p>
    <w:p w14:paraId="57A100E6" w14:textId="3F39C9A1" w:rsidR="00EA34C0" w:rsidRPr="00260C1D" w:rsidRDefault="00EA34C0" w:rsidP="0034579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CEF funding is based on </w:t>
      </w:r>
      <w:r w:rsidR="000E3DA7">
        <w:rPr>
          <w:rFonts w:eastAsia="Segoe UI" w:cstheme="minorHAnsi"/>
          <w:color w:val="011A3C"/>
          <w:sz w:val="24"/>
          <w:szCs w:val="24"/>
          <w:lang w:val="en" w:eastAsia="en-AU"/>
        </w:rPr>
        <w:t xml:space="preserve">the </w:t>
      </w:r>
      <w:r w:rsidRPr="00260C1D">
        <w:rPr>
          <w:rFonts w:eastAsia="Segoe UI" w:cstheme="minorHAnsi"/>
          <w:color w:val="011A3C"/>
          <w:sz w:val="24"/>
          <w:szCs w:val="24"/>
          <w:lang w:val="en" w:eastAsia="en-AU"/>
        </w:rPr>
        <w:t>enrolments of students aged 15 years and over in Victorian government specialist schools and English Language settings and Years 10 to 12 in all other Victorian government secondary schools, and the school's Student Family Occupation (SFO) density.</w:t>
      </w:r>
    </w:p>
    <w:p w14:paraId="6EB7C9AA" w14:textId="07CCA486" w:rsidR="003E6B76" w:rsidRPr="00260C1D" w:rsidRDefault="00EA34C0" w:rsidP="004D1CF3">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Additional funding is provided to schools with SFO densities greater than a threshold value to support young people at risk of disengaging or not making a successful transition to further education, training or secure employment.</w:t>
      </w:r>
    </w:p>
    <w:p w14:paraId="2F9DF49E" w14:textId="1BC0614B" w:rsidR="00EA34C0" w:rsidRPr="00260C1D" w:rsidRDefault="00EA34C0" w:rsidP="004D1CF3">
      <w:pPr>
        <w:keepNext/>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lastRenderedPageBreak/>
        <w:t>Calculation</w:t>
      </w:r>
    </w:p>
    <w:p w14:paraId="59BE2458" w14:textId="77777777" w:rsidR="00EA34C0" w:rsidRPr="00614B09" w:rsidRDefault="00EA34C0" w:rsidP="00EA34C0">
      <w:pPr>
        <w:spacing w:before="100" w:beforeAutospacing="1" w:after="100" w:afterAutospacing="1" w:line="288" w:lineRule="atLeast"/>
        <w:outlineLvl w:val="3"/>
        <w:rPr>
          <w:rFonts w:eastAsia="Segoe UI" w:cstheme="minorHAnsi"/>
          <w:b/>
          <w:color w:val="011A3C"/>
          <w:sz w:val="24"/>
          <w:szCs w:val="24"/>
          <w:lang w:val="en" w:eastAsia="en-AU"/>
        </w:rPr>
      </w:pPr>
      <w:r w:rsidRPr="00614B09">
        <w:rPr>
          <w:rFonts w:eastAsia="Segoe UI" w:cstheme="minorHAnsi"/>
          <w:b/>
          <w:color w:val="011A3C"/>
          <w:sz w:val="24"/>
          <w:szCs w:val="24"/>
          <w:lang w:val="en" w:eastAsia="en-AU"/>
        </w:rPr>
        <w:t>For Years 7 to 9</w:t>
      </w:r>
    </w:p>
    <w:p w14:paraId="6E8520BA" w14:textId="4F114B42" w:rsidR="00EA34C0" w:rsidRPr="00260C1D" w:rsidRDefault="00EA34C0"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CEF </w:t>
      </w:r>
      <w:r w:rsidR="0034579A">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 xml:space="preserve">llocation = CEF </w:t>
      </w:r>
      <w:r w:rsidR="0034579A">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nrolments</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 xml:space="preserve">Base per </w:t>
      </w:r>
      <w:r w:rsidR="0034579A">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tudent </w:t>
      </w:r>
      <w:r w:rsidR="0034579A">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p>
    <w:p w14:paraId="04457AD5" w14:textId="074F5F77" w:rsidR="00EA34C0" w:rsidRDefault="00EA34C0"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Note: If a school's CEF </w:t>
      </w:r>
      <w:r w:rsidR="0034579A">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 xml:space="preserve">llocation is less than the Minimum </w:t>
      </w:r>
      <w:r w:rsidR="0034579A">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 xml:space="preserve">llocation (as identified in 'Rates' below), the school will receive the Minimum </w:t>
      </w:r>
      <w:r w:rsidR="0034579A">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 xml:space="preserve">llocation. The Minimum </w:t>
      </w:r>
      <w:r w:rsidR="0034579A">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llocation is set based on enrolment levels.</w:t>
      </w:r>
    </w:p>
    <w:p w14:paraId="7123B15C" w14:textId="77777777" w:rsidR="0034579A" w:rsidRPr="00260C1D" w:rsidRDefault="0034579A" w:rsidP="0034579A">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For Years 10 to 12</w:t>
      </w:r>
    </w:p>
    <w:p w14:paraId="01580565" w14:textId="672CC18E" w:rsidR="0034579A" w:rsidRPr="00260C1D" w:rsidRDefault="0034579A" w:rsidP="0034579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CEF </w:t>
      </w:r>
      <w:r>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 xml:space="preserve">llocation = Base </w:t>
      </w:r>
      <w:r>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llocation + At</w:t>
      </w:r>
      <w:r w:rsidR="006A41F5">
        <w:rPr>
          <w:rFonts w:eastAsia="Segoe UI" w:cstheme="minorHAnsi"/>
          <w:color w:val="011A3C"/>
          <w:sz w:val="24"/>
          <w:szCs w:val="24"/>
          <w:lang w:val="en" w:eastAsia="en-AU"/>
        </w:rPr>
        <w:t>-</w:t>
      </w:r>
      <w:r>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 xml:space="preserve">isk </w:t>
      </w:r>
      <w:r>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llocation</w:t>
      </w:r>
    </w:p>
    <w:p w14:paraId="28D3A79E" w14:textId="28FF5543" w:rsidR="0034579A" w:rsidRPr="00260C1D" w:rsidRDefault="0034579A" w:rsidP="0034579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Note: If a school's CEF Allocation is less than the Minimum </w:t>
      </w:r>
      <w:r>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 xml:space="preserve">llocation (as identified in 'Rates' below), the school will receive the Minimum </w:t>
      </w:r>
      <w:r>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 xml:space="preserve">llocation. The Minimum </w:t>
      </w:r>
      <w:r>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llocation is set based on enrolment levels.</w:t>
      </w:r>
    </w:p>
    <w:p w14:paraId="5AD22D84" w14:textId="4E6BAEBC" w:rsidR="0034579A" w:rsidRPr="00260C1D" w:rsidRDefault="0034579A" w:rsidP="0034579A">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Base Allocation = CEF </w:t>
      </w:r>
      <w:r>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nrolments</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 xml:space="preserve">Base per </w:t>
      </w:r>
      <w:r>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tudent </w:t>
      </w:r>
      <w:r>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p>
    <w:p w14:paraId="732646E1" w14:textId="6C135FC1" w:rsidR="0034579A" w:rsidRPr="00260C1D" w:rsidRDefault="0034579A"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At </w:t>
      </w:r>
      <w:r>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 xml:space="preserve">isk </w:t>
      </w:r>
      <w:r>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llocation (</w:t>
      </w:r>
      <w:r>
        <w:rPr>
          <w:rFonts w:eastAsia="Segoe UI" w:cstheme="minorHAnsi"/>
          <w:color w:val="011A3C"/>
          <w:sz w:val="24"/>
          <w:szCs w:val="24"/>
          <w:lang w:val="en" w:eastAsia="en-AU"/>
        </w:rPr>
        <w:t>o</w:t>
      </w:r>
      <w:r w:rsidRPr="00260C1D">
        <w:rPr>
          <w:rFonts w:eastAsia="Segoe UI" w:cstheme="minorHAnsi"/>
          <w:color w:val="011A3C"/>
          <w:sz w:val="24"/>
          <w:szCs w:val="24"/>
          <w:lang w:val="en" w:eastAsia="en-AU"/>
        </w:rPr>
        <w:t xml:space="preserve">nly if the schools SFO index is greater than the SFO threshold - see 'Rates' below) = CEF </w:t>
      </w:r>
      <w:r>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nrolments</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 xml:space="preserve">([School SFO </w:t>
      </w:r>
      <w:r>
        <w:rPr>
          <w:rFonts w:eastAsia="Segoe UI" w:cstheme="minorHAnsi"/>
          <w:color w:val="011A3C"/>
          <w:sz w:val="24"/>
          <w:szCs w:val="24"/>
          <w:lang w:val="en" w:eastAsia="en-AU"/>
        </w:rPr>
        <w:t>i</w:t>
      </w:r>
      <w:r w:rsidRPr="00260C1D">
        <w:rPr>
          <w:rFonts w:eastAsia="Segoe UI" w:cstheme="minorHAnsi"/>
          <w:color w:val="011A3C"/>
          <w:sz w:val="24"/>
          <w:szCs w:val="24"/>
          <w:lang w:val="en" w:eastAsia="en-AU"/>
        </w:rPr>
        <w:t xml:space="preserve">ndex] - [SFO </w:t>
      </w:r>
      <w:r>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 xml:space="preserve">hreshold]) / (1 - [SFO </w:t>
      </w:r>
      <w:r>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hreshold])</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At</w:t>
      </w:r>
      <w:r w:rsidR="006A41F5">
        <w:rPr>
          <w:rFonts w:eastAsia="Segoe UI" w:cstheme="minorHAnsi"/>
          <w:color w:val="011A3C"/>
          <w:sz w:val="24"/>
          <w:szCs w:val="24"/>
          <w:lang w:val="en" w:eastAsia="en-AU"/>
        </w:rPr>
        <w:t>-</w:t>
      </w:r>
      <w:r>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 xml:space="preserve">isk </w:t>
      </w:r>
      <w:r>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 xml:space="preserve">llocation per </w:t>
      </w:r>
      <w:r>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tudent </w:t>
      </w:r>
      <w:r>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p>
    <w:p w14:paraId="3462D594" w14:textId="4FC9A203" w:rsidR="00B241D3" w:rsidRPr="00260C1D" w:rsidRDefault="00B241D3" w:rsidP="00B241D3">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Rates – 202</w:t>
      </w:r>
      <w:r w:rsidR="00BA3E3C">
        <w:rPr>
          <w:rFonts w:eastAsia="Segoe UI" w:cstheme="minorHAnsi"/>
          <w:b/>
          <w:color w:val="011A3C"/>
          <w:sz w:val="24"/>
          <w:szCs w:val="24"/>
          <w:lang w:val="en" w:eastAsia="en-AU"/>
        </w:rPr>
        <w:t>4</w:t>
      </w:r>
      <w:r w:rsidRPr="00260C1D">
        <w:rPr>
          <w:rFonts w:eastAsia="Segoe UI" w:cstheme="minorHAnsi"/>
          <w:b/>
          <w:color w:val="011A3C"/>
          <w:sz w:val="24"/>
          <w:szCs w:val="24"/>
          <w:lang w:val="en" w:eastAsia="en-AU"/>
        </w:rPr>
        <w:t xml:space="preserve"> </w:t>
      </w:r>
    </w:p>
    <w:p w14:paraId="4B29F251" w14:textId="06A5BD37" w:rsidR="00B241D3" w:rsidRPr="00260C1D" w:rsidRDefault="00EA34C0" w:rsidP="00EA34C0">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For Year 7</w:t>
      </w:r>
      <w:r w:rsidR="006A41F5">
        <w:rPr>
          <w:rFonts w:eastAsia="Segoe UI" w:cstheme="minorHAnsi"/>
          <w:b/>
          <w:color w:val="011A3C"/>
          <w:sz w:val="24"/>
          <w:szCs w:val="24"/>
          <w:lang w:val="en" w:eastAsia="en-AU"/>
        </w:rPr>
        <w:t>:</w:t>
      </w:r>
    </w:p>
    <w:p w14:paraId="3B2D3571" w14:textId="0559279B" w:rsidR="006A41F5" w:rsidRDefault="00EA34C0" w:rsidP="00F56244">
      <w:pPr>
        <w:numPr>
          <w:ilvl w:val="0"/>
          <w:numId w:val="16"/>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Base </w:t>
      </w:r>
      <w:r w:rsidR="0034579A">
        <w:rPr>
          <w:rFonts w:eastAsia="Segoe UI" w:cstheme="minorHAnsi"/>
          <w:color w:val="011A3C"/>
          <w:sz w:val="24"/>
          <w:szCs w:val="24"/>
          <w:lang w:val="en" w:eastAsia="en-AU"/>
        </w:rPr>
        <w:t>p</w:t>
      </w:r>
      <w:r w:rsidRPr="00260C1D">
        <w:rPr>
          <w:rFonts w:eastAsia="Segoe UI" w:cstheme="minorHAnsi"/>
          <w:color w:val="011A3C"/>
          <w:sz w:val="24"/>
          <w:szCs w:val="24"/>
          <w:lang w:val="en" w:eastAsia="en-AU"/>
        </w:rPr>
        <w:t xml:space="preserve">er </w:t>
      </w:r>
      <w:r w:rsidR="0034579A">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tudent </w:t>
      </w:r>
      <w:r w:rsidR="0034579A">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r w:rsidR="0034579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w:t>
      </w:r>
      <w:r w:rsidR="003B498B">
        <w:rPr>
          <w:rFonts w:eastAsia="Segoe UI" w:cstheme="minorHAnsi"/>
          <w:color w:val="011A3C"/>
          <w:sz w:val="24"/>
          <w:szCs w:val="24"/>
          <w:lang w:val="en" w:eastAsia="en-AU"/>
        </w:rPr>
        <w:t>22</w:t>
      </w:r>
      <w:r w:rsidR="003B498B" w:rsidRPr="00260C1D">
        <w:rPr>
          <w:rFonts w:eastAsia="Segoe UI" w:cstheme="minorHAnsi"/>
          <w:color w:val="011A3C"/>
          <w:sz w:val="24"/>
          <w:szCs w:val="24"/>
          <w:lang w:val="en" w:eastAsia="en-AU"/>
        </w:rPr>
        <w:t> </w:t>
      </w:r>
      <w:r w:rsidRPr="00260C1D">
        <w:rPr>
          <w:rFonts w:eastAsia="Segoe UI" w:cstheme="minorHAnsi"/>
          <w:color w:val="011A3C"/>
          <w:sz w:val="24"/>
          <w:szCs w:val="24"/>
          <w:lang w:val="en" w:eastAsia="en-AU"/>
        </w:rPr>
        <w:t>per CEF enrolment</w:t>
      </w:r>
    </w:p>
    <w:p w14:paraId="4450A06C" w14:textId="398AF997" w:rsidR="00EA34C0" w:rsidRPr="00260C1D" w:rsidRDefault="00EA34C0" w:rsidP="00F56244">
      <w:pPr>
        <w:numPr>
          <w:ilvl w:val="0"/>
          <w:numId w:val="16"/>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Minimum </w:t>
      </w:r>
      <w:r w:rsidR="0034579A">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llocation</w:t>
      </w:r>
      <w:r w:rsidR="0034579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$250</w:t>
      </w:r>
    </w:p>
    <w:p w14:paraId="642726F9" w14:textId="74BC8BE4" w:rsidR="00EA34C0" w:rsidRPr="00260C1D" w:rsidRDefault="00EA34C0" w:rsidP="00EA34C0">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For Year 8</w:t>
      </w:r>
      <w:r w:rsidR="006A41F5">
        <w:rPr>
          <w:rFonts w:eastAsia="Segoe UI" w:cstheme="minorHAnsi"/>
          <w:b/>
          <w:color w:val="011A3C"/>
          <w:sz w:val="24"/>
          <w:szCs w:val="24"/>
          <w:lang w:val="en" w:eastAsia="en-AU"/>
        </w:rPr>
        <w:t>:</w:t>
      </w:r>
    </w:p>
    <w:p w14:paraId="0E2F9895" w14:textId="6C9D8CC1" w:rsidR="006A41F5" w:rsidRDefault="00EA34C0" w:rsidP="00F56244">
      <w:pPr>
        <w:numPr>
          <w:ilvl w:val="0"/>
          <w:numId w:val="16"/>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Base </w:t>
      </w:r>
      <w:r w:rsidR="0034579A">
        <w:rPr>
          <w:rFonts w:eastAsia="Segoe UI" w:cstheme="minorHAnsi"/>
          <w:color w:val="011A3C"/>
          <w:sz w:val="24"/>
          <w:szCs w:val="24"/>
          <w:lang w:val="en" w:eastAsia="en-AU"/>
        </w:rPr>
        <w:t>p</w:t>
      </w:r>
      <w:r w:rsidRPr="00260C1D">
        <w:rPr>
          <w:rFonts w:eastAsia="Segoe UI" w:cstheme="minorHAnsi"/>
          <w:color w:val="011A3C"/>
          <w:sz w:val="24"/>
          <w:szCs w:val="24"/>
          <w:lang w:val="en" w:eastAsia="en-AU"/>
        </w:rPr>
        <w:t xml:space="preserve">er </w:t>
      </w:r>
      <w:r w:rsidR="0034579A">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tudent </w:t>
      </w:r>
      <w:r w:rsidR="0034579A">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r w:rsidR="0034579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w:t>
      </w:r>
      <w:r w:rsidR="003B498B">
        <w:rPr>
          <w:rFonts w:eastAsia="Segoe UI" w:cstheme="minorHAnsi"/>
          <w:color w:val="011A3C"/>
          <w:sz w:val="24"/>
          <w:szCs w:val="24"/>
          <w:lang w:val="en" w:eastAsia="en-AU"/>
        </w:rPr>
        <w:t>28</w:t>
      </w:r>
      <w:r w:rsidR="003B498B" w:rsidRPr="00260C1D">
        <w:rPr>
          <w:rFonts w:eastAsia="Segoe UI" w:cstheme="minorHAnsi"/>
          <w:color w:val="011A3C"/>
          <w:sz w:val="24"/>
          <w:szCs w:val="24"/>
          <w:lang w:val="en" w:eastAsia="en-AU"/>
        </w:rPr>
        <w:t> </w:t>
      </w:r>
      <w:r w:rsidRPr="00260C1D">
        <w:rPr>
          <w:rFonts w:eastAsia="Segoe UI" w:cstheme="minorHAnsi"/>
          <w:color w:val="011A3C"/>
          <w:sz w:val="24"/>
          <w:szCs w:val="24"/>
          <w:lang w:val="en" w:eastAsia="en-AU"/>
        </w:rPr>
        <w:t>per CEF enrolment</w:t>
      </w:r>
    </w:p>
    <w:p w14:paraId="4D0F1332" w14:textId="34A317FE" w:rsidR="00EA34C0" w:rsidRPr="00260C1D" w:rsidRDefault="00EA34C0" w:rsidP="00F56244">
      <w:pPr>
        <w:numPr>
          <w:ilvl w:val="0"/>
          <w:numId w:val="16"/>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Minimum </w:t>
      </w:r>
      <w:r w:rsidR="0034579A">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llocation</w:t>
      </w:r>
      <w:r w:rsidR="0034579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$250</w:t>
      </w:r>
    </w:p>
    <w:p w14:paraId="56603EDA" w14:textId="7FC414A9" w:rsidR="00EA34C0" w:rsidRPr="00260C1D" w:rsidRDefault="00EA34C0" w:rsidP="00EA34C0">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For Year 9</w:t>
      </w:r>
      <w:r w:rsidR="006A41F5">
        <w:rPr>
          <w:rFonts w:eastAsia="Segoe UI" w:cstheme="minorHAnsi"/>
          <w:b/>
          <w:color w:val="011A3C"/>
          <w:sz w:val="24"/>
          <w:szCs w:val="24"/>
          <w:lang w:val="en" w:eastAsia="en-AU"/>
        </w:rPr>
        <w:t>:</w:t>
      </w:r>
    </w:p>
    <w:p w14:paraId="1239C01E" w14:textId="3D2E6B66" w:rsidR="006A41F5" w:rsidRDefault="00EA34C0" w:rsidP="00F56244">
      <w:pPr>
        <w:numPr>
          <w:ilvl w:val="0"/>
          <w:numId w:val="16"/>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Base </w:t>
      </w:r>
      <w:r w:rsidR="00B922DD">
        <w:rPr>
          <w:rFonts w:eastAsia="Segoe UI" w:cstheme="minorHAnsi"/>
          <w:color w:val="011A3C"/>
          <w:sz w:val="24"/>
          <w:szCs w:val="24"/>
          <w:lang w:val="en" w:eastAsia="en-AU"/>
        </w:rPr>
        <w:t>p</w:t>
      </w:r>
      <w:r w:rsidRPr="00260C1D">
        <w:rPr>
          <w:rFonts w:eastAsia="Segoe UI" w:cstheme="minorHAnsi"/>
          <w:color w:val="011A3C"/>
          <w:sz w:val="24"/>
          <w:szCs w:val="24"/>
          <w:lang w:val="en" w:eastAsia="en-AU"/>
        </w:rPr>
        <w:t xml:space="preserve">er </w:t>
      </w:r>
      <w:r w:rsidR="00B922DD">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tudent </w:t>
      </w:r>
      <w:r w:rsidR="00B922DD">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r w:rsidR="00B922D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w:t>
      </w:r>
      <w:r w:rsidR="003B498B">
        <w:rPr>
          <w:rFonts w:eastAsia="Segoe UI" w:cstheme="minorHAnsi"/>
          <w:color w:val="011A3C"/>
          <w:sz w:val="24"/>
          <w:szCs w:val="24"/>
          <w:lang w:val="en" w:eastAsia="en-AU"/>
        </w:rPr>
        <w:t>50</w:t>
      </w:r>
      <w:r w:rsidR="003B498B" w:rsidRPr="00260C1D">
        <w:rPr>
          <w:rFonts w:eastAsia="Segoe UI" w:cstheme="minorHAnsi"/>
          <w:color w:val="011A3C"/>
          <w:sz w:val="24"/>
          <w:szCs w:val="24"/>
          <w:lang w:val="en" w:eastAsia="en-AU"/>
        </w:rPr>
        <w:t> </w:t>
      </w:r>
      <w:r w:rsidRPr="00260C1D">
        <w:rPr>
          <w:rFonts w:eastAsia="Segoe UI" w:cstheme="minorHAnsi"/>
          <w:color w:val="011A3C"/>
          <w:sz w:val="24"/>
          <w:szCs w:val="24"/>
          <w:lang w:val="en" w:eastAsia="en-AU"/>
        </w:rPr>
        <w:t>per CEF enrolment</w:t>
      </w:r>
    </w:p>
    <w:p w14:paraId="45581B4B" w14:textId="62F56896" w:rsidR="00EA34C0" w:rsidRPr="00260C1D" w:rsidRDefault="00EA34C0" w:rsidP="00F56244">
      <w:pPr>
        <w:numPr>
          <w:ilvl w:val="0"/>
          <w:numId w:val="16"/>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Minimum </w:t>
      </w:r>
      <w:r w:rsidR="00B922DD">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llocation</w:t>
      </w:r>
      <w:r w:rsidR="00B922D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$500</w:t>
      </w:r>
    </w:p>
    <w:p w14:paraId="36A74DA4" w14:textId="4A8AB1D0" w:rsidR="00EA34C0" w:rsidRPr="00614B09" w:rsidRDefault="00EA34C0" w:rsidP="00614B09">
      <w:pPr>
        <w:spacing w:before="100" w:beforeAutospacing="1" w:after="100" w:afterAutospacing="1" w:line="288" w:lineRule="atLeast"/>
        <w:outlineLvl w:val="3"/>
        <w:rPr>
          <w:rFonts w:eastAsia="Segoe UI" w:cstheme="minorHAnsi"/>
          <w:b/>
          <w:color w:val="011A3C"/>
          <w:sz w:val="24"/>
          <w:szCs w:val="24"/>
          <w:lang w:val="en" w:eastAsia="en-AU"/>
        </w:rPr>
      </w:pPr>
      <w:r w:rsidRPr="00614B09">
        <w:rPr>
          <w:rFonts w:eastAsia="Segoe UI" w:cstheme="minorHAnsi"/>
          <w:b/>
          <w:color w:val="011A3C"/>
          <w:sz w:val="24"/>
          <w:szCs w:val="24"/>
          <w:lang w:val="en" w:eastAsia="en-AU"/>
        </w:rPr>
        <w:t>Years 10 to 12 — per student rates</w:t>
      </w:r>
      <w:r w:rsidR="006A41F5">
        <w:rPr>
          <w:rFonts w:eastAsia="Segoe UI" w:cstheme="minorHAnsi"/>
          <w:b/>
          <w:color w:val="011A3C"/>
          <w:sz w:val="24"/>
          <w:szCs w:val="24"/>
          <w:lang w:val="en" w:eastAsia="en-AU"/>
        </w:rPr>
        <w:t>:</w:t>
      </w:r>
    </w:p>
    <w:p w14:paraId="793268BA" w14:textId="44D340A4" w:rsidR="006A41F5" w:rsidRDefault="00EA34C0" w:rsidP="00F56244">
      <w:pPr>
        <w:numPr>
          <w:ilvl w:val="0"/>
          <w:numId w:val="16"/>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Base per student rate: $</w:t>
      </w:r>
      <w:r w:rsidR="003B498B">
        <w:rPr>
          <w:rFonts w:eastAsia="Segoe UI" w:cstheme="minorHAnsi"/>
          <w:color w:val="011A3C"/>
          <w:sz w:val="24"/>
          <w:szCs w:val="24"/>
          <w:lang w:val="en" w:eastAsia="en-AU"/>
        </w:rPr>
        <w:t>68</w:t>
      </w:r>
      <w:r w:rsidR="003B498B"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per CEF enrolment</w:t>
      </w:r>
    </w:p>
    <w:p w14:paraId="5CAF7190" w14:textId="2CE5E308" w:rsidR="006A41F5" w:rsidRDefault="00EA34C0" w:rsidP="00F56244">
      <w:pPr>
        <w:numPr>
          <w:ilvl w:val="0"/>
          <w:numId w:val="16"/>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At</w:t>
      </w:r>
      <w:r w:rsidR="006A41F5">
        <w:rPr>
          <w:rFonts w:eastAsia="Segoe UI" w:cstheme="minorHAnsi"/>
          <w:color w:val="011A3C"/>
          <w:sz w:val="24"/>
          <w:szCs w:val="24"/>
          <w:lang w:val="en" w:eastAsia="en-AU"/>
        </w:rPr>
        <w:t>-</w:t>
      </w:r>
      <w:r w:rsidRPr="00260C1D">
        <w:rPr>
          <w:rFonts w:eastAsia="Segoe UI" w:cstheme="minorHAnsi"/>
          <w:color w:val="011A3C"/>
          <w:sz w:val="24"/>
          <w:szCs w:val="24"/>
          <w:lang w:val="en" w:eastAsia="en-AU"/>
        </w:rPr>
        <w:t>risk allocation per student rate: $559 per CEF enrolment</w:t>
      </w:r>
    </w:p>
    <w:p w14:paraId="4B5A7075" w14:textId="77639F54" w:rsidR="00EA34C0" w:rsidRPr="00260C1D" w:rsidRDefault="00EA34C0" w:rsidP="00F56244">
      <w:pPr>
        <w:numPr>
          <w:ilvl w:val="0"/>
          <w:numId w:val="16"/>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SFO </w:t>
      </w:r>
      <w:r w:rsidR="006A41F5">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 xml:space="preserve">hreshold: </w:t>
      </w:r>
      <w:r w:rsidR="003B498B">
        <w:rPr>
          <w:rFonts w:eastAsia="Segoe UI" w:cstheme="minorHAnsi"/>
          <w:color w:val="011A3C"/>
          <w:sz w:val="24"/>
          <w:szCs w:val="24"/>
          <w:lang w:val="en" w:eastAsia="en-AU"/>
        </w:rPr>
        <w:t>0.4090</w:t>
      </w:r>
    </w:p>
    <w:p w14:paraId="67991736" w14:textId="3426A61D" w:rsidR="00EA34C0" w:rsidRPr="00260C1D" w:rsidRDefault="006A41F5" w:rsidP="00EA34C0">
      <w:pPr>
        <w:spacing w:before="100" w:beforeAutospacing="1" w:after="100" w:afterAutospacing="1" w:line="360" w:lineRule="atLeast"/>
        <w:rPr>
          <w:rFonts w:eastAsia="Segoe UI" w:cstheme="minorHAnsi"/>
          <w:b/>
          <w:color w:val="011A3C"/>
          <w:sz w:val="24"/>
          <w:szCs w:val="24"/>
          <w:lang w:val="en" w:eastAsia="en-AU"/>
        </w:rPr>
      </w:pPr>
      <w:r w:rsidRPr="00212148">
        <w:rPr>
          <w:rFonts w:eastAsia="Segoe UI" w:cstheme="minorHAnsi"/>
          <w:b/>
          <w:color w:val="011A3C"/>
          <w:sz w:val="24"/>
          <w:szCs w:val="24"/>
          <w:lang w:val="en" w:eastAsia="en-AU"/>
        </w:rPr>
        <w:lastRenderedPageBreak/>
        <w:t>Years 10 to 12 </w:t>
      </w:r>
      <w:r>
        <w:rPr>
          <w:rFonts w:eastAsia="Segoe UI" w:cstheme="minorHAnsi"/>
          <w:b/>
          <w:color w:val="011A3C"/>
          <w:sz w:val="24"/>
          <w:szCs w:val="24"/>
          <w:lang w:val="en" w:eastAsia="en-AU"/>
        </w:rPr>
        <w:t>– m</w:t>
      </w:r>
      <w:r w:rsidR="00EA34C0" w:rsidRPr="00260C1D">
        <w:rPr>
          <w:rFonts w:eastAsia="Segoe UI" w:cstheme="minorHAnsi"/>
          <w:b/>
          <w:color w:val="011A3C"/>
          <w:sz w:val="24"/>
          <w:szCs w:val="24"/>
          <w:lang w:val="en" w:eastAsia="en-AU"/>
        </w:rPr>
        <w:t>inimum allocations:</w:t>
      </w:r>
    </w:p>
    <w:p w14:paraId="771C633B" w14:textId="77777777" w:rsidR="00EA34C0" w:rsidRPr="00260C1D" w:rsidRDefault="00EA34C0" w:rsidP="00F56244">
      <w:pPr>
        <w:numPr>
          <w:ilvl w:val="0"/>
          <w:numId w:val="16"/>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&lt;30 CEF enrolments: $208 per CEF enrolment</w:t>
      </w:r>
    </w:p>
    <w:p w14:paraId="1717CEDD" w14:textId="10A22001" w:rsidR="00EA34C0" w:rsidRPr="00260C1D" w:rsidRDefault="00EA34C0" w:rsidP="00F56244">
      <w:pPr>
        <w:numPr>
          <w:ilvl w:val="0"/>
          <w:numId w:val="16"/>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30 to 99</w:t>
      </w:r>
      <w:r w:rsidR="000A702D">
        <w:rPr>
          <w:rFonts w:eastAsia="Segoe UI" w:cstheme="minorHAnsi"/>
          <w:color w:val="011A3C"/>
          <w:sz w:val="24"/>
          <w:szCs w:val="24"/>
          <w:lang w:val="en" w:eastAsia="en-AU"/>
        </w:rPr>
        <w:t>.9</w:t>
      </w:r>
      <w:r w:rsidRPr="00260C1D">
        <w:rPr>
          <w:rFonts w:eastAsia="Segoe UI" w:cstheme="minorHAnsi"/>
          <w:color w:val="011A3C"/>
          <w:sz w:val="24"/>
          <w:szCs w:val="24"/>
          <w:lang w:val="en" w:eastAsia="en-AU"/>
        </w:rPr>
        <w:t xml:space="preserve"> CEF enrolments: $6</w:t>
      </w:r>
      <w:r w:rsidR="002E15F1"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000 in total​</w:t>
      </w:r>
    </w:p>
    <w:p w14:paraId="308A1F45" w14:textId="0F677000" w:rsidR="00EA34C0" w:rsidRPr="00260C1D" w:rsidRDefault="00EA34C0" w:rsidP="00F56244">
      <w:pPr>
        <w:numPr>
          <w:ilvl w:val="0"/>
          <w:numId w:val="16"/>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&gt;=100 CEF enrolment: $10,000 in total</w:t>
      </w:r>
    </w:p>
    <w:p w14:paraId="3DDE612C" w14:textId="77777777" w:rsidR="00EA34C0" w:rsidRPr="00260C1D" w:rsidRDefault="00EA34C0" w:rsidP="00EA34C0">
      <w:pPr>
        <w:rPr>
          <w:rFonts w:cstheme="minorHAnsi"/>
        </w:rPr>
      </w:pPr>
      <w:r w:rsidRPr="00260C1D">
        <w:rPr>
          <w:rFonts w:cstheme="minorHAnsi"/>
        </w:rPr>
        <w:br w:type="page"/>
      </w:r>
    </w:p>
    <w:p w14:paraId="2F00DDD8" w14:textId="4F1696E3" w:rsidR="002F58F8" w:rsidRPr="00260C1D" w:rsidRDefault="00373667" w:rsidP="00532A33">
      <w:pPr>
        <w:pStyle w:val="Heading2"/>
      </w:pPr>
      <w:bookmarkStart w:id="231" w:name="_Toc141965286"/>
      <w:bookmarkStart w:id="232" w:name="_Toc145339614"/>
      <w:bookmarkStart w:id="233" w:name="_Toc153791937"/>
      <w:bookmarkStart w:id="234" w:name="_Hlk127189138"/>
      <w:r w:rsidRPr="00260C1D">
        <w:lastRenderedPageBreak/>
        <w:t>Swimming in Schools</w:t>
      </w:r>
      <w:r w:rsidR="00934E2E" w:rsidRPr="00260C1D">
        <w:t xml:space="preserve"> (Reference 115)</w:t>
      </w:r>
      <w:bookmarkEnd w:id="231"/>
      <w:bookmarkEnd w:id="232"/>
      <w:bookmarkEnd w:id="233"/>
    </w:p>
    <w:bookmarkEnd w:id="234"/>
    <w:p w14:paraId="4F4B67AF" w14:textId="39D26712" w:rsidR="002F58F8" w:rsidRPr="00260C1D" w:rsidRDefault="002F58F8" w:rsidP="002F58F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w:t>
      </w:r>
      <w:hyperlink r:id="rId189" w:history="1">
        <w:r w:rsidRPr="00806A02">
          <w:rPr>
            <w:rStyle w:val="Hyperlink"/>
            <w:rFonts w:eastAsia="Segoe UI" w:cstheme="minorHAnsi"/>
            <w:sz w:val="24"/>
            <w:szCs w:val="24"/>
            <w:lang w:val="en" w:eastAsia="en-AU"/>
          </w:rPr>
          <w:t>Swimming in Schools initiative</w:t>
        </w:r>
      </w:hyperlink>
      <w:r w:rsidRPr="00260C1D">
        <w:rPr>
          <w:rFonts w:eastAsia="Segoe UI" w:cstheme="minorHAnsi"/>
          <w:color w:val="011A3C"/>
          <w:sz w:val="24"/>
          <w:szCs w:val="24"/>
          <w:lang w:val="en" w:eastAsia="en-AU"/>
        </w:rPr>
        <w:t xml:space="preserve"> is designed to increase opportunities for students to learn how to swim, and ensure they develop lifelong skills in swimming and water safety.</w:t>
      </w:r>
    </w:p>
    <w:p w14:paraId="1AD5719A" w14:textId="3949F245" w:rsidR="002F58F8" w:rsidRPr="00260C1D" w:rsidRDefault="002F58F8" w:rsidP="002F58F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Swimming and water safety education is embedded across all bands of the Victorian Curriculum (F-10). By the end of Year 6, it is anticipated that students are able to demonstrate the skills and knowledge in the Victorian Water Safety Certificate (VWSC). Schools can seek the assistance of swimming providers to </w:t>
      </w:r>
      <w:r w:rsidR="00D57242" w:rsidRPr="00260C1D">
        <w:rPr>
          <w:rFonts w:eastAsia="Segoe UI" w:cstheme="minorHAnsi"/>
          <w:color w:val="011A3C"/>
          <w:sz w:val="24"/>
          <w:szCs w:val="24"/>
          <w:lang w:val="en" w:eastAsia="en-AU"/>
        </w:rPr>
        <w:t xml:space="preserve">provide swimming and water safety programs, to </w:t>
      </w:r>
      <w:r w:rsidRPr="00260C1D">
        <w:rPr>
          <w:rFonts w:eastAsia="Segoe UI" w:cstheme="minorHAnsi"/>
          <w:color w:val="011A3C"/>
          <w:sz w:val="24"/>
          <w:szCs w:val="24"/>
          <w:lang w:val="en" w:eastAsia="en-AU"/>
        </w:rPr>
        <w:t xml:space="preserve">assess the competencies of their students and to award VWSC through </w:t>
      </w:r>
      <w:r w:rsidR="004B62A2" w:rsidRPr="00260C1D">
        <w:rPr>
          <w:rFonts w:eastAsia="Segoe UI" w:cstheme="minorHAnsi"/>
          <w:color w:val="011A3C"/>
          <w:sz w:val="24"/>
          <w:szCs w:val="24"/>
          <w:lang w:val="en" w:eastAsia="en-AU"/>
        </w:rPr>
        <w:t xml:space="preserve">Life Saving Victoria’s </w:t>
      </w:r>
      <w:hyperlink r:id="rId190" w:history="1">
        <w:r w:rsidRPr="00260C1D">
          <w:rPr>
            <w:rFonts w:eastAsia="Segoe UI" w:cstheme="minorHAnsi"/>
            <w:color w:val="011A3C"/>
            <w:sz w:val="24"/>
            <w:szCs w:val="24"/>
            <w:lang w:val="en" w:eastAsia="en-AU"/>
          </w:rPr>
          <w:t>VWSC portal</w:t>
        </w:r>
      </w:hyperlink>
      <w:r w:rsidRPr="00260C1D">
        <w:rPr>
          <w:rFonts w:eastAsia="Segoe UI" w:cstheme="minorHAnsi"/>
          <w:color w:val="011A3C"/>
          <w:sz w:val="24"/>
          <w:szCs w:val="24"/>
          <w:lang w:val="en" w:eastAsia="en-AU"/>
        </w:rPr>
        <w:t>.</w:t>
      </w:r>
    </w:p>
    <w:p w14:paraId="4E941D5E" w14:textId="2713DC51" w:rsidR="00416C24" w:rsidRPr="00260C1D" w:rsidRDefault="00416C24" w:rsidP="00416C24">
      <w:pPr>
        <w:spacing w:before="100" w:beforeAutospacing="1" w:after="100" w:afterAutospacing="1"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Swimming in Schools initiative </w:t>
      </w:r>
      <w:r w:rsidR="008A6CE0" w:rsidRPr="00260C1D">
        <w:rPr>
          <w:rFonts w:eastAsia="Segoe UI" w:cstheme="minorHAnsi"/>
          <w:color w:val="011A3C"/>
          <w:sz w:val="24"/>
          <w:szCs w:val="24"/>
          <w:lang w:val="en" w:eastAsia="en-AU"/>
        </w:rPr>
        <w:t>provides funding</w:t>
      </w:r>
      <w:r w:rsidRPr="00260C1D">
        <w:rPr>
          <w:rFonts w:eastAsia="Segoe UI" w:cstheme="minorHAnsi"/>
          <w:color w:val="011A3C"/>
          <w:sz w:val="24"/>
          <w:szCs w:val="24"/>
          <w:lang w:val="en" w:eastAsia="en-AU"/>
        </w:rPr>
        <w:t xml:space="preserve"> for the delivery of swimming and water safety programs. </w:t>
      </w:r>
    </w:p>
    <w:p w14:paraId="3FD654CC" w14:textId="7E12CC64" w:rsidR="002F58F8" w:rsidRPr="00260C1D" w:rsidRDefault="002F58F8" w:rsidP="002F58F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will be distributed through the Student Resource Package</w:t>
      </w:r>
      <w:r w:rsidR="0083439F">
        <w:rPr>
          <w:rFonts w:eastAsia="Segoe UI" w:cstheme="minorHAnsi"/>
          <w:color w:val="011A3C"/>
          <w:sz w:val="24"/>
          <w:szCs w:val="24"/>
          <w:lang w:val="en" w:eastAsia="en-AU"/>
        </w:rPr>
        <w:t xml:space="preserve"> (SRP)</w:t>
      </w:r>
      <w:r w:rsidRPr="00260C1D">
        <w:rPr>
          <w:rFonts w:eastAsia="Segoe UI" w:cstheme="minorHAnsi"/>
          <w:color w:val="011A3C"/>
          <w:sz w:val="24"/>
          <w:szCs w:val="24"/>
          <w:lang w:val="en" w:eastAsia="en-AU"/>
        </w:rPr>
        <w:t>.</w:t>
      </w:r>
    </w:p>
    <w:p w14:paraId="1C7FF100" w14:textId="77777777" w:rsidR="002F58F8" w:rsidRPr="00260C1D" w:rsidRDefault="002F58F8" w:rsidP="003D662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734D4D23" w14:textId="49BF864B" w:rsidR="002F58F8" w:rsidRPr="00260C1D" w:rsidRDefault="002F58F8" w:rsidP="002F58F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with the following campus types are eligible to </w:t>
      </w:r>
      <w:r w:rsidR="00803D6E" w:rsidRPr="00260C1D">
        <w:rPr>
          <w:rFonts w:eastAsia="Segoe UI" w:cstheme="minorHAnsi"/>
          <w:color w:val="011A3C"/>
          <w:sz w:val="24"/>
          <w:szCs w:val="24"/>
          <w:lang w:val="en" w:eastAsia="en-AU"/>
        </w:rPr>
        <w:t xml:space="preserve">receive </w:t>
      </w:r>
      <w:r w:rsidRPr="00260C1D">
        <w:rPr>
          <w:rFonts w:eastAsia="Segoe UI" w:cstheme="minorHAnsi"/>
          <w:color w:val="011A3C"/>
          <w:sz w:val="24"/>
          <w:szCs w:val="24"/>
          <w:lang w:val="en" w:eastAsia="en-AU"/>
        </w:rPr>
        <w:t xml:space="preserve">Swimming in Schools funding at </w:t>
      </w:r>
      <w:r w:rsidR="0083439F">
        <w:rPr>
          <w:rFonts w:eastAsia="Segoe UI" w:cstheme="minorHAnsi"/>
          <w:color w:val="011A3C"/>
          <w:sz w:val="24"/>
          <w:szCs w:val="24"/>
          <w:lang w:val="en" w:eastAsia="en-AU"/>
        </w:rPr>
        <w:t xml:space="preserve">a </w:t>
      </w:r>
      <w:r w:rsidRPr="00260C1D">
        <w:rPr>
          <w:rFonts w:eastAsia="Segoe UI" w:cstheme="minorHAnsi"/>
          <w:color w:val="011A3C"/>
          <w:sz w:val="24"/>
          <w:szCs w:val="24"/>
          <w:lang w:val="en" w:eastAsia="en-AU"/>
        </w:rPr>
        <w:t>school level</w:t>
      </w:r>
      <w:r w:rsidR="0083439F">
        <w:rPr>
          <w:rFonts w:eastAsia="Segoe UI" w:cstheme="minorHAnsi"/>
          <w:color w:val="011A3C"/>
          <w:sz w:val="24"/>
          <w:szCs w:val="24"/>
          <w:lang w:val="en" w:eastAsia="en-AU"/>
        </w:rPr>
        <w:t>:</w:t>
      </w:r>
    </w:p>
    <w:p w14:paraId="77952422" w14:textId="77777777" w:rsidR="002F58F8" w:rsidRPr="00260C1D" w:rsidRDefault="002F58F8" w:rsidP="00F56244">
      <w:pPr>
        <w:numPr>
          <w:ilvl w:val="0"/>
          <w:numId w:val="2"/>
        </w:numPr>
        <w:spacing w:before="100" w:beforeAutospacing="1" w:after="100" w:afterAutospacing="1" w:line="360" w:lineRule="atLeast"/>
        <w:rPr>
          <w:rFonts w:eastAsia="Segoe UI" w:cstheme="minorHAnsi"/>
          <w:color w:val="011A3C"/>
          <w:lang w:val="en" w:eastAsia="en-AU"/>
        </w:rPr>
      </w:pPr>
      <w:r w:rsidRPr="00260C1D">
        <w:rPr>
          <w:rFonts w:eastAsia="Segoe UI" w:cstheme="minorHAnsi"/>
          <w:color w:val="011A3C"/>
          <w:lang w:val="en" w:eastAsia="en-AU"/>
        </w:rPr>
        <w:t>Primary</w:t>
      </w:r>
    </w:p>
    <w:p w14:paraId="2F982643" w14:textId="66F7C6BB" w:rsidR="002F58F8" w:rsidRPr="00260C1D" w:rsidRDefault="002F58F8" w:rsidP="00F56244">
      <w:pPr>
        <w:numPr>
          <w:ilvl w:val="0"/>
          <w:numId w:val="2"/>
        </w:numPr>
        <w:spacing w:before="100" w:beforeAutospacing="1" w:after="100" w:afterAutospacing="1" w:line="360" w:lineRule="atLeast"/>
        <w:rPr>
          <w:rFonts w:eastAsia="Segoe UI" w:cstheme="minorHAnsi"/>
          <w:color w:val="011A3C"/>
          <w:lang w:val="en" w:eastAsia="en-AU"/>
        </w:rPr>
      </w:pPr>
      <w:r w:rsidRPr="00260C1D">
        <w:rPr>
          <w:rFonts w:eastAsia="Segoe UI" w:cstheme="minorHAnsi"/>
          <w:color w:val="011A3C"/>
          <w:lang w:val="en" w:eastAsia="en-AU"/>
        </w:rPr>
        <w:t>Primary/Secondary Combined</w:t>
      </w:r>
    </w:p>
    <w:p w14:paraId="7B00A031" w14:textId="27A9C902" w:rsidR="002F58F8" w:rsidRPr="00260C1D" w:rsidRDefault="002F58F8" w:rsidP="00F56244">
      <w:pPr>
        <w:numPr>
          <w:ilvl w:val="0"/>
          <w:numId w:val="2"/>
        </w:numPr>
        <w:spacing w:before="100" w:beforeAutospacing="1" w:after="100" w:afterAutospacing="1" w:line="360" w:lineRule="atLeast"/>
        <w:rPr>
          <w:rFonts w:eastAsia="Segoe UI" w:cstheme="minorHAnsi"/>
          <w:color w:val="011A3C"/>
          <w:lang w:val="en" w:eastAsia="en-AU"/>
        </w:rPr>
      </w:pPr>
      <w:r w:rsidRPr="00260C1D">
        <w:rPr>
          <w:rFonts w:eastAsia="Segoe UI" w:cstheme="minorHAnsi"/>
          <w:color w:val="011A3C"/>
          <w:lang w:val="en" w:eastAsia="en-AU"/>
        </w:rPr>
        <w:t>Special</w:t>
      </w:r>
    </w:p>
    <w:p w14:paraId="237D476B" w14:textId="032F608C" w:rsidR="004449F8" w:rsidRPr="00260C1D" w:rsidRDefault="004449F8" w:rsidP="00F56244">
      <w:pPr>
        <w:numPr>
          <w:ilvl w:val="0"/>
          <w:numId w:val="2"/>
        </w:numPr>
        <w:spacing w:before="100" w:beforeAutospacing="1" w:after="100" w:afterAutospacing="1" w:line="360" w:lineRule="atLeast"/>
        <w:rPr>
          <w:rFonts w:eastAsia="Segoe UI" w:cstheme="minorHAnsi"/>
          <w:color w:val="011A3C"/>
          <w:lang w:val="en" w:eastAsia="en-AU"/>
        </w:rPr>
      </w:pPr>
      <w:r w:rsidRPr="00260C1D">
        <w:rPr>
          <w:rFonts w:eastAsia="Segoe UI" w:cstheme="minorHAnsi"/>
          <w:color w:val="011A3C"/>
          <w:lang w:val="en" w:eastAsia="en-AU"/>
        </w:rPr>
        <w:t xml:space="preserve">Day Spec </w:t>
      </w:r>
    </w:p>
    <w:p w14:paraId="4B979F7E" w14:textId="58B07270" w:rsidR="004449F8" w:rsidRPr="00260C1D" w:rsidRDefault="004449F8" w:rsidP="00F56244">
      <w:pPr>
        <w:numPr>
          <w:ilvl w:val="0"/>
          <w:numId w:val="2"/>
        </w:numPr>
        <w:spacing w:before="100" w:beforeAutospacing="1" w:after="100" w:afterAutospacing="1" w:line="360" w:lineRule="atLeast"/>
        <w:rPr>
          <w:rFonts w:eastAsia="Segoe UI" w:cstheme="minorHAnsi"/>
          <w:color w:val="011A3C"/>
          <w:lang w:val="en" w:eastAsia="en-AU"/>
        </w:rPr>
      </w:pPr>
      <w:r w:rsidRPr="00260C1D">
        <w:rPr>
          <w:rFonts w:eastAsia="Segoe UI" w:cstheme="minorHAnsi"/>
          <w:color w:val="011A3C"/>
          <w:lang w:val="en" w:eastAsia="en-AU"/>
        </w:rPr>
        <w:t xml:space="preserve">Deaf </w:t>
      </w:r>
      <w:r w:rsidR="00F759D1">
        <w:rPr>
          <w:rFonts w:eastAsia="Segoe UI" w:cstheme="minorHAnsi"/>
          <w:color w:val="011A3C"/>
          <w:lang w:val="en" w:eastAsia="en-AU"/>
        </w:rPr>
        <w:t>(excluding deaf campuses of mainstream schools)</w:t>
      </w:r>
    </w:p>
    <w:p w14:paraId="3AF35034" w14:textId="49403290" w:rsidR="004449F8" w:rsidRPr="00260C1D" w:rsidRDefault="004449F8" w:rsidP="00F56244">
      <w:pPr>
        <w:numPr>
          <w:ilvl w:val="0"/>
          <w:numId w:val="2"/>
        </w:numPr>
        <w:spacing w:before="100" w:beforeAutospacing="1" w:after="100" w:afterAutospacing="1" w:line="360" w:lineRule="atLeast"/>
        <w:rPr>
          <w:rFonts w:eastAsia="Segoe UI" w:cstheme="minorHAnsi"/>
          <w:color w:val="011A3C"/>
          <w:lang w:val="en" w:eastAsia="en-AU"/>
        </w:rPr>
      </w:pPr>
      <w:r w:rsidRPr="00260C1D">
        <w:rPr>
          <w:rFonts w:eastAsia="Segoe UI" w:cstheme="minorHAnsi"/>
          <w:color w:val="011A3C"/>
          <w:lang w:val="en" w:eastAsia="en-AU"/>
        </w:rPr>
        <w:t xml:space="preserve">Disability </w:t>
      </w:r>
    </w:p>
    <w:p w14:paraId="3EE0A6B0" w14:textId="0EA081BC" w:rsidR="004449F8" w:rsidRPr="00260C1D" w:rsidRDefault="004449F8" w:rsidP="00F56244">
      <w:pPr>
        <w:numPr>
          <w:ilvl w:val="0"/>
          <w:numId w:val="2"/>
        </w:numPr>
        <w:spacing w:before="100" w:beforeAutospacing="1" w:after="100" w:afterAutospacing="1" w:line="360" w:lineRule="atLeast"/>
        <w:rPr>
          <w:rFonts w:eastAsia="Segoe UI" w:cstheme="minorHAnsi"/>
          <w:color w:val="011A3C"/>
          <w:lang w:val="en" w:eastAsia="en-AU"/>
        </w:rPr>
      </w:pPr>
      <w:r w:rsidRPr="00260C1D">
        <w:rPr>
          <w:rFonts w:eastAsia="Segoe UI" w:cstheme="minorHAnsi"/>
          <w:color w:val="011A3C"/>
          <w:lang w:val="en" w:eastAsia="en-AU"/>
        </w:rPr>
        <w:t>Spec Dev</w:t>
      </w:r>
    </w:p>
    <w:p w14:paraId="75AA707D" w14:textId="51255B97" w:rsidR="00DD3790" w:rsidRPr="00260C1D" w:rsidRDefault="00DD3790" w:rsidP="00F56244">
      <w:pPr>
        <w:numPr>
          <w:ilvl w:val="0"/>
          <w:numId w:val="2"/>
        </w:numPr>
        <w:spacing w:before="100" w:beforeAutospacing="1" w:after="100" w:afterAutospacing="1" w:line="360" w:lineRule="atLeast"/>
        <w:rPr>
          <w:rFonts w:eastAsia="Segoe UI" w:cstheme="minorHAnsi"/>
          <w:color w:val="011A3C"/>
          <w:lang w:val="en" w:eastAsia="en-AU"/>
        </w:rPr>
      </w:pPr>
      <w:r w:rsidRPr="00260C1D">
        <w:rPr>
          <w:rFonts w:eastAsia="Segoe UI" w:cstheme="minorHAnsi"/>
          <w:color w:val="011A3C"/>
          <w:lang w:val="en" w:eastAsia="en-AU"/>
        </w:rPr>
        <w:t>English Language</w:t>
      </w:r>
    </w:p>
    <w:p w14:paraId="620E7F6B" w14:textId="36E27D7F" w:rsidR="002F58F8" w:rsidRPr="00260C1D" w:rsidRDefault="002F58F8" w:rsidP="003D6624">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Funding is calculated at the Indicative, Confirmed and Revised </w:t>
      </w:r>
      <w:r w:rsidR="00DD3790" w:rsidRPr="00260C1D">
        <w:rPr>
          <w:rFonts w:eastAsia="Segoe UI" w:cstheme="minorHAnsi"/>
          <w:color w:val="011A3C"/>
          <w:sz w:val="24"/>
          <w:szCs w:val="24"/>
          <w:lang w:val="en" w:eastAsia="en-AU"/>
        </w:rPr>
        <w:t>cycles</w:t>
      </w:r>
      <w:r w:rsidR="003B3919">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3B3919">
        <w:rPr>
          <w:rFonts w:eastAsia="Segoe UI" w:cstheme="minorHAnsi"/>
          <w:color w:val="011A3C"/>
          <w:sz w:val="24"/>
          <w:szCs w:val="24"/>
          <w:lang w:val="en" w:eastAsia="en-AU"/>
        </w:rPr>
        <w:t>F</w:t>
      </w:r>
      <w:r w:rsidRPr="00260C1D">
        <w:rPr>
          <w:rFonts w:eastAsia="Segoe UI" w:cstheme="minorHAnsi"/>
          <w:color w:val="011A3C"/>
          <w:sz w:val="24"/>
          <w:szCs w:val="24"/>
          <w:lang w:val="en" w:eastAsia="en-AU"/>
        </w:rPr>
        <w:t xml:space="preserve">unding is </w:t>
      </w:r>
      <w:r w:rsidR="003B3919">
        <w:rPr>
          <w:rFonts w:eastAsia="Segoe UI" w:cstheme="minorHAnsi"/>
          <w:color w:val="011A3C"/>
          <w:sz w:val="24"/>
          <w:szCs w:val="24"/>
          <w:lang w:val="en" w:eastAsia="en-AU"/>
        </w:rPr>
        <w:t>allocated</w:t>
      </w:r>
      <w:r w:rsidRPr="00260C1D">
        <w:rPr>
          <w:rFonts w:eastAsia="Segoe UI" w:cstheme="minorHAnsi"/>
          <w:color w:val="011A3C"/>
          <w:sz w:val="24"/>
          <w:szCs w:val="24"/>
          <w:lang w:val="en" w:eastAsia="en-AU"/>
        </w:rPr>
        <w:t xml:space="preserve"> through cash funding.</w:t>
      </w:r>
    </w:p>
    <w:p w14:paraId="34C93594" w14:textId="29F5333A" w:rsidR="002F58F8" w:rsidRPr="00260C1D" w:rsidRDefault="00543F1A" w:rsidP="002F58F8">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 xml:space="preserve">Funding </w:t>
      </w:r>
      <w:r w:rsidR="000B1E45">
        <w:rPr>
          <w:rFonts w:eastAsia="Segoe UI" w:cstheme="minorHAnsi"/>
          <w:b/>
          <w:color w:val="011A3C"/>
          <w:sz w:val="27"/>
          <w:szCs w:val="27"/>
          <w:lang w:val="en" w:eastAsia="en-AU"/>
        </w:rPr>
        <w:t>a</w:t>
      </w:r>
      <w:r w:rsidRPr="00260C1D">
        <w:rPr>
          <w:rFonts w:eastAsia="Segoe UI" w:cstheme="minorHAnsi"/>
          <w:b/>
          <w:color w:val="011A3C"/>
          <w:sz w:val="27"/>
          <w:szCs w:val="27"/>
          <w:lang w:val="en" w:eastAsia="en-AU"/>
        </w:rPr>
        <w:t>llocation</w:t>
      </w:r>
    </w:p>
    <w:p w14:paraId="2619337A" w14:textId="251BDDD3" w:rsidR="002F58F8" w:rsidRPr="00614B09" w:rsidRDefault="002F58F8" w:rsidP="002F58F8">
      <w:pPr>
        <w:spacing w:before="100" w:beforeAutospacing="1" w:after="100" w:afterAutospacing="1" w:line="288" w:lineRule="atLeast"/>
        <w:outlineLvl w:val="3"/>
        <w:rPr>
          <w:rFonts w:eastAsia="Segoe UI" w:cstheme="minorHAnsi"/>
          <w:b/>
          <w:color w:val="011A3C"/>
          <w:sz w:val="24"/>
          <w:szCs w:val="24"/>
          <w:lang w:val="en" w:eastAsia="en-AU"/>
        </w:rPr>
      </w:pPr>
      <w:r w:rsidRPr="00614B09">
        <w:rPr>
          <w:rFonts w:eastAsia="Segoe UI" w:cstheme="minorHAnsi"/>
          <w:b/>
          <w:color w:val="011A3C"/>
          <w:sz w:val="24"/>
          <w:szCs w:val="24"/>
          <w:lang w:val="en" w:eastAsia="en-AU"/>
        </w:rPr>
        <w:t>Primary and Primary</w:t>
      </w:r>
      <w:r w:rsidR="002A7953" w:rsidRPr="00614B09">
        <w:rPr>
          <w:rFonts w:eastAsia="Segoe UI" w:cstheme="minorHAnsi"/>
          <w:b/>
          <w:color w:val="011A3C"/>
          <w:sz w:val="24"/>
          <w:szCs w:val="24"/>
          <w:lang w:val="en" w:eastAsia="en-AU"/>
        </w:rPr>
        <w:t>/</w:t>
      </w:r>
      <w:r w:rsidRPr="00614B09">
        <w:rPr>
          <w:rFonts w:eastAsia="Segoe UI" w:cstheme="minorHAnsi"/>
          <w:b/>
          <w:color w:val="011A3C"/>
          <w:sz w:val="24"/>
          <w:szCs w:val="24"/>
          <w:lang w:val="en" w:eastAsia="en-AU"/>
        </w:rPr>
        <w:t xml:space="preserve">Secondary </w:t>
      </w:r>
      <w:r w:rsidR="002A7953" w:rsidRPr="00614B09">
        <w:rPr>
          <w:rFonts w:eastAsia="Segoe UI" w:cstheme="minorHAnsi"/>
          <w:b/>
          <w:color w:val="011A3C"/>
          <w:sz w:val="24"/>
          <w:szCs w:val="24"/>
          <w:lang w:val="en" w:eastAsia="en-AU"/>
        </w:rPr>
        <w:t>s</w:t>
      </w:r>
      <w:r w:rsidRPr="00614B09">
        <w:rPr>
          <w:rFonts w:eastAsia="Segoe UI" w:cstheme="minorHAnsi"/>
          <w:b/>
          <w:color w:val="011A3C"/>
          <w:sz w:val="24"/>
          <w:szCs w:val="24"/>
          <w:lang w:val="en" w:eastAsia="en-AU"/>
        </w:rPr>
        <w:t>chools</w:t>
      </w:r>
    </w:p>
    <w:p w14:paraId="2FD89874" w14:textId="77777777" w:rsidR="002F58F8" w:rsidRPr="00260C1D" w:rsidRDefault="002F58F8" w:rsidP="002F58F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allocated based on the number of Year 6 enrolments.</w:t>
      </w:r>
    </w:p>
    <w:p w14:paraId="235D5868" w14:textId="3919B235" w:rsidR="002F58F8" w:rsidRPr="00260C1D" w:rsidRDefault="002F58F8" w:rsidP="002F58F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w:t>
      </w:r>
      <w:r w:rsidR="00124D88">
        <w:rPr>
          <w:rFonts w:eastAsia="Segoe UI" w:cstheme="minorHAnsi"/>
          <w:color w:val="011A3C"/>
          <w:sz w:val="24"/>
          <w:szCs w:val="24"/>
          <w:lang w:val="en" w:eastAsia="en-AU"/>
        </w:rPr>
        <w:t>can</w:t>
      </w:r>
      <w:r w:rsidRPr="00260C1D">
        <w:rPr>
          <w:rFonts w:eastAsia="Segoe UI" w:cstheme="minorHAnsi"/>
          <w:color w:val="011A3C"/>
          <w:sz w:val="24"/>
          <w:szCs w:val="24"/>
          <w:lang w:val="en" w:eastAsia="en-AU"/>
        </w:rPr>
        <w:t xml:space="preserve"> use the funding to support program provision at any year level.</w:t>
      </w:r>
    </w:p>
    <w:p w14:paraId="4F156572" w14:textId="1AC8DB16" w:rsidR="002F58F8" w:rsidRPr="00614B09" w:rsidRDefault="002F58F8" w:rsidP="002F58F8">
      <w:pPr>
        <w:spacing w:before="100" w:beforeAutospacing="1" w:after="100" w:afterAutospacing="1" w:line="288" w:lineRule="atLeast"/>
        <w:outlineLvl w:val="3"/>
        <w:rPr>
          <w:rFonts w:eastAsia="Segoe UI" w:cstheme="minorHAnsi"/>
          <w:b/>
          <w:color w:val="011A3C"/>
          <w:sz w:val="24"/>
          <w:szCs w:val="24"/>
          <w:lang w:val="en" w:eastAsia="en-AU"/>
        </w:rPr>
      </w:pPr>
      <w:r w:rsidRPr="00614B09">
        <w:rPr>
          <w:rFonts w:eastAsia="Segoe UI" w:cstheme="minorHAnsi"/>
          <w:b/>
          <w:color w:val="011A3C"/>
          <w:sz w:val="24"/>
          <w:szCs w:val="24"/>
          <w:lang w:val="en" w:eastAsia="en-AU"/>
        </w:rPr>
        <w:t>Specialist Schools</w:t>
      </w:r>
      <w:r w:rsidR="00DD3790" w:rsidRPr="00614B09">
        <w:rPr>
          <w:rFonts w:eastAsia="Segoe UI" w:cstheme="minorHAnsi"/>
          <w:b/>
          <w:color w:val="011A3C"/>
          <w:sz w:val="24"/>
          <w:szCs w:val="24"/>
          <w:lang w:val="en" w:eastAsia="en-AU"/>
        </w:rPr>
        <w:t xml:space="preserve"> and English Language schools</w:t>
      </w:r>
    </w:p>
    <w:p w14:paraId="02E1B430" w14:textId="77777777" w:rsidR="002F58F8" w:rsidRPr="00260C1D" w:rsidRDefault="002F58F8" w:rsidP="002F58F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allocated based on the number of enrolments. </w:t>
      </w:r>
    </w:p>
    <w:p w14:paraId="27CA4CE3" w14:textId="29D66AD4" w:rsidR="002F58F8" w:rsidRPr="00260C1D" w:rsidRDefault="002F58F8" w:rsidP="002F58F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 xml:space="preserve">Schools </w:t>
      </w:r>
      <w:r w:rsidR="00124D88">
        <w:rPr>
          <w:rFonts w:eastAsia="Segoe UI" w:cstheme="minorHAnsi"/>
          <w:color w:val="011A3C"/>
          <w:sz w:val="24"/>
          <w:szCs w:val="24"/>
          <w:lang w:val="en" w:eastAsia="en-AU"/>
        </w:rPr>
        <w:t>can</w:t>
      </w:r>
      <w:r w:rsidRPr="00260C1D">
        <w:rPr>
          <w:rFonts w:eastAsia="Segoe UI" w:cstheme="minorHAnsi"/>
          <w:color w:val="011A3C"/>
          <w:sz w:val="24"/>
          <w:szCs w:val="24"/>
          <w:lang w:val="en" w:eastAsia="en-AU"/>
        </w:rPr>
        <w:t xml:space="preserve"> use the funding to support program provision at any year level.</w:t>
      </w:r>
    </w:p>
    <w:p w14:paraId="16F463D5" w14:textId="67642799" w:rsidR="002F58F8" w:rsidRPr="00260C1D" w:rsidRDefault="002F58F8" w:rsidP="002F58F8">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 xml:space="preserve">Rates </w:t>
      </w:r>
    </w:p>
    <w:p w14:paraId="38A691CF" w14:textId="11C9594B" w:rsidR="002F58F8" w:rsidRPr="00260C1D" w:rsidRDefault="002F58F8" w:rsidP="002F58F8">
      <w:pPr>
        <w:spacing w:before="100" w:beforeAutospacing="1" w:after="100" w:afterAutospacing="1" w:line="288" w:lineRule="atLeast"/>
        <w:outlineLvl w:val="3"/>
        <w:rPr>
          <w:rFonts w:eastAsia="Segoe UI" w:cstheme="minorHAnsi"/>
          <w:color w:val="011A3C"/>
          <w:sz w:val="24"/>
          <w:szCs w:val="24"/>
          <w:lang w:val="en" w:eastAsia="en-AU"/>
        </w:rPr>
      </w:pPr>
      <w:r w:rsidRPr="00260C1D">
        <w:rPr>
          <w:rFonts w:eastAsia="Segoe UI" w:cstheme="minorHAnsi"/>
          <w:b/>
          <w:color w:val="011A3C"/>
          <w:sz w:val="24"/>
          <w:szCs w:val="24"/>
          <w:lang w:val="en" w:eastAsia="en-AU"/>
        </w:rPr>
        <w:t xml:space="preserve">Metropolitan Victorian </w:t>
      </w:r>
      <w:r w:rsidR="006B1995">
        <w:rPr>
          <w:rFonts w:eastAsia="Segoe UI" w:cstheme="minorHAnsi"/>
          <w:b/>
          <w:color w:val="011A3C"/>
          <w:sz w:val="24"/>
          <w:szCs w:val="24"/>
          <w:lang w:val="en" w:eastAsia="en-AU"/>
        </w:rPr>
        <w:t>g</w:t>
      </w:r>
      <w:r w:rsidRPr="00260C1D">
        <w:rPr>
          <w:rFonts w:eastAsia="Segoe UI" w:cstheme="minorHAnsi"/>
          <w:b/>
          <w:color w:val="011A3C"/>
          <w:sz w:val="24"/>
          <w:szCs w:val="24"/>
          <w:lang w:val="en" w:eastAsia="en-AU"/>
        </w:rPr>
        <w:t xml:space="preserve">overnment </w:t>
      </w:r>
      <w:r w:rsidR="006B1995">
        <w:rPr>
          <w:rFonts w:eastAsia="Segoe UI" w:cstheme="minorHAnsi"/>
          <w:b/>
          <w:color w:val="011A3C"/>
          <w:sz w:val="24"/>
          <w:szCs w:val="24"/>
          <w:lang w:val="en" w:eastAsia="en-AU"/>
        </w:rPr>
        <w:t>s</w:t>
      </w:r>
      <w:r w:rsidRPr="00260C1D">
        <w:rPr>
          <w:rFonts w:eastAsia="Segoe UI" w:cstheme="minorHAnsi"/>
          <w:b/>
          <w:color w:val="011A3C"/>
          <w:sz w:val="24"/>
          <w:szCs w:val="24"/>
          <w:lang w:val="en" w:eastAsia="en-AU"/>
        </w:rPr>
        <w:t>chools</w:t>
      </w:r>
      <w:r w:rsidRPr="00260C1D">
        <w:rPr>
          <w:rFonts w:eastAsia="Segoe UI" w:cstheme="minorHAnsi"/>
          <w:color w:val="011A3C"/>
          <w:sz w:val="24"/>
          <w:szCs w:val="24"/>
          <w:lang w:val="en" w:eastAsia="en-AU"/>
        </w:rPr>
        <w:t xml:space="preserve"> — Cash ($) </w:t>
      </w:r>
      <w:r w:rsidR="00124D88">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llocation</w:t>
      </w:r>
    </w:p>
    <w:p w14:paraId="69348B36" w14:textId="329E181B" w:rsidR="002F58F8" w:rsidRPr="00260C1D" w:rsidRDefault="006B1995" w:rsidP="00F56244">
      <w:pPr>
        <w:numPr>
          <w:ilvl w:val="0"/>
          <w:numId w:val="17"/>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Primary and Primary</w:t>
      </w:r>
      <w:r>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Secondary combined </w:t>
      </w:r>
      <w:r>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chools — </w:t>
      </w:r>
      <w:r>
        <w:rPr>
          <w:rFonts w:eastAsia="Segoe UI" w:cstheme="minorHAnsi"/>
          <w:color w:val="011A3C"/>
          <w:sz w:val="24"/>
          <w:szCs w:val="24"/>
          <w:lang w:val="en" w:eastAsia="en-AU"/>
        </w:rPr>
        <w:t>p</w:t>
      </w:r>
      <w:r w:rsidR="002F58F8" w:rsidRPr="00260C1D">
        <w:rPr>
          <w:rFonts w:eastAsia="Segoe UI" w:cstheme="minorHAnsi"/>
          <w:color w:val="011A3C"/>
          <w:sz w:val="24"/>
          <w:szCs w:val="24"/>
          <w:lang w:val="en" w:eastAsia="en-AU"/>
        </w:rPr>
        <w:t>er Year 6 student</w:t>
      </w:r>
      <w:r>
        <w:rPr>
          <w:rFonts w:eastAsia="Segoe UI" w:cstheme="minorHAnsi"/>
          <w:color w:val="011A3C"/>
          <w:sz w:val="24"/>
          <w:szCs w:val="24"/>
          <w:lang w:val="en" w:eastAsia="en-AU"/>
        </w:rPr>
        <w:t>:</w:t>
      </w:r>
      <w:r w:rsidR="002F58F8" w:rsidRPr="00260C1D">
        <w:rPr>
          <w:rFonts w:eastAsia="Segoe UI" w:cstheme="minorHAnsi"/>
          <w:color w:val="011A3C"/>
          <w:sz w:val="24"/>
          <w:szCs w:val="24"/>
          <w:lang w:val="en" w:eastAsia="en-AU"/>
        </w:rPr>
        <w:t xml:space="preserve"> $</w:t>
      </w:r>
      <w:r w:rsidR="00DD3790" w:rsidRPr="00260C1D">
        <w:rPr>
          <w:rFonts w:eastAsia="Segoe UI" w:cstheme="minorHAnsi"/>
          <w:color w:val="011A3C"/>
          <w:sz w:val="24"/>
          <w:szCs w:val="24"/>
          <w:lang w:val="en" w:eastAsia="en-AU"/>
        </w:rPr>
        <w:t>235</w:t>
      </w:r>
    </w:p>
    <w:p w14:paraId="1FCD8EBB" w14:textId="1F5C8656" w:rsidR="002F58F8" w:rsidRPr="00260C1D" w:rsidRDefault="006B1995" w:rsidP="00F56244">
      <w:pPr>
        <w:numPr>
          <w:ilvl w:val="0"/>
          <w:numId w:val="17"/>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Specialist School —</w:t>
      </w:r>
      <w:r>
        <w:rPr>
          <w:rFonts w:eastAsia="Segoe UI" w:cstheme="minorHAnsi"/>
          <w:color w:val="011A3C"/>
          <w:sz w:val="24"/>
          <w:szCs w:val="24"/>
          <w:lang w:val="en" w:eastAsia="en-AU"/>
        </w:rPr>
        <w:t xml:space="preserve"> p</w:t>
      </w:r>
      <w:r w:rsidR="002F58F8" w:rsidRPr="00260C1D">
        <w:rPr>
          <w:rFonts w:eastAsia="Segoe UI" w:cstheme="minorHAnsi"/>
          <w:color w:val="011A3C"/>
          <w:sz w:val="24"/>
          <w:szCs w:val="24"/>
          <w:lang w:val="en" w:eastAsia="en-AU"/>
        </w:rPr>
        <w:t>er student</w:t>
      </w:r>
      <w:r>
        <w:rPr>
          <w:rFonts w:eastAsia="Segoe UI" w:cstheme="minorHAnsi"/>
          <w:color w:val="011A3C"/>
          <w:sz w:val="24"/>
          <w:szCs w:val="24"/>
          <w:lang w:val="en" w:eastAsia="en-AU"/>
        </w:rPr>
        <w:t>:</w:t>
      </w:r>
      <w:r w:rsidR="002F58F8" w:rsidRPr="00260C1D">
        <w:rPr>
          <w:rFonts w:eastAsia="Segoe UI" w:cstheme="minorHAnsi"/>
          <w:color w:val="011A3C"/>
          <w:sz w:val="24"/>
          <w:szCs w:val="24"/>
          <w:lang w:val="en" w:eastAsia="en-AU"/>
        </w:rPr>
        <w:t xml:space="preserve"> $</w:t>
      </w:r>
      <w:r w:rsidR="00DD3790" w:rsidRPr="00260C1D">
        <w:rPr>
          <w:rFonts w:eastAsia="Segoe UI" w:cstheme="minorHAnsi"/>
          <w:color w:val="011A3C"/>
          <w:sz w:val="24"/>
          <w:szCs w:val="24"/>
          <w:lang w:val="en" w:eastAsia="en-AU"/>
        </w:rPr>
        <w:t>235</w:t>
      </w:r>
    </w:p>
    <w:p w14:paraId="2D296CE5" w14:textId="2E10E860" w:rsidR="00ED2F0A" w:rsidRPr="00260C1D" w:rsidRDefault="006B1995" w:rsidP="00F56244">
      <w:pPr>
        <w:pStyle w:val="ListParagraph"/>
        <w:numPr>
          <w:ilvl w:val="0"/>
          <w:numId w:val="17"/>
        </w:numPr>
        <w:rPr>
          <w:rFonts w:eastAsia="Segoe UI" w:cstheme="minorHAnsi"/>
          <w:color w:val="011A3C"/>
          <w:sz w:val="24"/>
          <w:szCs w:val="24"/>
          <w:lang w:val="en" w:eastAsia="en-AU"/>
        </w:rPr>
      </w:pPr>
      <w:r w:rsidRPr="00260C1D">
        <w:rPr>
          <w:rFonts w:eastAsia="Segoe UI" w:cstheme="minorHAnsi"/>
          <w:color w:val="011A3C"/>
          <w:sz w:val="24"/>
          <w:szCs w:val="24"/>
          <w:lang w:val="en" w:eastAsia="en-AU"/>
        </w:rPr>
        <w:t>English Language School —</w:t>
      </w:r>
      <w:r>
        <w:rPr>
          <w:rFonts w:eastAsia="Segoe UI" w:cstheme="minorHAnsi"/>
          <w:color w:val="011A3C"/>
          <w:sz w:val="24"/>
          <w:szCs w:val="24"/>
          <w:lang w:val="en" w:eastAsia="en-AU"/>
        </w:rPr>
        <w:t xml:space="preserve"> p</w:t>
      </w:r>
      <w:r w:rsidR="00ED2F0A" w:rsidRPr="00260C1D">
        <w:rPr>
          <w:rFonts w:eastAsia="Segoe UI" w:cstheme="minorHAnsi"/>
          <w:color w:val="011A3C"/>
          <w:sz w:val="24"/>
          <w:szCs w:val="24"/>
          <w:lang w:val="en" w:eastAsia="en-AU"/>
        </w:rPr>
        <w:t>er student</w:t>
      </w:r>
      <w:r>
        <w:rPr>
          <w:rFonts w:eastAsia="Segoe UI" w:cstheme="minorHAnsi"/>
          <w:color w:val="011A3C"/>
          <w:sz w:val="24"/>
          <w:szCs w:val="24"/>
          <w:lang w:val="en" w:eastAsia="en-AU"/>
        </w:rPr>
        <w:t>:</w:t>
      </w:r>
      <w:r w:rsidR="00ED2F0A" w:rsidRPr="00260C1D">
        <w:rPr>
          <w:rFonts w:eastAsia="Segoe UI" w:cstheme="minorHAnsi"/>
          <w:color w:val="011A3C"/>
          <w:sz w:val="24"/>
          <w:szCs w:val="24"/>
          <w:lang w:val="en" w:eastAsia="en-AU"/>
        </w:rPr>
        <w:t xml:space="preserve"> $235</w:t>
      </w:r>
    </w:p>
    <w:p w14:paraId="2BE955EE" w14:textId="67B16994" w:rsidR="002F58F8" w:rsidRPr="00260C1D" w:rsidRDefault="002F58F8" w:rsidP="002F58F8">
      <w:pPr>
        <w:spacing w:before="100" w:beforeAutospacing="1" w:after="100" w:afterAutospacing="1" w:line="288" w:lineRule="atLeast"/>
        <w:outlineLvl w:val="3"/>
        <w:rPr>
          <w:rFonts w:eastAsia="Segoe UI" w:cstheme="minorHAnsi"/>
          <w:color w:val="011A3C"/>
          <w:sz w:val="24"/>
          <w:szCs w:val="24"/>
          <w:lang w:val="en" w:eastAsia="en-AU"/>
        </w:rPr>
      </w:pPr>
      <w:r w:rsidRPr="00260C1D">
        <w:rPr>
          <w:rFonts w:eastAsia="Segoe UI" w:cstheme="minorHAnsi"/>
          <w:b/>
          <w:color w:val="011A3C"/>
          <w:sz w:val="24"/>
          <w:szCs w:val="24"/>
          <w:lang w:val="en" w:eastAsia="en-AU"/>
        </w:rPr>
        <w:t xml:space="preserve">Regional Victorian </w:t>
      </w:r>
      <w:r w:rsidR="006B1995">
        <w:rPr>
          <w:rFonts w:eastAsia="Segoe UI" w:cstheme="minorHAnsi"/>
          <w:b/>
          <w:color w:val="011A3C"/>
          <w:sz w:val="24"/>
          <w:szCs w:val="24"/>
          <w:lang w:val="en" w:eastAsia="en-AU"/>
        </w:rPr>
        <w:t>g</w:t>
      </w:r>
      <w:r w:rsidRPr="00260C1D">
        <w:rPr>
          <w:rFonts w:eastAsia="Segoe UI" w:cstheme="minorHAnsi"/>
          <w:b/>
          <w:color w:val="011A3C"/>
          <w:sz w:val="24"/>
          <w:szCs w:val="24"/>
          <w:lang w:val="en" w:eastAsia="en-AU"/>
        </w:rPr>
        <w:t xml:space="preserve">overnment </w:t>
      </w:r>
      <w:r w:rsidR="006B1995">
        <w:rPr>
          <w:rFonts w:eastAsia="Segoe UI" w:cstheme="minorHAnsi"/>
          <w:b/>
          <w:color w:val="011A3C"/>
          <w:sz w:val="24"/>
          <w:szCs w:val="24"/>
          <w:lang w:val="en" w:eastAsia="en-AU"/>
        </w:rPr>
        <w:t>s</w:t>
      </w:r>
      <w:r w:rsidRPr="00260C1D">
        <w:rPr>
          <w:rFonts w:eastAsia="Segoe UI" w:cstheme="minorHAnsi"/>
          <w:b/>
          <w:color w:val="011A3C"/>
          <w:sz w:val="24"/>
          <w:szCs w:val="24"/>
          <w:lang w:val="en" w:eastAsia="en-AU"/>
        </w:rPr>
        <w:t>chools</w:t>
      </w:r>
      <w:r w:rsidRPr="00260C1D">
        <w:rPr>
          <w:rFonts w:eastAsia="Segoe UI" w:cstheme="minorHAnsi"/>
          <w:color w:val="011A3C"/>
          <w:sz w:val="24"/>
          <w:szCs w:val="24"/>
          <w:lang w:val="en" w:eastAsia="en-AU"/>
        </w:rPr>
        <w:t xml:space="preserve"> — Cash ($) </w:t>
      </w:r>
      <w:r w:rsidR="00124D88">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llocation</w:t>
      </w:r>
    </w:p>
    <w:p w14:paraId="31925591" w14:textId="67DD0F47" w:rsidR="002F58F8" w:rsidRPr="00260C1D" w:rsidRDefault="006B1995" w:rsidP="00F56244">
      <w:pPr>
        <w:numPr>
          <w:ilvl w:val="0"/>
          <w:numId w:val="1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Primary and Primary</w:t>
      </w:r>
      <w:r>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Secondary combined </w:t>
      </w:r>
      <w:r>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chools —</w:t>
      </w:r>
      <w:r>
        <w:rPr>
          <w:rFonts w:eastAsia="Segoe UI" w:cstheme="minorHAnsi"/>
          <w:color w:val="011A3C"/>
          <w:sz w:val="24"/>
          <w:szCs w:val="24"/>
          <w:lang w:val="en" w:eastAsia="en-AU"/>
        </w:rPr>
        <w:t xml:space="preserve"> p</w:t>
      </w:r>
      <w:r w:rsidR="002F58F8" w:rsidRPr="00260C1D">
        <w:rPr>
          <w:rFonts w:eastAsia="Segoe UI" w:cstheme="minorHAnsi"/>
          <w:color w:val="011A3C"/>
          <w:sz w:val="24"/>
          <w:szCs w:val="24"/>
          <w:lang w:val="en" w:eastAsia="en-AU"/>
        </w:rPr>
        <w:t>er Year 6 student</w:t>
      </w:r>
      <w:r>
        <w:rPr>
          <w:rFonts w:eastAsia="Segoe UI" w:cstheme="minorHAnsi"/>
          <w:color w:val="011A3C"/>
          <w:sz w:val="24"/>
          <w:szCs w:val="24"/>
          <w:lang w:val="en" w:eastAsia="en-AU"/>
        </w:rPr>
        <w:t>:</w:t>
      </w:r>
      <w:r w:rsidR="002F58F8" w:rsidRPr="00260C1D">
        <w:rPr>
          <w:rFonts w:eastAsia="Segoe UI" w:cstheme="minorHAnsi"/>
          <w:color w:val="011A3C"/>
          <w:sz w:val="24"/>
          <w:szCs w:val="24"/>
          <w:lang w:val="en" w:eastAsia="en-AU"/>
        </w:rPr>
        <w:t xml:space="preserve"> $</w:t>
      </w:r>
      <w:r w:rsidR="00DD3790" w:rsidRPr="00260C1D">
        <w:rPr>
          <w:rFonts w:eastAsia="Segoe UI" w:cstheme="minorHAnsi"/>
          <w:color w:val="011A3C"/>
          <w:sz w:val="24"/>
          <w:szCs w:val="24"/>
          <w:lang w:val="en" w:eastAsia="en-AU"/>
        </w:rPr>
        <w:t>270</w:t>
      </w:r>
    </w:p>
    <w:p w14:paraId="55E967CD" w14:textId="4137C5B8" w:rsidR="002F58F8" w:rsidRPr="00260C1D" w:rsidRDefault="006B1995" w:rsidP="00F56244">
      <w:pPr>
        <w:numPr>
          <w:ilvl w:val="0"/>
          <w:numId w:val="1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Specialist School — </w:t>
      </w:r>
      <w:r>
        <w:rPr>
          <w:rFonts w:eastAsia="Segoe UI" w:cstheme="minorHAnsi"/>
          <w:color w:val="011A3C"/>
          <w:sz w:val="24"/>
          <w:szCs w:val="24"/>
          <w:lang w:val="en" w:eastAsia="en-AU"/>
        </w:rPr>
        <w:t>p</w:t>
      </w:r>
      <w:r w:rsidR="002F58F8" w:rsidRPr="00260C1D">
        <w:rPr>
          <w:rFonts w:eastAsia="Segoe UI" w:cstheme="minorHAnsi"/>
          <w:color w:val="011A3C"/>
          <w:sz w:val="24"/>
          <w:szCs w:val="24"/>
          <w:lang w:val="en" w:eastAsia="en-AU"/>
        </w:rPr>
        <w:t>er student</w:t>
      </w:r>
      <w:r>
        <w:rPr>
          <w:rFonts w:eastAsia="Segoe UI" w:cstheme="minorHAnsi"/>
          <w:color w:val="011A3C"/>
          <w:sz w:val="24"/>
          <w:szCs w:val="24"/>
          <w:lang w:val="en" w:eastAsia="en-AU"/>
        </w:rPr>
        <w:t>:</w:t>
      </w:r>
      <w:r w:rsidR="002F58F8" w:rsidRPr="00260C1D">
        <w:rPr>
          <w:rFonts w:eastAsia="Segoe UI" w:cstheme="minorHAnsi"/>
          <w:color w:val="011A3C"/>
          <w:sz w:val="24"/>
          <w:szCs w:val="24"/>
          <w:lang w:val="en" w:eastAsia="en-AU"/>
        </w:rPr>
        <w:t xml:space="preserve"> $</w:t>
      </w:r>
      <w:r w:rsidR="00DD3790" w:rsidRPr="00260C1D">
        <w:rPr>
          <w:rFonts w:eastAsia="Segoe UI" w:cstheme="minorHAnsi"/>
          <w:color w:val="011A3C"/>
          <w:sz w:val="24"/>
          <w:szCs w:val="24"/>
          <w:lang w:val="en" w:eastAsia="en-AU"/>
        </w:rPr>
        <w:t>270</w:t>
      </w:r>
    </w:p>
    <w:p w14:paraId="4231E233" w14:textId="6C85AF6E" w:rsidR="00DD3790" w:rsidRDefault="006B1995" w:rsidP="00F56244">
      <w:pPr>
        <w:numPr>
          <w:ilvl w:val="0"/>
          <w:numId w:val="18"/>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English Language School —</w:t>
      </w:r>
      <w:r>
        <w:rPr>
          <w:rFonts w:eastAsia="Segoe UI" w:cstheme="minorHAnsi"/>
          <w:color w:val="011A3C"/>
          <w:sz w:val="24"/>
          <w:szCs w:val="24"/>
          <w:lang w:val="en" w:eastAsia="en-AU"/>
        </w:rPr>
        <w:t xml:space="preserve"> p</w:t>
      </w:r>
      <w:r w:rsidR="00DD3790" w:rsidRPr="00260C1D">
        <w:rPr>
          <w:rFonts w:eastAsia="Segoe UI" w:cstheme="minorHAnsi"/>
          <w:color w:val="011A3C"/>
          <w:sz w:val="24"/>
          <w:szCs w:val="24"/>
          <w:lang w:val="en" w:eastAsia="en-AU"/>
        </w:rPr>
        <w:t>er student</w:t>
      </w:r>
      <w:r>
        <w:rPr>
          <w:rFonts w:eastAsia="Segoe UI" w:cstheme="minorHAnsi"/>
          <w:color w:val="011A3C"/>
          <w:sz w:val="24"/>
          <w:szCs w:val="24"/>
          <w:lang w:val="en" w:eastAsia="en-AU"/>
        </w:rPr>
        <w:t>:</w:t>
      </w:r>
      <w:r w:rsidR="00DD3790" w:rsidRPr="00260C1D">
        <w:rPr>
          <w:rFonts w:eastAsia="Segoe UI" w:cstheme="minorHAnsi"/>
          <w:color w:val="011A3C"/>
          <w:sz w:val="24"/>
          <w:szCs w:val="24"/>
          <w:lang w:val="en" w:eastAsia="en-AU"/>
        </w:rPr>
        <w:t xml:space="preserve"> $270</w:t>
      </w:r>
    </w:p>
    <w:p w14:paraId="7DDC957E" w14:textId="77777777" w:rsidR="004C787D" w:rsidRPr="009A0DE4" w:rsidRDefault="004C787D" w:rsidP="004C787D">
      <w:pPr>
        <w:spacing w:before="100" w:beforeAutospacing="1" w:after="100" w:afterAutospacing="1" w:line="288" w:lineRule="atLeast"/>
        <w:outlineLvl w:val="2"/>
        <w:rPr>
          <w:rFonts w:eastAsia="Segoe UI" w:cstheme="minorHAnsi"/>
          <w:b/>
          <w:color w:val="011A3C"/>
          <w:sz w:val="27"/>
          <w:szCs w:val="27"/>
          <w:lang w:val="en" w:eastAsia="en-AU"/>
        </w:rPr>
      </w:pPr>
      <w:r w:rsidRPr="009A0DE4">
        <w:rPr>
          <w:rFonts w:eastAsia="Segoe UI" w:cstheme="minorHAnsi"/>
          <w:b/>
          <w:color w:val="011A3C"/>
          <w:sz w:val="27"/>
          <w:szCs w:val="27"/>
          <w:lang w:val="en" w:eastAsia="en-AU"/>
        </w:rPr>
        <w:t>2024 top-up</w:t>
      </w:r>
    </w:p>
    <w:p w14:paraId="125FEF33" w14:textId="77777777" w:rsidR="004C787D" w:rsidRPr="009A0DE4" w:rsidRDefault="004C787D" w:rsidP="004C787D">
      <w:pPr>
        <w:spacing w:before="100" w:beforeAutospacing="1" w:after="100" w:afterAutospacing="1" w:line="360" w:lineRule="atLeast"/>
        <w:rPr>
          <w:rFonts w:eastAsia="Segoe UI" w:cstheme="minorHAnsi"/>
          <w:color w:val="011A3C"/>
          <w:sz w:val="24"/>
          <w:szCs w:val="24"/>
          <w:lang w:val="en" w:eastAsia="en-AU"/>
        </w:rPr>
      </w:pPr>
      <w:r w:rsidRPr="009A0DE4">
        <w:rPr>
          <w:rFonts w:eastAsia="Segoe UI" w:cstheme="minorHAnsi"/>
          <w:color w:val="011A3C"/>
          <w:sz w:val="24"/>
          <w:szCs w:val="24"/>
          <w:lang w:val="en" w:eastAsia="en-AU"/>
        </w:rPr>
        <w:t>An offline payment has been made to eligible schools for 2024 only, as a one-off Swimming in Schools funding top-up is being provided to:</w:t>
      </w:r>
    </w:p>
    <w:p w14:paraId="05683BA4" w14:textId="0BD49CB0" w:rsidR="004C787D" w:rsidRPr="009A0DE4" w:rsidRDefault="004C787D" w:rsidP="004C787D">
      <w:pPr>
        <w:pStyle w:val="ListParagraph"/>
        <w:numPr>
          <w:ilvl w:val="0"/>
          <w:numId w:val="188"/>
        </w:numPr>
        <w:spacing w:before="100" w:beforeAutospacing="1" w:after="100" w:afterAutospacing="1" w:line="360" w:lineRule="atLeast"/>
        <w:rPr>
          <w:rFonts w:eastAsia="Segoe UI" w:cstheme="minorHAnsi"/>
          <w:color w:val="011A3C"/>
          <w:sz w:val="24"/>
          <w:szCs w:val="24"/>
          <w:lang w:val="en" w:eastAsia="en-AU"/>
        </w:rPr>
      </w:pPr>
      <w:r w:rsidRPr="009A0DE4">
        <w:rPr>
          <w:rFonts w:eastAsia="Segoe UI" w:cstheme="minorHAnsi"/>
          <w:color w:val="011A3C"/>
          <w:sz w:val="24"/>
          <w:szCs w:val="24"/>
          <w:lang w:val="en" w:eastAsia="en-AU"/>
        </w:rPr>
        <w:t>very small schools who have less than 10 year 6 students</w:t>
      </w:r>
    </w:p>
    <w:p w14:paraId="0AC4BA54" w14:textId="38016AB0" w:rsidR="004C787D" w:rsidRPr="009A0DE4" w:rsidRDefault="004C787D" w:rsidP="004C787D">
      <w:pPr>
        <w:pStyle w:val="ListParagraph"/>
        <w:numPr>
          <w:ilvl w:val="0"/>
          <w:numId w:val="188"/>
        </w:numPr>
        <w:spacing w:before="100" w:beforeAutospacing="1" w:after="100" w:afterAutospacing="1" w:line="360" w:lineRule="atLeast"/>
        <w:rPr>
          <w:rFonts w:eastAsia="Segoe UI" w:cstheme="minorHAnsi"/>
          <w:color w:val="011A3C"/>
          <w:sz w:val="24"/>
          <w:szCs w:val="24"/>
          <w:lang w:val="en" w:eastAsia="en-AU"/>
        </w:rPr>
      </w:pPr>
      <w:r w:rsidRPr="009A0DE4">
        <w:rPr>
          <w:rFonts w:eastAsia="Segoe UI" w:cstheme="minorHAnsi"/>
          <w:color w:val="011A3C"/>
          <w:sz w:val="24"/>
          <w:szCs w:val="24"/>
          <w:lang w:val="en" w:eastAsia="en-AU"/>
        </w:rPr>
        <w:t xml:space="preserve">new schools whose year 6 numbers are less than </w:t>
      </w:r>
      <w:r w:rsidR="00D8743E">
        <w:rPr>
          <w:rFonts w:eastAsia="Segoe UI" w:cstheme="minorHAnsi"/>
          <w:color w:val="011A3C"/>
          <w:sz w:val="24"/>
          <w:szCs w:val="24"/>
          <w:lang w:val="en" w:eastAsia="en-AU"/>
        </w:rPr>
        <w:t>one-seventh</w:t>
      </w:r>
      <w:r w:rsidRPr="009A0DE4">
        <w:rPr>
          <w:rFonts w:eastAsia="Segoe UI" w:cstheme="minorHAnsi"/>
          <w:color w:val="011A3C"/>
          <w:sz w:val="24"/>
          <w:szCs w:val="24"/>
          <w:lang w:val="en" w:eastAsia="en-AU"/>
        </w:rPr>
        <w:t xml:space="preserve"> of their school population.</w:t>
      </w:r>
    </w:p>
    <w:p w14:paraId="24F95740" w14:textId="2835FBC3" w:rsidR="004C787D" w:rsidRPr="00260C1D" w:rsidRDefault="004C787D" w:rsidP="002019B6">
      <w:pPr>
        <w:spacing w:before="100" w:beforeAutospacing="1" w:after="100" w:afterAutospacing="1" w:line="360" w:lineRule="atLeast"/>
        <w:rPr>
          <w:rFonts w:eastAsia="Segoe UI" w:cstheme="minorHAnsi"/>
          <w:color w:val="011A3C"/>
          <w:sz w:val="24"/>
          <w:szCs w:val="24"/>
          <w:lang w:val="en" w:eastAsia="en-AU"/>
        </w:rPr>
      </w:pPr>
      <w:r w:rsidRPr="009A0DE4">
        <w:rPr>
          <w:rFonts w:eastAsia="Segoe UI" w:cstheme="minorHAnsi"/>
          <w:color w:val="011A3C"/>
          <w:sz w:val="24"/>
          <w:szCs w:val="24"/>
          <w:lang w:val="en" w:eastAsia="en-AU"/>
        </w:rPr>
        <w:t xml:space="preserve">The top-up funding has been allocated in line with the ‘Rates’ section above, however it is not part of </w:t>
      </w:r>
      <w:r w:rsidR="001D553A">
        <w:rPr>
          <w:rFonts w:eastAsia="Segoe UI" w:cstheme="minorHAnsi"/>
          <w:color w:val="011A3C"/>
          <w:sz w:val="24"/>
          <w:szCs w:val="24"/>
          <w:lang w:val="en" w:eastAsia="en-AU"/>
        </w:rPr>
        <w:t xml:space="preserve">the </w:t>
      </w:r>
      <w:r w:rsidRPr="009A0DE4">
        <w:rPr>
          <w:rFonts w:eastAsia="Segoe UI" w:cstheme="minorHAnsi"/>
          <w:color w:val="011A3C"/>
          <w:sz w:val="24"/>
          <w:szCs w:val="24"/>
          <w:lang w:val="en" w:eastAsia="en-AU"/>
        </w:rPr>
        <w:t xml:space="preserve">2024 Indicative allocation released to schools at the end of Term 3, 2023. </w:t>
      </w:r>
      <w:r w:rsidR="001D553A">
        <w:rPr>
          <w:rFonts w:eastAsia="Segoe UI" w:cstheme="minorHAnsi"/>
          <w:color w:val="011A3C"/>
          <w:sz w:val="24"/>
          <w:szCs w:val="24"/>
          <w:lang w:val="en" w:eastAsia="en-AU"/>
        </w:rPr>
        <w:t>Refer to</w:t>
      </w:r>
      <w:r w:rsidRPr="00F93938">
        <w:rPr>
          <w:rFonts w:eastAsia="Segoe UI" w:cstheme="minorHAnsi"/>
          <w:color w:val="011A3C"/>
          <w:sz w:val="24"/>
          <w:szCs w:val="24"/>
          <w:lang w:val="en" w:eastAsia="en-AU"/>
        </w:rPr>
        <w:t xml:space="preserve"> </w:t>
      </w:r>
      <w:r w:rsidR="001D553A">
        <w:rPr>
          <w:rFonts w:eastAsia="Segoe UI" w:cstheme="minorHAnsi"/>
          <w:color w:val="011A3C"/>
          <w:sz w:val="24"/>
          <w:szCs w:val="24"/>
          <w:lang w:val="en" w:eastAsia="en-AU"/>
        </w:rPr>
        <w:t xml:space="preserve">the </w:t>
      </w:r>
      <w:r w:rsidRPr="00F93938">
        <w:rPr>
          <w:rFonts w:eastAsia="Segoe UI" w:cstheme="minorHAnsi"/>
          <w:color w:val="011A3C"/>
          <w:sz w:val="24"/>
          <w:szCs w:val="24"/>
          <w:lang w:val="en" w:eastAsia="en-AU"/>
        </w:rPr>
        <w:t xml:space="preserve">advice </w:t>
      </w:r>
      <w:r w:rsidR="00732969">
        <w:rPr>
          <w:rFonts w:eastAsia="Segoe UI" w:cstheme="minorHAnsi"/>
          <w:color w:val="011A3C"/>
          <w:sz w:val="24"/>
          <w:szCs w:val="24"/>
          <w:lang w:val="en" w:eastAsia="en-AU"/>
        </w:rPr>
        <w:t xml:space="preserve">on </w:t>
      </w:r>
      <w:hyperlink r:id="rId191" w:history="1">
        <w:r w:rsidRPr="00E34013">
          <w:rPr>
            <w:rStyle w:val="Hyperlink"/>
            <w:rFonts w:eastAsia="Segoe UI" w:cstheme="minorHAnsi"/>
            <w:sz w:val="24"/>
            <w:szCs w:val="24"/>
            <w:lang w:val="en" w:eastAsia="en-AU"/>
          </w:rPr>
          <w:t xml:space="preserve">Term 1 2024 </w:t>
        </w:r>
        <w:r w:rsidR="00E34013" w:rsidRPr="00E34013">
          <w:rPr>
            <w:rStyle w:val="Hyperlink"/>
            <w:rFonts w:eastAsia="Segoe UI" w:cstheme="minorHAnsi"/>
            <w:sz w:val="24"/>
            <w:szCs w:val="24"/>
            <w:lang w:val="en" w:eastAsia="en-AU"/>
          </w:rPr>
          <w:t>q</w:t>
        </w:r>
        <w:r w:rsidRPr="00E34013">
          <w:rPr>
            <w:rStyle w:val="Hyperlink"/>
            <w:rFonts w:eastAsia="Segoe UI" w:cstheme="minorHAnsi"/>
            <w:sz w:val="24"/>
            <w:szCs w:val="24"/>
            <w:lang w:val="en" w:eastAsia="en-AU"/>
          </w:rPr>
          <w:t xml:space="preserve">uarterly </w:t>
        </w:r>
        <w:r w:rsidR="00E34013" w:rsidRPr="00E34013">
          <w:rPr>
            <w:rStyle w:val="Hyperlink"/>
            <w:rFonts w:eastAsia="Segoe UI" w:cstheme="minorHAnsi"/>
            <w:sz w:val="24"/>
            <w:szCs w:val="24"/>
            <w:lang w:val="en" w:eastAsia="en-AU"/>
          </w:rPr>
          <w:t>c</w:t>
        </w:r>
        <w:r w:rsidRPr="00E34013">
          <w:rPr>
            <w:rStyle w:val="Hyperlink"/>
            <w:rFonts w:eastAsia="Segoe UI" w:cstheme="minorHAnsi"/>
            <w:sz w:val="24"/>
            <w:szCs w:val="24"/>
            <w:lang w:val="en" w:eastAsia="en-AU"/>
          </w:rPr>
          <w:t xml:space="preserve">ash </w:t>
        </w:r>
        <w:r w:rsidR="00E34013" w:rsidRPr="00E34013">
          <w:rPr>
            <w:rStyle w:val="Hyperlink"/>
            <w:rFonts w:eastAsia="Segoe UI" w:cstheme="minorHAnsi"/>
            <w:sz w:val="24"/>
            <w:szCs w:val="24"/>
            <w:lang w:val="en" w:eastAsia="en-AU"/>
          </w:rPr>
          <w:t>g</w:t>
        </w:r>
        <w:r w:rsidRPr="00E34013">
          <w:rPr>
            <w:rStyle w:val="Hyperlink"/>
            <w:rFonts w:eastAsia="Segoe UI" w:cstheme="minorHAnsi"/>
            <w:sz w:val="24"/>
            <w:szCs w:val="24"/>
            <w:lang w:val="en" w:eastAsia="en-AU"/>
          </w:rPr>
          <w:t>rant</w:t>
        </w:r>
        <w:r w:rsidR="00732969" w:rsidRPr="00E34013">
          <w:rPr>
            <w:rStyle w:val="Hyperlink"/>
            <w:rFonts w:eastAsia="Segoe UI" w:cstheme="minorHAnsi"/>
            <w:sz w:val="24"/>
            <w:szCs w:val="24"/>
            <w:lang w:val="en" w:eastAsia="en-AU"/>
          </w:rPr>
          <w:t>s</w:t>
        </w:r>
      </w:hyperlink>
      <w:r w:rsidRPr="00F93938">
        <w:rPr>
          <w:rFonts w:eastAsia="Segoe UI" w:cstheme="minorHAnsi"/>
          <w:color w:val="011A3C"/>
          <w:sz w:val="24"/>
          <w:szCs w:val="24"/>
          <w:lang w:val="en" w:eastAsia="en-AU"/>
        </w:rPr>
        <w:t xml:space="preserve"> for the top up allocation.</w:t>
      </w:r>
    </w:p>
    <w:p w14:paraId="7FD0C5DF" w14:textId="77777777" w:rsidR="0072498B" w:rsidRPr="00C52E4E" w:rsidRDefault="0072498B" w:rsidP="0072498B">
      <w:pPr>
        <w:spacing w:before="100" w:beforeAutospacing="1" w:after="100" w:afterAutospacing="1" w:line="288" w:lineRule="atLeast"/>
        <w:outlineLvl w:val="2"/>
        <w:rPr>
          <w:rFonts w:eastAsia="Segoe UI" w:cstheme="minorHAnsi"/>
          <w:b/>
          <w:color w:val="011A3C"/>
          <w:sz w:val="27"/>
          <w:szCs w:val="27"/>
          <w:lang w:val="en" w:eastAsia="en-AU"/>
        </w:rPr>
      </w:pPr>
      <w:bookmarkStart w:id="235" w:name="_Hlk127186804"/>
      <w:r w:rsidRPr="00C52E4E">
        <w:rPr>
          <w:rFonts w:eastAsia="Segoe UI" w:cstheme="minorHAnsi"/>
          <w:b/>
          <w:color w:val="011A3C"/>
          <w:sz w:val="27"/>
          <w:szCs w:val="27"/>
          <w:lang w:val="en" w:eastAsia="en-AU"/>
        </w:rPr>
        <w:t>Reporting in CASES21</w:t>
      </w:r>
    </w:p>
    <w:p w14:paraId="0743EA16" w14:textId="77777777" w:rsidR="0072498B" w:rsidRPr="00C52E4E" w:rsidRDefault="0072498B" w:rsidP="0072498B">
      <w:pPr>
        <w:spacing w:before="100" w:beforeAutospacing="1" w:after="100" w:afterAutospacing="1" w:line="288" w:lineRule="atLeast"/>
        <w:outlineLvl w:val="3"/>
        <w:rPr>
          <w:rFonts w:eastAsia="Segoe UI" w:cstheme="minorHAnsi"/>
          <w:color w:val="011A3C"/>
          <w:sz w:val="24"/>
          <w:szCs w:val="24"/>
          <w:lang w:val="en" w:eastAsia="en-AU"/>
        </w:rPr>
      </w:pPr>
      <w:r w:rsidRPr="00C52E4E">
        <w:rPr>
          <w:rFonts w:eastAsia="Segoe UI" w:cstheme="minorHAnsi"/>
          <w:color w:val="011A3C"/>
          <w:sz w:val="24"/>
          <w:szCs w:val="24"/>
          <w:lang w:val="en" w:eastAsia="en-AU"/>
        </w:rPr>
        <w:t>Schools must record their expenditure and student attendance information for swimming and water-safety programs in CASES21.</w:t>
      </w:r>
    </w:p>
    <w:p w14:paraId="5377FB06" w14:textId="77777777" w:rsidR="0072498B" w:rsidRPr="00C52E4E" w:rsidRDefault="0072498B" w:rsidP="0072498B">
      <w:pPr>
        <w:pStyle w:val="ListParagraph"/>
        <w:numPr>
          <w:ilvl w:val="0"/>
          <w:numId w:val="113"/>
        </w:numPr>
        <w:spacing w:before="100" w:beforeAutospacing="1" w:after="100" w:afterAutospacing="1" w:line="240" w:lineRule="auto"/>
        <w:rPr>
          <w:rFonts w:eastAsia="Segoe UI" w:cstheme="minorHAnsi"/>
          <w:color w:val="011A3C"/>
          <w:sz w:val="24"/>
          <w:szCs w:val="24"/>
          <w:lang w:val="en" w:eastAsia="en-AU"/>
        </w:rPr>
      </w:pPr>
      <w:r w:rsidRPr="00C52E4E">
        <w:rPr>
          <w:rFonts w:eastAsia="Segoe UI" w:cstheme="minorHAnsi"/>
          <w:color w:val="011A3C"/>
          <w:sz w:val="24"/>
          <w:szCs w:val="24"/>
          <w:lang w:val="en" w:eastAsia="en-AU"/>
        </w:rPr>
        <w:t>The attendance code is 620: Swimming and Water Safety Program</w:t>
      </w:r>
    </w:p>
    <w:p w14:paraId="3CE5F563" w14:textId="77777777" w:rsidR="0072498B" w:rsidRPr="00C52E4E" w:rsidRDefault="0072498B" w:rsidP="0072498B">
      <w:pPr>
        <w:pStyle w:val="ListParagraph"/>
        <w:numPr>
          <w:ilvl w:val="0"/>
          <w:numId w:val="113"/>
        </w:numPr>
        <w:spacing w:before="100" w:beforeAutospacing="1" w:after="100" w:afterAutospacing="1" w:line="240" w:lineRule="auto"/>
        <w:rPr>
          <w:rFonts w:eastAsia="Segoe UI"/>
          <w:color w:val="011A3C"/>
          <w:sz w:val="24"/>
          <w:szCs w:val="24"/>
          <w:lang w:val="en" w:eastAsia="en-AU"/>
        </w:rPr>
      </w:pPr>
      <w:r w:rsidRPr="75530DCA">
        <w:rPr>
          <w:rFonts w:eastAsia="Segoe UI"/>
          <w:color w:val="011A3C"/>
          <w:sz w:val="24"/>
          <w:szCs w:val="24"/>
          <w:lang w:val="en" w:eastAsia="en-AU"/>
        </w:rPr>
        <w:t>The financial code is 4209: Swimming in Schools</w:t>
      </w:r>
    </w:p>
    <w:bookmarkEnd w:id="235"/>
    <w:p w14:paraId="6F81C0B3" w14:textId="42B098AE" w:rsidR="7C3F031E" w:rsidRPr="00AB7A20" w:rsidRDefault="7C3F031E" w:rsidP="00AB7A20">
      <w:pPr>
        <w:spacing w:beforeAutospacing="1" w:afterAutospacing="1" w:line="240" w:lineRule="auto"/>
        <w:rPr>
          <w:rFonts w:ascii="Calibri" w:eastAsia="Calibri" w:hAnsi="Calibri" w:cs="Calibri"/>
          <w:sz w:val="24"/>
          <w:szCs w:val="24"/>
          <w:lang w:val="en"/>
        </w:rPr>
      </w:pPr>
      <w:r w:rsidRPr="00AB7A20">
        <w:rPr>
          <w:rFonts w:eastAsia="Segoe UI"/>
          <w:b/>
          <w:bCs/>
          <w:color w:val="011A3C"/>
          <w:sz w:val="24"/>
          <w:szCs w:val="24"/>
          <w:lang w:val="en" w:eastAsia="en-AU"/>
        </w:rPr>
        <w:t xml:space="preserve">Contact: </w:t>
      </w:r>
      <w:hyperlink r:id="rId192" w:history="1">
        <w:r w:rsidR="437286C9" w:rsidRPr="738305D2">
          <w:rPr>
            <w:rStyle w:val="Hyperlink"/>
            <w:rFonts w:ascii="Calibri" w:eastAsia="Calibri" w:hAnsi="Calibri" w:cs="Calibri"/>
            <w:sz w:val="24"/>
            <w:szCs w:val="24"/>
            <w:lang w:val="en"/>
          </w:rPr>
          <w:t>school.swimming@education.vic.gov.au</w:t>
        </w:r>
      </w:hyperlink>
    </w:p>
    <w:p w14:paraId="765C83D8" w14:textId="77777777" w:rsidR="000657A7" w:rsidRPr="00260C1D" w:rsidRDefault="000657A7">
      <w:pPr>
        <w:rPr>
          <w:rFonts w:eastAsia="Calibri" w:cstheme="minorHAnsi"/>
          <w:b/>
          <w:color w:val="2F5496" w:themeColor="accent1" w:themeShade="BF"/>
          <w:sz w:val="36"/>
          <w:szCs w:val="26"/>
          <w:lang w:val="en" w:eastAsia="en-AU"/>
        </w:rPr>
      </w:pPr>
      <w:r w:rsidRPr="00260C1D">
        <w:rPr>
          <w:rFonts w:cstheme="minorHAnsi"/>
        </w:rPr>
        <w:br w:type="page"/>
      </w:r>
    </w:p>
    <w:p w14:paraId="65B583A8" w14:textId="6BD8C723" w:rsidR="005D3E6F" w:rsidRPr="00260C1D" w:rsidRDefault="005D3E6F" w:rsidP="00532A33">
      <w:pPr>
        <w:pStyle w:val="Heading2"/>
      </w:pPr>
      <w:bookmarkStart w:id="236" w:name="_Toc141965287"/>
      <w:bookmarkStart w:id="237" w:name="_Toc145339615"/>
      <w:bookmarkStart w:id="238" w:name="_Toc153791938"/>
      <w:r>
        <w:lastRenderedPageBreak/>
        <w:t>Head Start (Reference 116)</w:t>
      </w:r>
      <w:bookmarkEnd w:id="236"/>
      <w:bookmarkEnd w:id="237"/>
      <w:bookmarkEnd w:id="238"/>
    </w:p>
    <w:p w14:paraId="32737818" w14:textId="284FB767" w:rsidR="00DD5BA6" w:rsidRPr="00260C1D" w:rsidRDefault="00000000" w:rsidP="00DD5BA6">
      <w:pPr>
        <w:spacing w:before="100" w:beforeAutospacing="1" w:after="100" w:afterAutospacing="1" w:line="360" w:lineRule="atLeast"/>
        <w:rPr>
          <w:rFonts w:eastAsia="Segoe UI" w:cstheme="minorHAnsi"/>
          <w:color w:val="011A3C"/>
          <w:sz w:val="24"/>
          <w:szCs w:val="24"/>
          <w:lang w:val="en" w:eastAsia="en-AU"/>
        </w:rPr>
      </w:pPr>
      <w:hyperlink r:id="rId193" w:history="1">
        <w:r w:rsidR="00DD5BA6" w:rsidRPr="00806A02">
          <w:rPr>
            <w:rStyle w:val="Hyperlink"/>
            <w:rFonts w:eastAsia="Segoe UI" w:cstheme="minorHAnsi"/>
            <w:sz w:val="24"/>
            <w:szCs w:val="24"/>
            <w:lang w:val="en" w:eastAsia="en-AU"/>
          </w:rPr>
          <w:t>Head Start</w:t>
        </w:r>
      </w:hyperlink>
      <w:r w:rsidR="00DD5BA6" w:rsidRPr="00260C1D">
        <w:rPr>
          <w:rFonts w:eastAsia="Segoe UI" w:cstheme="minorHAnsi"/>
          <w:color w:val="011A3C"/>
          <w:sz w:val="24"/>
          <w:szCs w:val="24"/>
          <w:lang w:val="en" w:eastAsia="en-AU"/>
        </w:rPr>
        <w:t xml:space="preserve"> is a</w:t>
      </w:r>
      <w:r w:rsidR="008E71EB" w:rsidRPr="00260C1D">
        <w:rPr>
          <w:rFonts w:eastAsia="Segoe UI" w:cstheme="minorHAnsi"/>
          <w:color w:val="011A3C"/>
          <w:sz w:val="24"/>
          <w:szCs w:val="24"/>
          <w:lang w:val="en" w:eastAsia="en-AU"/>
        </w:rPr>
        <w:t xml:space="preserve">n </w:t>
      </w:r>
      <w:r w:rsidR="00DD5BA6" w:rsidRPr="00260C1D">
        <w:rPr>
          <w:rFonts w:eastAsia="Segoe UI" w:cstheme="minorHAnsi"/>
          <w:color w:val="011A3C"/>
          <w:sz w:val="24"/>
          <w:szCs w:val="24"/>
          <w:lang w:val="en" w:eastAsia="en-AU"/>
        </w:rPr>
        <w:t xml:space="preserve">apprenticeship and traineeship pathway for secondary students. </w:t>
      </w:r>
      <w:hyperlink r:id="rId194" w:history="1">
        <w:r w:rsidR="00DD5BA6" w:rsidRPr="00260C1D">
          <w:rPr>
            <w:rFonts w:eastAsia="Segoe UI" w:cstheme="minorHAnsi"/>
            <w:color w:val="011A3C"/>
            <w:sz w:val="24"/>
            <w:szCs w:val="24"/>
            <w:lang w:val="en" w:eastAsia="en-AU"/>
          </w:rPr>
          <w:t>Head Start</w:t>
        </w:r>
      </w:hyperlink>
      <w:r w:rsidR="00DD5BA6" w:rsidRPr="00260C1D">
        <w:rPr>
          <w:rFonts w:eastAsia="Segoe UI" w:cstheme="minorHAnsi"/>
          <w:color w:val="011A3C"/>
          <w:sz w:val="24"/>
          <w:szCs w:val="24"/>
          <w:lang w:val="en" w:eastAsia="en-AU"/>
        </w:rPr>
        <w:t xml:space="preserve"> students </w:t>
      </w:r>
      <w:r w:rsidR="00CB1ACC" w:rsidRPr="00260C1D">
        <w:rPr>
          <w:rFonts w:eastAsia="Segoe UI" w:cstheme="minorHAnsi"/>
          <w:color w:val="011A3C"/>
          <w:sz w:val="24"/>
          <w:szCs w:val="24"/>
          <w:lang w:val="en" w:eastAsia="en-AU"/>
        </w:rPr>
        <w:t>are encouraged to</w:t>
      </w:r>
      <w:r w:rsidR="00DD5BA6" w:rsidRPr="00260C1D">
        <w:rPr>
          <w:rFonts w:eastAsia="Segoe UI" w:cstheme="minorHAnsi"/>
          <w:color w:val="011A3C"/>
          <w:sz w:val="24"/>
          <w:szCs w:val="24"/>
          <w:lang w:val="en" w:eastAsia="en-AU"/>
        </w:rPr>
        <w:t xml:space="preserve"> spend more time doing important, paid, on-the-job training while completing their </w:t>
      </w:r>
      <w:r w:rsidR="001412B6" w:rsidRPr="00260C1D">
        <w:rPr>
          <w:rFonts w:eastAsia="Segoe UI" w:cstheme="minorHAnsi"/>
          <w:color w:val="011A3C"/>
          <w:sz w:val="24"/>
          <w:szCs w:val="24"/>
          <w:lang w:val="en" w:eastAsia="en-AU"/>
        </w:rPr>
        <w:t>senior secondary certificate</w:t>
      </w:r>
      <w:r w:rsidR="00DD5BA6" w:rsidRPr="00260C1D">
        <w:rPr>
          <w:rFonts w:eastAsia="Segoe UI" w:cstheme="minorHAnsi"/>
          <w:color w:val="011A3C"/>
          <w:sz w:val="24"/>
          <w:szCs w:val="24"/>
          <w:lang w:val="en" w:eastAsia="en-AU"/>
        </w:rPr>
        <w:t>.</w:t>
      </w:r>
    </w:p>
    <w:p w14:paraId="12D2EFF6" w14:textId="77777777" w:rsidR="00DD5BA6" w:rsidRPr="00260C1D" w:rsidRDefault="00DD5BA6" w:rsidP="00DD5BA6">
      <w:pPr>
        <w:spacing w:before="100" w:beforeAutospacing="1" w:after="100" w:afterAutospacing="1" w:line="360" w:lineRule="atLeast"/>
        <w:rPr>
          <w:rFonts w:eastAsia="Segoe UI" w:cstheme="minorHAnsi"/>
          <w:b/>
          <w:color w:val="011A3C"/>
          <w:sz w:val="26"/>
          <w:szCs w:val="28"/>
          <w:lang w:val="en" w:eastAsia="en-AU"/>
        </w:rPr>
      </w:pPr>
      <w:r w:rsidRPr="00260C1D">
        <w:rPr>
          <w:rFonts w:eastAsia="Segoe UI" w:cstheme="minorHAnsi"/>
          <w:b/>
          <w:color w:val="011A3C"/>
          <w:sz w:val="26"/>
          <w:szCs w:val="28"/>
          <w:lang w:val="en" w:eastAsia="en-AU"/>
        </w:rPr>
        <w:t>Eligibility</w:t>
      </w:r>
    </w:p>
    <w:p w14:paraId="414C6F88" w14:textId="4D12B350" w:rsidR="00DD5BA6" w:rsidRPr="00260C1D" w:rsidRDefault="00DD5BA6" w:rsidP="00DD5BA6">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with the following campus types are eligible for Head Start funding at </w:t>
      </w:r>
      <w:r w:rsidR="002E59D7">
        <w:rPr>
          <w:rFonts w:eastAsia="Segoe UI" w:cstheme="minorHAnsi"/>
          <w:color w:val="011A3C"/>
          <w:sz w:val="24"/>
          <w:szCs w:val="24"/>
          <w:lang w:val="en" w:eastAsia="en-AU"/>
        </w:rPr>
        <w:t xml:space="preserve">a </w:t>
      </w:r>
      <w:r w:rsidRPr="00260C1D">
        <w:rPr>
          <w:rFonts w:eastAsia="Segoe UI" w:cstheme="minorHAnsi"/>
          <w:color w:val="011A3C"/>
          <w:sz w:val="24"/>
          <w:szCs w:val="24"/>
          <w:lang w:val="en" w:eastAsia="en-AU"/>
        </w:rPr>
        <w:t>school level</w:t>
      </w:r>
      <w:r w:rsidR="002E59D7">
        <w:rPr>
          <w:rFonts w:eastAsia="Segoe UI" w:cstheme="minorHAnsi"/>
          <w:color w:val="011A3C"/>
          <w:sz w:val="24"/>
          <w:szCs w:val="24"/>
          <w:lang w:val="en" w:eastAsia="en-AU"/>
        </w:rPr>
        <w:t>:</w:t>
      </w:r>
    </w:p>
    <w:p w14:paraId="2C5F92F8" w14:textId="77777777" w:rsidR="00DD5BA6" w:rsidRPr="00614B09" w:rsidRDefault="00DD5BA6"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614B09">
        <w:rPr>
          <w:rFonts w:eastAsia="Segoe UI" w:cstheme="minorHAnsi"/>
          <w:color w:val="011A3C"/>
          <w:sz w:val="24"/>
          <w:szCs w:val="24"/>
          <w:lang w:val="en" w:eastAsia="en-AU"/>
        </w:rPr>
        <w:t>Secondary</w:t>
      </w:r>
    </w:p>
    <w:p w14:paraId="6995F069" w14:textId="02055623" w:rsidR="00DD5BA6" w:rsidRDefault="00DD5BA6"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614B09">
        <w:rPr>
          <w:rFonts w:eastAsia="Segoe UI" w:cstheme="minorHAnsi"/>
          <w:color w:val="011A3C"/>
          <w:sz w:val="24"/>
          <w:szCs w:val="24"/>
          <w:lang w:val="en" w:eastAsia="en-AU"/>
        </w:rPr>
        <w:t>Primary/Secondary Combined</w:t>
      </w:r>
    </w:p>
    <w:p w14:paraId="51C1F458" w14:textId="3552D1DB" w:rsidR="00532E01" w:rsidRPr="00614B09" w:rsidRDefault="00532E01" w:rsidP="00833928">
      <w:pPr>
        <w:numPr>
          <w:ilvl w:val="0"/>
          <w:numId w:val="2"/>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Specialist</w:t>
      </w:r>
    </w:p>
    <w:p w14:paraId="3834CE74" w14:textId="4AE5FCF7" w:rsidR="00DD5BA6" w:rsidRPr="00260C1D" w:rsidRDefault="00DD5BA6" w:rsidP="00DD5BA6">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calculated at the Indicative, Confirmed and Revised cycles</w:t>
      </w:r>
      <w:r w:rsidR="002E59D7">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2E59D7">
        <w:rPr>
          <w:rFonts w:eastAsia="Segoe UI" w:cstheme="minorHAnsi"/>
          <w:color w:val="011A3C"/>
          <w:sz w:val="24"/>
          <w:szCs w:val="24"/>
          <w:lang w:val="en" w:eastAsia="en-AU"/>
        </w:rPr>
        <w:t>F</w:t>
      </w:r>
      <w:r w:rsidRPr="00260C1D">
        <w:rPr>
          <w:rFonts w:eastAsia="Segoe UI" w:cstheme="minorHAnsi"/>
          <w:color w:val="011A3C"/>
          <w:sz w:val="24"/>
          <w:szCs w:val="24"/>
          <w:lang w:val="en" w:eastAsia="en-AU"/>
        </w:rPr>
        <w:t>unding is allocated through credit funding.</w:t>
      </w:r>
    </w:p>
    <w:p w14:paraId="5CE0F79A" w14:textId="74267C4C" w:rsidR="00DD5BA6" w:rsidRPr="00614B09" w:rsidRDefault="00DD5BA6" w:rsidP="00DD5BA6">
      <w:pPr>
        <w:spacing w:before="100" w:beforeAutospacing="1" w:after="100" w:afterAutospacing="1" w:line="288" w:lineRule="atLeast"/>
        <w:outlineLvl w:val="2"/>
        <w:rPr>
          <w:rFonts w:eastAsia="Segoe UI" w:cstheme="minorHAnsi"/>
          <w:b/>
          <w:color w:val="011A3C"/>
          <w:sz w:val="26"/>
          <w:szCs w:val="26"/>
          <w:lang w:val="en" w:eastAsia="en-AU"/>
        </w:rPr>
      </w:pPr>
      <w:r w:rsidRPr="00614B09">
        <w:rPr>
          <w:rFonts w:eastAsia="Segoe UI" w:cstheme="minorHAnsi"/>
          <w:b/>
          <w:color w:val="011A3C"/>
          <w:sz w:val="26"/>
          <w:szCs w:val="26"/>
          <w:lang w:val="en" w:eastAsia="en-AU"/>
        </w:rPr>
        <w:t xml:space="preserve">Funding </w:t>
      </w:r>
      <w:r w:rsidR="000B1E45" w:rsidRPr="00614B09">
        <w:rPr>
          <w:rFonts w:eastAsia="Segoe UI" w:cstheme="minorHAnsi"/>
          <w:b/>
          <w:color w:val="011A3C"/>
          <w:sz w:val="26"/>
          <w:szCs w:val="26"/>
          <w:lang w:val="en" w:eastAsia="en-AU"/>
        </w:rPr>
        <w:t>a</w:t>
      </w:r>
      <w:r w:rsidRPr="00614B09">
        <w:rPr>
          <w:rFonts w:eastAsia="Segoe UI" w:cstheme="minorHAnsi"/>
          <w:b/>
          <w:color w:val="011A3C"/>
          <w:sz w:val="26"/>
          <w:szCs w:val="26"/>
          <w:lang w:val="en" w:eastAsia="en-AU"/>
        </w:rPr>
        <w:t>llocation</w:t>
      </w:r>
    </w:p>
    <w:p w14:paraId="3D87C961" w14:textId="77777777" w:rsidR="00DD5BA6" w:rsidRPr="00260C1D" w:rsidRDefault="00DD5BA6" w:rsidP="00DD5BA6">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Student Resource Package (SRP) credit funding will be provided to participating schools that host Head Start staff.</w:t>
      </w:r>
    </w:p>
    <w:p w14:paraId="1D456070" w14:textId="77777777" w:rsidR="00DD5BA6" w:rsidRPr="00260C1D" w:rsidRDefault="00DD5BA6" w:rsidP="00DD5BA6">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will cover salary and will be allocated based on salary rates and time fractions of Head Start staff employed in each cluster.</w:t>
      </w:r>
    </w:p>
    <w:p w14:paraId="09916622" w14:textId="77777777" w:rsidR="00DD5BA6" w:rsidRPr="00614B09" w:rsidRDefault="00DD5BA6" w:rsidP="00DD5BA6">
      <w:pPr>
        <w:spacing w:before="100" w:beforeAutospacing="1" w:after="100" w:afterAutospacing="1" w:line="288" w:lineRule="atLeast"/>
        <w:outlineLvl w:val="2"/>
        <w:rPr>
          <w:rFonts w:eastAsia="Segoe UI" w:cstheme="minorHAnsi"/>
          <w:b/>
          <w:color w:val="011A3C"/>
          <w:sz w:val="26"/>
          <w:szCs w:val="26"/>
          <w:lang w:val="en" w:eastAsia="en-AU"/>
        </w:rPr>
      </w:pPr>
      <w:r w:rsidRPr="00614B09">
        <w:rPr>
          <w:rFonts w:eastAsia="Segoe UI" w:cstheme="minorHAnsi"/>
          <w:b/>
          <w:color w:val="011A3C"/>
          <w:sz w:val="26"/>
          <w:szCs w:val="26"/>
          <w:lang w:val="en" w:eastAsia="en-AU"/>
        </w:rPr>
        <w:t>Operational costs</w:t>
      </w:r>
    </w:p>
    <w:p w14:paraId="2A07D7BB" w14:textId="3143AE25" w:rsidR="00DD5BA6" w:rsidRPr="00260C1D" w:rsidRDefault="00DD5BA6" w:rsidP="00DD5BA6">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Operational costs will be funded through the </w:t>
      </w:r>
      <w:hyperlink r:id="rId195" w:history="1">
        <w:r w:rsidRPr="008614E4">
          <w:rPr>
            <w:rStyle w:val="Hyperlink"/>
            <w:sz w:val="24"/>
            <w:szCs w:val="24"/>
          </w:rPr>
          <w:t xml:space="preserve">Schools </w:t>
        </w:r>
        <w:r w:rsidR="005F370E" w:rsidRPr="008614E4">
          <w:rPr>
            <w:rStyle w:val="Hyperlink"/>
            <w:sz w:val="24"/>
            <w:szCs w:val="24"/>
          </w:rPr>
          <w:t>T</w:t>
        </w:r>
        <w:r w:rsidRPr="008614E4">
          <w:rPr>
            <w:rStyle w:val="Hyperlink"/>
            <w:sz w:val="24"/>
            <w:szCs w:val="24"/>
          </w:rPr>
          <w:t xml:space="preserve">argeted </w:t>
        </w:r>
        <w:r w:rsidR="005F370E" w:rsidRPr="008614E4">
          <w:rPr>
            <w:rStyle w:val="Hyperlink"/>
            <w:sz w:val="24"/>
            <w:szCs w:val="24"/>
          </w:rPr>
          <w:t>F</w:t>
        </w:r>
        <w:r w:rsidRPr="008614E4">
          <w:rPr>
            <w:rStyle w:val="Hyperlink"/>
            <w:sz w:val="24"/>
            <w:szCs w:val="24"/>
          </w:rPr>
          <w:t xml:space="preserve">unding </w:t>
        </w:r>
        <w:r w:rsidR="005F370E" w:rsidRPr="008614E4">
          <w:rPr>
            <w:rStyle w:val="Hyperlink"/>
            <w:sz w:val="24"/>
            <w:szCs w:val="24"/>
          </w:rPr>
          <w:t>G</w:t>
        </w:r>
        <w:r w:rsidRPr="008614E4">
          <w:rPr>
            <w:rStyle w:val="Hyperlink"/>
            <w:sz w:val="24"/>
            <w:szCs w:val="24"/>
          </w:rPr>
          <w:t>overnance portal</w:t>
        </w:r>
        <w:r w:rsidRPr="00260C1D">
          <w:rPr>
            <w:rFonts w:eastAsia="Segoe UI" w:cstheme="minorHAnsi"/>
            <w:color w:val="011A3C"/>
            <w:sz w:val="24"/>
            <w:szCs w:val="24"/>
            <w:lang w:val="en" w:eastAsia="en-AU"/>
          </w:rPr>
          <w:t xml:space="preserve"> (education</w:t>
        </w:r>
        <w:r w:rsidR="00FA5388"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account required)</w:t>
        </w:r>
      </w:hyperlink>
      <w:r w:rsidRPr="00260C1D">
        <w:rPr>
          <w:rFonts w:eastAsia="Segoe UI" w:cstheme="minorHAnsi"/>
          <w:color w:val="011A3C"/>
          <w:sz w:val="24"/>
          <w:szCs w:val="24"/>
          <w:lang w:val="en" w:eastAsia="en-AU"/>
        </w:rPr>
        <w:t>.</w:t>
      </w:r>
    </w:p>
    <w:p w14:paraId="09EBEF50" w14:textId="6C28109D" w:rsidR="00DD5BA6" w:rsidRPr="00260C1D" w:rsidRDefault="00DD5BA6" w:rsidP="00DD5BA6">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NOTE: Arrangements have been made so mileage can be processed in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and charged directly to the program area. </w:t>
      </w:r>
      <w:r w:rsidR="00CC02ED" w:rsidRPr="00CC02ED">
        <w:rPr>
          <w:sz w:val="24"/>
          <w:szCs w:val="24"/>
          <w:lang w:val="en" w:eastAsia="en-AU"/>
        </w:rPr>
        <w:t xml:space="preserve"> </w:t>
      </w:r>
      <w:r w:rsidR="00CC02ED">
        <w:rPr>
          <w:sz w:val="24"/>
          <w:szCs w:val="24"/>
          <w:lang w:val="en" w:eastAsia="en-AU"/>
        </w:rPr>
        <w:t xml:space="preserve">For more information, contact </w:t>
      </w:r>
      <w:hyperlink r:id="rId196" w:history="1">
        <w:r w:rsidR="00CC02ED">
          <w:rPr>
            <w:rStyle w:val="Hyperlink"/>
            <w:sz w:val="24"/>
            <w:szCs w:val="24"/>
            <w:lang w:val="en"/>
          </w:rPr>
          <w:t>head.start@education.vic.gov.au</w:t>
        </w:r>
      </w:hyperlink>
    </w:p>
    <w:p w14:paraId="7640124A" w14:textId="77777777" w:rsidR="002F58F8" w:rsidRPr="00260C1D" w:rsidRDefault="002F58F8" w:rsidP="002F58F8">
      <w:pPr>
        <w:rPr>
          <w:rFonts w:cstheme="minorHAnsi"/>
        </w:rPr>
      </w:pPr>
    </w:p>
    <w:p w14:paraId="20E75844" w14:textId="6FE222A2" w:rsidR="00EA34C0" w:rsidRPr="00260C1D" w:rsidRDefault="002F58F8" w:rsidP="002558B6">
      <w:pPr>
        <w:rPr>
          <w:rFonts w:cstheme="minorHAnsi"/>
        </w:rPr>
      </w:pPr>
      <w:r w:rsidRPr="00260C1D">
        <w:rPr>
          <w:rFonts w:cstheme="minorHAnsi"/>
        </w:rPr>
        <w:br w:type="page"/>
      </w:r>
    </w:p>
    <w:p w14:paraId="49603FB2" w14:textId="1FECD507" w:rsidR="002F58F8" w:rsidRPr="00260C1D" w:rsidRDefault="00B5606E" w:rsidP="00532A33">
      <w:pPr>
        <w:pStyle w:val="Heading2"/>
      </w:pPr>
      <w:bookmarkStart w:id="239" w:name="_Toc141965288"/>
      <w:bookmarkStart w:id="240" w:name="_Toc145339616"/>
      <w:bookmarkStart w:id="241" w:name="_Toc153791939"/>
      <w:r w:rsidRPr="00260C1D">
        <w:lastRenderedPageBreak/>
        <w:t xml:space="preserve">National </w:t>
      </w:r>
      <w:r w:rsidR="00BA76AF">
        <w:t>Student Wellbeing</w:t>
      </w:r>
      <w:r w:rsidRPr="00260C1D">
        <w:t xml:space="preserve"> Program (</w:t>
      </w:r>
      <w:r w:rsidR="00226580">
        <w:t>NSWP</w:t>
      </w:r>
      <w:r w:rsidRPr="00260C1D">
        <w:t xml:space="preserve">) </w:t>
      </w:r>
      <w:r w:rsidR="00F12C7A" w:rsidRPr="00260C1D">
        <w:t>(Reference 117)</w:t>
      </w:r>
      <w:bookmarkEnd w:id="239"/>
      <w:bookmarkEnd w:id="240"/>
      <w:bookmarkEnd w:id="241"/>
    </w:p>
    <w:p w14:paraId="28BC22DF" w14:textId="6AEF280D" w:rsidR="00BA76AF" w:rsidRPr="00BA76AF" w:rsidRDefault="00363E4C" w:rsidP="00363E4C">
      <w:pPr>
        <w:spacing w:line="360" w:lineRule="atLeast"/>
        <w:rPr>
          <w:rFonts w:eastAsia="Segoe UI" w:cstheme="minorHAnsi"/>
          <w:color w:val="011A3C"/>
          <w:sz w:val="24"/>
          <w:szCs w:val="24"/>
          <w:lang w:val="en" w:eastAsia="en-AU"/>
        </w:rPr>
      </w:pPr>
      <w:r w:rsidRPr="00AB7A20">
        <w:rPr>
          <w:rFonts w:eastAsia="Segoe UI" w:cstheme="minorHAnsi"/>
          <w:color w:val="011A3C"/>
          <w:sz w:val="24"/>
          <w:szCs w:val="24"/>
          <w:lang w:val="en" w:eastAsia="en-AU"/>
        </w:rPr>
        <w:t xml:space="preserve">The </w:t>
      </w:r>
      <w:r w:rsidR="00BA76AF" w:rsidRPr="00BA76AF">
        <w:rPr>
          <w:rFonts w:eastAsia="Segoe UI" w:cstheme="minorHAnsi"/>
          <w:color w:val="011A3C"/>
          <w:sz w:val="24"/>
          <w:szCs w:val="24"/>
          <w:lang w:val="en" w:eastAsia="en-AU"/>
        </w:rPr>
        <w:t>National Student Wellbeing Program (NSWP)</w:t>
      </w:r>
      <w:r w:rsidRPr="00AB7A20">
        <w:rPr>
          <w:rFonts w:eastAsia="Segoe UI" w:cstheme="minorHAnsi"/>
          <w:color w:val="011A3C"/>
          <w:sz w:val="24"/>
          <w:szCs w:val="24"/>
          <w:lang w:val="en" w:eastAsia="en-AU"/>
        </w:rPr>
        <w:t xml:space="preserve"> is an Australian Government Program. </w:t>
      </w:r>
    </w:p>
    <w:p w14:paraId="1E1DA9CE" w14:textId="1D2008EB" w:rsidR="00363E4C" w:rsidRPr="00AB7A20" w:rsidRDefault="00363E4C" w:rsidP="00363E4C">
      <w:pPr>
        <w:spacing w:line="360" w:lineRule="atLeast"/>
        <w:rPr>
          <w:rFonts w:eastAsia="Segoe UI" w:cstheme="minorHAnsi"/>
          <w:color w:val="011A3C"/>
          <w:sz w:val="24"/>
          <w:szCs w:val="24"/>
        </w:rPr>
      </w:pPr>
      <w:r w:rsidRPr="00AB7A20">
        <w:rPr>
          <w:rFonts w:eastAsia="Segoe UI" w:cstheme="minorHAnsi"/>
          <w:color w:val="011A3C"/>
          <w:sz w:val="24"/>
          <w:szCs w:val="24"/>
        </w:rPr>
        <w:t>The NSWP provides:</w:t>
      </w:r>
    </w:p>
    <w:p w14:paraId="7308022C" w14:textId="77777777" w:rsidR="00363E4C" w:rsidRPr="00363E4C" w:rsidRDefault="00363E4C" w:rsidP="00363E4C">
      <w:pPr>
        <w:numPr>
          <w:ilvl w:val="0"/>
          <w:numId w:val="117"/>
        </w:numPr>
        <w:spacing w:before="100" w:beforeAutospacing="1" w:after="100" w:afterAutospacing="1" w:line="360" w:lineRule="atLeast"/>
        <w:rPr>
          <w:rFonts w:eastAsia="Segoe UI" w:cstheme="minorHAnsi"/>
          <w:color w:val="011A3C"/>
          <w:sz w:val="24"/>
          <w:szCs w:val="24"/>
          <w:lang w:eastAsia="en-AU"/>
        </w:rPr>
      </w:pPr>
      <w:r w:rsidRPr="00363E4C">
        <w:rPr>
          <w:rFonts w:eastAsia="Segoe UI" w:cstheme="minorHAnsi" w:hint="eastAsia"/>
          <w:color w:val="011A3C"/>
          <w:sz w:val="24"/>
          <w:szCs w:val="24"/>
          <w:lang w:eastAsia="en-AU"/>
        </w:rPr>
        <w:t>pastoral care services</w:t>
      </w:r>
    </w:p>
    <w:p w14:paraId="154856FC" w14:textId="77777777" w:rsidR="00363E4C" w:rsidRPr="00363E4C" w:rsidRDefault="00363E4C" w:rsidP="00363E4C">
      <w:pPr>
        <w:numPr>
          <w:ilvl w:val="0"/>
          <w:numId w:val="117"/>
        </w:numPr>
        <w:spacing w:before="100" w:beforeAutospacing="1" w:after="100" w:afterAutospacing="1" w:line="360" w:lineRule="atLeast"/>
        <w:rPr>
          <w:rFonts w:eastAsia="Segoe UI" w:cstheme="minorHAnsi"/>
          <w:color w:val="011A3C"/>
          <w:sz w:val="24"/>
          <w:szCs w:val="24"/>
          <w:lang w:eastAsia="en-AU"/>
        </w:rPr>
      </w:pPr>
      <w:r w:rsidRPr="00363E4C">
        <w:rPr>
          <w:rFonts w:eastAsia="Segoe UI" w:cstheme="minorHAnsi" w:hint="eastAsia"/>
          <w:color w:val="011A3C"/>
          <w:sz w:val="24"/>
          <w:szCs w:val="24"/>
          <w:lang w:eastAsia="en-AU"/>
        </w:rPr>
        <w:t>strategies that support the wellbeing of the broader school community.</w:t>
      </w:r>
    </w:p>
    <w:p w14:paraId="4011BAF2" w14:textId="1473BF9A" w:rsidR="00A20621" w:rsidRDefault="001A61D6" w:rsidP="002F58F8">
      <w:pPr>
        <w:spacing w:before="100" w:beforeAutospacing="1" w:after="100" w:afterAutospacing="1" w:line="360" w:lineRule="atLeast"/>
        <w:rPr>
          <w:rFonts w:eastAsia="Segoe UI" w:cstheme="minorHAnsi"/>
          <w:color w:val="011A3C"/>
          <w:sz w:val="24"/>
          <w:szCs w:val="24"/>
          <w:lang w:val="en" w:eastAsia="en-AU"/>
        </w:rPr>
      </w:pPr>
      <w:r w:rsidRPr="001A61D6">
        <w:rPr>
          <w:rFonts w:eastAsia="Segoe UI" w:cstheme="minorHAnsi"/>
          <w:color w:val="011A3C"/>
          <w:sz w:val="24"/>
          <w:szCs w:val="24"/>
          <w:lang w:val="en" w:eastAsia="en-AU"/>
        </w:rPr>
        <w:t>From 1 January 2023, all Victorian schools participating in the NSWP can</w:t>
      </w:r>
      <w:r>
        <w:rPr>
          <w:rFonts w:eastAsia="Segoe UI" w:cstheme="minorHAnsi"/>
          <w:color w:val="011A3C"/>
          <w:sz w:val="24"/>
          <w:szCs w:val="24"/>
          <w:lang w:val="en" w:eastAsia="en-AU"/>
        </w:rPr>
        <w:t>:</w:t>
      </w:r>
    </w:p>
    <w:p w14:paraId="27A141B1" w14:textId="0DFFCD26" w:rsidR="001A61D6" w:rsidRPr="00AB7A20" w:rsidRDefault="001A61D6" w:rsidP="00AB7A20">
      <w:pPr>
        <w:numPr>
          <w:ilvl w:val="0"/>
          <w:numId w:val="117"/>
        </w:numPr>
        <w:spacing w:before="100" w:beforeAutospacing="1" w:after="100" w:afterAutospacing="1" w:line="360" w:lineRule="atLeast"/>
        <w:rPr>
          <w:rFonts w:eastAsia="Segoe UI" w:cstheme="minorHAnsi"/>
          <w:color w:val="011A3C"/>
          <w:sz w:val="24"/>
          <w:szCs w:val="24"/>
          <w:lang w:eastAsia="en-AU"/>
        </w:rPr>
      </w:pPr>
      <w:r w:rsidRPr="001A61D6">
        <w:rPr>
          <w:rFonts w:eastAsia="Segoe UI" w:cstheme="minorHAnsi"/>
          <w:color w:val="011A3C"/>
          <w:sz w:val="24"/>
          <w:szCs w:val="24"/>
          <w:lang w:val="en" w:eastAsia="en-AU"/>
        </w:rPr>
        <w:t xml:space="preserve">contract </w:t>
      </w:r>
      <w:r w:rsidRPr="00AB7A20">
        <w:rPr>
          <w:rFonts w:eastAsia="Segoe UI" w:cstheme="minorHAnsi"/>
          <w:color w:val="011A3C"/>
          <w:sz w:val="24"/>
          <w:szCs w:val="24"/>
          <w:lang w:eastAsia="en-AU"/>
        </w:rPr>
        <w:t>a chaplain or student wellbeing officer through a NSWP provider</w:t>
      </w:r>
    </w:p>
    <w:p w14:paraId="21A1213D" w14:textId="7792BE45" w:rsidR="001A61D6" w:rsidRPr="00AB7A20" w:rsidRDefault="001A61D6" w:rsidP="00AB7A20">
      <w:pPr>
        <w:numPr>
          <w:ilvl w:val="0"/>
          <w:numId w:val="117"/>
        </w:numPr>
        <w:spacing w:before="100" w:beforeAutospacing="1" w:after="100" w:afterAutospacing="1" w:line="360" w:lineRule="atLeast"/>
        <w:rPr>
          <w:rFonts w:eastAsia="Segoe UI" w:cstheme="minorHAnsi"/>
          <w:color w:val="011A3C"/>
          <w:sz w:val="24"/>
          <w:szCs w:val="24"/>
          <w:lang w:val="en" w:eastAsia="en-AU"/>
        </w:rPr>
      </w:pPr>
      <w:r w:rsidRPr="00AB7A20">
        <w:rPr>
          <w:rFonts w:eastAsia="Segoe UI" w:cstheme="minorHAnsi"/>
          <w:color w:val="011A3C"/>
          <w:sz w:val="24"/>
          <w:szCs w:val="24"/>
          <w:lang w:eastAsia="en-AU"/>
        </w:rPr>
        <w:t>employ a student</w:t>
      </w:r>
      <w:r w:rsidRPr="001A61D6">
        <w:rPr>
          <w:rFonts w:eastAsia="Segoe UI" w:cstheme="minorHAnsi"/>
          <w:color w:val="011A3C"/>
          <w:sz w:val="24"/>
          <w:szCs w:val="24"/>
          <w:lang w:val="en" w:eastAsia="en-AU"/>
        </w:rPr>
        <w:t xml:space="preserve"> wellbeing officer as an education support staff member.</w:t>
      </w:r>
    </w:p>
    <w:p w14:paraId="3048F4A8" w14:textId="14E700FF" w:rsidR="008276A9" w:rsidRDefault="008276A9" w:rsidP="008614E4">
      <w:pPr>
        <w:spacing w:before="100" w:beforeAutospacing="1" w:after="100" w:afterAutospacing="1" w:line="288" w:lineRule="atLeast"/>
        <w:outlineLvl w:val="2"/>
        <w:rPr>
          <w:rFonts w:eastAsia="Segoe UI" w:cstheme="minorHAnsi"/>
          <w:color w:val="011A3C"/>
          <w:sz w:val="24"/>
          <w:szCs w:val="24"/>
          <w:lang w:val="en" w:eastAsia="en-AU"/>
        </w:rPr>
      </w:pPr>
      <w:r>
        <w:rPr>
          <w:rFonts w:eastAsia="Segoe UI" w:cstheme="minorHAnsi"/>
          <w:b/>
          <w:color w:val="011A3C"/>
          <w:sz w:val="26"/>
          <w:szCs w:val="26"/>
          <w:lang w:val="en" w:eastAsia="en-AU"/>
        </w:rPr>
        <w:t>Eligibility</w:t>
      </w:r>
    </w:p>
    <w:p w14:paraId="66340697" w14:textId="2282DDF7" w:rsidR="002F58F8" w:rsidRPr="00FC67DC" w:rsidRDefault="002F58F8" w:rsidP="002F58F8">
      <w:pPr>
        <w:spacing w:before="100" w:beforeAutospacing="1" w:after="100" w:afterAutospacing="1" w:line="360" w:lineRule="atLeast"/>
        <w:rPr>
          <w:rFonts w:eastAsia="Segoe UI" w:cstheme="minorHAnsi"/>
          <w:color w:val="011A3C"/>
          <w:sz w:val="24"/>
          <w:szCs w:val="24"/>
          <w:lang w:val="en" w:eastAsia="en-AU"/>
        </w:rPr>
      </w:pPr>
      <w:r w:rsidRPr="00FC67DC">
        <w:rPr>
          <w:rFonts w:eastAsia="Segoe UI" w:cstheme="minorHAnsi"/>
          <w:color w:val="011A3C"/>
          <w:sz w:val="24"/>
          <w:szCs w:val="24"/>
          <w:lang w:val="en" w:eastAsia="en-AU"/>
        </w:rPr>
        <w:t xml:space="preserve">Schools with the following campus types are eligible for </w:t>
      </w:r>
      <w:r w:rsidR="004B68C7">
        <w:rPr>
          <w:rFonts w:eastAsia="Segoe UI" w:cstheme="minorHAnsi"/>
          <w:color w:val="011A3C"/>
          <w:sz w:val="24"/>
          <w:szCs w:val="24"/>
          <w:lang w:val="en" w:eastAsia="en-AU"/>
        </w:rPr>
        <w:t>NSWP</w:t>
      </w:r>
      <w:r w:rsidR="004B68C7" w:rsidRPr="00FC67DC">
        <w:rPr>
          <w:rFonts w:eastAsia="Segoe UI" w:cstheme="minorHAnsi"/>
          <w:color w:val="011A3C"/>
          <w:sz w:val="24"/>
          <w:szCs w:val="24"/>
          <w:lang w:val="en" w:eastAsia="en-AU"/>
        </w:rPr>
        <w:t xml:space="preserve"> </w:t>
      </w:r>
      <w:r w:rsidRPr="00FC67DC">
        <w:rPr>
          <w:rFonts w:eastAsia="Segoe UI" w:cstheme="minorHAnsi"/>
          <w:color w:val="011A3C"/>
          <w:sz w:val="24"/>
          <w:szCs w:val="24"/>
          <w:lang w:val="en" w:eastAsia="en-AU"/>
        </w:rPr>
        <w:t xml:space="preserve">funding at </w:t>
      </w:r>
      <w:r w:rsidR="00D264C5">
        <w:rPr>
          <w:rFonts w:eastAsia="Segoe UI" w:cstheme="minorHAnsi"/>
          <w:color w:val="011A3C"/>
          <w:sz w:val="24"/>
          <w:szCs w:val="24"/>
          <w:lang w:val="en" w:eastAsia="en-AU"/>
        </w:rPr>
        <w:t xml:space="preserve">a </w:t>
      </w:r>
      <w:r w:rsidRPr="00FC67DC">
        <w:rPr>
          <w:rFonts w:eastAsia="Segoe UI" w:cstheme="minorHAnsi"/>
          <w:color w:val="011A3C"/>
          <w:sz w:val="24"/>
          <w:szCs w:val="24"/>
          <w:lang w:val="en" w:eastAsia="en-AU"/>
        </w:rPr>
        <w:t>campus level</w:t>
      </w:r>
      <w:r w:rsidR="00D264C5">
        <w:rPr>
          <w:rFonts w:eastAsia="Segoe UI" w:cstheme="minorHAnsi"/>
          <w:color w:val="011A3C"/>
          <w:sz w:val="24"/>
          <w:szCs w:val="24"/>
          <w:lang w:val="en" w:eastAsia="en-AU"/>
        </w:rPr>
        <w:t>:</w:t>
      </w:r>
    </w:p>
    <w:p w14:paraId="74EDB85A" w14:textId="77777777" w:rsidR="002F58F8" w:rsidRPr="00FC67DC" w:rsidRDefault="002F58F8"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FC67DC">
        <w:rPr>
          <w:rFonts w:eastAsia="Segoe UI" w:cstheme="minorHAnsi"/>
          <w:color w:val="011A3C"/>
          <w:sz w:val="24"/>
          <w:szCs w:val="24"/>
          <w:lang w:val="en" w:eastAsia="en-AU"/>
        </w:rPr>
        <w:t>Primary</w:t>
      </w:r>
    </w:p>
    <w:p w14:paraId="5EC656C5" w14:textId="77777777" w:rsidR="002F58F8" w:rsidRPr="00FC67DC" w:rsidRDefault="002F58F8"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FC67DC">
        <w:rPr>
          <w:rFonts w:eastAsia="Segoe UI" w:cstheme="minorHAnsi"/>
          <w:color w:val="011A3C"/>
          <w:sz w:val="24"/>
          <w:szCs w:val="24"/>
          <w:lang w:val="en" w:eastAsia="en-AU"/>
        </w:rPr>
        <w:t>Secondary</w:t>
      </w:r>
    </w:p>
    <w:p w14:paraId="79FBA9FD" w14:textId="33F9C329" w:rsidR="002F58F8" w:rsidRPr="00FC67DC" w:rsidRDefault="002F58F8"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00FC67DC">
        <w:rPr>
          <w:rFonts w:eastAsia="Segoe UI" w:cstheme="minorHAnsi"/>
          <w:color w:val="011A3C"/>
          <w:sz w:val="24"/>
          <w:szCs w:val="24"/>
          <w:lang w:val="en" w:eastAsia="en-AU"/>
        </w:rPr>
        <w:t xml:space="preserve">Primary/Secondary Combined </w:t>
      </w:r>
    </w:p>
    <w:p w14:paraId="46B55ABA" w14:textId="1D2F0899" w:rsidR="002F58F8" w:rsidRDefault="002F58F8" w:rsidP="00F56244">
      <w:pPr>
        <w:numPr>
          <w:ilvl w:val="0"/>
          <w:numId w:val="2"/>
        </w:numPr>
        <w:spacing w:before="100" w:beforeAutospacing="1" w:after="100" w:afterAutospacing="1" w:line="360" w:lineRule="atLeast"/>
        <w:rPr>
          <w:rFonts w:eastAsia="Segoe UI"/>
          <w:color w:val="011A3C"/>
          <w:sz w:val="24"/>
          <w:szCs w:val="24"/>
          <w:lang w:val="en" w:eastAsia="en-AU"/>
        </w:rPr>
      </w:pPr>
      <w:r w:rsidRPr="54961C12">
        <w:rPr>
          <w:rFonts w:eastAsia="Segoe UI"/>
          <w:color w:val="011A3C"/>
          <w:sz w:val="24"/>
          <w:szCs w:val="24"/>
          <w:lang w:val="en" w:eastAsia="en-AU"/>
        </w:rPr>
        <w:t>Special</w:t>
      </w:r>
    </w:p>
    <w:p w14:paraId="7C7127EA" w14:textId="1D2F0899" w:rsidR="00304D80" w:rsidRDefault="00304D80" w:rsidP="00F56244">
      <w:pPr>
        <w:numPr>
          <w:ilvl w:val="0"/>
          <w:numId w:val="2"/>
        </w:numPr>
        <w:spacing w:before="100" w:beforeAutospacing="1" w:after="100" w:afterAutospacing="1" w:line="360" w:lineRule="atLeast"/>
        <w:rPr>
          <w:rFonts w:eastAsia="Segoe UI"/>
          <w:color w:val="011A3C"/>
          <w:sz w:val="24"/>
          <w:szCs w:val="24"/>
          <w:lang w:val="en" w:eastAsia="en-AU"/>
        </w:rPr>
      </w:pPr>
      <w:r w:rsidRPr="54961C12">
        <w:rPr>
          <w:rFonts w:eastAsia="Segoe UI"/>
          <w:color w:val="011A3C"/>
          <w:sz w:val="24"/>
          <w:szCs w:val="24"/>
          <w:lang w:val="en" w:eastAsia="en-AU"/>
        </w:rPr>
        <w:t>Day Spec</w:t>
      </w:r>
    </w:p>
    <w:p w14:paraId="38E8AC3F" w14:textId="1D2F0899" w:rsidR="00304D80" w:rsidRDefault="00304D80" w:rsidP="00F56244">
      <w:pPr>
        <w:numPr>
          <w:ilvl w:val="0"/>
          <w:numId w:val="2"/>
        </w:numPr>
        <w:spacing w:before="100" w:beforeAutospacing="1" w:after="100" w:afterAutospacing="1" w:line="360" w:lineRule="atLeast"/>
        <w:rPr>
          <w:rFonts w:eastAsia="Segoe UI"/>
          <w:color w:val="011A3C"/>
          <w:sz w:val="24"/>
          <w:szCs w:val="24"/>
          <w:lang w:val="en" w:eastAsia="en-AU"/>
        </w:rPr>
      </w:pPr>
      <w:r w:rsidRPr="54961C12">
        <w:rPr>
          <w:rFonts w:eastAsia="Segoe UI"/>
          <w:color w:val="011A3C"/>
          <w:sz w:val="24"/>
          <w:szCs w:val="24"/>
          <w:lang w:val="en" w:eastAsia="en-AU"/>
        </w:rPr>
        <w:t>Spec Dev</w:t>
      </w:r>
    </w:p>
    <w:p w14:paraId="6B451E08" w14:textId="1D2F0899" w:rsidR="00304D80" w:rsidRPr="00FC67DC" w:rsidRDefault="00304D80" w:rsidP="00F56244">
      <w:pPr>
        <w:numPr>
          <w:ilvl w:val="0"/>
          <w:numId w:val="2"/>
        </w:numPr>
        <w:spacing w:before="100" w:beforeAutospacing="1" w:after="100" w:afterAutospacing="1" w:line="360" w:lineRule="atLeast"/>
        <w:rPr>
          <w:rFonts w:eastAsia="Segoe UI"/>
          <w:color w:val="011A3C"/>
          <w:sz w:val="24"/>
          <w:szCs w:val="24"/>
          <w:lang w:val="en" w:eastAsia="en-AU"/>
        </w:rPr>
      </w:pPr>
      <w:r w:rsidRPr="738305D2">
        <w:rPr>
          <w:rFonts w:eastAsia="Segoe UI"/>
          <w:color w:val="011A3C"/>
          <w:sz w:val="24"/>
          <w:szCs w:val="24"/>
          <w:lang w:val="en" w:eastAsia="en-AU"/>
        </w:rPr>
        <w:t>Community</w:t>
      </w:r>
    </w:p>
    <w:p w14:paraId="11E2F071" w14:textId="70FA3FD1" w:rsidR="002F58F8" w:rsidRPr="00FC67DC" w:rsidRDefault="002F58F8" w:rsidP="002F58F8">
      <w:pPr>
        <w:spacing w:before="100" w:beforeAutospacing="1" w:after="100" w:afterAutospacing="1" w:line="360" w:lineRule="atLeast"/>
        <w:rPr>
          <w:rFonts w:eastAsia="Segoe UI" w:cstheme="minorHAnsi"/>
          <w:color w:val="011A3C"/>
          <w:sz w:val="24"/>
          <w:szCs w:val="24"/>
          <w:lang w:val="en" w:eastAsia="en-AU"/>
        </w:rPr>
      </w:pPr>
      <w:r w:rsidRPr="00FC67DC">
        <w:rPr>
          <w:rFonts w:eastAsia="Segoe UI" w:cstheme="minorHAnsi"/>
          <w:color w:val="011A3C"/>
          <w:sz w:val="24"/>
          <w:szCs w:val="24"/>
          <w:lang w:val="en" w:eastAsia="en-AU"/>
        </w:rPr>
        <w:t>Funding may be calculated at the Indicative, Confirmed and Revised cycles</w:t>
      </w:r>
      <w:r w:rsidR="00D264C5">
        <w:rPr>
          <w:rFonts w:eastAsia="Segoe UI" w:cstheme="minorHAnsi"/>
          <w:color w:val="011A3C"/>
          <w:sz w:val="24"/>
          <w:szCs w:val="24"/>
          <w:lang w:val="en" w:eastAsia="en-AU"/>
        </w:rPr>
        <w:t>.</w:t>
      </w:r>
      <w:r w:rsidRPr="00FC67DC">
        <w:rPr>
          <w:rFonts w:eastAsia="Segoe UI" w:cstheme="minorHAnsi"/>
          <w:color w:val="011A3C"/>
          <w:sz w:val="24"/>
          <w:szCs w:val="24"/>
          <w:lang w:val="en" w:eastAsia="en-AU"/>
        </w:rPr>
        <w:t xml:space="preserve"> </w:t>
      </w:r>
      <w:r w:rsidR="00D264C5">
        <w:rPr>
          <w:rFonts w:eastAsia="Segoe UI" w:cstheme="minorHAnsi"/>
          <w:color w:val="011A3C"/>
          <w:sz w:val="24"/>
          <w:szCs w:val="24"/>
          <w:lang w:val="en" w:eastAsia="en-AU"/>
        </w:rPr>
        <w:t>F</w:t>
      </w:r>
      <w:r w:rsidRPr="00FC67DC">
        <w:rPr>
          <w:rFonts w:eastAsia="Segoe UI" w:cstheme="minorHAnsi"/>
          <w:color w:val="011A3C"/>
          <w:sz w:val="24"/>
          <w:szCs w:val="24"/>
          <w:lang w:val="en" w:eastAsia="en-AU"/>
        </w:rPr>
        <w:t>unding is allocated through cash funding.</w:t>
      </w:r>
    </w:p>
    <w:p w14:paraId="4A2ED260" w14:textId="77777777" w:rsidR="002F58F8" w:rsidRPr="00614B09" w:rsidRDefault="002F58F8" w:rsidP="002F58F8">
      <w:pPr>
        <w:spacing w:before="100" w:beforeAutospacing="1" w:after="100" w:afterAutospacing="1" w:line="288" w:lineRule="atLeast"/>
        <w:outlineLvl w:val="2"/>
        <w:rPr>
          <w:rFonts w:eastAsia="Segoe UI" w:cstheme="minorHAnsi"/>
          <w:b/>
          <w:color w:val="011A3C"/>
          <w:sz w:val="26"/>
          <w:szCs w:val="26"/>
          <w:lang w:val="en" w:eastAsia="en-AU"/>
        </w:rPr>
      </w:pPr>
      <w:r w:rsidRPr="00614B09">
        <w:rPr>
          <w:rFonts w:eastAsia="Segoe UI" w:cstheme="minorHAnsi"/>
          <w:b/>
          <w:color w:val="011A3C"/>
          <w:sz w:val="26"/>
          <w:szCs w:val="26"/>
          <w:lang w:val="en" w:eastAsia="en-AU"/>
        </w:rPr>
        <w:t>Funding rates</w:t>
      </w:r>
    </w:p>
    <w:p w14:paraId="014996FA" w14:textId="775ED59A" w:rsidR="002F58F8" w:rsidRPr="00FC67DC" w:rsidRDefault="002F58F8" w:rsidP="002F58F8">
      <w:pPr>
        <w:spacing w:before="100" w:beforeAutospacing="1" w:after="100" w:afterAutospacing="1" w:line="360" w:lineRule="atLeast"/>
        <w:rPr>
          <w:rFonts w:eastAsia="Segoe UI" w:cstheme="minorHAnsi"/>
          <w:color w:val="011A3C"/>
          <w:sz w:val="24"/>
          <w:szCs w:val="24"/>
          <w:lang w:val="en" w:eastAsia="en-AU"/>
        </w:rPr>
      </w:pPr>
      <w:r w:rsidRPr="00FC67DC">
        <w:rPr>
          <w:rFonts w:eastAsia="Segoe UI" w:cstheme="minorHAnsi"/>
          <w:color w:val="011A3C"/>
          <w:sz w:val="24"/>
          <w:szCs w:val="24"/>
          <w:lang w:val="en" w:eastAsia="en-AU"/>
        </w:rPr>
        <w:t>Eligible school campuses receive funding of $20,280 per year or $24,336 for schools in remote/very remote areas.</w:t>
      </w:r>
    </w:p>
    <w:p w14:paraId="7F31B016" w14:textId="77777777" w:rsidR="002F58F8" w:rsidRPr="00614B09" w:rsidRDefault="002F58F8" w:rsidP="002F58F8">
      <w:pPr>
        <w:spacing w:before="100" w:beforeAutospacing="1" w:after="100" w:afterAutospacing="1" w:line="288" w:lineRule="atLeast"/>
        <w:outlineLvl w:val="2"/>
        <w:rPr>
          <w:rFonts w:eastAsia="Segoe UI" w:cstheme="minorHAnsi"/>
          <w:b/>
          <w:color w:val="011A3C"/>
          <w:sz w:val="26"/>
          <w:szCs w:val="26"/>
          <w:lang w:val="en" w:eastAsia="en-AU"/>
        </w:rPr>
      </w:pPr>
      <w:r w:rsidRPr="00614B09">
        <w:rPr>
          <w:rFonts w:eastAsia="Segoe UI" w:cstheme="minorHAnsi"/>
          <w:b/>
          <w:color w:val="011A3C"/>
          <w:sz w:val="26"/>
          <w:szCs w:val="26"/>
          <w:lang w:val="en" w:eastAsia="en-AU"/>
        </w:rPr>
        <w:t>Contact</w:t>
      </w:r>
    </w:p>
    <w:p w14:paraId="3C464FF9" w14:textId="2482B0E4" w:rsidR="0033481E" w:rsidRPr="00BA76AF" w:rsidRDefault="0033481E" w:rsidP="0033481E">
      <w:pPr>
        <w:numPr>
          <w:ilvl w:val="0"/>
          <w:numId w:val="117"/>
        </w:numPr>
        <w:spacing w:before="100" w:beforeAutospacing="1" w:after="100" w:afterAutospacing="1" w:line="360" w:lineRule="atLeast"/>
        <w:rPr>
          <w:rFonts w:eastAsia="Segoe UI" w:cstheme="minorHAnsi"/>
          <w:color w:val="011A3C"/>
          <w:sz w:val="24"/>
          <w:szCs w:val="24"/>
          <w:lang w:val="en" w:eastAsia="en-AU"/>
        </w:rPr>
      </w:pPr>
      <w:r w:rsidRPr="00AB7A20">
        <w:rPr>
          <w:sz w:val="24"/>
          <w:szCs w:val="24"/>
        </w:rPr>
        <w:t xml:space="preserve">Program information: </w:t>
      </w:r>
      <w:hyperlink r:id="rId197" w:history="1">
        <w:r w:rsidR="00BA76AF" w:rsidRPr="00AB7A20">
          <w:rPr>
            <w:rStyle w:val="Hyperlink"/>
            <w:sz w:val="24"/>
            <w:szCs w:val="24"/>
          </w:rPr>
          <w:t>National Student Wellbeing Program</w:t>
        </w:r>
      </w:hyperlink>
      <w:r w:rsidR="00BA76AF" w:rsidRPr="00AB7A20">
        <w:rPr>
          <w:sz w:val="24"/>
          <w:szCs w:val="24"/>
        </w:rPr>
        <w:t xml:space="preserve"> </w:t>
      </w:r>
    </w:p>
    <w:p w14:paraId="303D2FD5" w14:textId="270D175F" w:rsidR="002F58F8" w:rsidRPr="00260C1D" w:rsidRDefault="002F58F8" w:rsidP="00950CBB">
      <w:pPr>
        <w:numPr>
          <w:ilvl w:val="0"/>
          <w:numId w:val="117"/>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 xml:space="preserve">Email: </w:t>
      </w:r>
      <w:hyperlink r:id="rId198" w:history="1">
        <w:r w:rsidR="00B5606E" w:rsidRPr="738305D2">
          <w:rPr>
            <w:rStyle w:val="Hyperlink"/>
            <w:rFonts w:eastAsia="Segoe UI"/>
            <w:sz w:val="24"/>
            <w:szCs w:val="24"/>
            <w:lang w:val="en" w:eastAsia="en-AU"/>
          </w:rPr>
          <w:t>student.engagement@education.vic.gov.au</w:t>
        </w:r>
      </w:hyperlink>
      <w:r w:rsidRPr="00950CBB">
        <w:br/>
      </w:r>
    </w:p>
    <w:p w14:paraId="47D63B93" w14:textId="00F39D0C" w:rsidR="00373667" w:rsidRPr="00260C1D" w:rsidRDefault="002F58F8">
      <w:pPr>
        <w:rPr>
          <w:rFonts w:cstheme="minorHAnsi"/>
        </w:rPr>
      </w:pPr>
      <w:r w:rsidRPr="00260C1D">
        <w:rPr>
          <w:rFonts w:cstheme="minorHAnsi"/>
        </w:rPr>
        <w:br w:type="page"/>
      </w:r>
    </w:p>
    <w:p w14:paraId="515457CD" w14:textId="1DA3CE1F" w:rsidR="00EA34C0" w:rsidRPr="00260C1D" w:rsidRDefault="00EA34C0" w:rsidP="00532A33">
      <w:pPr>
        <w:pStyle w:val="Heading2"/>
      </w:pPr>
      <w:bookmarkStart w:id="242" w:name="_Toc141965289"/>
      <w:bookmarkStart w:id="243" w:name="_Toc145339617"/>
      <w:bookmarkStart w:id="244" w:name="_Toc153791940"/>
      <w:r>
        <w:lastRenderedPageBreak/>
        <w:t>Middle Years Literacy and Numeracy Support Initiative (</w:t>
      </w:r>
      <w:r w:rsidR="003E5908">
        <w:t xml:space="preserve">Reference </w:t>
      </w:r>
      <w:r>
        <w:t>118)</w:t>
      </w:r>
      <w:bookmarkEnd w:id="242"/>
      <w:bookmarkEnd w:id="243"/>
      <w:bookmarkEnd w:id="244"/>
    </w:p>
    <w:p w14:paraId="2BB93F5F" w14:textId="52A01C8E" w:rsidR="00EA34C0" w:rsidRPr="00260C1D" w:rsidRDefault="00EA34C0"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w:t>
      </w:r>
      <w:hyperlink r:id="rId199" w:anchor="link98" w:history="1">
        <w:r w:rsidRPr="00260C1D">
          <w:rPr>
            <w:rFonts w:eastAsia="Segoe UI" w:cstheme="minorHAnsi"/>
            <w:color w:val="011A3C"/>
            <w:sz w:val="24"/>
            <w:szCs w:val="24"/>
            <w:lang w:val="en" w:eastAsia="en-AU"/>
          </w:rPr>
          <w:t>Middle Years Literacy and Numeracy Support (MYLNS)</w:t>
        </w:r>
      </w:hyperlink>
      <w:r w:rsidRPr="00260C1D">
        <w:rPr>
          <w:rFonts w:eastAsia="Segoe UI" w:cstheme="minorHAnsi"/>
          <w:color w:val="011A3C"/>
          <w:sz w:val="24"/>
          <w:szCs w:val="24"/>
          <w:lang w:val="en" w:eastAsia="en-AU"/>
        </w:rPr>
        <w:t xml:space="preserve"> initiative provides funding to government secondary schools to improve outcomes for students who are at risk of finishing school without the literacy or numeracy they need for future work, education and training.</w:t>
      </w:r>
    </w:p>
    <w:p w14:paraId="7CC0E890" w14:textId="2F6B2AC5" w:rsidR="00EA34C0" w:rsidRPr="00260C1D" w:rsidRDefault="00EA34C0"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Through the MYLNS initiative, schools are provided funding to release existing teachers as Literacy Improvement Teachers and/or Numeracy Improvement Teachers</w:t>
      </w:r>
      <w:r w:rsidR="002B14DA" w:rsidRPr="00260C1D">
        <w:rPr>
          <w:rFonts w:eastAsia="Segoe UI" w:cstheme="minorHAnsi"/>
          <w:color w:val="011A3C"/>
          <w:sz w:val="24"/>
          <w:szCs w:val="24"/>
          <w:lang w:val="en" w:eastAsia="en-AU"/>
        </w:rPr>
        <w:t>.</w:t>
      </w:r>
    </w:p>
    <w:p w14:paraId="650B61B2" w14:textId="2C0696AD" w:rsidR="00CC0B74" w:rsidRPr="00260C1D" w:rsidRDefault="00CC0B74" w:rsidP="00CC0B74">
      <w:pPr>
        <w:spacing w:before="100" w:beforeAutospacing="1" w:after="100" w:afterAutospacing="1"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Improvement Teachers deliver literacy </w:t>
      </w:r>
      <w:r w:rsidR="005C08A7">
        <w:rPr>
          <w:rFonts w:eastAsia="Segoe UI" w:cstheme="minorHAnsi"/>
          <w:color w:val="011A3C"/>
          <w:sz w:val="24"/>
          <w:szCs w:val="24"/>
          <w:lang w:val="en" w:eastAsia="en-AU"/>
        </w:rPr>
        <w:t>and/</w:t>
      </w:r>
      <w:r w:rsidRPr="00260C1D">
        <w:rPr>
          <w:rFonts w:eastAsia="Segoe UI" w:cstheme="minorHAnsi"/>
          <w:color w:val="011A3C"/>
          <w:sz w:val="24"/>
          <w:szCs w:val="24"/>
          <w:lang w:val="en" w:eastAsia="en-AU"/>
        </w:rPr>
        <w:t xml:space="preserve">or numeracy direct teaching support to students in Year 10 who were identified as </w:t>
      </w:r>
      <w:r w:rsidR="00107DC8">
        <w:rPr>
          <w:rFonts w:eastAsia="Segoe UI" w:cstheme="minorHAnsi"/>
          <w:color w:val="011A3C"/>
          <w:sz w:val="24"/>
          <w:szCs w:val="24"/>
          <w:lang w:val="en" w:eastAsia="en-AU"/>
        </w:rPr>
        <w:t xml:space="preserve">‘Needs Additional Support’ </w:t>
      </w:r>
      <w:r w:rsidRPr="00260C1D">
        <w:rPr>
          <w:rFonts w:eastAsia="Segoe UI" w:cstheme="minorHAnsi"/>
          <w:color w:val="011A3C"/>
          <w:sz w:val="24"/>
          <w:szCs w:val="24"/>
          <w:lang w:val="en" w:eastAsia="en-AU"/>
        </w:rPr>
        <w:t>in Reading and/or Numeracy as per 202</w:t>
      </w:r>
      <w:r w:rsidR="00ED4C6D">
        <w:rPr>
          <w:rFonts w:eastAsia="Segoe UI" w:cstheme="minorHAnsi"/>
          <w:color w:val="011A3C"/>
          <w:sz w:val="24"/>
          <w:szCs w:val="24"/>
          <w:lang w:val="en" w:eastAsia="en-AU"/>
        </w:rPr>
        <w:t>3</w:t>
      </w:r>
      <w:r w:rsidRPr="00260C1D">
        <w:rPr>
          <w:rFonts w:eastAsia="Segoe UI" w:cstheme="minorHAnsi"/>
          <w:color w:val="011A3C"/>
          <w:sz w:val="24"/>
          <w:szCs w:val="24"/>
          <w:lang w:val="en" w:eastAsia="en-AU"/>
        </w:rPr>
        <w:t xml:space="preserve"> </w:t>
      </w:r>
      <w:r w:rsidR="00ED4C6D">
        <w:rPr>
          <w:rFonts w:eastAsia="Segoe UI" w:cstheme="minorHAnsi"/>
          <w:color w:val="011A3C"/>
          <w:sz w:val="24"/>
          <w:szCs w:val="24"/>
          <w:lang w:val="en" w:eastAsia="en-AU"/>
        </w:rPr>
        <w:t>Year 9</w:t>
      </w:r>
      <w:r w:rsidRPr="00260C1D">
        <w:rPr>
          <w:rFonts w:eastAsia="Segoe UI" w:cstheme="minorHAnsi"/>
          <w:color w:val="011A3C"/>
          <w:sz w:val="24"/>
          <w:szCs w:val="24"/>
          <w:lang w:val="en" w:eastAsia="en-AU"/>
        </w:rPr>
        <w:t xml:space="preserve"> NAPLAN results. </w:t>
      </w:r>
      <w:r w:rsidR="00D955FD">
        <w:rPr>
          <w:rFonts w:eastAsia="Segoe UI" w:cstheme="minorHAnsi"/>
          <w:color w:val="011A3C"/>
          <w:sz w:val="24"/>
          <w:szCs w:val="24"/>
          <w:lang w:val="en" w:eastAsia="en-AU"/>
        </w:rPr>
        <w:t>Students exempt from NAPLAN are also eligible for support.</w:t>
      </w:r>
    </w:p>
    <w:p w14:paraId="5303C4CF" w14:textId="4B6F1941" w:rsidR="006618E7" w:rsidRPr="00260C1D" w:rsidRDefault="006618E7"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Refer to the Department’s policy on </w:t>
      </w:r>
      <w:hyperlink r:id="rId200" w:history="1">
        <w:r w:rsidRPr="00260C1D">
          <w:rPr>
            <w:rStyle w:val="Hyperlink"/>
            <w:rFonts w:eastAsia="Segoe UI" w:cstheme="minorHAnsi"/>
            <w:sz w:val="24"/>
            <w:szCs w:val="24"/>
            <w:lang w:val="en" w:eastAsia="en-AU"/>
          </w:rPr>
          <w:t>Middle Years Literacy and Numeracy Support</w:t>
        </w:r>
      </w:hyperlink>
      <w:r w:rsidRPr="00260C1D">
        <w:rPr>
          <w:rFonts w:eastAsia="Segoe UI" w:cstheme="minorHAnsi"/>
          <w:color w:val="011A3C"/>
          <w:sz w:val="24"/>
          <w:szCs w:val="24"/>
          <w:lang w:val="en" w:eastAsia="en-AU"/>
        </w:rPr>
        <w:t xml:space="preserve"> for further information on implementing the initiative.</w:t>
      </w:r>
    </w:p>
    <w:p w14:paraId="280B867D" w14:textId="77777777" w:rsidR="00F12CCC" w:rsidRPr="00260C1D" w:rsidRDefault="00F12CCC" w:rsidP="00F12CCC">
      <w:pPr>
        <w:spacing w:before="100" w:beforeAutospacing="1" w:after="100" w:afterAutospacing="1" w:line="288" w:lineRule="atLeast"/>
        <w:jc w:val="both"/>
        <w:outlineLvl w:val="2"/>
        <w:rPr>
          <w:rFonts w:eastAsia="Segoe UI" w:cstheme="minorHAnsi"/>
          <w:b/>
          <w:color w:val="011A3C"/>
          <w:sz w:val="26"/>
          <w:szCs w:val="28"/>
          <w:lang w:val="en" w:eastAsia="en-AU"/>
        </w:rPr>
      </w:pPr>
      <w:r w:rsidRPr="00260C1D">
        <w:rPr>
          <w:rFonts w:eastAsia="Segoe UI" w:cstheme="minorHAnsi"/>
          <w:b/>
          <w:color w:val="011A3C"/>
          <w:sz w:val="26"/>
          <w:szCs w:val="28"/>
          <w:lang w:val="en" w:eastAsia="en-AU"/>
        </w:rPr>
        <w:t>Accountability</w:t>
      </w:r>
    </w:p>
    <w:p w14:paraId="5D3326A0" w14:textId="6B039F9B" w:rsidR="00F12CCC" w:rsidRPr="00260C1D" w:rsidRDefault="00F12CCC" w:rsidP="00F12CCC">
      <w:pPr>
        <w:spacing w:before="100" w:beforeAutospacing="1" w:after="100" w:afterAutospacing="1"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Funding is provided to release teachers to provide direct teaching support to </w:t>
      </w:r>
      <w:proofErr w:type="spellStart"/>
      <w:r w:rsidRPr="00260C1D">
        <w:rPr>
          <w:rFonts w:eastAsia="Segoe UI" w:cstheme="minorHAnsi"/>
          <w:color w:val="011A3C"/>
          <w:sz w:val="24"/>
          <w:szCs w:val="24"/>
          <w:lang w:val="en" w:eastAsia="en-AU"/>
        </w:rPr>
        <w:t>prioritised</w:t>
      </w:r>
      <w:proofErr w:type="spellEnd"/>
      <w:r w:rsidRPr="00260C1D">
        <w:rPr>
          <w:rFonts w:eastAsia="Segoe UI" w:cstheme="minorHAnsi"/>
          <w:color w:val="011A3C"/>
          <w:sz w:val="24"/>
          <w:szCs w:val="24"/>
          <w:lang w:val="en" w:eastAsia="en-AU"/>
        </w:rPr>
        <w:t xml:space="preserve"> students in Year 10. </w:t>
      </w:r>
      <w:r w:rsidR="00D955FD">
        <w:rPr>
          <w:rFonts w:eastAsia="Segoe UI" w:cstheme="minorHAnsi"/>
          <w:color w:val="011A3C"/>
          <w:sz w:val="24"/>
          <w:szCs w:val="24"/>
          <w:lang w:val="en" w:eastAsia="en-AU"/>
        </w:rPr>
        <w:t>Schools must only use their MYLNS funding for the provision of the MYLNS initiative.</w:t>
      </w:r>
    </w:p>
    <w:p w14:paraId="399357DD" w14:textId="77777777" w:rsidR="00E63859" w:rsidRPr="00260C1D" w:rsidRDefault="00E63859" w:rsidP="00E63859">
      <w:pPr>
        <w:spacing w:before="100" w:beforeAutospacing="1" w:after="100" w:afterAutospacing="1"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are required to:</w:t>
      </w:r>
    </w:p>
    <w:p w14:paraId="649E9C57" w14:textId="14E8C00B" w:rsidR="00E63859" w:rsidRPr="00260C1D" w:rsidRDefault="003E7B94"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Pr>
          <w:rFonts w:eastAsia="Segoe UI"/>
          <w:color w:val="011A3C"/>
          <w:sz w:val="24"/>
          <w:szCs w:val="24"/>
          <w:lang w:val="en" w:eastAsia="en-AU"/>
        </w:rPr>
        <w:t xml:space="preserve">Review the MYLNS students pre-identified </w:t>
      </w:r>
      <w:r w:rsidR="00E63859" w:rsidRPr="738305D2">
        <w:rPr>
          <w:rFonts w:eastAsia="Segoe UI"/>
          <w:color w:val="011A3C"/>
          <w:sz w:val="24"/>
          <w:szCs w:val="24"/>
          <w:lang w:val="en" w:eastAsia="en-AU"/>
        </w:rPr>
        <w:t>in CASES21</w:t>
      </w:r>
      <w:r>
        <w:rPr>
          <w:rFonts w:eastAsia="Segoe UI"/>
          <w:color w:val="011A3C"/>
          <w:sz w:val="24"/>
          <w:szCs w:val="24"/>
          <w:lang w:val="en" w:eastAsia="en-AU"/>
        </w:rPr>
        <w:t>.</w:t>
      </w:r>
      <w:r w:rsidR="00C03013">
        <w:rPr>
          <w:rFonts w:eastAsia="Segoe UI"/>
          <w:color w:val="011A3C"/>
          <w:sz w:val="24"/>
          <w:szCs w:val="24"/>
          <w:lang w:val="en" w:eastAsia="en-AU"/>
        </w:rPr>
        <w:t xml:space="preserve"> Students assessed as ‘Needs Additional </w:t>
      </w:r>
      <w:r w:rsidR="004A384E">
        <w:rPr>
          <w:rFonts w:eastAsia="Segoe UI"/>
          <w:color w:val="011A3C"/>
          <w:sz w:val="24"/>
          <w:szCs w:val="24"/>
          <w:lang w:val="en" w:eastAsia="en-AU"/>
        </w:rPr>
        <w:t>S</w:t>
      </w:r>
      <w:r w:rsidR="00C03013">
        <w:rPr>
          <w:rFonts w:eastAsia="Segoe UI"/>
          <w:color w:val="011A3C"/>
          <w:sz w:val="24"/>
          <w:szCs w:val="24"/>
          <w:lang w:val="en" w:eastAsia="en-AU"/>
        </w:rPr>
        <w:t>upport’ in Reading and/or Numeracy in the 2023 Year 9 NAPLAN will be automatically identified as MYLNS students in CASES21. Students Exempt from NAPLAN will also be automatically included. Schools will need to review and</w:t>
      </w:r>
      <w:r w:rsidR="00310DF8">
        <w:rPr>
          <w:rFonts w:eastAsia="Segoe UI"/>
          <w:color w:val="011A3C"/>
          <w:sz w:val="24"/>
          <w:szCs w:val="24"/>
          <w:lang w:val="en" w:eastAsia="en-AU"/>
        </w:rPr>
        <w:t>, f</w:t>
      </w:r>
      <w:r w:rsidR="00C03013">
        <w:rPr>
          <w:rFonts w:eastAsia="Segoe UI"/>
          <w:color w:val="011A3C"/>
          <w:sz w:val="24"/>
          <w:szCs w:val="24"/>
          <w:lang w:val="en" w:eastAsia="en-AU"/>
        </w:rPr>
        <w:t>or any additional students, select MYLNS literacy and/or numeracy for the additional students.</w:t>
      </w:r>
    </w:p>
    <w:p w14:paraId="33E09464" w14:textId="77777777" w:rsidR="00E63859" w:rsidRPr="000659D6" w:rsidRDefault="00E63859"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 xml:space="preserve">Nominate Improvement Teachers and update their details as required. </w:t>
      </w:r>
    </w:p>
    <w:p w14:paraId="54E2EF42" w14:textId="7551221A" w:rsidR="000659D6" w:rsidRPr="00260C1D" w:rsidRDefault="000659D6"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Pr>
          <w:rFonts w:eastAsia="Segoe UI"/>
          <w:color w:val="011A3C"/>
          <w:sz w:val="24"/>
          <w:szCs w:val="24"/>
          <w:lang w:val="en" w:eastAsia="en-AU"/>
        </w:rPr>
        <w:t xml:space="preserve">Provide intensive learning support to MYLNS students, as per the Department’s policy on </w:t>
      </w:r>
      <w:hyperlink r:id="rId201" w:history="1">
        <w:r w:rsidRPr="00D75C88">
          <w:rPr>
            <w:rStyle w:val="Hyperlink"/>
            <w:rFonts w:eastAsia="Segoe UI"/>
            <w:sz w:val="24"/>
            <w:szCs w:val="24"/>
            <w:lang w:val="en" w:eastAsia="en-AU"/>
          </w:rPr>
          <w:t>Middle Years Literacy and Numeracy Support</w:t>
        </w:r>
      </w:hyperlink>
      <w:r>
        <w:rPr>
          <w:rFonts w:eastAsia="Segoe UI"/>
          <w:color w:val="011A3C"/>
          <w:sz w:val="24"/>
          <w:szCs w:val="24"/>
          <w:lang w:val="en" w:eastAsia="en-AU"/>
        </w:rPr>
        <w:t>.</w:t>
      </w:r>
    </w:p>
    <w:p w14:paraId="3E91AD0A" w14:textId="401C2742" w:rsidR="00E63859" w:rsidRPr="00260C1D" w:rsidRDefault="00E63859"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Maintain records of student learning.</w:t>
      </w:r>
    </w:p>
    <w:p w14:paraId="7341A576" w14:textId="6831312F" w:rsidR="0073330A" w:rsidRPr="00260C1D" w:rsidRDefault="0073330A" w:rsidP="002558B6">
      <w:pPr>
        <w:spacing w:before="100" w:beforeAutospacing="1" w:after="100" w:afterAutospacing="1" w:line="288" w:lineRule="atLeast"/>
        <w:outlineLvl w:val="2"/>
        <w:rPr>
          <w:rFonts w:eastAsia="Segoe UI" w:cstheme="minorHAnsi"/>
          <w:b/>
          <w:color w:val="011A3C"/>
          <w:sz w:val="24"/>
          <w:szCs w:val="24"/>
          <w:lang w:val="en" w:eastAsia="en-AU"/>
        </w:rPr>
      </w:pPr>
      <w:r w:rsidRPr="00260C1D">
        <w:rPr>
          <w:rFonts w:eastAsia="Segoe UI" w:cstheme="minorHAnsi"/>
          <w:b/>
          <w:color w:val="011A3C"/>
          <w:sz w:val="26"/>
          <w:szCs w:val="28"/>
          <w:lang w:val="en" w:eastAsia="en-AU"/>
        </w:rPr>
        <w:t>Eligibility</w:t>
      </w:r>
    </w:p>
    <w:p w14:paraId="120021CC" w14:textId="58DEE542" w:rsidR="00FD7EE7" w:rsidRPr="00260C1D" w:rsidRDefault="0084447B" w:rsidP="002558B6">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MYLNS </w:t>
      </w:r>
      <w:r w:rsidR="00E073D4">
        <w:rPr>
          <w:rFonts w:eastAsia="Segoe UI" w:cstheme="minorHAnsi"/>
          <w:color w:val="011A3C"/>
          <w:sz w:val="24"/>
          <w:szCs w:val="24"/>
          <w:lang w:val="en" w:eastAsia="en-AU"/>
        </w:rPr>
        <w:t>f</w:t>
      </w:r>
      <w:r w:rsidR="00FD7EE7" w:rsidRPr="00260C1D">
        <w:rPr>
          <w:rFonts w:eastAsia="Segoe UI" w:cstheme="minorHAnsi"/>
          <w:color w:val="011A3C"/>
          <w:sz w:val="24"/>
          <w:szCs w:val="24"/>
          <w:lang w:val="en" w:eastAsia="en-AU"/>
        </w:rPr>
        <w:t>unding is provided to all Victorian government schools with Year 10 students except for select entry, camp, language and special</w:t>
      </w:r>
      <w:r w:rsidR="00A16271" w:rsidRPr="00260C1D">
        <w:rPr>
          <w:rFonts w:eastAsia="Segoe UI" w:cstheme="minorHAnsi"/>
          <w:color w:val="011A3C"/>
          <w:sz w:val="24"/>
          <w:szCs w:val="24"/>
          <w:lang w:val="en" w:eastAsia="en-AU"/>
        </w:rPr>
        <w:t>ist</w:t>
      </w:r>
      <w:r w:rsidR="00FD7EE7" w:rsidRPr="00260C1D">
        <w:rPr>
          <w:rFonts w:eastAsia="Segoe UI" w:cstheme="minorHAnsi"/>
          <w:color w:val="011A3C"/>
          <w:sz w:val="24"/>
          <w:szCs w:val="24"/>
          <w:lang w:val="en" w:eastAsia="en-AU"/>
        </w:rPr>
        <w:t xml:space="preserve"> schools.</w:t>
      </w:r>
    </w:p>
    <w:p w14:paraId="7180E3C5" w14:textId="77777777" w:rsidR="00EA34C0" w:rsidRPr="00260C1D" w:rsidRDefault="00EA34C0" w:rsidP="00DE6914">
      <w:pPr>
        <w:spacing w:before="100" w:beforeAutospacing="1" w:after="100" w:afterAutospacing="1" w:line="288" w:lineRule="atLeast"/>
        <w:outlineLvl w:val="2"/>
        <w:rPr>
          <w:rFonts w:eastAsia="Segoe UI" w:cstheme="minorHAnsi"/>
          <w:b/>
          <w:color w:val="011A3C"/>
          <w:sz w:val="26"/>
          <w:szCs w:val="28"/>
          <w:lang w:val="en" w:eastAsia="en-AU"/>
        </w:rPr>
      </w:pPr>
      <w:r w:rsidRPr="00260C1D">
        <w:rPr>
          <w:rFonts w:eastAsia="Segoe UI" w:cstheme="minorHAnsi"/>
          <w:b/>
          <w:color w:val="011A3C"/>
          <w:sz w:val="26"/>
          <w:szCs w:val="28"/>
          <w:lang w:val="en" w:eastAsia="en-AU"/>
        </w:rPr>
        <w:t>Funding allocation</w:t>
      </w:r>
    </w:p>
    <w:p w14:paraId="66AE2011" w14:textId="1B752B45" w:rsidR="008C077F" w:rsidRDefault="00DD62EE"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do not have to apply for MYLNS funding</w:t>
      </w:r>
      <w:r w:rsidR="004B58A5">
        <w:rPr>
          <w:rFonts w:eastAsia="Segoe UI" w:cstheme="minorHAnsi"/>
          <w:color w:val="011A3C"/>
          <w:sz w:val="24"/>
          <w:szCs w:val="24"/>
          <w:lang w:val="en" w:eastAsia="en-AU"/>
        </w:rPr>
        <w:t>, as</w:t>
      </w:r>
      <w:r w:rsidRPr="00260C1D">
        <w:rPr>
          <w:rFonts w:eastAsia="Segoe UI" w:cstheme="minorHAnsi"/>
          <w:color w:val="011A3C"/>
          <w:sz w:val="24"/>
          <w:szCs w:val="24"/>
          <w:lang w:val="en" w:eastAsia="en-AU"/>
        </w:rPr>
        <w:t xml:space="preserve"> </w:t>
      </w:r>
      <w:r w:rsidR="004B58A5">
        <w:rPr>
          <w:rFonts w:eastAsia="Segoe UI" w:cstheme="minorHAnsi"/>
          <w:color w:val="011A3C"/>
          <w:sz w:val="24"/>
          <w:szCs w:val="24"/>
          <w:lang w:val="en" w:eastAsia="en-AU"/>
        </w:rPr>
        <w:t>f</w:t>
      </w:r>
      <w:r w:rsidRPr="00260C1D">
        <w:rPr>
          <w:rFonts w:eastAsia="Segoe UI" w:cstheme="minorHAnsi"/>
          <w:color w:val="011A3C"/>
          <w:sz w:val="24"/>
          <w:szCs w:val="24"/>
          <w:lang w:val="en" w:eastAsia="en-AU"/>
        </w:rPr>
        <w:t>unding is determined using NAPLAN</w:t>
      </w:r>
      <w:r w:rsidR="00D75C88">
        <w:rPr>
          <w:rFonts w:eastAsia="Segoe UI" w:cstheme="minorHAnsi"/>
          <w:color w:val="011A3C"/>
          <w:sz w:val="24"/>
          <w:szCs w:val="24"/>
          <w:lang w:val="en" w:eastAsia="en-AU"/>
        </w:rPr>
        <w:t xml:space="preserve"> data.</w:t>
      </w:r>
      <w:r w:rsidRPr="00260C1D">
        <w:rPr>
          <w:rFonts w:eastAsia="Segoe UI" w:cstheme="minorHAnsi"/>
          <w:color w:val="011A3C"/>
          <w:sz w:val="24"/>
          <w:szCs w:val="24"/>
          <w:lang w:val="en" w:eastAsia="en-AU"/>
        </w:rPr>
        <w:t xml:space="preserve"> </w:t>
      </w:r>
    </w:p>
    <w:p w14:paraId="1AD9D7C3" w14:textId="050D1067" w:rsidR="00187315" w:rsidRDefault="00745143" w:rsidP="00EA34C0">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lastRenderedPageBreak/>
        <w:t xml:space="preserve">MYLNS funding will be provided directly to schools through </w:t>
      </w:r>
      <w:r w:rsidR="00DD62EE" w:rsidRPr="00260C1D">
        <w:rPr>
          <w:rFonts w:eastAsia="Segoe UI" w:cstheme="minorHAnsi"/>
          <w:color w:val="011A3C"/>
          <w:sz w:val="24"/>
          <w:szCs w:val="24"/>
          <w:lang w:val="en" w:eastAsia="en-AU"/>
        </w:rPr>
        <w:t xml:space="preserve">the </w:t>
      </w:r>
      <w:r w:rsidR="009A130D" w:rsidRPr="00260C1D">
        <w:rPr>
          <w:rFonts w:eastAsia="Segoe UI" w:cstheme="minorHAnsi"/>
          <w:color w:val="011A3C"/>
          <w:sz w:val="24"/>
          <w:szCs w:val="24"/>
          <w:lang w:val="en" w:eastAsia="en-AU"/>
        </w:rPr>
        <w:t>Student Resource Package (</w:t>
      </w:r>
      <w:r w:rsidR="00DD62EE" w:rsidRPr="00260C1D">
        <w:rPr>
          <w:rFonts w:eastAsia="Segoe UI" w:cstheme="minorHAnsi"/>
          <w:color w:val="011A3C"/>
          <w:sz w:val="24"/>
          <w:szCs w:val="24"/>
          <w:lang w:val="en" w:eastAsia="en-AU"/>
        </w:rPr>
        <w:t>SRP</w:t>
      </w:r>
      <w:r w:rsidR="009A130D" w:rsidRPr="00260C1D">
        <w:rPr>
          <w:rFonts w:eastAsia="Segoe UI" w:cstheme="minorHAnsi"/>
          <w:color w:val="011A3C"/>
          <w:sz w:val="24"/>
          <w:szCs w:val="24"/>
          <w:lang w:val="en" w:eastAsia="en-AU"/>
        </w:rPr>
        <w:t>)</w:t>
      </w:r>
      <w:r w:rsidR="001E22BF">
        <w:rPr>
          <w:rFonts w:eastAsia="Segoe UI" w:cstheme="minorHAnsi"/>
          <w:color w:val="011A3C"/>
          <w:sz w:val="24"/>
          <w:szCs w:val="24"/>
          <w:lang w:val="en" w:eastAsia="en-AU"/>
        </w:rPr>
        <w:t>, as a 90% credit, 10% cash allocation</w:t>
      </w:r>
      <w:r w:rsidR="00DD62EE" w:rsidRPr="00260C1D">
        <w:rPr>
          <w:rFonts w:eastAsia="Segoe UI" w:cstheme="minorHAnsi"/>
          <w:color w:val="011A3C"/>
          <w:sz w:val="24"/>
          <w:szCs w:val="24"/>
          <w:lang w:val="en" w:eastAsia="en-AU"/>
        </w:rPr>
        <w:t>.</w:t>
      </w:r>
    </w:p>
    <w:p w14:paraId="51DA321A" w14:textId="3FC60F97" w:rsidR="00107BFF" w:rsidRPr="00833928" w:rsidRDefault="00D900B7" w:rsidP="00833928">
      <w:pPr>
        <w:spacing w:before="100" w:beforeAutospacing="1" w:after="100" w:afterAutospacing="1" w:line="360" w:lineRule="atLeast"/>
        <w:rPr>
          <w:color w:val="011A3C"/>
          <w:sz w:val="24"/>
          <w:lang w:val="en"/>
        </w:rPr>
      </w:pPr>
      <w:r w:rsidRPr="00833928">
        <w:rPr>
          <w:color w:val="011A3C"/>
          <w:sz w:val="24"/>
          <w:lang w:val="en"/>
        </w:rPr>
        <w:t>All schools with Year 10 students receive a minimum of 0.4 FTE time release funding ($</w:t>
      </w:r>
      <w:r>
        <w:rPr>
          <w:rFonts w:eastAsia="Segoe UI" w:cstheme="minorHAnsi"/>
          <w:color w:val="011A3C"/>
          <w:sz w:val="24"/>
          <w:szCs w:val="24"/>
          <w:lang w:val="en" w:eastAsia="en-AU"/>
        </w:rPr>
        <w:t>50,283</w:t>
      </w:r>
      <w:r w:rsidRPr="00833928">
        <w:rPr>
          <w:color w:val="011A3C"/>
          <w:sz w:val="24"/>
          <w:lang w:val="en"/>
        </w:rPr>
        <w:t>) as they are eligible for the equivalent of 0.2 FTE for literacy direct support, and 0.2 FTE for numeracy direct support</w:t>
      </w:r>
      <w:r>
        <w:rPr>
          <w:rFonts w:eastAsia="Segoe UI" w:cstheme="minorHAnsi"/>
          <w:color w:val="011A3C"/>
          <w:sz w:val="24"/>
          <w:szCs w:val="24"/>
          <w:lang w:val="en" w:eastAsia="en-AU"/>
        </w:rPr>
        <w:t>.</w:t>
      </w:r>
    </w:p>
    <w:p w14:paraId="4347B465" w14:textId="06BCA537" w:rsidR="00D900B7" w:rsidRDefault="00D900B7" w:rsidP="00EA34C0">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Table 1 below outlines the MYLNS funding brackets, associated teacher time release, and number of eligible students (funding amounts are expressed as an FTE time release and funded at Classroom Teacher 2.5 level).</w:t>
      </w:r>
    </w:p>
    <w:p w14:paraId="0E4A2B1F" w14:textId="72899A3D" w:rsidR="00D900B7" w:rsidRPr="009B4DE1" w:rsidRDefault="00D900B7" w:rsidP="00EA34C0">
      <w:pPr>
        <w:spacing w:before="100" w:beforeAutospacing="1" w:after="100" w:afterAutospacing="1" w:line="360" w:lineRule="atLeast"/>
        <w:rPr>
          <w:rFonts w:eastAsia="Segoe UI" w:cstheme="minorHAnsi"/>
          <w:b/>
          <w:bCs/>
          <w:color w:val="011A3C"/>
          <w:sz w:val="24"/>
          <w:szCs w:val="24"/>
          <w:lang w:val="en" w:eastAsia="en-AU"/>
        </w:rPr>
      </w:pPr>
      <w:r w:rsidRPr="009B4DE1">
        <w:rPr>
          <w:rFonts w:eastAsia="Segoe UI" w:cstheme="minorHAnsi"/>
          <w:b/>
          <w:bCs/>
          <w:color w:val="011A3C"/>
          <w:sz w:val="24"/>
          <w:szCs w:val="24"/>
          <w:lang w:val="en" w:eastAsia="en-AU"/>
        </w:rPr>
        <w:t>Table 1: MYLNS funding and associated support</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6"/>
        <w:gridCol w:w="2847"/>
        <w:gridCol w:w="2675"/>
      </w:tblGrid>
      <w:tr w:rsidR="00D900B7" w:rsidRPr="00712D31" w14:paraId="4A5EEB81" w14:textId="77777777">
        <w:tc>
          <w:tcPr>
            <w:tcW w:w="3686" w:type="dxa"/>
            <w:hideMark/>
          </w:tcPr>
          <w:p w14:paraId="2B474298" w14:textId="0EA0EDD5" w:rsidR="00D900B7" w:rsidRPr="009B4DE1" w:rsidRDefault="00D900B7" w:rsidP="009B4DE1">
            <w:pPr>
              <w:spacing w:after="0" w:line="240" w:lineRule="auto"/>
              <w:rPr>
                <w:b/>
                <w:bCs/>
                <w:sz w:val="24"/>
                <w:szCs w:val="24"/>
              </w:rPr>
            </w:pPr>
            <w:r w:rsidRPr="009B4DE1">
              <w:rPr>
                <w:b/>
                <w:bCs/>
                <w:sz w:val="24"/>
                <w:szCs w:val="24"/>
              </w:rPr>
              <w:t>Amount shown in SRP</w:t>
            </w:r>
          </w:p>
        </w:tc>
        <w:tc>
          <w:tcPr>
            <w:tcW w:w="2847" w:type="dxa"/>
            <w:hideMark/>
          </w:tcPr>
          <w:p w14:paraId="67D28B65" w14:textId="77777777" w:rsidR="00D900B7" w:rsidRPr="009B4DE1" w:rsidRDefault="00D900B7" w:rsidP="009B4DE1">
            <w:pPr>
              <w:spacing w:after="0" w:line="240" w:lineRule="auto"/>
              <w:rPr>
                <w:b/>
                <w:bCs/>
                <w:sz w:val="24"/>
                <w:szCs w:val="24"/>
              </w:rPr>
            </w:pPr>
            <w:r w:rsidRPr="009B4DE1">
              <w:rPr>
                <w:b/>
                <w:bCs/>
                <w:sz w:val="24"/>
                <w:szCs w:val="24"/>
              </w:rPr>
              <w:t>Associated Full time equivalent (FTE) time release</w:t>
            </w:r>
          </w:p>
        </w:tc>
        <w:tc>
          <w:tcPr>
            <w:tcW w:w="2675" w:type="dxa"/>
            <w:tcMar>
              <w:top w:w="0" w:type="dxa"/>
              <w:left w:w="108" w:type="dxa"/>
              <w:bottom w:w="0" w:type="dxa"/>
              <w:right w:w="108" w:type="dxa"/>
            </w:tcMar>
            <w:hideMark/>
          </w:tcPr>
          <w:p w14:paraId="133A9B27" w14:textId="77777777" w:rsidR="00D900B7" w:rsidRPr="009B4DE1" w:rsidRDefault="00D900B7" w:rsidP="009B4DE1">
            <w:pPr>
              <w:spacing w:after="0" w:line="240" w:lineRule="auto"/>
              <w:rPr>
                <w:b/>
                <w:bCs/>
                <w:sz w:val="24"/>
                <w:szCs w:val="24"/>
              </w:rPr>
            </w:pPr>
            <w:r w:rsidRPr="009B4DE1">
              <w:rPr>
                <w:b/>
                <w:bCs/>
                <w:sz w:val="24"/>
                <w:szCs w:val="24"/>
              </w:rPr>
              <w:t xml:space="preserve">Associated number of eligible students in literacy and numeracy </w:t>
            </w:r>
          </w:p>
        </w:tc>
      </w:tr>
      <w:tr w:rsidR="00D900B7" w:rsidRPr="00712D31" w14:paraId="743A7C6D" w14:textId="77777777">
        <w:tc>
          <w:tcPr>
            <w:tcW w:w="3686" w:type="dxa"/>
            <w:hideMark/>
          </w:tcPr>
          <w:p w14:paraId="367D8084" w14:textId="4ED0BB3A" w:rsidR="00D900B7" w:rsidRPr="009B4DE1" w:rsidRDefault="00D900B7" w:rsidP="009B4DE1">
            <w:pPr>
              <w:spacing w:after="0" w:line="240" w:lineRule="auto"/>
              <w:rPr>
                <w:sz w:val="24"/>
                <w:szCs w:val="24"/>
              </w:rPr>
            </w:pPr>
            <w:r w:rsidRPr="009B4DE1">
              <w:rPr>
                <w:sz w:val="24"/>
                <w:szCs w:val="24"/>
              </w:rPr>
              <w:t>NA</w:t>
            </w:r>
          </w:p>
        </w:tc>
        <w:tc>
          <w:tcPr>
            <w:tcW w:w="2847" w:type="dxa"/>
            <w:hideMark/>
          </w:tcPr>
          <w:p w14:paraId="07B81AD4" w14:textId="38AB7869" w:rsidR="00D900B7" w:rsidRPr="009B4DE1" w:rsidRDefault="00D900B7" w:rsidP="009B4DE1">
            <w:pPr>
              <w:spacing w:after="0" w:line="240" w:lineRule="auto"/>
              <w:rPr>
                <w:sz w:val="24"/>
                <w:szCs w:val="24"/>
              </w:rPr>
            </w:pPr>
            <w:r w:rsidRPr="009B4DE1">
              <w:rPr>
                <w:sz w:val="24"/>
                <w:szCs w:val="24"/>
              </w:rPr>
              <w:t>0.2</w:t>
            </w:r>
          </w:p>
        </w:tc>
        <w:tc>
          <w:tcPr>
            <w:tcW w:w="2675" w:type="dxa"/>
            <w:tcMar>
              <w:top w:w="0" w:type="dxa"/>
              <w:left w:w="108" w:type="dxa"/>
              <w:bottom w:w="0" w:type="dxa"/>
              <w:right w:w="108" w:type="dxa"/>
            </w:tcMar>
            <w:hideMark/>
          </w:tcPr>
          <w:p w14:paraId="3CE9E672" w14:textId="253733E8" w:rsidR="00D900B7" w:rsidRPr="009B4DE1" w:rsidRDefault="00D900B7" w:rsidP="009B4DE1">
            <w:pPr>
              <w:spacing w:after="0" w:line="240" w:lineRule="auto"/>
              <w:rPr>
                <w:sz w:val="24"/>
                <w:szCs w:val="24"/>
              </w:rPr>
            </w:pPr>
            <w:r w:rsidRPr="009B4DE1">
              <w:rPr>
                <w:sz w:val="24"/>
                <w:szCs w:val="24"/>
              </w:rPr>
              <w:t>0</w:t>
            </w:r>
            <w:r w:rsidR="00A045C1">
              <w:rPr>
                <w:sz w:val="24"/>
                <w:szCs w:val="24"/>
              </w:rPr>
              <w:t xml:space="preserve"> to</w:t>
            </w:r>
            <w:r w:rsidRPr="009B4DE1">
              <w:rPr>
                <w:sz w:val="24"/>
                <w:szCs w:val="24"/>
              </w:rPr>
              <w:t>15</w:t>
            </w:r>
          </w:p>
        </w:tc>
      </w:tr>
      <w:tr w:rsidR="00D900B7" w:rsidRPr="00712D31" w14:paraId="1276F79A" w14:textId="77777777">
        <w:tc>
          <w:tcPr>
            <w:tcW w:w="3686" w:type="dxa"/>
          </w:tcPr>
          <w:p w14:paraId="02C459B6" w14:textId="47525E8E" w:rsidR="00D900B7" w:rsidRPr="009B4DE1" w:rsidRDefault="00D900B7" w:rsidP="009B4DE1">
            <w:pPr>
              <w:spacing w:after="0" w:line="240" w:lineRule="auto"/>
              <w:rPr>
                <w:sz w:val="24"/>
                <w:szCs w:val="24"/>
              </w:rPr>
            </w:pPr>
            <w:r w:rsidRPr="009B4DE1">
              <w:rPr>
                <w:sz w:val="24"/>
                <w:szCs w:val="24"/>
              </w:rPr>
              <w:t>$50,283</w:t>
            </w:r>
            <w:r w:rsidR="00B011EC">
              <w:rPr>
                <w:sz w:val="24"/>
                <w:szCs w:val="24"/>
              </w:rPr>
              <w:t>.80</w:t>
            </w:r>
          </w:p>
        </w:tc>
        <w:tc>
          <w:tcPr>
            <w:tcW w:w="2847" w:type="dxa"/>
            <w:hideMark/>
          </w:tcPr>
          <w:p w14:paraId="41B25530" w14:textId="51CF0400" w:rsidR="00D900B7" w:rsidRPr="009B4DE1" w:rsidRDefault="00D900B7" w:rsidP="009B4DE1">
            <w:pPr>
              <w:spacing w:after="0" w:line="240" w:lineRule="auto"/>
              <w:rPr>
                <w:sz w:val="24"/>
                <w:szCs w:val="24"/>
              </w:rPr>
            </w:pPr>
            <w:r w:rsidRPr="009B4DE1">
              <w:rPr>
                <w:sz w:val="24"/>
                <w:szCs w:val="24"/>
              </w:rPr>
              <w:t>0.4</w:t>
            </w:r>
          </w:p>
        </w:tc>
        <w:tc>
          <w:tcPr>
            <w:tcW w:w="2675" w:type="dxa"/>
            <w:tcMar>
              <w:top w:w="0" w:type="dxa"/>
              <w:left w:w="108" w:type="dxa"/>
              <w:bottom w:w="0" w:type="dxa"/>
              <w:right w:w="108" w:type="dxa"/>
            </w:tcMar>
            <w:hideMark/>
          </w:tcPr>
          <w:p w14:paraId="717AE382" w14:textId="0DD96119" w:rsidR="00D900B7" w:rsidRPr="009B4DE1" w:rsidRDefault="00D900B7" w:rsidP="009B4DE1">
            <w:pPr>
              <w:spacing w:after="0" w:line="240" w:lineRule="auto"/>
              <w:rPr>
                <w:sz w:val="24"/>
                <w:szCs w:val="24"/>
              </w:rPr>
            </w:pPr>
            <w:r w:rsidRPr="009B4DE1">
              <w:rPr>
                <w:sz w:val="24"/>
                <w:szCs w:val="24"/>
              </w:rPr>
              <w:t>16</w:t>
            </w:r>
            <w:r w:rsidR="00A045C1">
              <w:rPr>
                <w:sz w:val="24"/>
                <w:szCs w:val="24"/>
              </w:rPr>
              <w:t xml:space="preserve"> to </w:t>
            </w:r>
            <w:r w:rsidRPr="009B4DE1">
              <w:rPr>
                <w:sz w:val="24"/>
                <w:szCs w:val="24"/>
              </w:rPr>
              <w:t>30</w:t>
            </w:r>
          </w:p>
        </w:tc>
      </w:tr>
      <w:tr w:rsidR="00D900B7" w:rsidRPr="00712D31" w14:paraId="2D1A48B5" w14:textId="77777777">
        <w:tc>
          <w:tcPr>
            <w:tcW w:w="3686" w:type="dxa"/>
          </w:tcPr>
          <w:p w14:paraId="79058EB5" w14:textId="41C03E1C" w:rsidR="00D900B7" w:rsidRPr="009B4DE1" w:rsidRDefault="00D900B7" w:rsidP="009B4DE1">
            <w:pPr>
              <w:spacing w:after="0" w:line="240" w:lineRule="auto"/>
              <w:rPr>
                <w:sz w:val="24"/>
                <w:szCs w:val="24"/>
              </w:rPr>
            </w:pPr>
            <w:r w:rsidRPr="009B4DE1">
              <w:rPr>
                <w:sz w:val="24"/>
                <w:szCs w:val="24"/>
              </w:rPr>
              <w:t>$75,424</w:t>
            </w:r>
            <w:r w:rsidR="00B011EC">
              <w:rPr>
                <w:sz w:val="24"/>
                <w:szCs w:val="24"/>
              </w:rPr>
              <w:t>.20</w:t>
            </w:r>
          </w:p>
        </w:tc>
        <w:tc>
          <w:tcPr>
            <w:tcW w:w="2847" w:type="dxa"/>
            <w:hideMark/>
          </w:tcPr>
          <w:p w14:paraId="6540A5B2" w14:textId="676EC18A" w:rsidR="00D900B7" w:rsidRPr="009B4DE1" w:rsidRDefault="00D900B7" w:rsidP="009B4DE1">
            <w:pPr>
              <w:spacing w:after="0" w:line="240" w:lineRule="auto"/>
              <w:rPr>
                <w:sz w:val="24"/>
                <w:szCs w:val="24"/>
              </w:rPr>
            </w:pPr>
            <w:r w:rsidRPr="009B4DE1">
              <w:rPr>
                <w:sz w:val="24"/>
                <w:szCs w:val="24"/>
              </w:rPr>
              <w:t>0.6</w:t>
            </w:r>
          </w:p>
        </w:tc>
        <w:tc>
          <w:tcPr>
            <w:tcW w:w="2675" w:type="dxa"/>
            <w:tcMar>
              <w:top w:w="0" w:type="dxa"/>
              <w:left w:w="108" w:type="dxa"/>
              <w:bottom w:w="0" w:type="dxa"/>
              <w:right w:w="108" w:type="dxa"/>
            </w:tcMar>
            <w:hideMark/>
          </w:tcPr>
          <w:p w14:paraId="7C2185E3" w14:textId="1F03B396" w:rsidR="00D900B7" w:rsidRPr="009B4DE1" w:rsidRDefault="00D900B7" w:rsidP="009B4DE1">
            <w:pPr>
              <w:spacing w:after="0" w:line="240" w:lineRule="auto"/>
              <w:rPr>
                <w:sz w:val="24"/>
                <w:szCs w:val="24"/>
              </w:rPr>
            </w:pPr>
            <w:r w:rsidRPr="009B4DE1">
              <w:rPr>
                <w:sz w:val="24"/>
                <w:szCs w:val="24"/>
              </w:rPr>
              <w:t>31</w:t>
            </w:r>
            <w:r w:rsidR="00A045C1">
              <w:rPr>
                <w:sz w:val="24"/>
                <w:szCs w:val="24"/>
              </w:rPr>
              <w:t xml:space="preserve"> to </w:t>
            </w:r>
            <w:r w:rsidRPr="009B4DE1">
              <w:rPr>
                <w:sz w:val="24"/>
                <w:szCs w:val="24"/>
              </w:rPr>
              <w:t>45</w:t>
            </w:r>
          </w:p>
        </w:tc>
      </w:tr>
      <w:tr w:rsidR="00D900B7" w:rsidRPr="00712D31" w14:paraId="2A1321F3" w14:textId="77777777">
        <w:tc>
          <w:tcPr>
            <w:tcW w:w="3686" w:type="dxa"/>
          </w:tcPr>
          <w:p w14:paraId="64640950" w14:textId="6C0D3CE8" w:rsidR="00D900B7" w:rsidRPr="009B4DE1" w:rsidRDefault="00D900B7" w:rsidP="009B4DE1">
            <w:pPr>
              <w:spacing w:after="0" w:line="240" w:lineRule="auto"/>
              <w:rPr>
                <w:sz w:val="24"/>
                <w:szCs w:val="24"/>
              </w:rPr>
            </w:pPr>
            <w:r w:rsidRPr="009B4DE1">
              <w:rPr>
                <w:sz w:val="24"/>
                <w:szCs w:val="24"/>
              </w:rPr>
              <w:t>$100,56</w:t>
            </w:r>
            <w:r w:rsidR="00B011EC">
              <w:rPr>
                <w:sz w:val="24"/>
                <w:szCs w:val="24"/>
              </w:rPr>
              <w:t>5.60</w:t>
            </w:r>
          </w:p>
        </w:tc>
        <w:tc>
          <w:tcPr>
            <w:tcW w:w="2847" w:type="dxa"/>
            <w:hideMark/>
          </w:tcPr>
          <w:p w14:paraId="6CC63FCA" w14:textId="52E6920E" w:rsidR="00D900B7" w:rsidRPr="009B4DE1" w:rsidRDefault="00D900B7" w:rsidP="009B4DE1">
            <w:pPr>
              <w:spacing w:after="0" w:line="240" w:lineRule="auto"/>
              <w:rPr>
                <w:sz w:val="24"/>
                <w:szCs w:val="24"/>
              </w:rPr>
            </w:pPr>
            <w:r w:rsidRPr="009B4DE1">
              <w:rPr>
                <w:sz w:val="24"/>
                <w:szCs w:val="24"/>
              </w:rPr>
              <w:t>0.8</w:t>
            </w:r>
          </w:p>
        </w:tc>
        <w:tc>
          <w:tcPr>
            <w:tcW w:w="2675" w:type="dxa"/>
            <w:tcMar>
              <w:top w:w="0" w:type="dxa"/>
              <w:left w:w="108" w:type="dxa"/>
              <w:bottom w:w="0" w:type="dxa"/>
              <w:right w:w="108" w:type="dxa"/>
            </w:tcMar>
            <w:hideMark/>
          </w:tcPr>
          <w:p w14:paraId="0C8A20A5" w14:textId="727E1400" w:rsidR="00D900B7" w:rsidRPr="009B4DE1" w:rsidRDefault="00D900B7" w:rsidP="009B4DE1">
            <w:pPr>
              <w:spacing w:after="0" w:line="240" w:lineRule="auto"/>
              <w:rPr>
                <w:sz w:val="24"/>
                <w:szCs w:val="24"/>
              </w:rPr>
            </w:pPr>
            <w:r w:rsidRPr="009B4DE1">
              <w:rPr>
                <w:sz w:val="24"/>
                <w:szCs w:val="24"/>
              </w:rPr>
              <w:t>46</w:t>
            </w:r>
            <w:r w:rsidR="00A045C1">
              <w:rPr>
                <w:sz w:val="24"/>
                <w:szCs w:val="24"/>
              </w:rPr>
              <w:t xml:space="preserve"> to </w:t>
            </w:r>
            <w:r w:rsidRPr="009B4DE1">
              <w:rPr>
                <w:sz w:val="24"/>
                <w:szCs w:val="24"/>
              </w:rPr>
              <w:t>60</w:t>
            </w:r>
          </w:p>
        </w:tc>
      </w:tr>
      <w:tr w:rsidR="00D900B7" w:rsidRPr="00712D31" w14:paraId="274ED329" w14:textId="77777777">
        <w:tc>
          <w:tcPr>
            <w:tcW w:w="3686" w:type="dxa"/>
          </w:tcPr>
          <w:p w14:paraId="3B0A301C" w14:textId="77777777" w:rsidR="00D900B7" w:rsidRPr="009B4DE1" w:rsidRDefault="00D900B7" w:rsidP="009B4DE1">
            <w:pPr>
              <w:spacing w:after="0" w:line="240" w:lineRule="auto"/>
              <w:rPr>
                <w:sz w:val="24"/>
                <w:szCs w:val="24"/>
              </w:rPr>
            </w:pPr>
            <w:r w:rsidRPr="009B4DE1">
              <w:rPr>
                <w:sz w:val="24"/>
                <w:szCs w:val="24"/>
              </w:rPr>
              <w:t>$125,707</w:t>
            </w:r>
          </w:p>
        </w:tc>
        <w:tc>
          <w:tcPr>
            <w:tcW w:w="2847" w:type="dxa"/>
            <w:hideMark/>
          </w:tcPr>
          <w:p w14:paraId="10E46AEE" w14:textId="69D239EF" w:rsidR="00D900B7" w:rsidRPr="009B4DE1" w:rsidRDefault="00D900B7" w:rsidP="009B4DE1">
            <w:pPr>
              <w:spacing w:after="0" w:line="240" w:lineRule="auto"/>
              <w:rPr>
                <w:sz w:val="24"/>
                <w:szCs w:val="24"/>
              </w:rPr>
            </w:pPr>
            <w:r w:rsidRPr="009B4DE1">
              <w:rPr>
                <w:sz w:val="24"/>
                <w:szCs w:val="24"/>
              </w:rPr>
              <w:t>1.0</w:t>
            </w:r>
          </w:p>
        </w:tc>
        <w:tc>
          <w:tcPr>
            <w:tcW w:w="2675" w:type="dxa"/>
            <w:tcMar>
              <w:top w:w="0" w:type="dxa"/>
              <w:left w:w="108" w:type="dxa"/>
              <w:bottom w:w="0" w:type="dxa"/>
              <w:right w:w="108" w:type="dxa"/>
            </w:tcMar>
            <w:hideMark/>
          </w:tcPr>
          <w:p w14:paraId="25E6EE40" w14:textId="4105826E" w:rsidR="00D900B7" w:rsidRPr="009B4DE1" w:rsidRDefault="00D900B7" w:rsidP="009B4DE1">
            <w:pPr>
              <w:spacing w:after="0" w:line="240" w:lineRule="auto"/>
              <w:rPr>
                <w:sz w:val="24"/>
                <w:szCs w:val="24"/>
              </w:rPr>
            </w:pPr>
            <w:r w:rsidRPr="009B4DE1">
              <w:rPr>
                <w:sz w:val="24"/>
                <w:szCs w:val="24"/>
              </w:rPr>
              <w:t>61</w:t>
            </w:r>
            <w:r w:rsidR="00A045C1">
              <w:rPr>
                <w:sz w:val="24"/>
                <w:szCs w:val="24"/>
              </w:rPr>
              <w:t xml:space="preserve"> to </w:t>
            </w:r>
            <w:r w:rsidRPr="009B4DE1">
              <w:rPr>
                <w:sz w:val="24"/>
                <w:szCs w:val="24"/>
              </w:rPr>
              <w:t>75</w:t>
            </w:r>
          </w:p>
        </w:tc>
      </w:tr>
      <w:tr w:rsidR="00D900B7" w:rsidRPr="00712D31" w14:paraId="29F97153" w14:textId="77777777">
        <w:tc>
          <w:tcPr>
            <w:tcW w:w="3686" w:type="dxa"/>
          </w:tcPr>
          <w:p w14:paraId="1607916E" w14:textId="2CC99C4B" w:rsidR="00D900B7" w:rsidRPr="009B4DE1" w:rsidRDefault="00D900B7" w:rsidP="009B4DE1">
            <w:pPr>
              <w:spacing w:after="0" w:line="240" w:lineRule="auto"/>
              <w:rPr>
                <w:sz w:val="24"/>
                <w:szCs w:val="24"/>
              </w:rPr>
            </w:pPr>
            <w:r w:rsidRPr="009B4DE1">
              <w:rPr>
                <w:sz w:val="24"/>
                <w:szCs w:val="24"/>
              </w:rPr>
              <w:t>$150,848</w:t>
            </w:r>
            <w:r w:rsidR="00B011EC">
              <w:rPr>
                <w:sz w:val="24"/>
                <w:szCs w:val="24"/>
              </w:rPr>
              <w:t>.40</w:t>
            </w:r>
          </w:p>
        </w:tc>
        <w:tc>
          <w:tcPr>
            <w:tcW w:w="2847" w:type="dxa"/>
          </w:tcPr>
          <w:p w14:paraId="3B62F204" w14:textId="0B69926D" w:rsidR="00D900B7" w:rsidRPr="009B4DE1" w:rsidRDefault="00D900B7" w:rsidP="009B4DE1">
            <w:pPr>
              <w:spacing w:after="0" w:line="240" w:lineRule="auto"/>
              <w:rPr>
                <w:sz w:val="24"/>
                <w:szCs w:val="24"/>
              </w:rPr>
            </w:pPr>
            <w:r w:rsidRPr="009B4DE1">
              <w:rPr>
                <w:sz w:val="24"/>
                <w:szCs w:val="24"/>
              </w:rPr>
              <w:t>1.2</w:t>
            </w:r>
          </w:p>
        </w:tc>
        <w:tc>
          <w:tcPr>
            <w:tcW w:w="2675" w:type="dxa"/>
            <w:tcMar>
              <w:top w:w="0" w:type="dxa"/>
              <w:left w:w="108" w:type="dxa"/>
              <w:bottom w:w="0" w:type="dxa"/>
              <w:right w:w="108" w:type="dxa"/>
            </w:tcMar>
          </w:tcPr>
          <w:p w14:paraId="5DEB611D" w14:textId="6C23189E" w:rsidR="00D900B7" w:rsidRPr="009B4DE1" w:rsidRDefault="00D900B7" w:rsidP="009B4DE1">
            <w:pPr>
              <w:spacing w:after="0" w:line="240" w:lineRule="auto"/>
              <w:rPr>
                <w:sz w:val="24"/>
                <w:szCs w:val="24"/>
              </w:rPr>
            </w:pPr>
            <w:r w:rsidRPr="009B4DE1">
              <w:rPr>
                <w:sz w:val="24"/>
                <w:szCs w:val="24"/>
              </w:rPr>
              <w:t>76</w:t>
            </w:r>
            <w:r w:rsidR="00A045C1">
              <w:rPr>
                <w:sz w:val="24"/>
                <w:szCs w:val="24"/>
              </w:rPr>
              <w:t xml:space="preserve"> to </w:t>
            </w:r>
            <w:r w:rsidRPr="009B4DE1">
              <w:rPr>
                <w:sz w:val="24"/>
                <w:szCs w:val="24"/>
              </w:rPr>
              <w:t>90</w:t>
            </w:r>
          </w:p>
        </w:tc>
      </w:tr>
      <w:tr w:rsidR="00D900B7" w:rsidRPr="00712D31" w14:paraId="091DBBAC" w14:textId="77777777">
        <w:tc>
          <w:tcPr>
            <w:tcW w:w="3686" w:type="dxa"/>
          </w:tcPr>
          <w:p w14:paraId="617D442F" w14:textId="19744802" w:rsidR="00D900B7" w:rsidRPr="009B4DE1" w:rsidRDefault="00D900B7" w:rsidP="009B4DE1">
            <w:pPr>
              <w:spacing w:after="0" w:line="240" w:lineRule="auto"/>
              <w:rPr>
                <w:sz w:val="24"/>
                <w:szCs w:val="24"/>
              </w:rPr>
            </w:pPr>
            <w:r w:rsidRPr="009B4DE1">
              <w:rPr>
                <w:sz w:val="24"/>
                <w:szCs w:val="24"/>
              </w:rPr>
              <w:t>$175,9</w:t>
            </w:r>
            <w:r w:rsidR="007D0BE4">
              <w:rPr>
                <w:sz w:val="24"/>
                <w:szCs w:val="24"/>
              </w:rPr>
              <w:t>89.80</w:t>
            </w:r>
          </w:p>
        </w:tc>
        <w:tc>
          <w:tcPr>
            <w:tcW w:w="2847" w:type="dxa"/>
          </w:tcPr>
          <w:p w14:paraId="1DADA069" w14:textId="1CFB29B4" w:rsidR="00D900B7" w:rsidRPr="009B4DE1" w:rsidRDefault="00D900B7" w:rsidP="009B4DE1">
            <w:pPr>
              <w:spacing w:after="0" w:line="240" w:lineRule="auto"/>
              <w:rPr>
                <w:sz w:val="24"/>
                <w:szCs w:val="24"/>
              </w:rPr>
            </w:pPr>
            <w:r w:rsidRPr="009B4DE1">
              <w:rPr>
                <w:sz w:val="24"/>
                <w:szCs w:val="24"/>
              </w:rPr>
              <w:t>1.4</w:t>
            </w:r>
          </w:p>
        </w:tc>
        <w:tc>
          <w:tcPr>
            <w:tcW w:w="2675" w:type="dxa"/>
            <w:tcMar>
              <w:top w:w="0" w:type="dxa"/>
              <w:left w:w="108" w:type="dxa"/>
              <w:bottom w:w="0" w:type="dxa"/>
              <w:right w:w="108" w:type="dxa"/>
            </w:tcMar>
          </w:tcPr>
          <w:p w14:paraId="28EF8DC0" w14:textId="6A7BA1F9" w:rsidR="00D900B7" w:rsidRPr="009B4DE1" w:rsidRDefault="00D900B7" w:rsidP="009B4DE1">
            <w:pPr>
              <w:spacing w:after="0" w:line="240" w:lineRule="auto"/>
              <w:rPr>
                <w:sz w:val="24"/>
                <w:szCs w:val="24"/>
              </w:rPr>
            </w:pPr>
            <w:r w:rsidRPr="009B4DE1">
              <w:rPr>
                <w:sz w:val="24"/>
                <w:szCs w:val="24"/>
              </w:rPr>
              <w:t>91</w:t>
            </w:r>
            <w:r w:rsidR="00A045C1">
              <w:rPr>
                <w:sz w:val="24"/>
                <w:szCs w:val="24"/>
              </w:rPr>
              <w:t xml:space="preserve"> to </w:t>
            </w:r>
            <w:r w:rsidRPr="009B4DE1">
              <w:rPr>
                <w:sz w:val="24"/>
                <w:szCs w:val="24"/>
              </w:rPr>
              <w:t>105</w:t>
            </w:r>
          </w:p>
        </w:tc>
      </w:tr>
      <w:tr w:rsidR="00D900B7" w:rsidRPr="00712D31" w14:paraId="1BB2268C" w14:textId="77777777">
        <w:tc>
          <w:tcPr>
            <w:tcW w:w="3686" w:type="dxa"/>
          </w:tcPr>
          <w:p w14:paraId="54B55C72" w14:textId="4DB70E23" w:rsidR="00D900B7" w:rsidRPr="009B4DE1" w:rsidRDefault="00D900B7" w:rsidP="009B4DE1">
            <w:pPr>
              <w:spacing w:after="0" w:line="240" w:lineRule="auto"/>
              <w:rPr>
                <w:sz w:val="24"/>
                <w:szCs w:val="24"/>
              </w:rPr>
            </w:pPr>
            <w:r w:rsidRPr="009B4DE1">
              <w:rPr>
                <w:sz w:val="24"/>
                <w:szCs w:val="24"/>
              </w:rPr>
              <w:t>$201,131</w:t>
            </w:r>
            <w:r w:rsidR="007D0BE4">
              <w:rPr>
                <w:sz w:val="24"/>
                <w:szCs w:val="24"/>
              </w:rPr>
              <w:t>.20</w:t>
            </w:r>
          </w:p>
        </w:tc>
        <w:tc>
          <w:tcPr>
            <w:tcW w:w="2847" w:type="dxa"/>
          </w:tcPr>
          <w:p w14:paraId="4CA86CA3" w14:textId="2401C784" w:rsidR="00D900B7" w:rsidRPr="009B4DE1" w:rsidRDefault="00D900B7" w:rsidP="009B4DE1">
            <w:pPr>
              <w:spacing w:after="0" w:line="240" w:lineRule="auto"/>
              <w:rPr>
                <w:sz w:val="24"/>
                <w:szCs w:val="24"/>
              </w:rPr>
            </w:pPr>
            <w:r w:rsidRPr="009B4DE1">
              <w:rPr>
                <w:sz w:val="24"/>
                <w:szCs w:val="24"/>
              </w:rPr>
              <w:t>1.6</w:t>
            </w:r>
          </w:p>
        </w:tc>
        <w:tc>
          <w:tcPr>
            <w:tcW w:w="2675" w:type="dxa"/>
            <w:tcMar>
              <w:top w:w="0" w:type="dxa"/>
              <w:left w:w="108" w:type="dxa"/>
              <w:bottom w:w="0" w:type="dxa"/>
              <w:right w:w="108" w:type="dxa"/>
            </w:tcMar>
          </w:tcPr>
          <w:p w14:paraId="745C8047" w14:textId="734FE8AB" w:rsidR="00D900B7" w:rsidRPr="009B4DE1" w:rsidRDefault="00D900B7" w:rsidP="009B4DE1">
            <w:pPr>
              <w:spacing w:after="0" w:line="240" w:lineRule="auto"/>
              <w:rPr>
                <w:sz w:val="24"/>
                <w:szCs w:val="24"/>
              </w:rPr>
            </w:pPr>
            <w:r w:rsidRPr="009B4DE1">
              <w:rPr>
                <w:sz w:val="24"/>
                <w:szCs w:val="24"/>
              </w:rPr>
              <w:t xml:space="preserve">106 </w:t>
            </w:r>
            <w:r w:rsidR="00A045C1">
              <w:rPr>
                <w:sz w:val="24"/>
                <w:szCs w:val="24"/>
              </w:rPr>
              <w:t xml:space="preserve">to </w:t>
            </w:r>
            <w:r w:rsidRPr="009B4DE1">
              <w:rPr>
                <w:sz w:val="24"/>
                <w:szCs w:val="24"/>
              </w:rPr>
              <w:t>120</w:t>
            </w:r>
          </w:p>
        </w:tc>
      </w:tr>
      <w:tr w:rsidR="00D900B7" w:rsidRPr="00712D31" w14:paraId="354835A2" w14:textId="77777777">
        <w:tc>
          <w:tcPr>
            <w:tcW w:w="3686" w:type="dxa"/>
          </w:tcPr>
          <w:p w14:paraId="1C7D7AFD" w14:textId="5B9DE088" w:rsidR="00D900B7" w:rsidRPr="009B4DE1" w:rsidRDefault="00D900B7" w:rsidP="009B4DE1">
            <w:pPr>
              <w:spacing w:after="0" w:line="240" w:lineRule="auto"/>
              <w:rPr>
                <w:sz w:val="24"/>
                <w:szCs w:val="24"/>
              </w:rPr>
            </w:pPr>
            <w:r w:rsidRPr="009B4DE1">
              <w:rPr>
                <w:sz w:val="24"/>
                <w:szCs w:val="24"/>
              </w:rPr>
              <w:t>$226,27</w:t>
            </w:r>
            <w:r w:rsidR="007D0BE4">
              <w:rPr>
                <w:sz w:val="24"/>
                <w:szCs w:val="24"/>
              </w:rPr>
              <w:t>2.60</w:t>
            </w:r>
          </w:p>
        </w:tc>
        <w:tc>
          <w:tcPr>
            <w:tcW w:w="2847" w:type="dxa"/>
          </w:tcPr>
          <w:p w14:paraId="14E4033F" w14:textId="52BB9759" w:rsidR="00D900B7" w:rsidRPr="009B4DE1" w:rsidRDefault="00D900B7" w:rsidP="009B4DE1">
            <w:pPr>
              <w:spacing w:after="0" w:line="240" w:lineRule="auto"/>
              <w:rPr>
                <w:sz w:val="24"/>
                <w:szCs w:val="24"/>
              </w:rPr>
            </w:pPr>
            <w:r w:rsidRPr="009B4DE1">
              <w:rPr>
                <w:sz w:val="24"/>
                <w:szCs w:val="24"/>
              </w:rPr>
              <w:t>1.8</w:t>
            </w:r>
          </w:p>
        </w:tc>
        <w:tc>
          <w:tcPr>
            <w:tcW w:w="2675" w:type="dxa"/>
            <w:tcMar>
              <w:top w:w="0" w:type="dxa"/>
              <w:left w:w="108" w:type="dxa"/>
              <w:bottom w:w="0" w:type="dxa"/>
              <w:right w:w="108" w:type="dxa"/>
            </w:tcMar>
          </w:tcPr>
          <w:p w14:paraId="0A5D385E" w14:textId="01AA184A" w:rsidR="00D900B7" w:rsidRPr="009B4DE1" w:rsidRDefault="00D900B7" w:rsidP="009B4DE1">
            <w:pPr>
              <w:spacing w:after="0" w:line="240" w:lineRule="auto"/>
              <w:rPr>
                <w:sz w:val="24"/>
                <w:szCs w:val="24"/>
              </w:rPr>
            </w:pPr>
            <w:r w:rsidRPr="009B4DE1">
              <w:rPr>
                <w:sz w:val="24"/>
                <w:szCs w:val="24"/>
              </w:rPr>
              <w:t xml:space="preserve">121 </w:t>
            </w:r>
            <w:r w:rsidR="00A045C1">
              <w:rPr>
                <w:sz w:val="24"/>
                <w:szCs w:val="24"/>
              </w:rPr>
              <w:t xml:space="preserve">to </w:t>
            </w:r>
            <w:r w:rsidRPr="009B4DE1">
              <w:rPr>
                <w:sz w:val="24"/>
                <w:szCs w:val="24"/>
              </w:rPr>
              <w:t>135</w:t>
            </w:r>
          </w:p>
        </w:tc>
      </w:tr>
      <w:tr w:rsidR="001E5E4D" w:rsidRPr="00712D31" w14:paraId="4C67FB3A" w14:textId="77777777">
        <w:tc>
          <w:tcPr>
            <w:tcW w:w="3686" w:type="dxa"/>
          </w:tcPr>
          <w:p w14:paraId="3BC4FF94" w14:textId="53288853" w:rsidR="001E5E4D" w:rsidRPr="001E5E4D" w:rsidRDefault="001E5E4D" w:rsidP="00712D31">
            <w:pPr>
              <w:spacing w:after="0" w:line="240" w:lineRule="auto"/>
              <w:rPr>
                <w:sz w:val="24"/>
                <w:szCs w:val="24"/>
              </w:rPr>
            </w:pPr>
            <w:r>
              <w:rPr>
                <w:sz w:val="24"/>
                <w:szCs w:val="24"/>
              </w:rPr>
              <w:t>$</w:t>
            </w:r>
            <w:r w:rsidR="00B011EC">
              <w:rPr>
                <w:sz w:val="24"/>
                <w:szCs w:val="24"/>
              </w:rPr>
              <w:t>251,414</w:t>
            </w:r>
          </w:p>
        </w:tc>
        <w:tc>
          <w:tcPr>
            <w:tcW w:w="2847" w:type="dxa"/>
          </w:tcPr>
          <w:p w14:paraId="0F8DA55D" w14:textId="385461EB" w:rsidR="001E5E4D" w:rsidRPr="001E5E4D" w:rsidRDefault="007D0BE4" w:rsidP="00712D31">
            <w:pPr>
              <w:spacing w:after="0" w:line="240" w:lineRule="auto"/>
              <w:rPr>
                <w:sz w:val="24"/>
                <w:szCs w:val="24"/>
              </w:rPr>
            </w:pPr>
            <w:r>
              <w:rPr>
                <w:sz w:val="24"/>
                <w:szCs w:val="24"/>
              </w:rPr>
              <w:t>2</w:t>
            </w:r>
          </w:p>
        </w:tc>
        <w:tc>
          <w:tcPr>
            <w:tcW w:w="2675" w:type="dxa"/>
            <w:tcMar>
              <w:top w:w="0" w:type="dxa"/>
              <w:left w:w="108" w:type="dxa"/>
              <w:bottom w:w="0" w:type="dxa"/>
              <w:right w:w="108" w:type="dxa"/>
            </w:tcMar>
          </w:tcPr>
          <w:p w14:paraId="480D9708" w14:textId="75727205" w:rsidR="001E5E4D" w:rsidRPr="001E5E4D" w:rsidRDefault="00227F46" w:rsidP="00712D31">
            <w:pPr>
              <w:spacing w:after="0" w:line="240" w:lineRule="auto"/>
              <w:rPr>
                <w:sz w:val="24"/>
                <w:szCs w:val="24"/>
              </w:rPr>
            </w:pPr>
            <w:r>
              <w:rPr>
                <w:sz w:val="24"/>
                <w:szCs w:val="24"/>
              </w:rPr>
              <w:t xml:space="preserve">136 </w:t>
            </w:r>
            <w:r w:rsidR="00A045C1">
              <w:rPr>
                <w:sz w:val="24"/>
                <w:szCs w:val="24"/>
              </w:rPr>
              <w:t xml:space="preserve">to </w:t>
            </w:r>
            <w:r>
              <w:rPr>
                <w:sz w:val="24"/>
                <w:szCs w:val="24"/>
              </w:rPr>
              <w:t>150</w:t>
            </w:r>
          </w:p>
        </w:tc>
      </w:tr>
      <w:tr w:rsidR="001E5E4D" w:rsidRPr="00712D31" w14:paraId="1639854F" w14:textId="77777777">
        <w:tc>
          <w:tcPr>
            <w:tcW w:w="3686" w:type="dxa"/>
          </w:tcPr>
          <w:p w14:paraId="39885CC2" w14:textId="1F42191E" w:rsidR="001E5E4D" w:rsidRPr="001E5E4D" w:rsidRDefault="007D0BE4" w:rsidP="00712D31">
            <w:pPr>
              <w:spacing w:after="0" w:line="240" w:lineRule="auto"/>
              <w:rPr>
                <w:sz w:val="24"/>
                <w:szCs w:val="24"/>
              </w:rPr>
            </w:pPr>
            <w:r>
              <w:rPr>
                <w:sz w:val="24"/>
                <w:szCs w:val="24"/>
              </w:rPr>
              <w:t>$276,555.40</w:t>
            </w:r>
          </w:p>
        </w:tc>
        <w:tc>
          <w:tcPr>
            <w:tcW w:w="2847" w:type="dxa"/>
          </w:tcPr>
          <w:p w14:paraId="3F5B47FB" w14:textId="2B387E73" w:rsidR="001E5E4D" w:rsidRPr="001E5E4D" w:rsidRDefault="007D0BE4" w:rsidP="00712D31">
            <w:pPr>
              <w:spacing w:after="0" w:line="240" w:lineRule="auto"/>
              <w:rPr>
                <w:sz w:val="24"/>
                <w:szCs w:val="24"/>
              </w:rPr>
            </w:pPr>
            <w:r>
              <w:rPr>
                <w:sz w:val="24"/>
                <w:szCs w:val="24"/>
              </w:rPr>
              <w:t>2.2</w:t>
            </w:r>
          </w:p>
        </w:tc>
        <w:tc>
          <w:tcPr>
            <w:tcW w:w="2675" w:type="dxa"/>
            <w:tcMar>
              <w:top w:w="0" w:type="dxa"/>
              <w:left w:w="108" w:type="dxa"/>
              <w:bottom w:w="0" w:type="dxa"/>
              <w:right w:w="108" w:type="dxa"/>
            </w:tcMar>
          </w:tcPr>
          <w:p w14:paraId="2BE5494B" w14:textId="060DFC85" w:rsidR="001E5E4D" w:rsidRPr="001E5E4D" w:rsidRDefault="00227F46" w:rsidP="00712D31">
            <w:pPr>
              <w:spacing w:after="0" w:line="240" w:lineRule="auto"/>
              <w:rPr>
                <w:sz w:val="24"/>
                <w:szCs w:val="24"/>
              </w:rPr>
            </w:pPr>
            <w:r>
              <w:rPr>
                <w:sz w:val="24"/>
                <w:szCs w:val="24"/>
              </w:rPr>
              <w:t xml:space="preserve">151 </w:t>
            </w:r>
            <w:r w:rsidR="00A045C1">
              <w:rPr>
                <w:sz w:val="24"/>
                <w:szCs w:val="24"/>
              </w:rPr>
              <w:t>to 165</w:t>
            </w:r>
          </w:p>
        </w:tc>
      </w:tr>
      <w:tr w:rsidR="001E5E4D" w:rsidRPr="00712D31" w14:paraId="596EB9FB" w14:textId="77777777">
        <w:tc>
          <w:tcPr>
            <w:tcW w:w="3686" w:type="dxa"/>
          </w:tcPr>
          <w:p w14:paraId="2AFBAC7D" w14:textId="675D46E2" w:rsidR="001E5E4D" w:rsidRPr="001E5E4D" w:rsidRDefault="007D0BE4" w:rsidP="00712D31">
            <w:pPr>
              <w:spacing w:after="0" w:line="240" w:lineRule="auto"/>
              <w:rPr>
                <w:sz w:val="24"/>
                <w:szCs w:val="24"/>
              </w:rPr>
            </w:pPr>
            <w:r>
              <w:rPr>
                <w:sz w:val="24"/>
                <w:szCs w:val="24"/>
              </w:rPr>
              <w:t>$301,696.80</w:t>
            </w:r>
          </w:p>
        </w:tc>
        <w:tc>
          <w:tcPr>
            <w:tcW w:w="2847" w:type="dxa"/>
          </w:tcPr>
          <w:p w14:paraId="1414EF16" w14:textId="6479CBA4" w:rsidR="001E5E4D" w:rsidRPr="001E5E4D" w:rsidRDefault="007D0BE4" w:rsidP="00712D31">
            <w:pPr>
              <w:spacing w:after="0" w:line="240" w:lineRule="auto"/>
              <w:rPr>
                <w:sz w:val="24"/>
                <w:szCs w:val="24"/>
              </w:rPr>
            </w:pPr>
            <w:r>
              <w:rPr>
                <w:sz w:val="24"/>
                <w:szCs w:val="24"/>
              </w:rPr>
              <w:t>2.4</w:t>
            </w:r>
          </w:p>
        </w:tc>
        <w:tc>
          <w:tcPr>
            <w:tcW w:w="2675" w:type="dxa"/>
            <w:tcMar>
              <w:top w:w="0" w:type="dxa"/>
              <w:left w:w="108" w:type="dxa"/>
              <w:bottom w:w="0" w:type="dxa"/>
              <w:right w:w="108" w:type="dxa"/>
            </w:tcMar>
          </w:tcPr>
          <w:p w14:paraId="0224D0E6" w14:textId="17A801F5" w:rsidR="001E5E4D" w:rsidRPr="001E5E4D" w:rsidRDefault="00A045C1" w:rsidP="00712D31">
            <w:pPr>
              <w:spacing w:after="0" w:line="240" w:lineRule="auto"/>
              <w:rPr>
                <w:sz w:val="24"/>
                <w:szCs w:val="24"/>
              </w:rPr>
            </w:pPr>
            <w:r>
              <w:rPr>
                <w:sz w:val="24"/>
                <w:szCs w:val="24"/>
              </w:rPr>
              <w:t>166 to 180</w:t>
            </w:r>
          </w:p>
        </w:tc>
      </w:tr>
    </w:tbl>
    <w:p w14:paraId="07912B03" w14:textId="37E99544" w:rsidR="009119C2" w:rsidRPr="00833928" w:rsidRDefault="009119C2" w:rsidP="00833928">
      <w:pPr>
        <w:spacing w:before="100" w:beforeAutospacing="1" w:after="100" w:afterAutospacing="1" w:line="360" w:lineRule="atLeast"/>
        <w:rPr>
          <w:color w:val="011A3C"/>
          <w:sz w:val="24"/>
        </w:rPr>
      </w:pPr>
      <w:r w:rsidRPr="00833928">
        <w:rPr>
          <w:color w:val="011A3C"/>
          <w:sz w:val="24"/>
        </w:rPr>
        <w:t xml:space="preserve">Schools with Flexible Learning Option (FLO) campuses or programs </w:t>
      </w:r>
      <w:r w:rsidRPr="009B4DE1">
        <w:rPr>
          <w:rFonts w:eastAsia="Segoe UI" w:cstheme="minorHAnsi"/>
          <w:color w:val="011A3C"/>
          <w:sz w:val="24"/>
          <w:szCs w:val="24"/>
          <w:lang w:eastAsia="en-AU"/>
        </w:rPr>
        <w:t>are</w:t>
      </w:r>
      <w:r w:rsidRPr="00833928">
        <w:rPr>
          <w:color w:val="011A3C"/>
          <w:sz w:val="24"/>
        </w:rPr>
        <w:t xml:space="preserve"> provided with additional funding (0.2 FTE) per FLO campus to increase the support available to students with high levels of need. FLO funding allocations </w:t>
      </w:r>
      <w:r w:rsidR="003B6381">
        <w:rPr>
          <w:rFonts w:eastAsia="Segoe UI" w:cstheme="minorHAnsi"/>
          <w:color w:val="011A3C"/>
          <w:sz w:val="24"/>
          <w:szCs w:val="24"/>
          <w:lang w:eastAsia="en-AU"/>
        </w:rPr>
        <w:t>are</w:t>
      </w:r>
      <w:r w:rsidR="003B6381" w:rsidRPr="00833928">
        <w:rPr>
          <w:color w:val="011A3C"/>
          <w:sz w:val="24"/>
        </w:rPr>
        <w:t xml:space="preserve"> </w:t>
      </w:r>
      <w:r w:rsidRPr="00833928">
        <w:rPr>
          <w:color w:val="011A3C"/>
          <w:sz w:val="24"/>
        </w:rPr>
        <w:t>reflected within the amount shown in</w:t>
      </w:r>
      <w:r w:rsidRPr="009B4DE1">
        <w:rPr>
          <w:rFonts w:eastAsia="Segoe UI" w:cstheme="minorHAnsi"/>
          <w:color w:val="011A3C"/>
          <w:sz w:val="24"/>
          <w:szCs w:val="24"/>
          <w:lang w:eastAsia="en-AU"/>
        </w:rPr>
        <w:t xml:space="preserve"> the</w:t>
      </w:r>
      <w:r w:rsidRPr="00833928">
        <w:rPr>
          <w:color w:val="011A3C"/>
          <w:sz w:val="24"/>
        </w:rPr>
        <w:t xml:space="preserve"> Indicative SRP.</w:t>
      </w:r>
    </w:p>
    <w:p w14:paraId="540D8072" w14:textId="171035E3" w:rsidR="003B6381" w:rsidRPr="00260C1D" w:rsidRDefault="003B6381" w:rsidP="003B6381">
      <w:pPr>
        <w:spacing w:before="100" w:beforeAutospacing="1" w:after="100" w:afterAutospacing="1" w:line="360" w:lineRule="atLeast"/>
        <w:jc w:val="both"/>
        <w:rPr>
          <w:rFonts w:eastAsia="Segoe UI" w:cstheme="minorHAnsi"/>
          <w:color w:val="323E4F" w:themeColor="text2" w:themeShade="BF"/>
          <w:sz w:val="24"/>
          <w:szCs w:val="24"/>
          <w:lang w:val="en" w:eastAsia="en-AU"/>
        </w:rPr>
      </w:pPr>
      <w:r w:rsidRPr="00260C1D">
        <w:rPr>
          <w:rFonts w:eastAsia="Segoe UI" w:cstheme="minorHAnsi"/>
          <w:color w:val="011A3C"/>
          <w:sz w:val="24"/>
          <w:szCs w:val="24"/>
          <w:lang w:val="en" w:eastAsia="en-AU"/>
        </w:rPr>
        <w:t>Secondary schools with Year 10 students but no Year 9 students (i.e. Senior Secondary Schools) will receive a</w:t>
      </w:r>
      <w:r w:rsidR="00A710A9">
        <w:rPr>
          <w:rFonts w:eastAsia="Segoe UI" w:cstheme="minorHAnsi"/>
          <w:color w:val="011A3C"/>
          <w:sz w:val="24"/>
          <w:szCs w:val="24"/>
          <w:lang w:val="en" w:eastAsia="en-AU"/>
        </w:rPr>
        <w:t xml:space="preserve">n </w:t>
      </w:r>
      <w:r w:rsidR="009527F1">
        <w:rPr>
          <w:rFonts w:eastAsia="Segoe UI" w:cstheme="minorHAnsi"/>
          <w:color w:val="011A3C"/>
          <w:sz w:val="24"/>
          <w:szCs w:val="24"/>
          <w:lang w:val="en" w:eastAsia="en-AU"/>
        </w:rPr>
        <w:t>Indicative</w:t>
      </w:r>
      <w:r w:rsidRPr="00260C1D">
        <w:rPr>
          <w:rFonts w:eastAsia="Segoe UI" w:cstheme="minorHAnsi"/>
          <w:color w:val="011A3C"/>
          <w:sz w:val="24"/>
          <w:szCs w:val="24"/>
          <w:lang w:val="en" w:eastAsia="en-AU"/>
        </w:rPr>
        <w:t xml:space="preserve"> funding allocation based on their </w:t>
      </w:r>
      <w:r>
        <w:rPr>
          <w:rFonts w:eastAsia="Segoe UI" w:cstheme="minorHAnsi"/>
          <w:color w:val="011A3C"/>
          <w:sz w:val="24"/>
          <w:szCs w:val="24"/>
          <w:lang w:val="en" w:eastAsia="en-AU"/>
        </w:rPr>
        <w:t>Confirmed 2023 MYLNS allocation</w:t>
      </w:r>
      <w:r w:rsidRPr="00260C1D">
        <w:rPr>
          <w:rFonts w:eastAsia="Segoe UI" w:cstheme="minorHAnsi"/>
          <w:color w:val="011A3C"/>
          <w:sz w:val="24"/>
          <w:szCs w:val="24"/>
          <w:lang w:val="en" w:eastAsia="en-AU"/>
        </w:rPr>
        <w:t>.</w:t>
      </w:r>
      <w:r w:rsidRPr="00260C1D">
        <w:rPr>
          <w:rFonts w:eastAsia="Segoe UI" w:cstheme="minorHAnsi"/>
          <w:color w:val="323E4F" w:themeColor="text2" w:themeShade="BF"/>
          <w:sz w:val="24"/>
          <w:szCs w:val="24"/>
          <w:lang w:val="en" w:eastAsia="en-AU"/>
        </w:rPr>
        <w:t xml:space="preserve"> </w:t>
      </w:r>
      <w:r w:rsidR="00A710A9">
        <w:rPr>
          <w:rFonts w:eastAsia="Segoe UI" w:cstheme="minorHAnsi"/>
          <w:color w:val="323E4F" w:themeColor="text2" w:themeShade="BF"/>
          <w:sz w:val="24"/>
          <w:szCs w:val="24"/>
          <w:lang w:val="en" w:eastAsia="en-AU"/>
        </w:rPr>
        <w:t>These figures will be adjusted in the Confirmed 2024 SRP based on the enrolled students.</w:t>
      </w:r>
    </w:p>
    <w:p w14:paraId="06EE3FC3" w14:textId="77777777" w:rsidR="008A270D" w:rsidRPr="00260C1D" w:rsidRDefault="008A270D" w:rsidP="008A270D">
      <w:pPr>
        <w:spacing w:before="100" w:beforeAutospacing="1" w:after="100" w:afterAutospacing="1"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not re-allocated between schools if students transfer in or out during the school year.</w:t>
      </w:r>
    </w:p>
    <w:p w14:paraId="31A76187" w14:textId="3C87547C" w:rsidR="002909ED" w:rsidRDefault="00A1547D" w:rsidP="009B4DE1">
      <w:pPr>
        <w:spacing w:before="100" w:beforeAutospacing="1" w:after="100" w:afterAutospacing="1" w:line="360" w:lineRule="atLeast"/>
      </w:pPr>
      <w:r>
        <w:rPr>
          <w:rFonts w:eastAsia="Segoe UI" w:cstheme="minorHAnsi"/>
          <w:color w:val="011A3C"/>
          <w:sz w:val="24"/>
          <w:szCs w:val="24"/>
          <w:lang w:val="en" w:eastAsia="en-AU"/>
        </w:rPr>
        <w:t xml:space="preserve">Schools should </w:t>
      </w:r>
      <w:proofErr w:type="spellStart"/>
      <w:r>
        <w:rPr>
          <w:rFonts w:eastAsia="Segoe UI" w:cstheme="minorHAnsi"/>
          <w:color w:val="011A3C"/>
          <w:sz w:val="24"/>
          <w:szCs w:val="24"/>
          <w:lang w:val="en" w:eastAsia="en-AU"/>
        </w:rPr>
        <w:t>utilise</w:t>
      </w:r>
      <w:proofErr w:type="spellEnd"/>
      <w:r>
        <w:rPr>
          <w:rFonts w:eastAsia="Segoe UI" w:cstheme="minorHAnsi"/>
          <w:color w:val="011A3C"/>
          <w:sz w:val="24"/>
          <w:szCs w:val="24"/>
          <w:lang w:val="en" w:eastAsia="en-AU"/>
        </w:rPr>
        <w:t xml:space="preserve"> any unspent 2023 MYLNS funding to include more Year 10 students in the MYLNS initiative and/or continue providing differentiated, needs-based support to students who need it most across all year levels.</w:t>
      </w:r>
      <w:r w:rsidR="00DD62EE" w:rsidRPr="00260C1D">
        <w:rPr>
          <w:rFonts w:eastAsia="Segoe UI" w:cstheme="minorHAnsi"/>
          <w:color w:val="011A3C"/>
          <w:sz w:val="24"/>
          <w:szCs w:val="24"/>
          <w:lang w:val="en" w:eastAsia="en-AU"/>
        </w:rPr>
        <w:t xml:space="preserve"> </w:t>
      </w:r>
    </w:p>
    <w:p w14:paraId="3D672AE3" w14:textId="77777777" w:rsidR="002909ED" w:rsidRPr="00260C1D" w:rsidRDefault="002909ED" w:rsidP="00515DB6">
      <w:pPr>
        <w:jc w:val="both"/>
        <w:rPr>
          <w:rFonts w:eastAsia="Segoe UI" w:cstheme="minorHAnsi"/>
          <w:color w:val="011A3C"/>
          <w:sz w:val="24"/>
          <w:szCs w:val="24"/>
          <w:lang w:val="en" w:eastAsia="en-AU"/>
        </w:rPr>
      </w:pPr>
    </w:p>
    <w:p w14:paraId="2DE5F518" w14:textId="77777777" w:rsidR="00E27C58" w:rsidRPr="00260C1D" w:rsidRDefault="00E27C58" w:rsidP="00E27C58">
      <w:pPr>
        <w:spacing w:before="100" w:beforeAutospacing="1" w:after="100" w:afterAutospacing="1" w:line="288" w:lineRule="atLeast"/>
        <w:jc w:val="both"/>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Support</w:t>
      </w:r>
    </w:p>
    <w:p w14:paraId="454C0A51" w14:textId="47A0E119" w:rsidR="00720A0F" w:rsidRDefault="00E27C58" w:rsidP="00833928">
      <w:pPr>
        <w:spacing w:before="100" w:beforeAutospacing="1" w:after="100" w:afterAutospacing="1" w:line="360" w:lineRule="atLeast"/>
        <w:jc w:val="both"/>
        <w:rPr>
          <w:rFonts w:asciiTheme="majorHAnsi" w:eastAsia="Calibri" w:hAnsiTheme="majorHAnsi" w:cstheme="majorBidi"/>
          <w:b/>
          <w:color w:val="2F5496" w:themeColor="accent1" w:themeShade="BF"/>
          <w:sz w:val="36"/>
          <w:szCs w:val="26"/>
          <w:lang w:val="en" w:eastAsia="en-AU"/>
        </w:rPr>
      </w:pPr>
      <w:r w:rsidRPr="00260C1D">
        <w:rPr>
          <w:rFonts w:eastAsia="Segoe UI" w:cstheme="minorHAnsi"/>
          <w:color w:val="011A3C"/>
          <w:sz w:val="24"/>
          <w:szCs w:val="24"/>
          <w:lang w:val="en" w:eastAsia="en-AU"/>
        </w:rPr>
        <w:lastRenderedPageBreak/>
        <w:t xml:space="preserve">For further information, </w:t>
      </w:r>
      <w:r w:rsidRPr="00260C1D">
        <w:rPr>
          <w:rFonts w:cstheme="minorHAnsi"/>
          <w:color w:val="323E4F" w:themeColor="text2" w:themeShade="BF"/>
          <w:sz w:val="24"/>
          <w:szCs w:val="24"/>
        </w:rPr>
        <w:t>re</w:t>
      </w:r>
      <w:r w:rsidRPr="00260C1D">
        <w:rPr>
          <w:rFonts w:eastAsia="Segoe UI" w:cstheme="minorHAnsi"/>
          <w:color w:val="011A3C"/>
          <w:sz w:val="24"/>
          <w:szCs w:val="24"/>
          <w:lang w:val="en" w:eastAsia="en-AU"/>
        </w:rPr>
        <w:t xml:space="preserve">fer to the </w:t>
      </w:r>
      <w:r w:rsidR="00BE3E43">
        <w:rPr>
          <w:rFonts w:eastAsia="Segoe UI" w:cstheme="minorHAnsi"/>
          <w:color w:val="011A3C"/>
          <w:sz w:val="24"/>
          <w:szCs w:val="24"/>
          <w:lang w:val="en" w:eastAsia="en-AU"/>
        </w:rPr>
        <w:t>D</w:t>
      </w:r>
      <w:r w:rsidRPr="00260C1D">
        <w:rPr>
          <w:rFonts w:eastAsia="Segoe UI" w:cstheme="minorHAnsi"/>
          <w:color w:val="011A3C"/>
          <w:sz w:val="24"/>
          <w:szCs w:val="24"/>
          <w:lang w:val="en" w:eastAsia="en-AU"/>
        </w:rPr>
        <w:t xml:space="preserve">epartment’s policy on </w:t>
      </w:r>
      <w:hyperlink r:id="rId202" w:history="1">
        <w:r w:rsidRPr="00260C1D">
          <w:rPr>
            <w:rStyle w:val="Hyperlink"/>
            <w:rFonts w:eastAsia="Segoe UI" w:cstheme="minorHAnsi"/>
            <w:sz w:val="24"/>
            <w:szCs w:val="24"/>
            <w:lang w:val="en" w:eastAsia="en-AU"/>
          </w:rPr>
          <w:t>Middle Years Literacy and Numeracy Support initiative</w:t>
        </w:r>
      </w:hyperlink>
      <w:r w:rsidRPr="00260C1D">
        <w:rPr>
          <w:rFonts w:eastAsia="Segoe UI" w:cstheme="minorHAnsi"/>
          <w:color w:val="011A3C"/>
          <w:sz w:val="24"/>
          <w:szCs w:val="24"/>
          <w:lang w:val="en" w:eastAsia="en-AU"/>
        </w:rPr>
        <w:t xml:space="preserve"> or contact</w:t>
      </w:r>
      <w:r w:rsidRPr="00260C1D">
        <w:rPr>
          <w:rFonts w:eastAsia="Segoe UI" w:cstheme="minorHAnsi"/>
          <w:color w:val="323E4F" w:themeColor="text2" w:themeShade="BF"/>
          <w:sz w:val="24"/>
          <w:szCs w:val="24"/>
          <w:lang w:val="en" w:eastAsia="en-AU"/>
        </w:rPr>
        <w:t xml:space="preserve"> </w:t>
      </w:r>
      <w:r w:rsidRPr="00833928">
        <w:t>MYLNS@education.vic.gov.au</w:t>
      </w:r>
      <w:r w:rsidR="00720A0F">
        <w:br w:type="page"/>
      </w:r>
    </w:p>
    <w:p w14:paraId="5BAE862E" w14:textId="2A3EC659" w:rsidR="00EA34C0" w:rsidRPr="00260C1D" w:rsidRDefault="00EA34C0" w:rsidP="00532A33">
      <w:pPr>
        <w:pStyle w:val="Heading2"/>
      </w:pPr>
      <w:bookmarkStart w:id="245" w:name="_Toc141965290"/>
      <w:bookmarkStart w:id="246" w:name="_Toc145339618"/>
      <w:bookmarkStart w:id="247" w:name="_Toc153791941"/>
      <w:r w:rsidRPr="00260C1D">
        <w:lastRenderedPageBreak/>
        <w:t>Student Excellence Program Funding (Ref</w:t>
      </w:r>
      <w:r w:rsidR="003E5908" w:rsidRPr="00260C1D">
        <w:t xml:space="preserve">erence </w:t>
      </w:r>
      <w:r w:rsidRPr="00260C1D">
        <w:t>120)</w:t>
      </w:r>
      <w:bookmarkEnd w:id="245"/>
      <w:bookmarkEnd w:id="246"/>
      <w:bookmarkEnd w:id="247"/>
    </w:p>
    <w:p w14:paraId="515E8773" w14:textId="37FBF4E8" w:rsidR="00EA34C0" w:rsidRPr="00260C1D" w:rsidRDefault="00EA34C0"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Student Excellence Program (SEP) funding support</w:t>
      </w:r>
      <w:r w:rsidR="00024EF1">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 schools to implement the Student Excellence Program.</w:t>
      </w:r>
    </w:p>
    <w:p w14:paraId="7CA75EBE" w14:textId="77777777" w:rsidR="00EA34C0" w:rsidRPr="00260C1D" w:rsidRDefault="00EA34C0"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w:t>
      </w:r>
      <w:r w:rsidR="006618E7" w:rsidRPr="00260C1D">
        <w:rPr>
          <w:rFonts w:eastAsia="Segoe UI" w:cstheme="minorHAnsi"/>
          <w:color w:val="011A3C"/>
          <w:sz w:val="24"/>
          <w:szCs w:val="24"/>
          <w:lang w:val="en" w:eastAsia="en-AU"/>
        </w:rPr>
        <w:t xml:space="preserve">SEP </w:t>
      </w:r>
      <w:r w:rsidR="00024EF1">
        <w:rPr>
          <w:rFonts w:eastAsia="Segoe UI" w:cstheme="minorHAnsi"/>
          <w:color w:val="011A3C"/>
          <w:sz w:val="24"/>
          <w:szCs w:val="24"/>
          <w:lang w:val="en" w:eastAsia="en-AU"/>
        </w:rPr>
        <w:t>includes</w:t>
      </w:r>
      <w:r w:rsidRPr="00260C1D">
        <w:rPr>
          <w:rFonts w:eastAsia="Segoe UI" w:cstheme="minorHAnsi"/>
          <w:color w:val="011A3C"/>
          <w:sz w:val="24"/>
          <w:szCs w:val="24"/>
          <w:lang w:val="en" w:eastAsia="en-AU"/>
        </w:rPr>
        <w:t>:</w:t>
      </w:r>
    </w:p>
    <w:p w14:paraId="520D5F54" w14:textId="22B25EF7" w:rsidR="00EA34C0" w:rsidRPr="00260C1D" w:rsidRDefault="00CE0047"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S</w:t>
      </w:r>
      <w:r w:rsidR="00EA34C0" w:rsidRPr="738305D2">
        <w:rPr>
          <w:rFonts w:eastAsia="Segoe UI"/>
          <w:color w:val="011A3C"/>
          <w:sz w:val="24"/>
          <w:szCs w:val="24"/>
          <w:lang w:val="en" w:eastAsia="en-AU"/>
        </w:rPr>
        <w:t>tructured learning extension programs for high-ability students</w:t>
      </w:r>
    </w:p>
    <w:p w14:paraId="660EFB25" w14:textId="3E90FCC6" w:rsidR="00EA34C0" w:rsidRPr="00260C1D" w:rsidRDefault="00024EF1"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Pr>
          <w:rFonts w:eastAsia="Segoe UI"/>
          <w:color w:val="011A3C"/>
          <w:sz w:val="24"/>
          <w:szCs w:val="24"/>
          <w:lang w:val="en" w:eastAsia="en-AU"/>
        </w:rPr>
        <w:t>Professional learning for</w:t>
      </w:r>
      <w:r w:rsidR="00EA34C0" w:rsidRPr="738305D2">
        <w:rPr>
          <w:rFonts w:eastAsia="Segoe UI"/>
          <w:color w:val="011A3C"/>
          <w:sz w:val="24"/>
          <w:szCs w:val="24"/>
          <w:lang w:val="en" w:eastAsia="en-AU"/>
        </w:rPr>
        <w:t xml:space="preserve"> classroom teachers to better support their high-ability students</w:t>
      </w:r>
    </w:p>
    <w:p w14:paraId="67C5AE47" w14:textId="6E0D7CEC" w:rsidR="00EA34C0" w:rsidRPr="00260C1D" w:rsidRDefault="00CE0047"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M</w:t>
      </w:r>
      <w:r w:rsidR="00EA34C0" w:rsidRPr="738305D2">
        <w:rPr>
          <w:rFonts w:eastAsia="Segoe UI"/>
          <w:color w:val="011A3C"/>
          <w:sz w:val="24"/>
          <w:szCs w:val="24"/>
          <w:lang w:val="en" w:eastAsia="en-AU"/>
        </w:rPr>
        <w:t>ore resources for government schools to build their programs for high-ability students</w:t>
      </w:r>
    </w:p>
    <w:p w14:paraId="25BBD2F4" w14:textId="765F9812" w:rsidR="00EA34C0" w:rsidRPr="00260C1D" w:rsidRDefault="00EA34C0"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can decide how to use the funding allocation to best meet the needs of their high-ability students – where relevant, schools can pool funds, for example in collaborative delivery of masterclasses. Many schools are already running programs for high-ability students, and this funding can </w:t>
      </w:r>
      <w:r w:rsidR="00B241D3" w:rsidRPr="00260C1D">
        <w:rPr>
          <w:rFonts w:eastAsia="Segoe UI" w:cstheme="minorHAnsi"/>
          <w:color w:val="011A3C"/>
          <w:sz w:val="24"/>
          <w:szCs w:val="24"/>
          <w:lang w:val="en" w:eastAsia="en-AU"/>
        </w:rPr>
        <w:t xml:space="preserve">be </w:t>
      </w:r>
      <w:r w:rsidRPr="00260C1D">
        <w:rPr>
          <w:rFonts w:eastAsia="Segoe UI" w:cstheme="minorHAnsi"/>
          <w:color w:val="011A3C"/>
          <w:sz w:val="24"/>
          <w:szCs w:val="24"/>
          <w:lang w:val="en" w:eastAsia="en-AU"/>
        </w:rPr>
        <w:t>used to support these programs.</w:t>
      </w:r>
    </w:p>
    <w:p w14:paraId="44610ABB" w14:textId="71E7064C" w:rsidR="00073C34" w:rsidRPr="00260C1D" w:rsidRDefault="00073C34" w:rsidP="006E043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Accountability</w:t>
      </w:r>
    </w:p>
    <w:p w14:paraId="3E80FE2E" w14:textId="4EF32795" w:rsidR="00052385" w:rsidRPr="00260C1D" w:rsidRDefault="00EA34C0" w:rsidP="0005238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are responsible for using the funds within the guidelines provided by the </w:t>
      </w:r>
      <w:r w:rsidR="00232BBD" w:rsidRPr="00260C1D">
        <w:rPr>
          <w:rFonts w:eastAsia="Segoe UI" w:cstheme="minorHAnsi"/>
          <w:color w:val="011A3C"/>
          <w:sz w:val="24"/>
          <w:szCs w:val="24"/>
          <w:lang w:val="en" w:eastAsia="en-AU"/>
        </w:rPr>
        <w:t>d</w:t>
      </w:r>
      <w:r w:rsidRPr="00260C1D">
        <w:rPr>
          <w:rFonts w:eastAsia="Segoe UI" w:cstheme="minorHAnsi"/>
          <w:color w:val="011A3C"/>
          <w:sz w:val="24"/>
          <w:szCs w:val="24"/>
          <w:lang w:val="en" w:eastAsia="en-AU"/>
        </w:rPr>
        <w:t>epartment</w:t>
      </w:r>
      <w:r w:rsidR="00052385" w:rsidRPr="00260C1D">
        <w:rPr>
          <w:rFonts w:eastAsia="Segoe UI" w:cstheme="minorHAnsi"/>
          <w:color w:val="011A3C"/>
          <w:sz w:val="24"/>
          <w:szCs w:val="24"/>
          <w:lang w:val="en" w:eastAsia="en-AU"/>
        </w:rPr>
        <w:t xml:space="preserve"> – </w:t>
      </w:r>
      <w:r w:rsidR="00232BBD" w:rsidRPr="00260C1D">
        <w:rPr>
          <w:rFonts w:eastAsia="Segoe UI" w:cstheme="minorHAnsi"/>
          <w:color w:val="011A3C"/>
          <w:sz w:val="24"/>
          <w:szCs w:val="24"/>
          <w:lang w:val="en" w:eastAsia="en-AU"/>
        </w:rPr>
        <w:t>refer to the</w:t>
      </w:r>
      <w:r w:rsidR="00052385" w:rsidRPr="00260C1D">
        <w:rPr>
          <w:rFonts w:eastAsia="Segoe UI" w:cstheme="minorHAnsi"/>
          <w:color w:val="011A3C"/>
          <w:sz w:val="24"/>
          <w:szCs w:val="24"/>
          <w:lang w:val="en" w:eastAsia="en-AU"/>
        </w:rPr>
        <w:t xml:space="preserve"> </w:t>
      </w:r>
      <w:hyperlink r:id="rId203" w:history="1">
        <w:r w:rsidR="00052385" w:rsidRPr="00CE0047">
          <w:rPr>
            <w:rStyle w:val="Hyperlink"/>
            <w:rFonts w:eastAsia="Segoe UI" w:cstheme="minorHAnsi"/>
            <w:sz w:val="24"/>
            <w:szCs w:val="24"/>
            <w:lang w:val="en" w:eastAsia="en-AU"/>
          </w:rPr>
          <w:t>Resources tab</w:t>
        </w:r>
      </w:hyperlink>
      <w:r w:rsidR="00052385" w:rsidRPr="00260C1D">
        <w:rPr>
          <w:rFonts w:eastAsia="Segoe UI" w:cstheme="minorHAnsi"/>
          <w:color w:val="011A3C"/>
          <w:sz w:val="24"/>
          <w:szCs w:val="24"/>
          <w:lang w:val="en" w:eastAsia="en-AU"/>
        </w:rPr>
        <w:t>.</w:t>
      </w:r>
    </w:p>
    <w:p w14:paraId="75A40A3E" w14:textId="167E57CF" w:rsidR="00052385" w:rsidRPr="00260C1D" w:rsidRDefault="00052385" w:rsidP="0005238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must code any expenditure of SEP funding to the sub-program code 8502 </w:t>
      </w:r>
      <w:r w:rsidR="00CE0047">
        <w:rPr>
          <w:rFonts w:eastAsia="Segoe UI" w:cstheme="minorHAnsi"/>
          <w:color w:val="011A3C"/>
          <w:sz w:val="24"/>
          <w:szCs w:val="24"/>
          <w:lang w:val="en" w:eastAsia="en-AU"/>
        </w:rPr>
        <w:t>i</w:t>
      </w:r>
      <w:r w:rsidRPr="00260C1D">
        <w:rPr>
          <w:rFonts w:eastAsia="Segoe UI" w:cstheme="minorHAnsi"/>
          <w:color w:val="011A3C"/>
          <w:sz w:val="24"/>
          <w:szCs w:val="24"/>
          <w:lang w:val="en" w:eastAsia="en-AU"/>
        </w:rPr>
        <w:t>n CASES21.</w:t>
      </w:r>
    </w:p>
    <w:p w14:paraId="3198A977" w14:textId="07FB4D3C" w:rsidR="00EA34C0" w:rsidRPr="00260C1D" w:rsidRDefault="00052385"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Where a school uses SEP funding to either employ a high-ability practice leader, </w:t>
      </w:r>
      <w:r w:rsidR="00CE0047">
        <w:rPr>
          <w:rFonts w:eastAsia="Segoe UI" w:cstheme="minorHAnsi"/>
          <w:color w:val="011A3C"/>
          <w:sz w:val="24"/>
          <w:szCs w:val="24"/>
          <w:lang w:val="en" w:eastAsia="en-AU"/>
        </w:rPr>
        <w:t>make</w:t>
      </w:r>
      <w:r w:rsidRPr="00260C1D">
        <w:rPr>
          <w:rFonts w:eastAsia="Segoe UI" w:cstheme="minorHAnsi"/>
          <w:color w:val="011A3C"/>
          <w:sz w:val="24"/>
          <w:szCs w:val="24"/>
          <w:lang w:val="en" w:eastAsia="en-AU"/>
        </w:rPr>
        <w:t xml:space="preserve"> a special payment or support the release of a teacher, this expense will be managed through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and will not appear in the CASES21 ledger.</w:t>
      </w:r>
    </w:p>
    <w:p w14:paraId="48AA175E" w14:textId="77777777" w:rsidR="00EA34C0" w:rsidRPr="00260C1D" w:rsidRDefault="00EA34C0" w:rsidP="00EA34C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4026F3A1" w14:textId="316A1726" w:rsidR="00EA34C0" w:rsidRPr="00260C1D" w:rsidRDefault="00EA34C0" w:rsidP="0005238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do not have to apply for funding. </w:t>
      </w:r>
      <w:r w:rsidR="00052385" w:rsidRPr="00260C1D">
        <w:rPr>
          <w:rFonts w:eastAsia="Segoe UI" w:cstheme="minorHAnsi"/>
          <w:color w:val="011A3C"/>
          <w:sz w:val="24"/>
          <w:szCs w:val="24"/>
          <w:lang w:val="en" w:eastAsia="en-AU"/>
        </w:rPr>
        <w:t xml:space="preserve">All eligible schools </w:t>
      </w:r>
      <w:r w:rsidR="002A54D5">
        <w:rPr>
          <w:rFonts w:eastAsia="Segoe UI" w:cstheme="minorHAnsi"/>
          <w:color w:val="011A3C"/>
          <w:sz w:val="24"/>
          <w:szCs w:val="24"/>
          <w:lang w:val="en" w:eastAsia="en-AU"/>
        </w:rPr>
        <w:t xml:space="preserve">will </w:t>
      </w:r>
      <w:r w:rsidR="00052385" w:rsidRPr="00260C1D">
        <w:rPr>
          <w:rFonts w:eastAsia="Segoe UI" w:cstheme="minorHAnsi"/>
          <w:color w:val="011A3C"/>
          <w:sz w:val="24"/>
          <w:szCs w:val="24"/>
          <w:lang w:val="en" w:eastAsia="en-AU"/>
        </w:rPr>
        <w:t xml:space="preserve">receive a SEP funding allocation through the Student Resource Package </w:t>
      </w:r>
      <w:r w:rsidR="002A54D5">
        <w:rPr>
          <w:rFonts w:eastAsia="Segoe UI" w:cstheme="minorHAnsi"/>
          <w:color w:val="011A3C"/>
          <w:sz w:val="24"/>
          <w:szCs w:val="24"/>
          <w:lang w:val="en" w:eastAsia="en-AU"/>
        </w:rPr>
        <w:t xml:space="preserve">(SRP) </w:t>
      </w:r>
      <w:r w:rsidR="00052385" w:rsidRPr="00260C1D">
        <w:rPr>
          <w:rFonts w:eastAsia="Segoe UI" w:cstheme="minorHAnsi"/>
          <w:color w:val="011A3C"/>
          <w:sz w:val="24"/>
          <w:szCs w:val="24"/>
          <w:lang w:val="en" w:eastAsia="en-AU"/>
        </w:rPr>
        <w:t>to support the implement</w:t>
      </w:r>
      <w:r w:rsidR="002A54D5">
        <w:rPr>
          <w:rFonts w:eastAsia="Segoe UI" w:cstheme="minorHAnsi"/>
          <w:color w:val="011A3C"/>
          <w:sz w:val="24"/>
          <w:szCs w:val="24"/>
          <w:lang w:val="en" w:eastAsia="en-AU"/>
        </w:rPr>
        <w:t>ation of</w:t>
      </w:r>
      <w:r w:rsidR="00052385" w:rsidRPr="00260C1D">
        <w:rPr>
          <w:rFonts w:eastAsia="Segoe UI" w:cstheme="minorHAnsi"/>
          <w:color w:val="011A3C"/>
          <w:sz w:val="24"/>
          <w:szCs w:val="24"/>
          <w:lang w:val="en" w:eastAsia="en-AU"/>
        </w:rPr>
        <w:t xml:space="preserve"> the initiative in their school. </w:t>
      </w:r>
      <w:r w:rsidR="00024EF1">
        <w:rPr>
          <w:rFonts w:eastAsia="Segoe UI" w:cstheme="minorHAnsi"/>
          <w:color w:val="011A3C"/>
          <w:sz w:val="24"/>
          <w:szCs w:val="24"/>
          <w:lang w:val="en" w:eastAsia="en-AU"/>
        </w:rPr>
        <w:t>Eligible school types include:</w:t>
      </w:r>
    </w:p>
    <w:p w14:paraId="4E06D5EF" w14:textId="77777777" w:rsidR="00024EF1" w:rsidRDefault="00024EF1" w:rsidP="00024EF1">
      <w:pPr>
        <w:pStyle w:val="ListParagraph"/>
        <w:numPr>
          <w:ilvl w:val="0"/>
          <w:numId w:val="151"/>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Primary</w:t>
      </w:r>
    </w:p>
    <w:p w14:paraId="774A1673" w14:textId="77777777" w:rsidR="00024EF1" w:rsidRDefault="00024EF1" w:rsidP="00024EF1">
      <w:pPr>
        <w:pStyle w:val="ListParagraph"/>
        <w:numPr>
          <w:ilvl w:val="0"/>
          <w:numId w:val="151"/>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Secondary</w:t>
      </w:r>
    </w:p>
    <w:p w14:paraId="729358C3" w14:textId="01E869C8" w:rsidR="0060644C" w:rsidRDefault="00024EF1" w:rsidP="003853EC">
      <w:pPr>
        <w:pStyle w:val="ListParagraph"/>
        <w:numPr>
          <w:ilvl w:val="0"/>
          <w:numId w:val="151"/>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Primary/Secondary combined</w:t>
      </w:r>
    </w:p>
    <w:p w14:paraId="704C37CE" w14:textId="57A4F1B8" w:rsidR="00024EF1" w:rsidRPr="003853EC" w:rsidRDefault="0060644C" w:rsidP="003853EC">
      <w:pPr>
        <w:pStyle w:val="ListParagraph"/>
        <w:numPr>
          <w:ilvl w:val="0"/>
          <w:numId w:val="151"/>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Special </w:t>
      </w:r>
      <w:r w:rsidR="00957A66">
        <w:rPr>
          <w:rFonts w:eastAsia="Segoe UI" w:cstheme="minorHAnsi"/>
          <w:color w:val="011A3C"/>
          <w:sz w:val="24"/>
          <w:szCs w:val="24"/>
          <w:lang w:val="en" w:eastAsia="en-AU"/>
        </w:rPr>
        <w:t>s</w:t>
      </w:r>
      <w:r>
        <w:rPr>
          <w:rFonts w:eastAsia="Segoe UI" w:cstheme="minorHAnsi"/>
          <w:color w:val="011A3C"/>
          <w:sz w:val="24"/>
          <w:szCs w:val="24"/>
          <w:lang w:val="en" w:eastAsia="en-AU"/>
        </w:rPr>
        <w:t>chool</w:t>
      </w:r>
      <w:r w:rsidR="00957A66">
        <w:rPr>
          <w:rFonts w:eastAsia="Segoe UI" w:cstheme="minorHAnsi"/>
          <w:color w:val="011A3C"/>
          <w:sz w:val="24"/>
          <w:szCs w:val="24"/>
          <w:lang w:val="en" w:eastAsia="en-AU"/>
        </w:rPr>
        <w:t>s</w:t>
      </w:r>
      <w:r>
        <w:rPr>
          <w:rFonts w:eastAsia="Segoe UI" w:cstheme="minorHAnsi"/>
          <w:color w:val="011A3C"/>
          <w:sz w:val="24"/>
          <w:szCs w:val="24"/>
          <w:lang w:val="en" w:eastAsia="en-AU"/>
        </w:rPr>
        <w:t xml:space="preserve"> </w:t>
      </w:r>
      <w:r w:rsidR="000F74B6">
        <w:rPr>
          <w:rFonts w:eastAsia="Segoe UI" w:cstheme="minorHAnsi"/>
          <w:color w:val="011A3C"/>
          <w:sz w:val="24"/>
          <w:szCs w:val="24"/>
          <w:lang w:val="en" w:eastAsia="en-AU"/>
        </w:rPr>
        <w:t xml:space="preserve">(by </w:t>
      </w:r>
      <w:r w:rsidR="002306F0">
        <w:rPr>
          <w:rFonts w:eastAsia="Segoe UI" w:cstheme="minorHAnsi"/>
          <w:color w:val="011A3C"/>
          <w:sz w:val="24"/>
          <w:szCs w:val="24"/>
          <w:lang w:val="en" w:eastAsia="en-AU"/>
        </w:rPr>
        <w:t>request</w:t>
      </w:r>
      <w:r w:rsidR="000F74B6">
        <w:rPr>
          <w:rFonts w:eastAsia="Segoe UI" w:cstheme="minorHAnsi"/>
          <w:color w:val="011A3C"/>
          <w:sz w:val="24"/>
          <w:szCs w:val="24"/>
          <w:lang w:val="en" w:eastAsia="en-AU"/>
        </w:rPr>
        <w:t xml:space="preserve"> only)</w:t>
      </w:r>
      <w:r w:rsidR="00F05A69">
        <w:rPr>
          <w:rFonts w:eastAsia="Segoe UI" w:cstheme="minorHAnsi"/>
          <w:color w:val="011A3C"/>
          <w:sz w:val="24"/>
          <w:szCs w:val="24"/>
          <w:lang w:val="en" w:eastAsia="en-AU"/>
        </w:rPr>
        <w:t>*</w:t>
      </w:r>
    </w:p>
    <w:p w14:paraId="79637B2E" w14:textId="5B3E112B" w:rsidR="00024EF1" w:rsidRPr="003853EC" w:rsidRDefault="00024EF1" w:rsidP="003853EC">
      <w:pPr>
        <w:rPr>
          <w:rFonts w:eastAsia="Segoe UI" w:cstheme="minorHAnsi"/>
          <w:color w:val="011A3C"/>
          <w:sz w:val="24"/>
          <w:szCs w:val="24"/>
          <w:lang w:val="en" w:eastAsia="en-AU"/>
        </w:rPr>
      </w:pPr>
      <w:r w:rsidRPr="003853EC">
        <w:rPr>
          <w:rFonts w:eastAsia="Segoe UI" w:cstheme="minorHAnsi"/>
          <w:color w:val="011A3C"/>
          <w:sz w:val="24"/>
          <w:szCs w:val="24"/>
          <w:lang w:val="en" w:eastAsia="en-AU"/>
        </w:rPr>
        <w:t>School types and specific</w:t>
      </w:r>
      <w:bookmarkStart w:id="248" w:name="_Hlk47892426"/>
      <w:r w:rsidR="00052385" w:rsidRPr="00260C1D">
        <w:rPr>
          <w:rFonts w:eastAsia="Segoe UI" w:cstheme="minorHAnsi"/>
          <w:color w:val="011A3C"/>
          <w:sz w:val="24"/>
          <w:szCs w:val="24"/>
          <w:lang w:val="en" w:eastAsia="en-AU"/>
        </w:rPr>
        <w:t xml:space="preserve"> schools</w:t>
      </w:r>
      <w:r w:rsidRPr="003853EC">
        <w:rPr>
          <w:rFonts w:eastAsia="Segoe UI" w:cstheme="minorHAnsi"/>
          <w:color w:val="011A3C"/>
          <w:sz w:val="24"/>
          <w:szCs w:val="24"/>
          <w:lang w:val="en" w:eastAsia="en-AU"/>
        </w:rPr>
        <w:t xml:space="preserve"> that are not eligible for SEP funding include:</w:t>
      </w:r>
    </w:p>
    <w:p w14:paraId="6CBEB7A6" w14:textId="77258545" w:rsidR="00024EF1" w:rsidRDefault="00052385" w:rsidP="00024EF1">
      <w:pPr>
        <w:pStyle w:val="ListParagraph"/>
        <w:numPr>
          <w:ilvl w:val="0"/>
          <w:numId w:val="152"/>
        </w:numPr>
        <w:rPr>
          <w:rFonts w:eastAsia="Segoe UI" w:cstheme="minorHAnsi"/>
          <w:color w:val="011A3C"/>
          <w:sz w:val="24"/>
          <w:szCs w:val="24"/>
          <w:lang w:val="en" w:eastAsia="en-AU"/>
        </w:rPr>
      </w:pPr>
      <w:r w:rsidRPr="00260C1D">
        <w:rPr>
          <w:rFonts w:eastAsia="Segoe UI" w:cstheme="minorHAnsi"/>
          <w:color w:val="011A3C"/>
          <w:sz w:val="24"/>
          <w:szCs w:val="24"/>
          <w:lang w:val="en" w:eastAsia="en-AU"/>
        </w:rPr>
        <w:t>English language schools</w:t>
      </w:r>
    </w:p>
    <w:p w14:paraId="7A8D085F" w14:textId="7576A26C" w:rsidR="00024EF1" w:rsidRDefault="00024EF1" w:rsidP="00024EF1">
      <w:pPr>
        <w:pStyle w:val="ListParagraph"/>
        <w:numPr>
          <w:ilvl w:val="0"/>
          <w:numId w:val="152"/>
        </w:numPr>
        <w:rPr>
          <w:rFonts w:eastAsia="Segoe UI" w:cstheme="minorHAnsi"/>
          <w:color w:val="011A3C"/>
          <w:sz w:val="24"/>
          <w:szCs w:val="24"/>
          <w:lang w:val="en" w:eastAsia="en-AU"/>
        </w:rPr>
      </w:pPr>
      <w:r>
        <w:rPr>
          <w:rFonts w:eastAsia="Segoe UI" w:cstheme="minorHAnsi"/>
          <w:color w:val="011A3C"/>
          <w:sz w:val="24"/>
          <w:szCs w:val="24"/>
          <w:lang w:val="en" w:eastAsia="en-AU"/>
        </w:rPr>
        <w:t>C</w:t>
      </w:r>
      <w:r w:rsidR="00052385" w:rsidRPr="003853EC">
        <w:rPr>
          <w:rFonts w:eastAsia="Segoe UI" w:cstheme="minorHAnsi"/>
          <w:color w:val="011A3C"/>
          <w:sz w:val="24"/>
          <w:szCs w:val="24"/>
          <w:lang w:val="en" w:eastAsia="en-AU"/>
        </w:rPr>
        <w:t>amp</w:t>
      </w:r>
      <w:r w:rsidR="00052385" w:rsidRPr="00260C1D">
        <w:rPr>
          <w:rFonts w:eastAsia="Segoe UI" w:cstheme="minorHAnsi"/>
          <w:color w:val="011A3C"/>
          <w:sz w:val="24"/>
          <w:szCs w:val="24"/>
          <w:lang w:val="en" w:eastAsia="en-AU"/>
        </w:rPr>
        <w:t>/outdoor schools</w:t>
      </w:r>
    </w:p>
    <w:p w14:paraId="0F871AD4" w14:textId="77777777" w:rsidR="00024EF1" w:rsidRDefault="00024EF1" w:rsidP="00024EF1">
      <w:pPr>
        <w:pStyle w:val="ListParagraph"/>
        <w:numPr>
          <w:ilvl w:val="0"/>
          <w:numId w:val="152"/>
        </w:numPr>
        <w:rPr>
          <w:rFonts w:eastAsia="Segoe UI" w:cstheme="minorHAnsi"/>
          <w:color w:val="011A3C"/>
          <w:sz w:val="24"/>
          <w:szCs w:val="24"/>
          <w:lang w:val="en" w:eastAsia="en-AU"/>
        </w:rPr>
      </w:pPr>
      <w:r>
        <w:rPr>
          <w:rFonts w:eastAsia="Segoe UI" w:cstheme="minorHAnsi"/>
          <w:color w:val="011A3C"/>
          <w:sz w:val="24"/>
          <w:szCs w:val="24"/>
          <w:lang w:val="en" w:eastAsia="en-AU"/>
        </w:rPr>
        <w:t>Selective Entry High Schools</w:t>
      </w:r>
    </w:p>
    <w:p w14:paraId="4D1CE34C" w14:textId="77777777" w:rsidR="00024EF1" w:rsidRDefault="00024EF1" w:rsidP="00024EF1">
      <w:pPr>
        <w:pStyle w:val="ListParagraph"/>
        <w:numPr>
          <w:ilvl w:val="0"/>
          <w:numId w:val="152"/>
        </w:numPr>
        <w:rPr>
          <w:rFonts w:eastAsia="Segoe UI" w:cstheme="minorHAnsi"/>
          <w:color w:val="011A3C"/>
          <w:sz w:val="24"/>
          <w:szCs w:val="24"/>
          <w:lang w:val="en" w:eastAsia="en-AU"/>
        </w:rPr>
      </w:pPr>
      <w:r>
        <w:rPr>
          <w:rFonts w:eastAsia="Segoe UI" w:cstheme="minorHAnsi"/>
          <w:color w:val="011A3C"/>
          <w:sz w:val="24"/>
          <w:szCs w:val="24"/>
          <w:lang w:val="en" w:eastAsia="en-AU"/>
        </w:rPr>
        <w:t>John Monash Science School</w:t>
      </w:r>
    </w:p>
    <w:p w14:paraId="3688E3BC" w14:textId="6341FAE6" w:rsidR="00024EF1" w:rsidRDefault="00024EF1" w:rsidP="00024EF1">
      <w:pPr>
        <w:pStyle w:val="ListParagraph"/>
        <w:numPr>
          <w:ilvl w:val="0"/>
          <w:numId w:val="152"/>
        </w:numPr>
        <w:rPr>
          <w:rFonts w:eastAsia="Segoe UI" w:cstheme="minorHAnsi"/>
          <w:color w:val="011A3C"/>
          <w:sz w:val="24"/>
          <w:szCs w:val="24"/>
          <w:lang w:val="en" w:eastAsia="en-AU"/>
        </w:rPr>
      </w:pPr>
      <w:r>
        <w:rPr>
          <w:rFonts w:eastAsia="Segoe UI" w:cstheme="minorHAnsi"/>
          <w:color w:val="011A3C"/>
          <w:sz w:val="24"/>
          <w:szCs w:val="24"/>
          <w:lang w:val="en" w:eastAsia="en-AU"/>
        </w:rPr>
        <w:lastRenderedPageBreak/>
        <w:t>Victoria College of</w:t>
      </w:r>
      <w:r w:rsidR="00052385" w:rsidRPr="00260C1D">
        <w:rPr>
          <w:rFonts w:eastAsia="Segoe UI" w:cstheme="minorHAnsi"/>
          <w:color w:val="011A3C"/>
          <w:sz w:val="24"/>
          <w:szCs w:val="24"/>
          <w:lang w:val="en" w:eastAsia="en-AU"/>
        </w:rPr>
        <w:t xml:space="preserve"> the </w:t>
      </w:r>
      <w:r>
        <w:rPr>
          <w:rFonts w:eastAsia="Segoe UI" w:cstheme="minorHAnsi"/>
          <w:color w:val="011A3C"/>
          <w:sz w:val="24"/>
          <w:szCs w:val="24"/>
          <w:lang w:val="en" w:eastAsia="en-AU"/>
        </w:rPr>
        <w:t>Arts Secondary School</w:t>
      </w:r>
    </w:p>
    <w:p w14:paraId="5D3A6B34" w14:textId="77777777" w:rsidR="00024EF1" w:rsidRDefault="00024EF1" w:rsidP="00024EF1">
      <w:pPr>
        <w:pStyle w:val="ListParagraph"/>
        <w:numPr>
          <w:ilvl w:val="0"/>
          <w:numId w:val="152"/>
        </w:numPr>
        <w:rPr>
          <w:rFonts w:eastAsia="Segoe UI" w:cstheme="minorHAnsi"/>
          <w:color w:val="011A3C"/>
          <w:sz w:val="24"/>
          <w:szCs w:val="24"/>
          <w:lang w:val="en" w:eastAsia="en-AU"/>
        </w:rPr>
      </w:pPr>
      <w:r>
        <w:rPr>
          <w:rFonts w:eastAsia="Segoe UI" w:cstheme="minorHAnsi"/>
          <w:color w:val="011A3C"/>
          <w:sz w:val="24"/>
          <w:szCs w:val="24"/>
          <w:lang w:val="en" w:eastAsia="en-AU"/>
        </w:rPr>
        <w:t xml:space="preserve">The </w:t>
      </w:r>
      <w:r w:rsidR="00052385" w:rsidRPr="00260C1D">
        <w:rPr>
          <w:rFonts w:eastAsia="Segoe UI" w:cstheme="minorHAnsi"/>
          <w:color w:val="011A3C"/>
          <w:sz w:val="24"/>
          <w:szCs w:val="24"/>
          <w:lang w:val="en" w:eastAsia="en-AU"/>
        </w:rPr>
        <w:t>Victorian School of Languages</w:t>
      </w:r>
    </w:p>
    <w:p w14:paraId="2AECB204" w14:textId="53988D57" w:rsidR="00024EF1" w:rsidRDefault="00024EF1" w:rsidP="00024EF1">
      <w:pPr>
        <w:pStyle w:val="ListParagraph"/>
        <w:numPr>
          <w:ilvl w:val="0"/>
          <w:numId w:val="152"/>
        </w:numPr>
        <w:rPr>
          <w:rFonts w:eastAsia="Segoe UI" w:cstheme="minorHAnsi"/>
          <w:color w:val="011A3C"/>
          <w:sz w:val="24"/>
          <w:szCs w:val="24"/>
          <w:lang w:val="en" w:eastAsia="en-AU"/>
        </w:rPr>
      </w:pPr>
      <w:r>
        <w:rPr>
          <w:rFonts w:eastAsia="Segoe UI" w:cstheme="minorHAnsi"/>
          <w:color w:val="011A3C"/>
          <w:sz w:val="24"/>
          <w:szCs w:val="24"/>
          <w:lang w:val="en" w:eastAsia="en-AU"/>
        </w:rPr>
        <w:t>T</w:t>
      </w:r>
      <w:r w:rsidR="00EE6C3B" w:rsidRPr="003853EC">
        <w:rPr>
          <w:rFonts w:eastAsia="Segoe UI" w:cstheme="minorHAnsi"/>
          <w:color w:val="011A3C"/>
          <w:sz w:val="24"/>
          <w:szCs w:val="24"/>
          <w:lang w:val="en" w:eastAsia="en-AU"/>
        </w:rPr>
        <w:t>he</w:t>
      </w:r>
      <w:r w:rsidR="00EE6C3B" w:rsidRPr="00260C1D">
        <w:rPr>
          <w:rFonts w:eastAsia="Segoe UI" w:cstheme="minorHAnsi"/>
          <w:color w:val="011A3C"/>
          <w:sz w:val="24"/>
          <w:szCs w:val="24"/>
          <w:lang w:val="en" w:eastAsia="en-AU"/>
        </w:rPr>
        <w:t xml:space="preserve"> Centre for Higher Education Studies</w:t>
      </w:r>
      <w:r>
        <w:rPr>
          <w:rFonts w:eastAsia="Segoe UI" w:cstheme="minorHAnsi"/>
          <w:color w:val="011A3C"/>
          <w:sz w:val="24"/>
          <w:szCs w:val="24"/>
          <w:lang w:val="en" w:eastAsia="en-AU"/>
        </w:rPr>
        <w:t>.</w:t>
      </w:r>
    </w:p>
    <w:p w14:paraId="1D0908BE" w14:textId="3AA6DC33" w:rsidR="00052385" w:rsidRPr="00260C1D" w:rsidRDefault="000F74B6" w:rsidP="00052385">
      <w:pPr>
        <w:rPr>
          <w:rFonts w:eastAsia="Segoe UI" w:cstheme="minorHAnsi"/>
          <w:color w:val="011A3C"/>
          <w:sz w:val="24"/>
          <w:szCs w:val="24"/>
          <w:lang w:val="en" w:eastAsia="en-AU"/>
        </w:rPr>
      </w:pPr>
      <w:r>
        <w:rPr>
          <w:rFonts w:eastAsia="Segoe UI" w:cstheme="minorHAnsi"/>
          <w:color w:val="011A3C"/>
          <w:sz w:val="24"/>
          <w:szCs w:val="24"/>
          <w:lang w:val="en" w:eastAsia="en-AU"/>
        </w:rPr>
        <w:t>*</w:t>
      </w:r>
      <w:r w:rsidR="00052385" w:rsidRPr="00260C1D">
        <w:rPr>
          <w:rFonts w:eastAsia="Segoe UI" w:cstheme="minorHAnsi"/>
          <w:color w:val="011A3C"/>
          <w:sz w:val="24"/>
          <w:szCs w:val="24"/>
          <w:lang w:val="en" w:eastAsia="en-AU"/>
        </w:rPr>
        <w:t xml:space="preserve">Special schools </w:t>
      </w:r>
      <w:r>
        <w:rPr>
          <w:rFonts w:eastAsia="Segoe UI" w:cstheme="minorHAnsi"/>
          <w:color w:val="011A3C"/>
          <w:sz w:val="24"/>
          <w:szCs w:val="24"/>
          <w:lang w:val="en" w:eastAsia="en-AU"/>
        </w:rPr>
        <w:t xml:space="preserve">are eligible however </w:t>
      </w:r>
      <w:r w:rsidR="00052385" w:rsidRPr="00260C1D">
        <w:rPr>
          <w:rFonts w:eastAsia="Segoe UI" w:cstheme="minorHAnsi"/>
          <w:color w:val="011A3C"/>
          <w:sz w:val="24"/>
          <w:szCs w:val="24"/>
          <w:lang w:val="en" w:eastAsia="en-AU"/>
        </w:rPr>
        <w:t>will not automatically receive funding</w:t>
      </w:r>
      <w:r w:rsidR="0021236A">
        <w:rPr>
          <w:rFonts w:eastAsia="Segoe UI" w:cstheme="minorHAnsi"/>
          <w:color w:val="011A3C"/>
          <w:sz w:val="24"/>
          <w:szCs w:val="24"/>
          <w:lang w:val="en" w:eastAsia="en-AU"/>
        </w:rPr>
        <w:t xml:space="preserve">. Special </w:t>
      </w:r>
      <w:r w:rsidR="00CE7460">
        <w:rPr>
          <w:rFonts w:eastAsia="Segoe UI" w:cstheme="minorHAnsi"/>
          <w:color w:val="011A3C"/>
          <w:sz w:val="24"/>
          <w:szCs w:val="24"/>
          <w:lang w:val="en" w:eastAsia="en-AU"/>
        </w:rPr>
        <w:t>s</w:t>
      </w:r>
      <w:r w:rsidR="0021236A">
        <w:rPr>
          <w:rFonts w:eastAsia="Segoe UI" w:cstheme="minorHAnsi"/>
          <w:color w:val="011A3C"/>
          <w:sz w:val="24"/>
          <w:szCs w:val="24"/>
          <w:lang w:val="en" w:eastAsia="en-AU"/>
        </w:rPr>
        <w:t>chools</w:t>
      </w:r>
      <w:r w:rsidR="00052385" w:rsidRPr="00260C1D">
        <w:rPr>
          <w:rFonts w:eastAsia="Segoe UI" w:cstheme="minorHAnsi"/>
          <w:color w:val="011A3C"/>
          <w:sz w:val="24"/>
          <w:szCs w:val="24"/>
          <w:lang w:val="en" w:eastAsia="en-AU"/>
        </w:rPr>
        <w:t xml:space="preserve"> can submit a request to the Student Excellence Unit for consideration</w:t>
      </w:r>
      <w:r w:rsidR="0000065D">
        <w:rPr>
          <w:rFonts w:eastAsia="Segoe UI" w:cstheme="minorHAnsi"/>
          <w:color w:val="011A3C"/>
          <w:sz w:val="24"/>
          <w:szCs w:val="24"/>
          <w:lang w:val="en" w:eastAsia="en-AU"/>
        </w:rPr>
        <w:t xml:space="preserve"> to support their identified high ability student cohort</w:t>
      </w:r>
      <w:r w:rsidR="00052385" w:rsidRPr="00260C1D">
        <w:rPr>
          <w:rFonts w:eastAsia="Segoe UI" w:cstheme="minorHAnsi"/>
          <w:color w:val="011A3C"/>
          <w:sz w:val="24"/>
          <w:szCs w:val="24"/>
          <w:lang w:val="en" w:eastAsia="en-AU"/>
        </w:rPr>
        <w:t>.</w:t>
      </w:r>
    </w:p>
    <w:p w14:paraId="1D7445BB" w14:textId="5600D01B" w:rsidR="0073330A" w:rsidRPr="00260C1D" w:rsidRDefault="0073330A" w:rsidP="0005238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is calculated at the Indicative, Confirmed and Revised cycles</w:t>
      </w:r>
      <w:r w:rsidR="00190EFD"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190EFD" w:rsidRPr="00260C1D">
        <w:rPr>
          <w:rFonts w:eastAsia="Segoe UI" w:cstheme="minorHAnsi"/>
          <w:color w:val="011A3C"/>
          <w:sz w:val="24"/>
          <w:szCs w:val="24"/>
          <w:lang w:val="en" w:eastAsia="en-AU"/>
        </w:rPr>
        <w:t>F</w:t>
      </w:r>
      <w:r w:rsidRPr="00260C1D">
        <w:rPr>
          <w:rFonts w:eastAsia="Segoe UI" w:cstheme="minorHAnsi"/>
          <w:color w:val="011A3C"/>
          <w:sz w:val="24"/>
          <w:szCs w:val="24"/>
          <w:lang w:val="en" w:eastAsia="en-AU"/>
        </w:rPr>
        <w:t>unding is allocated through credit and cash funding.</w:t>
      </w:r>
    </w:p>
    <w:bookmarkEnd w:id="248"/>
    <w:p w14:paraId="61A8A4CC" w14:textId="77777777" w:rsidR="00EA34C0" w:rsidRPr="008614E4" w:rsidRDefault="00EA34C0" w:rsidP="00EA34C0">
      <w:pPr>
        <w:spacing w:before="100" w:beforeAutospacing="1" w:after="100" w:afterAutospacing="1" w:line="288" w:lineRule="atLeast"/>
        <w:outlineLvl w:val="2"/>
        <w:rPr>
          <w:rFonts w:eastAsia="Segoe UI" w:cstheme="minorHAnsi"/>
          <w:b/>
          <w:color w:val="011A3C"/>
          <w:sz w:val="27"/>
          <w:szCs w:val="27"/>
          <w:lang w:val="en" w:eastAsia="en-AU"/>
        </w:rPr>
      </w:pPr>
      <w:r w:rsidRPr="008614E4">
        <w:rPr>
          <w:rFonts w:eastAsia="Segoe UI" w:cstheme="minorHAnsi"/>
          <w:b/>
          <w:color w:val="011A3C"/>
          <w:sz w:val="27"/>
          <w:szCs w:val="27"/>
          <w:lang w:val="en" w:eastAsia="en-AU"/>
        </w:rPr>
        <w:t>Funding</w:t>
      </w:r>
    </w:p>
    <w:p w14:paraId="1DC71980" w14:textId="77777777" w:rsidR="00EA34C0" w:rsidRPr="00260C1D" w:rsidRDefault="00EA34C0"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SEP funding is allocated based on the number of student enrolments in Victorian government primary and secondary schools.</w:t>
      </w:r>
    </w:p>
    <w:p w14:paraId="7A2A12D9" w14:textId="789BB8B1" w:rsidR="00EA34C0" w:rsidRPr="00260C1D" w:rsidRDefault="00EA34C0"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will receive a per school allocation related to their cohort size </w:t>
      </w:r>
      <w:proofErr w:type="spellStart"/>
      <w:r w:rsidRPr="00260C1D">
        <w:rPr>
          <w:rFonts w:eastAsia="Segoe UI" w:cstheme="minorHAnsi"/>
          <w:color w:val="011A3C"/>
          <w:sz w:val="24"/>
          <w:szCs w:val="24"/>
          <w:lang w:val="en" w:eastAsia="en-AU"/>
        </w:rPr>
        <w:t>categorisation</w:t>
      </w:r>
      <w:proofErr w:type="spellEnd"/>
      <w:r w:rsidRPr="00260C1D">
        <w:rPr>
          <w:rFonts w:eastAsia="Segoe UI" w:cstheme="minorHAnsi"/>
          <w:color w:val="011A3C"/>
          <w:sz w:val="24"/>
          <w:szCs w:val="24"/>
          <w:lang w:val="en" w:eastAsia="en-AU"/>
        </w:rPr>
        <w:t>.  </w:t>
      </w:r>
    </w:p>
    <w:p w14:paraId="460B5D2A" w14:textId="77777777" w:rsidR="00073C34" w:rsidRPr="00614B09" w:rsidRDefault="00073C34" w:rsidP="00614B09">
      <w:pPr>
        <w:spacing w:before="100" w:beforeAutospacing="1" w:after="100" w:afterAutospacing="1" w:line="288" w:lineRule="atLeast"/>
        <w:outlineLvl w:val="2"/>
        <w:rPr>
          <w:sz w:val="27"/>
          <w:szCs w:val="27"/>
        </w:rPr>
      </w:pPr>
      <w:r w:rsidRPr="00614B09">
        <w:rPr>
          <w:rFonts w:eastAsia="Segoe UI" w:cstheme="minorHAnsi"/>
          <w:b/>
          <w:color w:val="011A3C"/>
          <w:sz w:val="27"/>
          <w:szCs w:val="27"/>
          <w:lang w:val="en" w:eastAsia="en-AU"/>
        </w:rPr>
        <w:t>Use of SEP funding</w:t>
      </w:r>
    </w:p>
    <w:p w14:paraId="3D01EB06" w14:textId="1AC1BF0A" w:rsidR="00073C34" w:rsidRPr="00260C1D" w:rsidRDefault="00073C34" w:rsidP="00073C34">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will make local decisions as to how the SEP funding allocation will be used to best meet the needs of their high-ability students. For example</w:t>
      </w:r>
      <w:r w:rsidR="00052385"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the funding may be used for:</w:t>
      </w:r>
    </w:p>
    <w:p w14:paraId="0DA22C0F" w14:textId="6664925F" w:rsidR="00073C34" w:rsidRPr="00260C1D" w:rsidRDefault="00030E86"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A</w:t>
      </w:r>
      <w:r w:rsidR="00073C34" w:rsidRPr="738305D2">
        <w:rPr>
          <w:rFonts w:eastAsia="Segoe UI"/>
          <w:color w:val="011A3C"/>
          <w:sz w:val="24"/>
          <w:szCs w:val="24"/>
          <w:lang w:val="en" w:eastAsia="en-AU"/>
        </w:rPr>
        <w:t xml:space="preserve">ppointment of a </w:t>
      </w:r>
      <w:r w:rsidR="006060AB" w:rsidRPr="009B4DE1">
        <w:t>High-Ability Practice Leade</w:t>
      </w:r>
      <w:r w:rsidR="006060AB">
        <w:t>r</w:t>
      </w:r>
      <w:r w:rsidR="00693CA5">
        <w:t xml:space="preserve"> </w:t>
      </w:r>
      <w:r w:rsidR="006060AB">
        <w:t xml:space="preserve">to support </w:t>
      </w:r>
      <w:r w:rsidR="00A72B0E">
        <w:t>Student Excellence Program initiatives</w:t>
      </w:r>
    </w:p>
    <w:p w14:paraId="2180FDFD" w14:textId="0EE9EC5C" w:rsidR="00073C34" w:rsidRPr="00260C1D" w:rsidRDefault="005A63E9"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Pr>
          <w:rFonts w:eastAsia="Segoe UI"/>
          <w:color w:val="011A3C"/>
          <w:sz w:val="24"/>
          <w:szCs w:val="24"/>
          <w:lang w:val="en" w:eastAsia="en-AU"/>
        </w:rPr>
        <w:t xml:space="preserve">Attending high ability professional learning </w:t>
      </w:r>
      <w:r w:rsidR="00503433">
        <w:rPr>
          <w:rFonts w:eastAsia="Segoe UI"/>
          <w:color w:val="011A3C"/>
          <w:sz w:val="24"/>
          <w:szCs w:val="24"/>
          <w:lang w:val="en" w:eastAsia="en-AU"/>
        </w:rPr>
        <w:t>activities including the use of Casual Relief Teachers</w:t>
      </w:r>
    </w:p>
    <w:p w14:paraId="6C9C91C6" w14:textId="35D208FD" w:rsidR="00073C34" w:rsidRPr="00260C1D" w:rsidRDefault="00030E86"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D</w:t>
      </w:r>
      <w:r w:rsidR="00073C34" w:rsidRPr="738305D2">
        <w:rPr>
          <w:rFonts w:eastAsia="Segoe UI"/>
          <w:color w:val="011A3C"/>
          <w:sz w:val="24"/>
          <w:szCs w:val="24"/>
          <w:lang w:val="en" w:eastAsia="en-AU"/>
        </w:rPr>
        <w:t>elivery of masterclasses for students in the Victorian High-Ability Program</w:t>
      </w:r>
      <w:r w:rsidR="003057A8">
        <w:rPr>
          <w:rFonts w:eastAsia="Segoe UI"/>
          <w:color w:val="011A3C"/>
          <w:sz w:val="24"/>
          <w:szCs w:val="24"/>
          <w:lang w:val="en" w:eastAsia="en-AU"/>
        </w:rPr>
        <w:t xml:space="preserve"> </w:t>
      </w:r>
    </w:p>
    <w:p w14:paraId="24D304DF" w14:textId="72EB3644" w:rsidR="003057A8" w:rsidRPr="00260C1D" w:rsidRDefault="003057A8"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Pr>
          <w:rFonts w:eastAsia="Segoe UI"/>
          <w:color w:val="011A3C"/>
          <w:sz w:val="24"/>
          <w:szCs w:val="24"/>
          <w:lang w:val="en" w:eastAsia="en-AU"/>
        </w:rPr>
        <w:t xml:space="preserve">Participation in </w:t>
      </w:r>
      <w:hyperlink r:id="rId204" w:history="1">
        <w:r w:rsidRPr="00693CA5">
          <w:rPr>
            <w:rStyle w:val="Hyperlink"/>
            <w:rFonts w:eastAsia="Segoe UI"/>
            <w:sz w:val="24"/>
            <w:szCs w:val="24"/>
            <w:lang w:val="en" w:eastAsia="en-AU"/>
          </w:rPr>
          <w:t>Victorian Challenge and Enrichment Series</w:t>
        </w:r>
      </w:hyperlink>
      <w:r>
        <w:rPr>
          <w:rFonts w:eastAsia="Segoe UI"/>
          <w:color w:val="011A3C"/>
          <w:sz w:val="24"/>
          <w:szCs w:val="24"/>
          <w:lang w:val="en" w:eastAsia="en-AU"/>
        </w:rPr>
        <w:t xml:space="preserve"> activities/events</w:t>
      </w:r>
    </w:p>
    <w:p w14:paraId="3114B4AF" w14:textId="5686BCB8" w:rsidR="00DB2CFE" w:rsidRPr="00DB2CFE" w:rsidRDefault="00DB2CFE" w:rsidP="00DB2CFE">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 xml:space="preserve">Other programs for high-ability students </w:t>
      </w:r>
    </w:p>
    <w:p w14:paraId="021EF816" w14:textId="39D2BCE8" w:rsidR="000E0A5C" w:rsidRPr="00260C1D" w:rsidRDefault="000E0A5C"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Pr>
          <w:rFonts w:eastAsia="Segoe UI"/>
          <w:color w:val="011A3C"/>
          <w:sz w:val="24"/>
          <w:szCs w:val="24"/>
          <w:lang w:val="en" w:eastAsia="en-AU"/>
        </w:rPr>
        <w:t>Student transport cost</w:t>
      </w:r>
      <w:r w:rsidR="006F6B89">
        <w:rPr>
          <w:rFonts w:eastAsia="Segoe UI"/>
          <w:color w:val="011A3C"/>
          <w:sz w:val="24"/>
          <w:szCs w:val="24"/>
          <w:lang w:val="en" w:eastAsia="en-AU"/>
        </w:rPr>
        <w:t>s</w:t>
      </w:r>
      <w:r>
        <w:rPr>
          <w:rFonts w:eastAsia="Segoe UI"/>
          <w:color w:val="011A3C"/>
          <w:sz w:val="24"/>
          <w:szCs w:val="24"/>
          <w:lang w:val="en" w:eastAsia="en-AU"/>
        </w:rPr>
        <w:t xml:space="preserve"> to access </w:t>
      </w:r>
      <w:r w:rsidR="00BB60D0">
        <w:rPr>
          <w:rFonts w:eastAsia="Segoe UI"/>
          <w:color w:val="011A3C"/>
          <w:sz w:val="24"/>
          <w:szCs w:val="24"/>
          <w:lang w:val="en" w:eastAsia="en-AU"/>
        </w:rPr>
        <w:t xml:space="preserve">extension </w:t>
      </w:r>
      <w:r w:rsidR="00BC0869">
        <w:rPr>
          <w:rFonts w:eastAsia="Segoe UI"/>
          <w:color w:val="011A3C"/>
          <w:sz w:val="24"/>
          <w:szCs w:val="24"/>
          <w:lang w:val="en" w:eastAsia="en-AU"/>
        </w:rPr>
        <w:t xml:space="preserve">program </w:t>
      </w:r>
      <w:r>
        <w:rPr>
          <w:rFonts w:eastAsia="Segoe UI"/>
          <w:color w:val="011A3C"/>
          <w:sz w:val="24"/>
          <w:szCs w:val="24"/>
          <w:lang w:val="en" w:eastAsia="en-AU"/>
        </w:rPr>
        <w:t>events</w:t>
      </w:r>
    </w:p>
    <w:p w14:paraId="589D0722" w14:textId="234336DC" w:rsidR="00073C34" w:rsidRPr="00260C1D" w:rsidRDefault="00030E86"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C</w:t>
      </w:r>
      <w:r w:rsidR="00073C34" w:rsidRPr="738305D2">
        <w:rPr>
          <w:rFonts w:eastAsia="Segoe UI"/>
          <w:color w:val="011A3C"/>
          <w:sz w:val="24"/>
          <w:szCs w:val="24"/>
          <w:lang w:val="en" w:eastAsia="en-AU"/>
        </w:rPr>
        <w:t>o-ordination time for high-ability programs</w:t>
      </w:r>
    </w:p>
    <w:p w14:paraId="1B279219" w14:textId="649C5635" w:rsidR="00073C34" w:rsidRPr="00260C1D" w:rsidRDefault="00030E86"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P</w:t>
      </w:r>
      <w:r w:rsidR="00073C34" w:rsidRPr="738305D2">
        <w:rPr>
          <w:rFonts w:eastAsia="Segoe UI"/>
          <w:color w:val="011A3C"/>
          <w:sz w:val="24"/>
          <w:szCs w:val="24"/>
          <w:lang w:val="en" w:eastAsia="en-AU"/>
        </w:rPr>
        <w:t xml:space="preserve">arent information evenings </w:t>
      </w:r>
    </w:p>
    <w:p w14:paraId="581C8E64" w14:textId="5CA4299C" w:rsidR="00073C34" w:rsidRPr="00260C1D" w:rsidRDefault="00030E86"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G</w:t>
      </w:r>
      <w:r w:rsidR="00073C34" w:rsidRPr="738305D2">
        <w:rPr>
          <w:rFonts w:eastAsia="Segoe UI"/>
          <w:color w:val="011A3C"/>
          <w:sz w:val="24"/>
          <w:szCs w:val="24"/>
          <w:lang w:val="en" w:eastAsia="en-AU"/>
        </w:rPr>
        <w:t>uest speakers for high-ability students</w:t>
      </w:r>
    </w:p>
    <w:p w14:paraId="1B3B219D" w14:textId="1368EF48" w:rsidR="001868B0" w:rsidRPr="00260C1D" w:rsidRDefault="00030E86" w:rsidP="00F56244">
      <w:pPr>
        <w:numPr>
          <w:ilvl w:val="0"/>
          <w:numId w:val="2"/>
        </w:numPr>
        <w:spacing w:before="100" w:beforeAutospacing="1" w:after="100" w:afterAutospacing="1" w:line="360" w:lineRule="atLeast"/>
        <w:rPr>
          <w:rFonts w:eastAsia="Segoe UI" w:cstheme="minorHAnsi"/>
          <w:color w:val="011A3C"/>
          <w:sz w:val="24"/>
          <w:szCs w:val="24"/>
          <w:lang w:val="en" w:eastAsia="en-AU"/>
        </w:rPr>
      </w:pPr>
      <w:r w:rsidRPr="738305D2">
        <w:rPr>
          <w:rFonts w:eastAsia="Segoe UI"/>
          <w:color w:val="011A3C"/>
          <w:sz w:val="24"/>
          <w:szCs w:val="24"/>
          <w:lang w:val="en" w:eastAsia="en-AU"/>
        </w:rPr>
        <w:t>C</w:t>
      </w:r>
      <w:r w:rsidR="00073C34" w:rsidRPr="738305D2">
        <w:rPr>
          <w:rFonts w:eastAsia="Segoe UI"/>
          <w:color w:val="011A3C"/>
          <w:sz w:val="24"/>
          <w:szCs w:val="24"/>
          <w:lang w:val="en" w:eastAsia="en-AU"/>
        </w:rPr>
        <w:t>lassroom resources for extension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0"/>
        <w:gridCol w:w="3976"/>
      </w:tblGrid>
      <w:tr w:rsidR="00EA34C0" w:rsidRPr="00260C1D" w14:paraId="20F5E8A4" w14:textId="77777777" w:rsidTr="738305D2">
        <w:trPr>
          <w:tblHeader/>
        </w:trPr>
        <w:tc>
          <w:tcPr>
            <w:tcW w:w="0" w:type="auto"/>
            <w:gridSpan w:val="2"/>
            <w:vAlign w:val="center"/>
            <w:hideMark/>
          </w:tcPr>
          <w:p w14:paraId="3B21F662" w14:textId="1C9F54AC" w:rsidR="00EA34C0" w:rsidRPr="00260C1D" w:rsidRDefault="00EA34C0" w:rsidP="00EA34C0">
            <w:pPr>
              <w:spacing w:before="100" w:beforeAutospacing="1" w:after="100" w:afterAutospacing="1" w:line="288" w:lineRule="atLeast"/>
              <w:textAlignment w:val="top"/>
              <w:outlineLvl w:val="3"/>
              <w:rPr>
                <w:rFonts w:eastAsia="Segoe UI" w:cstheme="minorHAnsi"/>
                <w:b/>
                <w:color w:val="323E4F" w:themeColor="text2" w:themeShade="BF"/>
                <w:sz w:val="24"/>
                <w:szCs w:val="24"/>
                <w:lang w:eastAsia="en-AU"/>
              </w:rPr>
            </w:pPr>
            <w:r w:rsidRPr="00260C1D">
              <w:rPr>
                <w:rFonts w:eastAsia="Segoe UI" w:cstheme="minorHAnsi"/>
                <w:b/>
                <w:color w:val="323E4F" w:themeColor="text2" w:themeShade="BF"/>
                <w:sz w:val="24"/>
                <w:szCs w:val="24"/>
                <w:lang w:eastAsia="en-AU"/>
              </w:rPr>
              <w:t xml:space="preserve">Per </w:t>
            </w:r>
            <w:r w:rsidR="00030E86">
              <w:rPr>
                <w:rFonts w:eastAsia="Segoe UI" w:cstheme="minorHAnsi"/>
                <w:b/>
                <w:color w:val="323E4F" w:themeColor="text2" w:themeShade="BF"/>
                <w:sz w:val="24"/>
                <w:szCs w:val="24"/>
                <w:lang w:eastAsia="en-AU"/>
              </w:rPr>
              <w:t>s</w:t>
            </w:r>
            <w:r w:rsidRPr="00260C1D">
              <w:rPr>
                <w:rFonts w:eastAsia="Segoe UI" w:cstheme="minorHAnsi"/>
                <w:b/>
                <w:color w:val="323E4F" w:themeColor="text2" w:themeShade="BF"/>
                <w:sz w:val="24"/>
                <w:szCs w:val="24"/>
                <w:lang w:eastAsia="en-AU"/>
              </w:rPr>
              <w:t xml:space="preserve">chool </w:t>
            </w:r>
            <w:r w:rsidR="00030E86">
              <w:rPr>
                <w:rFonts w:eastAsia="Segoe UI" w:cstheme="minorHAnsi"/>
                <w:b/>
                <w:color w:val="323E4F" w:themeColor="text2" w:themeShade="BF"/>
                <w:sz w:val="24"/>
                <w:szCs w:val="24"/>
                <w:lang w:eastAsia="en-AU"/>
              </w:rPr>
              <w:t>a</w:t>
            </w:r>
            <w:r w:rsidRPr="00260C1D">
              <w:rPr>
                <w:rFonts w:eastAsia="Segoe UI" w:cstheme="minorHAnsi"/>
                <w:b/>
                <w:color w:val="323E4F" w:themeColor="text2" w:themeShade="BF"/>
                <w:sz w:val="24"/>
                <w:szCs w:val="24"/>
                <w:lang w:eastAsia="en-AU"/>
              </w:rPr>
              <w:t>llocation —202</w:t>
            </w:r>
            <w:r w:rsidR="000A3612">
              <w:rPr>
                <w:rFonts w:eastAsia="Segoe UI" w:cstheme="minorHAnsi"/>
                <w:b/>
                <w:color w:val="323E4F" w:themeColor="text2" w:themeShade="BF"/>
                <w:sz w:val="24"/>
                <w:szCs w:val="24"/>
                <w:lang w:eastAsia="en-AU"/>
              </w:rPr>
              <w:t>4</w:t>
            </w:r>
          </w:p>
        </w:tc>
      </w:tr>
      <w:tr w:rsidR="00EA34C0" w:rsidRPr="00260C1D" w14:paraId="5AB30C0D" w14:textId="77777777" w:rsidTr="738305D2">
        <w:trPr>
          <w:tblHeader/>
        </w:trPr>
        <w:tc>
          <w:tcPr>
            <w:tcW w:w="0" w:type="auto"/>
            <w:hideMark/>
          </w:tcPr>
          <w:p w14:paraId="14EAA9A8" w14:textId="6D95816F" w:rsidR="00EA34C0" w:rsidRPr="00614B09" w:rsidRDefault="00EA34C0" w:rsidP="00614B09">
            <w:pPr>
              <w:spacing w:after="0" w:line="240" w:lineRule="atLeast"/>
              <w:jc w:val="right"/>
              <w:rPr>
                <w:rFonts w:eastAsia="Segoe UI" w:cstheme="minorHAnsi"/>
                <w:b/>
                <w:bCs/>
                <w:color w:val="323E4F" w:themeColor="text2" w:themeShade="BF"/>
                <w:sz w:val="24"/>
                <w:szCs w:val="24"/>
                <w:lang w:eastAsia="en-AU"/>
              </w:rPr>
            </w:pPr>
            <w:bookmarkStart w:id="249" w:name="_Hlk130546877"/>
            <w:r w:rsidRPr="00614B09">
              <w:rPr>
                <w:rFonts w:eastAsia="Segoe UI" w:cstheme="minorHAnsi"/>
                <w:b/>
                <w:bCs/>
                <w:color w:val="323E4F" w:themeColor="text2" w:themeShade="BF"/>
                <w:sz w:val="24"/>
                <w:szCs w:val="24"/>
                <w:lang w:eastAsia="en-AU"/>
              </w:rPr>
              <w:t xml:space="preserve">School </w:t>
            </w:r>
            <w:r w:rsidR="00452DEC" w:rsidRPr="00614B09">
              <w:rPr>
                <w:rFonts w:eastAsia="Segoe UI" w:cstheme="minorHAnsi"/>
                <w:b/>
                <w:bCs/>
                <w:color w:val="323E4F" w:themeColor="text2" w:themeShade="BF"/>
                <w:sz w:val="24"/>
                <w:szCs w:val="24"/>
                <w:lang w:eastAsia="en-AU"/>
              </w:rPr>
              <w:t>c</w:t>
            </w:r>
            <w:r w:rsidRPr="00614B09">
              <w:rPr>
                <w:rFonts w:eastAsia="Segoe UI" w:cstheme="minorHAnsi"/>
                <w:b/>
                <w:bCs/>
                <w:color w:val="323E4F" w:themeColor="text2" w:themeShade="BF"/>
                <w:sz w:val="24"/>
                <w:szCs w:val="24"/>
                <w:lang w:eastAsia="en-AU"/>
              </w:rPr>
              <w:t>ohort (as per student enrolments)</w:t>
            </w:r>
          </w:p>
        </w:tc>
        <w:tc>
          <w:tcPr>
            <w:tcW w:w="0" w:type="auto"/>
            <w:hideMark/>
          </w:tcPr>
          <w:p w14:paraId="097B4FDA" w14:textId="3A3BD52B" w:rsidR="00EA34C0" w:rsidRPr="00614B09" w:rsidRDefault="00EA34C0" w:rsidP="00EA34C0">
            <w:pPr>
              <w:spacing w:after="0" w:line="240" w:lineRule="atLeas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 xml:space="preserve">Per </w:t>
            </w:r>
            <w:r w:rsidR="00452DEC" w:rsidRPr="00614B09">
              <w:rPr>
                <w:rFonts w:eastAsia="Segoe UI" w:cstheme="minorHAnsi"/>
                <w:b/>
                <w:bCs/>
                <w:color w:val="323E4F" w:themeColor="text2" w:themeShade="BF"/>
                <w:sz w:val="24"/>
                <w:szCs w:val="24"/>
                <w:lang w:eastAsia="en-AU"/>
              </w:rPr>
              <w:t>s</w:t>
            </w:r>
            <w:r w:rsidRPr="00614B09">
              <w:rPr>
                <w:rFonts w:eastAsia="Segoe UI" w:cstheme="minorHAnsi"/>
                <w:b/>
                <w:bCs/>
                <w:color w:val="323E4F" w:themeColor="text2" w:themeShade="BF"/>
                <w:sz w:val="24"/>
                <w:szCs w:val="24"/>
                <w:lang w:eastAsia="en-AU"/>
              </w:rPr>
              <w:t xml:space="preserve">chool </w:t>
            </w:r>
            <w:r w:rsidR="00452DEC" w:rsidRPr="00614B09">
              <w:rPr>
                <w:rFonts w:eastAsia="Segoe UI" w:cstheme="minorHAnsi"/>
                <w:b/>
                <w:bCs/>
                <w:color w:val="323E4F" w:themeColor="text2" w:themeShade="BF"/>
                <w:sz w:val="24"/>
                <w:szCs w:val="24"/>
                <w:lang w:eastAsia="en-AU"/>
              </w:rPr>
              <w:t>c</w:t>
            </w:r>
            <w:r w:rsidRPr="00614B09">
              <w:rPr>
                <w:rFonts w:eastAsia="Segoe UI" w:cstheme="minorHAnsi"/>
                <w:b/>
                <w:bCs/>
                <w:color w:val="323E4F" w:themeColor="text2" w:themeShade="BF"/>
                <w:sz w:val="24"/>
                <w:szCs w:val="24"/>
                <w:lang w:eastAsia="en-AU"/>
              </w:rPr>
              <w:t xml:space="preserve">ash </w:t>
            </w:r>
            <w:r w:rsidR="00452DEC" w:rsidRPr="00614B09">
              <w:rPr>
                <w:rFonts w:eastAsia="Segoe UI" w:cstheme="minorHAnsi"/>
                <w:b/>
                <w:bCs/>
                <w:color w:val="323E4F" w:themeColor="text2" w:themeShade="BF"/>
                <w:sz w:val="24"/>
                <w:szCs w:val="24"/>
                <w:lang w:eastAsia="en-AU"/>
              </w:rPr>
              <w:t>a</w:t>
            </w:r>
            <w:r w:rsidRPr="00614B09">
              <w:rPr>
                <w:rFonts w:eastAsia="Segoe UI" w:cstheme="minorHAnsi"/>
                <w:b/>
                <w:bCs/>
                <w:color w:val="323E4F" w:themeColor="text2" w:themeShade="BF"/>
                <w:sz w:val="24"/>
                <w:szCs w:val="24"/>
                <w:lang w:eastAsia="en-AU"/>
              </w:rPr>
              <w:t xml:space="preserve">llocation </w:t>
            </w:r>
          </w:p>
        </w:tc>
      </w:tr>
      <w:tr w:rsidR="003A29DF" w:rsidRPr="00260C1D" w14:paraId="2AE374C1" w14:textId="77777777" w:rsidTr="738305D2">
        <w:tc>
          <w:tcPr>
            <w:tcW w:w="0" w:type="auto"/>
            <w:hideMark/>
          </w:tcPr>
          <w:p w14:paraId="21E22EDC" w14:textId="77777777" w:rsidR="003A29DF" w:rsidRPr="00260C1D" w:rsidRDefault="003A29DF" w:rsidP="003A29DF">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 – 39</w:t>
            </w:r>
          </w:p>
        </w:tc>
        <w:tc>
          <w:tcPr>
            <w:tcW w:w="0" w:type="auto"/>
            <w:hideMark/>
          </w:tcPr>
          <w:p w14:paraId="7D2C631E" w14:textId="27800A8D" w:rsidR="003A29DF" w:rsidRPr="00260C1D" w:rsidRDefault="003A29DF" w:rsidP="003A29DF">
            <w:pPr>
              <w:spacing w:after="0" w:line="360" w:lineRule="atLeast"/>
              <w:jc w:val="right"/>
              <w:rPr>
                <w:rFonts w:eastAsia="Segoe UI"/>
                <w:color w:val="323E4F" w:themeColor="text2" w:themeShade="BF"/>
                <w:sz w:val="24"/>
                <w:szCs w:val="24"/>
                <w:lang w:eastAsia="en-AU"/>
              </w:rPr>
            </w:pPr>
            <w:r w:rsidRPr="00833928">
              <w:rPr>
                <w:rFonts w:ascii="Calibri" w:hAnsi="Calibri"/>
                <w:b/>
                <w:color w:val="000000"/>
              </w:rPr>
              <w:t>$1,</w:t>
            </w:r>
            <w:r>
              <w:rPr>
                <w:rFonts w:ascii="Calibri" w:hAnsi="Calibri" w:cs="Calibri"/>
                <w:b/>
                <w:bCs/>
                <w:color w:val="000000"/>
              </w:rPr>
              <w:t>795</w:t>
            </w:r>
            <w:r w:rsidRPr="00833928">
              <w:rPr>
                <w:rFonts w:ascii="Calibri" w:hAnsi="Calibri"/>
                <w:b/>
                <w:color w:val="000000"/>
              </w:rPr>
              <w:t>.00</w:t>
            </w:r>
          </w:p>
        </w:tc>
      </w:tr>
      <w:tr w:rsidR="003A29DF" w:rsidRPr="00260C1D" w14:paraId="2339A05A" w14:textId="77777777" w:rsidTr="738305D2">
        <w:tc>
          <w:tcPr>
            <w:tcW w:w="0" w:type="auto"/>
            <w:hideMark/>
          </w:tcPr>
          <w:p w14:paraId="7302D784" w14:textId="77777777" w:rsidR="003A29DF" w:rsidRPr="00260C1D" w:rsidRDefault="003A29DF" w:rsidP="003A29DF">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40 – 79</w:t>
            </w:r>
          </w:p>
        </w:tc>
        <w:tc>
          <w:tcPr>
            <w:tcW w:w="0" w:type="auto"/>
            <w:hideMark/>
          </w:tcPr>
          <w:p w14:paraId="64E2A9A7" w14:textId="7621824F" w:rsidR="003A29DF" w:rsidRPr="00950CBB" w:rsidRDefault="003A29DF" w:rsidP="003A29DF">
            <w:pPr>
              <w:jc w:val="right"/>
              <w:rPr>
                <w:rFonts w:ascii="Calibri" w:hAnsi="Calibri"/>
                <w:color w:val="000000" w:themeColor="text1"/>
              </w:rPr>
            </w:pPr>
            <w:r w:rsidRPr="00833928">
              <w:rPr>
                <w:rFonts w:ascii="Calibri" w:hAnsi="Calibri"/>
                <w:b/>
                <w:color w:val="000000"/>
              </w:rPr>
              <w:t>$1,</w:t>
            </w:r>
            <w:r>
              <w:rPr>
                <w:rFonts w:ascii="Calibri" w:hAnsi="Calibri" w:cs="Calibri"/>
                <w:b/>
                <w:bCs/>
                <w:color w:val="000000"/>
              </w:rPr>
              <w:t>845</w:t>
            </w:r>
            <w:r w:rsidRPr="00833928">
              <w:rPr>
                <w:rFonts w:ascii="Calibri" w:hAnsi="Calibri"/>
                <w:b/>
                <w:color w:val="000000"/>
              </w:rPr>
              <w:t>.00</w:t>
            </w:r>
          </w:p>
        </w:tc>
      </w:tr>
      <w:tr w:rsidR="003A29DF" w:rsidRPr="00260C1D" w14:paraId="607170FC" w14:textId="77777777" w:rsidTr="738305D2">
        <w:tc>
          <w:tcPr>
            <w:tcW w:w="0" w:type="auto"/>
            <w:hideMark/>
          </w:tcPr>
          <w:p w14:paraId="74C95B7B" w14:textId="77777777" w:rsidR="003A29DF" w:rsidRPr="00260C1D" w:rsidRDefault="003A29DF" w:rsidP="003A29DF">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80 – 99</w:t>
            </w:r>
          </w:p>
        </w:tc>
        <w:tc>
          <w:tcPr>
            <w:tcW w:w="0" w:type="auto"/>
            <w:hideMark/>
          </w:tcPr>
          <w:p w14:paraId="10DACB1F" w14:textId="7E910EA6" w:rsidR="003A29DF" w:rsidRPr="00950CBB" w:rsidRDefault="003A29DF" w:rsidP="003A29DF">
            <w:pPr>
              <w:jc w:val="right"/>
              <w:rPr>
                <w:rFonts w:ascii="Calibri" w:hAnsi="Calibri"/>
              </w:rPr>
            </w:pPr>
            <w:r w:rsidRPr="00833928">
              <w:rPr>
                <w:rFonts w:ascii="Calibri" w:hAnsi="Calibri"/>
                <w:b/>
                <w:color w:val="000000"/>
              </w:rPr>
              <w:t>$2,</w:t>
            </w:r>
            <w:r>
              <w:rPr>
                <w:rFonts w:ascii="Calibri" w:hAnsi="Calibri" w:cs="Calibri"/>
                <w:b/>
                <w:bCs/>
                <w:color w:val="000000"/>
              </w:rPr>
              <w:t>320</w:t>
            </w:r>
            <w:r w:rsidRPr="00833928">
              <w:rPr>
                <w:rFonts w:ascii="Calibri" w:hAnsi="Calibri"/>
                <w:b/>
                <w:color w:val="000000"/>
              </w:rPr>
              <w:t>.00</w:t>
            </w:r>
          </w:p>
        </w:tc>
      </w:tr>
      <w:tr w:rsidR="003A29DF" w:rsidRPr="00260C1D" w14:paraId="2267AEB5" w14:textId="77777777" w:rsidTr="738305D2">
        <w:tc>
          <w:tcPr>
            <w:tcW w:w="0" w:type="auto"/>
            <w:hideMark/>
          </w:tcPr>
          <w:p w14:paraId="7B085B05" w14:textId="77777777" w:rsidR="003A29DF" w:rsidRPr="00260C1D" w:rsidRDefault="003A29DF" w:rsidP="003A29DF">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100 – 149</w:t>
            </w:r>
          </w:p>
        </w:tc>
        <w:tc>
          <w:tcPr>
            <w:tcW w:w="0" w:type="auto"/>
            <w:hideMark/>
          </w:tcPr>
          <w:p w14:paraId="179DE66F" w14:textId="1DEC038C" w:rsidR="003A29DF" w:rsidRPr="00950CBB" w:rsidRDefault="003A29DF" w:rsidP="003A29DF">
            <w:pPr>
              <w:jc w:val="right"/>
              <w:rPr>
                <w:rFonts w:ascii="Calibri" w:hAnsi="Calibri"/>
                <w:color w:val="000000" w:themeColor="text1"/>
              </w:rPr>
            </w:pPr>
            <w:r w:rsidRPr="00833928">
              <w:rPr>
                <w:rFonts w:ascii="Calibri" w:hAnsi="Calibri"/>
                <w:b/>
                <w:color w:val="000000"/>
              </w:rPr>
              <w:t>$3,</w:t>
            </w:r>
            <w:r>
              <w:rPr>
                <w:rFonts w:ascii="Calibri" w:hAnsi="Calibri" w:cs="Calibri"/>
                <w:b/>
                <w:bCs/>
                <w:color w:val="000000"/>
              </w:rPr>
              <w:t>265</w:t>
            </w:r>
            <w:r w:rsidRPr="00833928">
              <w:rPr>
                <w:rFonts w:ascii="Calibri" w:hAnsi="Calibri"/>
                <w:b/>
                <w:color w:val="000000"/>
              </w:rPr>
              <w:t>.00</w:t>
            </w:r>
          </w:p>
        </w:tc>
      </w:tr>
      <w:tr w:rsidR="003A29DF" w:rsidRPr="00260C1D" w14:paraId="11DDDEB5" w14:textId="77777777" w:rsidTr="738305D2">
        <w:tc>
          <w:tcPr>
            <w:tcW w:w="0" w:type="auto"/>
            <w:hideMark/>
          </w:tcPr>
          <w:p w14:paraId="7EA61B6F" w14:textId="77777777" w:rsidR="003A29DF" w:rsidRPr="00260C1D" w:rsidRDefault="003A29DF" w:rsidP="003A29DF">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150 – 199</w:t>
            </w:r>
          </w:p>
        </w:tc>
        <w:tc>
          <w:tcPr>
            <w:tcW w:w="0" w:type="auto"/>
            <w:hideMark/>
          </w:tcPr>
          <w:p w14:paraId="48E7159A" w14:textId="0250D47A" w:rsidR="003A29DF" w:rsidRPr="00950CBB" w:rsidRDefault="003A29DF" w:rsidP="003A29DF">
            <w:pPr>
              <w:jc w:val="right"/>
              <w:rPr>
                <w:rFonts w:ascii="Calibri" w:hAnsi="Calibri"/>
                <w:color w:val="000000" w:themeColor="text1"/>
              </w:rPr>
            </w:pPr>
            <w:r w:rsidRPr="00833928">
              <w:rPr>
                <w:rFonts w:ascii="Calibri" w:hAnsi="Calibri"/>
                <w:b/>
                <w:color w:val="000000"/>
              </w:rPr>
              <w:t>$4,</w:t>
            </w:r>
            <w:r>
              <w:rPr>
                <w:rFonts w:ascii="Calibri" w:hAnsi="Calibri" w:cs="Calibri"/>
                <w:b/>
                <w:bCs/>
                <w:color w:val="000000"/>
              </w:rPr>
              <w:t>495</w:t>
            </w:r>
            <w:r w:rsidRPr="00833928">
              <w:rPr>
                <w:rFonts w:ascii="Calibri" w:hAnsi="Calibri"/>
                <w:b/>
                <w:color w:val="000000"/>
              </w:rPr>
              <w:t>.00</w:t>
            </w:r>
          </w:p>
        </w:tc>
      </w:tr>
      <w:tr w:rsidR="003A29DF" w:rsidRPr="00260C1D" w14:paraId="0951A719" w14:textId="77777777" w:rsidTr="738305D2">
        <w:tc>
          <w:tcPr>
            <w:tcW w:w="0" w:type="auto"/>
            <w:hideMark/>
          </w:tcPr>
          <w:p w14:paraId="07B582E6" w14:textId="77777777" w:rsidR="003A29DF" w:rsidRPr="00260C1D" w:rsidRDefault="003A29DF" w:rsidP="003A29DF">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200 – 249</w:t>
            </w:r>
          </w:p>
        </w:tc>
        <w:tc>
          <w:tcPr>
            <w:tcW w:w="0" w:type="auto"/>
            <w:hideMark/>
          </w:tcPr>
          <w:p w14:paraId="36030CDC" w14:textId="71F3EBCA" w:rsidR="003A29DF" w:rsidRPr="00950CBB" w:rsidRDefault="003A29DF" w:rsidP="003A29DF">
            <w:pPr>
              <w:jc w:val="right"/>
              <w:rPr>
                <w:rFonts w:ascii="Calibri" w:hAnsi="Calibri"/>
                <w:color w:val="000000" w:themeColor="text1"/>
              </w:rPr>
            </w:pPr>
            <w:r w:rsidRPr="00833928">
              <w:rPr>
                <w:rFonts w:ascii="Calibri" w:hAnsi="Calibri"/>
                <w:b/>
                <w:color w:val="000000"/>
              </w:rPr>
              <w:t>$5,</w:t>
            </w:r>
            <w:r>
              <w:rPr>
                <w:rFonts w:ascii="Calibri" w:hAnsi="Calibri" w:cs="Calibri"/>
                <w:b/>
                <w:bCs/>
                <w:color w:val="000000"/>
              </w:rPr>
              <w:t>815</w:t>
            </w:r>
            <w:r w:rsidRPr="00833928">
              <w:rPr>
                <w:rFonts w:ascii="Calibri" w:hAnsi="Calibri"/>
                <w:b/>
                <w:color w:val="000000"/>
              </w:rPr>
              <w:t>.00</w:t>
            </w:r>
          </w:p>
        </w:tc>
      </w:tr>
      <w:tr w:rsidR="003A29DF" w:rsidRPr="00260C1D" w14:paraId="22063B8F" w14:textId="77777777" w:rsidTr="738305D2">
        <w:tc>
          <w:tcPr>
            <w:tcW w:w="0" w:type="auto"/>
            <w:hideMark/>
          </w:tcPr>
          <w:p w14:paraId="1C841BE9" w14:textId="77777777" w:rsidR="003A29DF" w:rsidRPr="00260C1D" w:rsidRDefault="003A29DF" w:rsidP="003A29DF">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lastRenderedPageBreak/>
              <w:t>250 – 299</w:t>
            </w:r>
          </w:p>
        </w:tc>
        <w:tc>
          <w:tcPr>
            <w:tcW w:w="0" w:type="auto"/>
            <w:hideMark/>
          </w:tcPr>
          <w:p w14:paraId="335EA007" w14:textId="4405A63E" w:rsidR="003A29DF" w:rsidRPr="00950CBB" w:rsidRDefault="003A29DF" w:rsidP="003A29DF">
            <w:pPr>
              <w:jc w:val="right"/>
              <w:rPr>
                <w:rFonts w:ascii="Calibri" w:hAnsi="Calibri"/>
                <w:color w:val="000000" w:themeColor="text1"/>
              </w:rPr>
            </w:pPr>
            <w:r w:rsidRPr="00833928">
              <w:rPr>
                <w:rFonts w:ascii="Calibri" w:hAnsi="Calibri"/>
                <w:b/>
                <w:color w:val="000000"/>
              </w:rPr>
              <w:t>$</w:t>
            </w:r>
            <w:r>
              <w:rPr>
                <w:rFonts w:ascii="Calibri" w:hAnsi="Calibri" w:cs="Calibri"/>
                <w:b/>
                <w:bCs/>
                <w:color w:val="000000"/>
              </w:rPr>
              <w:t>7,190</w:t>
            </w:r>
            <w:r w:rsidRPr="00833928">
              <w:rPr>
                <w:rFonts w:ascii="Calibri" w:hAnsi="Calibri"/>
                <w:b/>
                <w:color w:val="000000"/>
              </w:rPr>
              <w:t>.00</w:t>
            </w:r>
          </w:p>
        </w:tc>
      </w:tr>
      <w:tr w:rsidR="003A29DF" w:rsidRPr="00260C1D" w14:paraId="76C89672" w14:textId="77777777" w:rsidTr="738305D2">
        <w:tc>
          <w:tcPr>
            <w:tcW w:w="0" w:type="auto"/>
            <w:hideMark/>
          </w:tcPr>
          <w:p w14:paraId="6427A2EE" w14:textId="77777777" w:rsidR="003A29DF" w:rsidRPr="00260C1D" w:rsidRDefault="003A29DF" w:rsidP="003A29DF">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300 – 399</w:t>
            </w:r>
          </w:p>
        </w:tc>
        <w:tc>
          <w:tcPr>
            <w:tcW w:w="0" w:type="auto"/>
            <w:hideMark/>
          </w:tcPr>
          <w:p w14:paraId="6FA7DE2B" w14:textId="28A39528" w:rsidR="003A29DF" w:rsidRPr="00950CBB" w:rsidRDefault="003A29DF" w:rsidP="003A29DF">
            <w:pPr>
              <w:jc w:val="right"/>
              <w:rPr>
                <w:rFonts w:ascii="Calibri" w:hAnsi="Calibri"/>
                <w:color w:val="000000" w:themeColor="text1"/>
              </w:rPr>
            </w:pPr>
            <w:r w:rsidRPr="00833928">
              <w:rPr>
                <w:rFonts w:ascii="Calibri" w:hAnsi="Calibri"/>
                <w:b/>
                <w:color w:val="000000"/>
              </w:rPr>
              <w:t>$</w:t>
            </w:r>
            <w:r>
              <w:rPr>
                <w:rFonts w:ascii="Calibri" w:hAnsi="Calibri" w:cs="Calibri"/>
                <w:b/>
                <w:bCs/>
                <w:color w:val="000000"/>
              </w:rPr>
              <w:t>9,115</w:t>
            </w:r>
            <w:r w:rsidRPr="00833928">
              <w:rPr>
                <w:rFonts w:ascii="Calibri" w:hAnsi="Calibri"/>
                <w:b/>
                <w:color w:val="000000"/>
              </w:rPr>
              <w:t>.00</w:t>
            </w:r>
          </w:p>
        </w:tc>
      </w:tr>
      <w:tr w:rsidR="003A29DF" w:rsidRPr="00260C1D" w14:paraId="55D023AD" w14:textId="77777777" w:rsidTr="738305D2">
        <w:tc>
          <w:tcPr>
            <w:tcW w:w="0" w:type="auto"/>
            <w:hideMark/>
          </w:tcPr>
          <w:p w14:paraId="084097D1" w14:textId="77777777" w:rsidR="003A29DF" w:rsidRPr="00260C1D" w:rsidRDefault="003A29DF" w:rsidP="003A29DF">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400 – 499</w:t>
            </w:r>
          </w:p>
        </w:tc>
        <w:tc>
          <w:tcPr>
            <w:tcW w:w="0" w:type="auto"/>
            <w:hideMark/>
          </w:tcPr>
          <w:p w14:paraId="310CDEE7" w14:textId="269DFB18" w:rsidR="003A29DF" w:rsidRPr="00260C1D" w:rsidRDefault="003A29DF" w:rsidP="003A29DF">
            <w:pPr>
              <w:spacing w:after="0" w:line="360" w:lineRule="atLeast"/>
              <w:jc w:val="right"/>
              <w:rPr>
                <w:rFonts w:eastAsia="Segoe UI"/>
                <w:color w:val="323E4F" w:themeColor="text2" w:themeShade="BF"/>
                <w:sz w:val="24"/>
                <w:szCs w:val="24"/>
                <w:lang w:eastAsia="en-AU"/>
              </w:rPr>
            </w:pPr>
            <w:r w:rsidRPr="00833928">
              <w:rPr>
                <w:rFonts w:ascii="Calibri" w:hAnsi="Calibri"/>
                <w:b/>
                <w:color w:val="000000"/>
              </w:rPr>
              <w:t>$11,</w:t>
            </w:r>
            <w:r>
              <w:rPr>
                <w:rFonts w:ascii="Calibri" w:hAnsi="Calibri" w:cs="Calibri"/>
                <w:b/>
                <w:bCs/>
                <w:color w:val="000000"/>
              </w:rPr>
              <w:t>665</w:t>
            </w:r>
            <w:r w:rsidRPr="00833928">
              <w:rPr>
                <w:rFonts w:ascii="Calibri" w:hAnsi="Calibri"/>
                <w:b/>
                <w:color w:val="000000"/>
              </w:rPr>
              <w:t>.00</w:t>
            </w:r>
          </w:p>
        </w:tc>
      </w:tr>
      <w:tr w:rsidR="003A29DF" w:rsidRPr="00260C1D" w14:paraId="3DF02068" w14:textId="77777777" w:rsidTr="738305D2">
        <w:tc>
          <w:tcPr>
            <w:tcW w:w="0" w:type="auto"/>
            <w:hideMark/>
          </w:tcPr>
          <w:p w14:paraId="2CF582EF" w14:textId="77777777" w:rsidR="003A29DF" w:rsidRPr="00260C1D" w:rsidRDefault="003A29DF" w:rsidP="003A29DF">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500 – 699</w:t>
            </w:r>
          </w:p>
        </w:tc>
        <w:tc>
          <w:tcPr>
            <w:tcW w:w="0" w:type="auto"/>
            <w:hideMark/>
          </w:tcPr>
          <w:p w14:paraId="1794A7AC" w14:textId="1A2CFEF4" w:rsidR="003A29DF" w:rsidRPr="00950CBB" w:rsidRDefault="003A29DF" w:rsidP="003A29DF">
            <w:pPr>
              <w:jc w:val="right"/>
              <w:rPr>
                <w:rFonts w:ascii="Calibri" w:hAnsi="Calibri"/>
                <w:color w:val="000000" w:themeColor="text1"/>
              </w:rPr>
            </w:pPr>
            <w:r w:rsidRPr="00833928">
              <w:rPr>
                <w:rFonts w:ascii="Calibri" w:hAnsi="Calibri"/>
                <w:b/>
                <w:color w:val="000000"/>
              </w:rPr>
              <w:t>$</w:t>
            </w:r>
            <w:r>
              <w:rPr>
                <w:rFonts w:ascii="Calibri" w:hAnsi="Calibri" w:cs="Calibri"/>
                <w:b/>
                <w:bCs/>
                <w:color w:val="000000"/>
              </w:rPr>
              <w:t>15,505</w:t>
            </w:r>
            <w:r w:rsidRPr="00833928">
              <w:rPr>
                <w:rFonts w:ascii="Calibri" w:hAnsi="Calibri"/>
                <w:b/>
                <w:color w:val="000000"/>
              </w:rPr>
              <w:t>.00</w:t>
            </w:r>
          </w:p>
        </w:tc>
      </w:tr>
      <w:tr w:rsidR="003A29DF" w:rsidRPr="00260C1D" w14:paraId="2E84DC65" w14:textId="77777777" w:rsidTr="738305D2">
        <w:tc>
          <w:tcPr>
            <w:tcW w:w="0" w:type="auto"/>
            <w:hideMark/>
          </w:tcPr>
          <w:p w14:paraId="40181E3B" w14:textId="77777777" w:rsidR="003A29DF" w:rsidRPr="00260C1D" w:rsidRDefault="003A29DF" w:rsidP="003A29DF">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700 – 899</w:t>
            </w:r>
          </w:p>
        </w:tc>
        <w:tc>
          <w:tcPr>
            <w:tcW w:w="0" w:type="auto"/>
            <w:hideMark/>
          </w:tcPr>
          <w:p w14:paraId="70D0AD87" w14:textId="127577BF" w:rsidR="003A29DF" w:rsidRPr="00950CBB" w:rsidRDefault="003A29DF" w:rsidP="003A29DF">
            <w:pPr>
              <w:jc w:val="right"/>
              <w:rPr>
                <w:rFonts w:ascii="Calibri" w:hAnsi="Calibri"/>
                <w:color w:val="000000" w:themeColor="text1"/>
              </w:rPr>
            </w:pPr>
            <w:r w:rsidRPr="00833928">
              <w:rPr>
                <w:rFonts w:ascii="Calibri" w:hAnsi="Calibri"/>
                <w:b/>
                <w:color w:val="000000"/>
              </w:rPr>
              <w:t>$</w:t>
            </w:r>
            <w:r>
              <w:rPr>
                <w:rFonts w:ascii="Calibri" w:hAnsi="Calibri" w:cs="Calibri"/>
                <w:b/>
                <w:bCs/>
                <w:color w:val="000000"/>
              </w:rPr>
              <w:t>20,505</w:t>
            </w:r>
            <w:r w:rsidRPr="00833928">
              <w:rPr>
                <w:rFonts w:ascii="Calibri" w:hAnsi="Calibri"/>
                <w:b/>
                <w:color w:val="000000"/>
              </w:rPr>
              <w:t>.00</w:t>
            </w:r>
          </w:p>
        </w:tc>
      </w:tr>
      <w:tr w:rsidR="003A29DF" w:rsidRPr="00260C1D" w14:paraId="021225F7" w14:textId="77777777" w:rsidTr="738305D2">
        <w:tc>
          <w:tcPr>
            <w:tcW w:w="0" w:type="auto"/>
            <w:hideMark/>
          </w:tcPr>
          <w:p w14:paraId="3A07D93F" w14:textId="77777777" w:rsidR="003A29DF" w:rsidRPr="00260C1D" w:rsidRDefault="003A29DF" w:rsidP="003A29DF">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900 – 1199</w:t>
            </w:r>
          </w:p>
        </w:tc>
        <w:tc>
          <w:tcPr>
            <w:tcW w:w="0" w:type="auto"/>
            <w:hideMark/>
          </w:tcPr>
          <w:p w14:paraId="07E3CACB" w14:textId="1D15D614" w:rsidR="003A29DF" w:rsidRPr="00950CBB" w:rsidRDefault="003A29DF" w:rsidP="003A29DF">
            <w:pPr>
              <w:jc w:val="right"/>
              <w:rPr>
                <w:rFonts w:ascii="Calibri" w:hAnsi="Calibri"/>
                <w:color w:val="000000" w:themeColor="text1"/>
              </w:rPr>
            </w:pPr>
            <w:r w:rsidRPr="00833928">
              <w:rPr>
                <w:rFonts w:ascii="Calibri" w:hAnsi="Calibri"/>
                <w:b/>
                <w:color w:val="000000"/>
              </w:rPr>
              <w:t>$</w:t>
            </w:r>
            <w:r>
              <w:rPr>
                <w:rFonts w:ascii="Calibri" w:hAnsi="Calibri" w:cs="Calibri"/>
                <w:b/>
                <w:bCs/>
                <w:color w:val="000000"/>
              </w:rPr>
              <w:t>27,080</w:t>
            </w:r>
            <w:r w:rsidRPr="00833928">
              <w:rPr>
                <w:rFonts w:ascii="Calibri" w:hAnsi="Calibri"/>
                <w:b/>
                <w:color w:val="000000"/>
              </w:rPr>
              <w:t>.00</w:t>
            </w:r>
          </w:p>
        </w:tc>
      </w:tr>
      <w:tr w:rsidR="003A29DF" w:rsidRPr="00260C1D" w14:paraId="4864E0FE" w14:textId="77777777" w:rsidTr="738305D2">
        <w:tc>
          <w:tcPr>
            <w:tcW w:w="0" w:type="auto"/>
            <w:hideMark/>
          </w:tcPr>
          <w:p w14:paraId="0D471CE5" w14:textId="77777777" w:rsidR="003A29DF" w:rsidRPr="00260C1D" w:rsidRDefault="003A29DF" w:rsidP="003A29DF">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1200 – 1499</w:t>
            </w:r>
          </w:p>
        </w:tc>
        <w:tc>
          <w:tcPr>
            <w:tcW w:w="0" w:type="auto"/>
            <w:hideMark/>
          </w:tcPr>
          <w:p w14:paraId="56C9EAF5" w14:textId="652C6685" w:rsidR="003A29DF" w:rsidRPr="00950CBB" w:rsidRDefault="003A29DF" w:rsidP="003A29DF">
            <w:pPr>
              <w:jc w:val="right"/>
              <w:rPr>
                <w:rFonts w:ascii="Calibri" w:hAnsi="Calibri"/>
                <w:color w:val="000000" w:themeColor="text1"/>
              </w:rPr>
            </w:pPr>
            <w:r w:rsidRPr="00833928">
              <w:rPr>
                <w:rFonts w:ascii="Calibri" w:hAnsi="Calibri"/>
                <w:b/>
                <w:color w:val="000000"/>
              </w:rPr>
              <w:t>$</w:t>
            </w:r>
            <w:r>
              <w:rPr>
                <w:rFonts w:ascii="Calibri" w:hAnsi="Calibri" w:cs="Calibri"/>
                <w:b/>
                <w:bCs/>
                <w:color w:val="000000"/>
              </w:rPr>
              <w:t>34,790</w:t>
            </w:r>
            <w:r w:rsidRPr="00833928">
              <w:rPr>
                <w:rFonts w:ascii="Calibri" w:hAnsi="Calibri"/>
                <w:b/>
                <w:color w:val="000000"/>
              </w:rPr>
              <w:t>.00</w:t>
            </w:r>
          </w:p>
        </w:tc>
      </w:tr>
      <w:tr w:rsidR="003A29DF" w:rsidRPr="00260C1D" w14:paraId="677E499A" w14:textId="77777777" w:rsidTr="738305D2">
        <w:tc>
          <w:tcPr>
            <w:tcW w:w="0" w:type="auto"/>
            <w:hideMark/>
          </w:tcPr>
          <w:p w14:paraId="61183A60" w14:textId="77777777" w:rsidR="003A29DF" w:rsidRPr="00260C1D" w:rsidRDefault="003A29DF" w:rsidP="003A29DF">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1500 +</w:t>
            </w:r>
          </w:p>
        </w:tc>
        <w:tc>
          <w:tcPr>
            <w:tcW w:w="0" w:type="auto"/>
            <w:hideMark/>
          </w:tcPr>
          <w:p w14:paraId="6F1C9549" w14:textId="2628BEF2" w:rsidR="003A29DF" w:rsidRPr="00950CBB" w:rsidRDefault="003A29DF" w:rsidP="003A29DF">
            <w:pPr>
              <w:jc w:val="right"/>
              <w:rPr>
                <w:rFonts w:ascii="Calibri" w:hAnsi="Calibri"/>
                <w:color w:val="000000" w:themeColor="text1"/>
              </w:rPr>
            </w:pPr>
            <w:r w:rsidRPr="00833928">
              <w:rPr>
                <w:rFonts w:ascii="Calibri" w:hAnsi="Calibri"/>
                <w:b/>
                <w:color w:val="000000"/>
              </w:rPr>
              <w:t>$</w:t>
            </w:r>
            <w:r>
              <w:rPr>
                <w:rFonts w:ascii="Calibri" w:hAnsi="Calibri" w:cs="Calibri"/>
                <w:b/>
                <w:bCs/>
                <w:color w:val="000000"/>
              </w:rPr>
              <w:t>40,690</w:t>
            </w:r>
            <w:r w:rsidRPr="00833928">
              <w:rPr>
                <w:rFonts w:ascii="Calibri" w:hAnsi="Calibri"/>
                <w:b/>
                <w:color w:val="000000"/>
              </w:rPr>
              <w:t>.00</w:t>
            </w:r>
          </w:p>
        </w:tc>
      </w:tr>
      <w:bookmarkEnd w:id="249"/>
    </w:tbl>
    <w:p w14:paraId="2BC3E69D" w14:textId="77777777" w:rsidR="00073C34" w:rsidRPr="00260C1D" w:rsidRDefault="00073C34" w:rsidP="00073C34">
      <w:pPr>
        <w:rPr>
          <w:rFonts w:cstheme="minorHAnsi"/>
          <w:color w:val="011A3C"/>
          <w:sz w:val="20"/>
          <w:szCs w:val="20"/>
        </w:rPr>
      </w:pPr>
    </w:p>
    <w:p w14:paraId="0E5C9AE0" w14:textId="7458B7E6" w:rsidR="00073C34" w:rsidRPr="00260C1D" w:rsidRDefault="00073C34" w:rsidP="00073C34">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Targeted </w:t>
      </w:r>
      <w:r w:rsidR="00052385" w:rsidRPr="00260C1D">
        <w:rPr>
          <w:rFonts w:eastAsia="Segoe UI" w:cstheme="minorHAnsi"/>
          <w:color w:val="011A3C"/>
          <w:sz w:val="24"/>
          <w:szCs w:val="24"/>
          <w:lang w:val="en" w:eastAsia="en-AU"/>
        </w:rPr>
        <w:t>SEP</w:t>
      </w:r>
      <w:r w:rsidRPr="00260C1D">
        <w:rPr>
          <w:rFonts w:eastAsia="Segoe UI" w:cstheme="minorHAnsi"/>
          <w:color w:val="011A3C"/>
          <w:sz w:val="24"/>
          <w:szCs w:val="24"/>
          <w:lang w:val="en" w:eastAsia="en-AU"/>
        </w:rPr>
        <w:t xml:space="preserve"> funding operates within a capped budget. This means that cohort allocations may be adjusted up or down depending on both changes in total enrolments from all schools and the spread of these enrolments across cohorts.</w:t>
      </w:r>
    </w:p>
    <w:p w14:paraId="72DA8BA8" w14:textId="0D62B7ED" w:rsidR="00EA34C0" w:rsidRPr="00260C1D" w:rsidRDefault="00EA34C0" w:rsidP="00EA34C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Further information</w:t>
      </w:r>
    </w:p>
    <w:p w14:paraId="452CAFC1" w14:textId="4E7196D9" w:rsidR="00EA34C0" w:rsidRPr="008614E4" w:rsidRDefault="00000000" w:rsidP="00F56244">
      <w:pPr>
        <w:numPr>
          <w:ilvl w:val="0"/>
          <w:numId w:val="2"/>
        </w:numPr>
        <w:spacing w:before="100" w:beforeAutospacing="1" w:after="100" w:afterAutospacing="1" w:line="360" w:lineRule="atLeast"/>
        <w:rPr>
          <w:rFonts w:eastAsia="Segoe UI" w:cstheme="minorHAnsi"/>
          <w:color w:val="011A3C"/>
          <w:sz w:val="28"/>
          <w:szCs w:val="28"/>
          <w:lang w:val="en" w:eastAsia="en-AU"/>
        </w:rPr>
      </w:pPr>
      <w:hyperlink r:id="rId205" w:anchor="/app/content/3162/support_and_service_(schools)%252Flearning_and_teaching%252Fstudent_excellence_program%252Fstudent_excellence_program_overview">
        <w:r w:rsidR="00EA34C0" w:rsidRPr="738305D2">
          <w:rPr>
            <w:rStyle w:val="Hyperlink"/>
            <w:sz w:val="24"/>
            <w:szCs w:val="24"/>
          </w:rPr>
          <w:t>Student Excellence Program</w:t>
        </w:r>
      </w:hyperlink>
    </w:p>
    <w:p w14:paraId="539F0615" w14:textId="2BAC4191" w:rsidR="00EA34C0" w:rsidRPr="00260C1D" w:rsidRDefault="00EA34C0" w:rsidP="00F56244">
      <w:pPr>
        <w:numPr>
          <w:ilvl w:val="0"/>
          <w:numId w:val="2"/>
        </w:numPr>
        <w:spacing w:before="100" w:beforeAutospacing="1" w:after="100" w:afterAutospacing="1" w:line="360" w:lineRule="atLeast"/>
        <w:rPr>
          <w:rFonts w:cstheme="minorHAnsi"/>
          <w:sz w:val="24"/>
          <w:szCs w:val="24"/>
        </w:rPr>
      </w:pPr>
      <w:r w:rsidRPr="738305D2">
        <w:rPr>
          <w:rFonts w:eastAsia="Segoe UI"/>
          <w:color w:val="011A3C"/>
          <w:sz w:val="24"/>
          <w:szCs w:val="24"/>
          <w:lang w:val="en" w:eastAsia="en-AU"/>
        </w:rPr>
        <w:t xml:space="preserve">Contact: </w:t>
      </w:r>
      <w:hyperlink r:id="rId206">
        <w:r w:rsidR="001A1640" w:rsidRPr="738305D2">
          <w:rPr>
            <w:rStyle w:val="Hyperlink"/>
            <w:sz w:val="24"/>
            <w:szCs w:val="24"/>
            <w:lang w:eastAsia="en-AU"/>
          </w:rPr>
          <w:t>student.excellence@education.vic.gov.au</w:t>
        </w:r>
      </w:hyperlink>
      <w:r w:rsidR="001A1640" w:rsidRPr="738305D2">
        <w:rPr>
          <w:sz w:val="24"/>
          <w:szCs w:val="24"/>
          <w:lang w:eastAsia="en-AU"/>
        </w:rPr>
        <w:t xml:space="preserve"> </w:t>
      </w:r>
    </w:p>
    <w:p w14:paraId="16B93A6F" w14:textId="77777777" w:rsidR="00EA34C0" w:rsidRPr="00260C1D" w:rsidRDefault="00EA34C0" w:rsidP="00EA34C0">
      <w:pPr>
        <w:rPr>
          <w:rFonts w:cstheme="minorHAnsi"/>
          <w:sz w:val="24"/>
          <w:szCs w:val="24"/>
        </w:rPr>
      </w:pPr>
      <w:r w:rsidRPr="00260C1D">
        <w:rPr>
          <w:rFonts w:cstheme="minorHAnsi"/>
          <w:sz w:val="24"/>
          <w:szCs w:val="24"/>
        </w:rPr>
        <w:br w:type="page"/>
      </w:r>
    </w:p>
    <w:p w14:paraId="5B036FE4" w14:textId="53135D24" w:rsidR="00EA34C0" w:rsidRPr="00260C1D" w:rsidRDefault="00EA34C0" w:rsidP="00532A33">
      <w:pPr>
        <w:pStyle w:val="Heading2"/>
      </w:pPr>
      <w:bookmarkStart w:id="250" w:name="_Toc141965291"/>
      <w:bookmarkStart w:id="251" w:name="_Toc145339619"/>
      <w:bookmarkStart w:id="252" w:name="_Toc153791942"/>
      <w:bookmarkStart w:id="253" w:name="_Hlk50374925"/>
      <w:r w:rsidRPr="00260C1D">
        <w:lastRenderedPageBreak/>
        <w:t>VCE Revision Lectures (Ref</w:t>
      </w:r>
      <w:r w:rsidR="003E5908" w:rsidRPr="00260C1D">
        <w:t>erence</w:t>
      </w:r>
      <w:r w:rsidRPr="00260C1D">
        <w:t xml:space="preserve"> 121)</w:t>
      </w:r>
      <w:bookmarkEnd w:id="250"/>
      <w:bookmarkEnd w:id="251"/>
      <w:bookmarkEnd w:id="252"/>
    </w:p>
    <w:p w14:paraId="2DE8672E" w14:textId="154DB9FF" w:rsidR="00EA34C0" w:rsidRPr="00B148A2" w:rsidRDefault="00EA34C0" w:rsidP="00B148A2">
      <w:pPr>
        <w:spacing w:before="100" w:beforeAutospacing="1" w:after="100" w:afterAutospacing="1" w:line="240" w:lineRule="auto"/>
        <w:rPr>
          <w:color w:val="011A3C"/>
          <w:sz w:val="24"/>
        </w:rPr>
      </w:pPr>
      <w:r w:rsidRPr="00B148A2">
        <w:rPr>
          <w:color w:val="011A3C"/>
          <w:sz w:val="24"/>
        </w:rPr>
        <w:t xml:space="preserve">The VCE Revision Lectures initiative recognises that rural and regional students </w:t>
      </w:r>
      <w:r w:rsidR="004A6ED3" w:rsidRPr="00596A60">
        <w:rPr>
          <w:rFonts w:eastAsia="Times New Roman" w:cstheme="minorHAnsi"/>
          <w:color w:val="011A3C"/>
          <w:sz w:val="24"/>
          <w:szCs w:val="24"/>
          <w:lang w:eastAsia="en-AU"/>
        </w:rPr>
        <w:t xml:space="preserve">face unique barriers in attending VCE revision lectures </w:t>
      </w:r>
      <w:r w:rsidRPr="00B148A2">
        <w:rPr>
          <w:color w:val="011A3C"/>
          <w:sz w:val="24"/>
        </w:rPr>
        <w:t xml:space="preserve">due to additional travel and accommodation </w:t>
      </w:r>
      <w:r w:rsidR="004A6ED3" w:rsidRPr="00596A60">
        <w:rPr>
          <w:rFonts w:eastAsia="Times New Roman" w:cstheme="minorHAnsi"/>
          <w:color w:val="011A3C"/>
          <w:sz w:val="24"/>
          <w:szCs w:val="24"/>
          <w:lang w:eastAsia="en-AU"/>
        </w:rPr>
        <w:t xml:space="preserve">costs. </w:t>
      </w:r>
    </w:p>
    <w:p w14:paraId="47CB1206" w14:textId="337AC2D9" w:rsidR="00EA34C0" w:rsidRPr="00B148A2" w:rsidRDefault="004A6ED3" w:rsidP="00B148A2">
      <w:pPr>
        <w:spacing w:before="100" w:beforeAutospacing="1" w:after="100" w:afterAutospacing="1" w:line="240" w:lineRule="auto"/>
        <w:rPr>
          <w:color w:val="011A3C"/>
          <w:sz w:val="24"/>
        </w:rPr>
      </w:pPr>
      <w:r w:rsidRPr="00596A60">
        <w:rPr>
          <w:rFonts w:eastAsia="Times New Roman" w:cstheme="minorHAnsi"/>
          <w:color w:val="011A3C"/>
          <w:sz w:val="24"/>
          <w:szCs w:val="24"/>
          <w:lang w:eastAsia="en-AU"/>
        </w:rPr>
        <w:t>Targeted</w:t>
      </w:r>
      <w:r w:rsidR="00EA34C0" w:rsidRPr="00B148A2">
        <w:rPr>
          <w:color w:val="011A3C"/>
          <w:sz w:val="24"/>
        </w:rPr>
        <w:t xml:space="preserve"> funding </w:t>
      </w:r>
      <w:r w:rsidRPr="00596A60">
        <w:rPr>
          <w:rFonts w:eastAsia="Times New Roman" w:cstheme="minorHAnsi"/>
          <w:color w:val="011A3C"/>
          <w:sz w:val="24"/>
          <w:szCs w:val="24"/>
          <w:lang w:eastAsia="en-AU"/>
        </w:rPr>
        <w:t>is available to support</w:t>
      </w:r>
      <w:r w:rsidR="00EA34C0" w:rsidRPr="00B148A2">
        <w:rPr>
          <w:color w:val="011A3C"/>
          <w:sz w:val="24"/>
        </w:rPr>
        <w:t xml:space="preserve"> rural and regional students </w:t>
      </w:r>
      <w:r w:rsidRPr="00596A60">
        <w:rPr>
          <w:rFonts w:eastAsia="Times New Roman" w:cstheme="minorHAnsi"/>
          <w:color w:val="011A3C"/>
          <w:sz w:val="24"/>
          <w:szCs w:val="24"/>
          <w:lang w:eastAsia="en-AU"/>
        </w:rPr>
        <w:t xml:space="preserve">from government schools to </w:t>
      </w:r>
      <w:r w:rsidR="00EA34C0" w:rsidRPr="00B148A2">
        <w:rPr>
          <w:color w:val="011A3C"/>
          <w:sz w:val="24"/>
        </w:rPr>
        <w:t xml:space="preserve">access VCE revision lectures </w:t>
      </w:r>
      <w:r w:rsidRPr="00596A60">
        <w:rPr>
          <w:rFonts w:eastAsia="Times New Roman" w:cstheme="minorHAnsi"/>
          <w:color w:val="011A3C"/>
          <w:sz w:val="24"/>
          <w:szCs w:val="24"/>
          <w:lang w:eastAsia="en-AU"/>
        </w:rPr>
        <w:t xml:space="preserve">and other exam revision supports </w:t>
      </w:r>
      <w:r w:rsidR="00EA34C0" w:rsidRPr="00B148A2">
        <w:rPr>
          <w:color w:val="011A3C"/>
          <w:sz w:val="24"/>
        </w:rPr>
        <w:t xml:space="preserve">across </w:t>
      </w:r>
      <w:r w:rsidRPr="00596A60">
        <w:rPr>
          <w:rFonts w:eastAsia="Times New Roman" w:cstheme="minorHAnsi"/>
          <w:color w:val="011A3C"/>
          <w:sz w:val="24"/>
          <w:szCs w:val="24"/>
          <w:lang w:eastAsia="en-AU"/>
        </w:rPr>
        <w:t>Victoria</w:t>
      </w:r>
      <w:r w:rsidR="00EA34C0" w:rsidRPr="00B148A2">
        <w:rPr>
          <w:color w:val="011A3C"/>
          <w:sz w:val="24"/>
        </w:rPr>
        <w:t>.</w:t>
      </w:r>
    </w:p>
    <w:p w14:paraId="547F4080" w14:textId="0791CE7C" w:rsidR="00EA34C0" w:rsidRPr="00B148A2" w:rsidRDefault="00EA34C0" w:rsidP="00EA34C0">
      <w:pPr>
        <w:spacing w:before="100" w:beforeAutospacing="1" w:after="100" w:afterAutospacing="1" w:line="288" w:lineRule="atLeast"/>
        <w:outlineLvl w:val="2"/>
        <w:rPr>
          <w:b/>
          <w:color w:val="011A3C"/>
          <w:sz w:val="27"/>
        </w:rPr>
      </w:pPr>
      <w:r w:rsidRPr="00B148A2">
        <w:rPr>
          <w:b/>
          <w:color w:val="011A3C"/>
          <w:sz w:val="27"/>
        </w:rPr>
        <w:t>Accountability</w:t>
      </w:r>
    </w:p>
    <w:p w14:paraId="38BADC6E" w14:textId="02A3DCD0" w:rsidR="004A6ED3" w:rsidRPr="00596A60" w:rsidRDefault="00EA7A43" w:rsidP="004A6ED3">
      <w:pPr>
        <w:spacing w:before="100" w:beforeAutospacing="1" w:after="100" w:afterAutospacing="1" w:line="240" w:lineRule="auto"/>
        <w:rPr>
          <w:rFonts w:eastAsia="Times New Roman" w:cstheme="minorHAnsi"/>
          <w:color w:val="011A3C"/>
          <w:sz w:val="24"/>
          <w:szCs w:val="24"/>
          <w:lang w:eastAsia="en-AU"/>
        </w:rPr>
      </w:pPr>
      <w:bookmarkStart w:id="254" w:name="_Hlk78901233"/>
      <w:r w:rsidRPr="00B148A2">
        <w:rPr>
          <w:color w:val="011A3C"/>
          <w:sz w:val="24"/>
        </w:rPr>
        <w:t xml:space="preserve">Schools are responsible for using the </w:t>
      </w:r>
      <w:r w:rsidR="004A6ED3" w:rsidRPr="00596A60">
        <w:rPr>
          <w:rFonts w:eastAsia="Times New Roman" w:cstheme="minorHAnsi"/>
          <w:color w:val="011A3C"/>
          <w:sz w:val="24"/>
          <w:szCs w:val="24"/>
          <w:lang w:eastAsia="en-AU"/>
        </w:rPr>
        <w:t>funding as per the </w:t>
      </w:r>
      <w:hyperlink r:id="rId207" w:tgtFrame="_blank" w:history="1">
        <w:r w:rsidR="004A6ED3" w:rsidRPr="00596A60">
          <w:rPr>
            <w:rFonts w:eastAsia="Times New Roman" w:cstheme="minorHAnsi"/>
            <w:color w:val="1855BF"/>
            <w:sz w:val="24"/>
            <w:szCs w:val="24"/>
            <w:lang w:eastAsia="en-AU"/>
          </w:rPr>
          <w:t>school implementation guidelines </w:t>
        </w:r>
      </w:hyperlink>
      <w:r w:rsidR="00FA7BA5" w:rsidRPr="00FA7BA5">
        <w:rPr>
          <w:rFonts w:eastAsia="Times New Roman" w:cstheme="minorHAnsi"/>
          <w:color w:val="1855BF"/>
          <w:sz w:val="24"/>
          <w:szCs w:val="24"/>
          <w:lang w:eastAsia="en-AU"/>
        </w:rPr>
        <w:t>(staff login required</w:t>
      </w:r>
      <w:r w:rsidR="0001205B">
        <w:rPr>
          <w:rFonts w:eastAsia="Times New Roman" w:cstheme="minorHAnsi"/>
          <w:color w:val="1855BF"/>
          <w:sz w:val="24"/>
          <w:szCs w:val="24"/>
          <w:lang w:eastAsia="en-AU"/>
        </w:rPr>
        <w:t>)</w:t>
      </w:r>
      <w:r w:rsidR="00FA7BA5">
        <w:rPr>
          <w:rFonts w:eastAsia="Times New Roman" w:cstheme="minorHAnsi"/>
          <w:color w:val="1855BF"/>
          <w:sz w:val="24"/>
          <w:szCs w:val="24"/>
          <w:lang w:eastAsia="en-AU"/>
        </w:rPr>
        <w:t xml:space="preserve"> </w:t>
      </w:r>
      <w:r w:rsidRPr="00B148A2">
        <w:rPr>
          <w:color w:val="011A3C"/>
          <w:sz w:val="24"/>
        </w:rPr>
        <w:t xml:space="preserve">provided by the </w:t>
      </w:r>
      <w:r w:rsidR="004A6ED3" w:rsidRPr="00596A60">
        <w:rPr>
          <w:rFonts w:eastAsia="Times New Roman" w:cstheme="minorHAnsi"/>
          <w:color w:val="011A3C"/>
          <w:sz w:val="24"/>
          <w:szCs w:val="24"/>
          <w:lang w:eastAsia="en-AU"/>
        </w:rPr>
        <w:t xml:space="preserve">Department. </w:t>
      </w:r>
    </w:p>
    <w:p w14:paraId="7449137C" w14:textId="2ABF2C3E" w:rsidR="004A6ED3" w:rsidRPr="00596A60" w:rsidRDefault="00EA7A43" w:rsidP="004A6ED3">
      <w:pPr>
        <w:spacing w:before="100" w:beforeAutospacing="1" w:after="100" w:afterAutospacing="1" w:line="240" w:lineRule="auto"/>
        <w:rPr>
          <w:rFonts w:eastAsia="Times New Roman" w:cstheme="minorHAnsi"/>
          <w:color w:val="011A3C"/>
          <w:sz w:val="24"/>
          <w:szCs w:val="24"/>
          <w:lang w:eastAsia="en-AU"/>
        </w:rPr>
      </w:pPr>
      <w:r w:rsidRPr="00B148A2">
        <w:rPr>
          <w:color w:val="011A3C"/>
          <w:sz w:val="24"/>
        </w:rPr>
        <w:t xml:space="preserve">Schools </w:t>
      </w:r>
      <w:r w:rsidR="004A6ED3" w:rsidRPr="00596A60">
        <w:rPr>
          <w:rFonts w:eastAsia="Times New Roman" w:cstheme="minorHAnsi"/>
          <w:color w:val="011A3C"/>
          <w:sz w:val="24"/>
          <w:szCs w:val="24"/>
          <w:lang w:eastAsia="en-AU"/>
        </w:rPr>
        <w:t>have discretion in allocating the funding for VCE revision lectures and related supports for senior VCE students.</w:t>
      </w:r>
    </w:p>
    <w:p w14:paraId="205AD57A" w14:textId="42205C98" w:rsidR="00EA7A43" w:rsidRPr="00B148A2" w:rsidRDefault="004A6ED3" w:rsidP="00B148A2">
      <w:pPr>
        <w:spacing w:before="100" w:beforeAutospacing="1" w:after="100" w:afterAutospacing="1" w:line="240" w:lineRule="auto"/>
        <w:rPr>
          <w:color w:val="011A3C"/>
          <w:sz w:val="24"/>
        </w:rPr>
      </w:pPr>
      <w:r w:rsidRPr="00596A60">
        <w:rPr>
          <w:rFonts w:eastAsia="Times New Roman" w:cstheme="minorHAnsi"/>
          <w:color w:val="011A3C"/>
          <w:sz w:val="24"/>
          <w:szCs w:val="24"/>
          <w:lang w:eastAsia="en-AU"/>
        </w:rPr>
        <w:t xml:space="preserve">To account for how the funding is spent, schools </w:t>
      </w:r>
      <w:r w:rsidR="00EA7A43" w:rsidRPr="00B148A2">
        <w:rPr>
          <w:color w:val="011A3C"/>
          <w:sz w:val="24"/>
        </w:rPr>
        <w:t>are required to complete an annual survey</w:t>
      </w:r>
      <w:r w:rsidRPr="00596A60">
        <w:rPr>
          <w:rFonts w:eastAsia="Times New Roman" w:cstheme="minorHAnsi"/>
          <w:color w:val="011A3C"/>
          <w:sz w:val="24"/>
          <w:szCs w:val="24"/>
          <w:lang w:eastAsia="en-AU"/>
        </w:rPr>
        <w:t xml:space="preserve">. </w:t>
      </w:r>
      <w:r w:rsidR="00EA7A43" w:rsidRPr="00B148A2">
        <w:rPr>
          <w:color w:val="011A3C"/>
          <w:sz w:val="24"/>
        </w:rPr>
        <w:t>Schools will be notified to complete the survey</w:t>
      </w:r>
      <w:r w:rsidRPr="00596A60">
        <w:rPr>
          <w:rFonts w:eastAsia="Times New Roman" w:cstheme="minorHAnsi"/>
          <w:color w:val="011A3C"/>
          <w:sz w:val="24"/>
          <w:szCs w:val="24"/>
          <w:lang w:eastAsia="en-AU"/>
        </w:rPr>
        <w:t xml:space="preserve"> at the end of each calendar year. </w:t>
      </w:r>
      <w:bookmarkEnd w:id="254"/>
    </w:p>
    <w:p w14:paraId="4537D3AF" w14:textId="786FF16F" w:rsidR="00EA34C0" w:rsidRPr="00B148A2" w:rsidRDefault="00EA34C0" w:rsidP="00EA34C0">
      <w:pPr>
        <w:spacing w:before="100" w:beforeAutospacing="1" w:after="100" w:afterAutospacing="1" w:line="288" w:lineRule="atLeast"/>
        <w:outlineLvl w:val="2"/>
        <w:rPr>
          <w:b/>
          <w:color w:val="011A3C"/>
          <w:sz w:val="27"/>
        </w:rPr>
      </w:pPr>
      <w:r w:rsidRPr="00B148A2">
        <w:rPr>
          <w:b/>
          <w:color w:val="011A3C"/>
          <w:sz w:val="27"/>
        </w:rPr>
        <w:t>Eligibility</w:t>
      </w:r>
    </w:p>
    <w:p w14:paraId="09C0CBF3" w14:textId="12C82A9C" w:rsidR="00EA34C0" w:rsidRPr="00B148A2" w:rsidRDefault="004A6ED3" w:rsidP="00B148A2">
      <w:pPr>
        <w:spacing w:before="100" w:beforeAutospacing="1" w:after="100" w:afterAutospacing="1" w:line="240" w:lineRule="auto"/>
        <w:rPr>
          <w:color w:val="011A3C"/>
          <w:sz w:val="24"/>
        </w:rPr>
      </w:pPr>
      <w:r w:rsidRPr="00596A60">
        <w:rPr>
          <w:rFonts w:eastAsia="Times New Roman" w:cstheme="minorHAnsi"/>
          <w:color w:val="011A3C"/>
          <w:sz w:val="24"/>
          <w:szCs w:val="24"/>
          <w:lang w:eastAsia="en-AU"/>
        </w:rPr>
        <w:t>Funding for VCE revision support</w:t>
      </w:r>
      <w:r w:rsidR="00EA34C0" w:rsidRPr="00B148A2">
        <w:rPr>
          <w:color w:val="011A3C"/>
          <w:sz w:val="24"/>
        </w:rPr>
        <w:t xml:space="preserve"> is only </w:t>
      </w:r>
      <w:r w:rsidRPr="00596A60">
        <w:rPr>
          <w:rFonts w:eastAsia="Times New Roman" w:cstheme="minorHAnsi"/>
          <w:color w:val="011A3C"/>
          <w:sz w:val="24"/>
          <w:szCs w:val="24"/>
          <w:lang w:eastAsia="en-AU"/>
        </w:rPr>
        <w:t>available</w:t>
      </w:r>
      <w:r w:rsidR="00EA34C0" w:rsidRPr="00B148A2">
        <w:rPr>
          <w:color w:val="011A3C"/>
          <w:sz w:val="24"/>
        </w:rPr>
        <w:t xml:space="preserve"> to rural and regional government schools with senior secondary graded enrolments (Year 11 and Year 12). Eligibility </w:t>
      </w:r>
      <w:r w:rsidRPr="00596A60">
        <w:rPr>
          <w:rFonts w:eastAsia="Times New Roman" w:cstheme="minorHAnsi"/>
          <w:color w:val="011A3C"/>
          <w:sz w:val="24"/>
          <w:szCs w:val="24"/>
          <w:lang w:eastAsia="en-AU"/>
        </w:rPr>
        <w:t>is</w:t>
      </w:r>
      <w:r w:rsidR="00EA34C0" w:rsidRPr="00B148A2">
        <w:rPr>
          <w:color w:val="011A3C"/>
          <w:sz w:val="24"/>
        </w:rPr>
        <w:t xml:space="preserve"> determined using data from the February </w:t>
      </w:r>
      <w:r w:rsidRPr="00596A60">
        <w:rPr>
          <w:rFonts w:eastAsia="Times New Roman" w:cstheme="minorHAnsi"/>
          <w:color w:val="011A3C"/>
          <w:sz w:val="24"/>
          <w:szCs w:val="24"/>
          <w:lang w:eastAsia="en-AU"/>
        </w:rPr>
        <w:t>School Census.</w:t>
      </w:r>
    </w:p>
    <w:p w14:paraId="789E57F1" w14:textId="24176E34" w:rsidR="004A6ED3" w:rsidRPr="00596A60" w:rsidRDefault="004A6ED3" w:rsidP="004A6ED3">
      <w:pPr>
        <w:spacing w:before="100" w:beforeAutospacing="1" w:after="100" w:afterAutospacing="1" w:line="240" w:lineRule="auto"/>
        <w:rPr>
          <w:rFonts w:eastAsia="Times New Roman" w:cstheme="minorHAnsi"/>
          <w:color w:val="011A3C"/>
          <w:sz w:val="24"/>
          <w:szCs w:val="24"/>
          <w:lang w:eastAsia="en-AU"/>
        </w:rPr>
      </w:pPr>
      <w:r w:rsidRPr="00596A60">
        <w:rPr>
          <w:rFonts w:eastAsia="Times New Roman" w:cstheme="minorHAnsi"/>
          <w:color w:val="011A3C"/>
          <w:sz w:val="24"/>
          <w:szCs w:val="24"/>
          <w:lang w:eastAsia="en-AU"/>
        </w:rPr>
        <w:t>The VCE Revision Lectures</w:t>
      </w:r>
      <w:r w:rsidR="0003626E" w:rsidRPr="00B148A2">
        <w:rPr>
          <w:color w:val="011A3C"/>
          <w:sz w:val="24"/>
        </w:rPr>
        <w:t xml:space="preserve"> initiative defines rural and regional government schools as those in Local Government Areas (LGAs) outside of the metropolitan LGAs. </w:t>
      </w:r>
    </w:p>
    <w:p w14:paraId="5BF8ED7F" w14:textId="4B17CCD7" w:rsidR="0003626E" w:rsidRPr="00B148A2" w:rsidRDefault="0003626E" w:rsidP="00B148A2">
      <w:pPr>
        <w:spacing w:before="100" w:beforeAutospacing="1" w:after="100" w:afterAutospacing="1" w:line="240" w:lineRule="auto"/>
        <w:rPr>
          <w:color w:val="011A3C"/>
          <w:sz w:val="24"/>
        </w:rPr>
      </w:pPr>
      <w:r w:rsidRPr="00B148A2">
        <w:rPr>
          <w:color w:val="011A3C"/>
          <w:sz w:val="24"/>
        </w:rPr>
        <w:t>Rural and regional LGAs are aligned with the following Department</w:t>
      </w:r>
      <w:r w:rsidR="006618E7" w:rsidRPr="00B148A2">
        <w:rPr>
          <w:color w:val="011A3C"/>
          <w:sz w:val="24"/>
        </w:rPr>
        <w:t xml:space="preserve"> </w:t>
      </w:r>
      <w:r w:rsidRPr="00B148A2">
        <w:rPr>
          <w:color w:val="011A3C"/>
          <w:sz w:val="24"/>
        </w:rPr>
        <w:t xml:space="preserve">Areas: Mallee, Loddon Campaspe, Central Highlands, Wimmera South-West, Barwon, Ovens Murray, Goulburn, Inner Gippsland and Outer Gippsland. </w:t>
      </w:r>
    </w:p>
    <w:p w14:paraId="0B3C8D47" w14:textId="74821FB9" w:rsidR="001B354B" w:rsidRPr="001B354B" w:rsidRDefault="001B354B" w:rsidP="001B354B">
      <w:pPr>
        <w:spacing w:before="100" w:beforeAutospacing="1" w:after="100" w:afterAutospacing="1" w:line="240" w:lineRule="auto"/>
        <w:rPr>
          <w:color w:val="011A3C"/>
          <w:sz w:val="24"/>
        </w:rPr>
      </w:pPr>
      <w:r w:rsidRPr="001B354B">
        <w:rPr>
          <w:color w:val="011A3C"/>
          <w:sz w:val="24"/>
        </w:rPr>
        <w:t>Schools with the following campus types are eligible for the VCE Revision Lectures funding at a campus level:</w:t>
      </w:r>
    </w:p>
    <w:p w14:paraId="2D048482" w14:textId="6450B7E3" w:rsidR="001B354B" w:rsidRPr="00833928" w:rsidRDefault="001B354B" w:rsidP="00833928">
      <w:pPr>
        <w:pStyle w:val="ListParagraph"/>
        <w:numPr>
          <w:ilvl w:val="0"/>
          <w:numId w:val="104"/>
        </w:numPr>
        <w:spacing w:before="100" w:beforeAutospacing="1" w:after="100" w:afterAutospacing="1" w:line="240" w:lineRule="auto"/>
        <w:rPr>
          <w:color w:val="011A3C"/>
          <w:sz w:val="24"/>
        </w:rPr>
      </w:pPr>
      <w:r w:rsidRPr="009B4DE1">
        <w:rPr>
          <w:color w:val="011A3C"/>
          <w:sz w:val="24"/>
        </w:rPr>
        <w:t>Secondary</w:t>
      </w:r>
    </w:p>
    <w:p w14:paraId="215C2D0B" w14:textId="3D69E8D7" w:rsidR="001B354B" w:rsidRPr="00833928" w:rsidRDefault="001B354B" w:rsidP="00833928">
      <w:pPr>
        <w:pStyle w:val="ListParagraph"/>
        <w:numPr>
          <w:ilvl w:val="0"/>
          <w:numId w:val="104"/>
        </w:numPr>
        <w:spacing w:before="100" w:beforeAutospacing="1" w:after="100" w:afterAutospacing="1" w:line="240" w:lineRule="auto"/>
        <w:rPr>
          <w:color w:val="011A3C"/>
          <w:sz w:val="24"/>
        </w:rPr>
      </w:pPr>
      <w:r w:rsidRPr="00833928">
        <w:rPr>
          <w:color w:val="011A3C"/>
          <w:sz w:val="24"/>
        </w:rPr>
        <w:t>Primary/Secondary Combined</w:t>
      </w:r>
    </w:p>
    <w:p w14:paraId="2B3D7C8C" w14:textId="77777777" w:rsidR="00FB342D" w:rsidRDefault="001B354B" w:rsidP="00EA34C0">
      <w:pPr>
        <w:spacing w:before="100" w:beforeAutospacing="1" w:after="100" w:afterAutospacing="1" w:line="288" w:lineRule="atLeast"/>
        <w:outlineLvl w:val="2"/>
        <w:rPr>
          <w:color w:val="011A3C"/>
          <w:sz w:val="24"/>
        </w:rPr>
      </w:pPr>
      <w:r w:rsidRPr="001B354B">
        <w:rPr>
          <w:color w:val="011A3C"/>
          <w:sz w:val="24"/>
        </w:rPr>
        <w:t xml:space="preserve">Funding is also provided to Virtual School Victoria for direct-enrolled and government school-based students living in eligible LGAs. </w:t>
      </w:r>
    </w:p>
    <w:p w14:paraId="092500BE" w14:textId="0BFE061F" w:rsidR="00EA34C0" w:rsidRPr="00B148A2" w:rsidRDefault="00EA34C0" w:rsidP="00EA34C0">
      <w:pPr>
        <w:spacing w:before="100" w:beforeAutospacing="1" w:after="100" w:afterAutospacing="1" w:line="288" w:lineRule="atLeast"/>
        <w:outlineLvl w:val="2"/>
        <w:rPr>
          <w:b/>
          <w:color w:val="011A3C"/>
          <w:sz w:val="27"/>
        </w:rPr>
      </w:pPr>
      <w:r w:rsidRPr="00B148A2">
        <w:rPr>
          <w:b/>
          <w:color w:val="011A3C"/>
          <w:sz w:val="27"/>
        </w:rPr>
        <w:t>How funding is calculated</w:t>
      </w:r>
    </w:p>
    <w:p w14:paraId="5B3C46B1" w14:textId="77777777" w:rsidR="004A6ED3" w:rsidRPr="00833928" w:rsidRDefault="00EA34C0" w:rsidP="00833928">
      <w:pPr>
        <w:rPr>
          <w:color w:val="011A3C"/>
          <w:sz w:val="24"/>
        </w:rPr>
      </w:pPr>
      <w:r w:rsidRPr="009B4DE1">
        <w:rPr>
          <w:rFonts w:eastAsia="Times New Roman" w:cstheme="minorHAnsi"/>
          <w:color w:val="011A3C"/>
          <w:sz w:val="24"/>
          <w:szCs w:val="24"/>
          <w:lang w:eastAsia="en-AU"/>
        </w:rPr>
        <w:t>Schools do not have to apply for funding.</w:t>
      </w:r>
    </w:p>
    <w:p w14:paraId="3270C885" w14:textId="77777777" w:rsidR="004A6ED3" w:rsidRPr="00596A60" w:rsidRDefault="004A6ED3" w:rsidP="004A6ED3">
      <w:pPr>
        <w:spacing w:before="100" w:beforeAutospacing="1" w:after="100" w:afterAutospacing="1" w:line="240" w:lineRule="auto"/>
        <w:rPr>
          <w:rFonts w:eastAsia="Times New Roman" w:cstheme="minorHAnsi"/>
          <w:color w:val="011A3C"/>
          <w:sz w:val="24"/>
          <w:szCs w:val="24"/>
          <w:lang w:eastAsia="en-AU"/>
        </w:rPr>
      </w:pPr>
      <w:r w:rsidRPr="00596A60">
        <w:rPr>
          <w:rFonts w:eastAsia="Times New Roman" w:cstheme="minorHAnsi"/>
          <w:color w:val="011A3C"/>
          <w:sz w:val="24"/>
          <w:szCs w:val="24"/>
          <w:lang w:eastAsia="en-AU"/>
        </w:rPr>
        <w:t>Funding is calculated as part of the SRP and allocated through cash funding.</w:t>
      </w:r>
    </w:p>
    <w:p w14:paraId="13BDE319" w14:textId="74BB8BD3" w:rsidR="004A6ED3" w:rsidRPr="00596A60" w:rsidRDefault="00EA34C0" w:rsidP="004A6ED3">
      <w:pPr>
        <w:spacing w:before="100" w:beforeAutospacing="1" w:after="100" w:afterAutospacing="1" w:line="240" w:lineRule="auto"/>
        <w:rPr>
          <w:rFonts w:eastAsia="Times New Roman" w:cstheme="minorHAnsi"/>
          <w:color w:val="011A3C"/>
          <w:sz w:val="24"/>
          <w:szCs w:val="24"/>
          <w:lang w:eastAsia="en-AU"/>
        </w:rPr>
      </w:pPr>
      <w:r w:rsidRPr="00B148A2">
        <w:rPr>
          <w:color w:val="011A3C"/>
          <w:sz w:val="24"/>
        </w:rPr>
        <w:t xml:space="preserve">The funding is calculated using the </w:t>
      </w:r>
      <w:r w:rsidR="004A6ED3" w:rsidRPr="00596A60">
        <w:rPr>
          <w:rFonts w:eastAsia="Times New Roman" w:cstheme="minorHAnsi"/>
          <w:color w:val="011A3C"/>
          <w:sz w:val="24"/>
          <w:szCs w:val="24"/>
          <w:lang w:eastAsia="en-AU"/>
        </w:rPr>
        <w:t>number</w:t>
      </w:r>
      <w:r w:rsidRPr="00B148A2">
        <w:rPr>
          <w:color w:val="011A3C"/>
          <w:sz w:val="24"/>
        </w:rPr>
        <w:t xml:space="preserve"> of Year 11 and 12 student enrolments, </w:t>
      </w:r>
      <w:r w:rsidR="0003626E" w:rsidRPr="00B148A2">
        <w:rPr>
          <w:color w:val="011A3C"/>
          <w:sz w:val="24"/>
        </w:rPr>
        <w:t xml:space="preserve">base </w:t>
      </w:r>
      <w:r w:rsidRPr="00B148A2">
        <w:rPr>
          <w:color w:val="011A3C"/>
          <w:sz w:val="24"/>
        </w:rPr>
        <w:t xml:space="preserve">student rate and location indexed funding. </w:t>
      </w:r>
    </w:p>
    <w:p w14:paraId="683A8811" w14:textId="77FAFE39" w:rsidR="004A6ED3" w:rsidRPr="00596A60" w:rsidRDefault="004A6ED3" w:rsidP="004A6ED3">
      <w:pPr>
        <w:spacing w:before="100" w:beforeAutospacing="1" w:after="100" w:afterAutospacing="1" w:line="240" w:lineRule="auto"/>
        <w:rPr>
          <w:rFonts w:eastAsia="Times New Roman" w:cstheme="minorHAnsi"/>
          <w:color w:val="011A3C"/>
          <w:sz w:val="24"/>
          <w:szCs w:val="24"/>
          <w:lang w:eastAsia="en-AU"/>
        </w:rPr>
      </w:pPr>
      <w:r w:rsidRPr="00596A60">
        <w:rPr>
          <w:rFonts w:eastAsia="Times New Roman" w:cstheme="minorHAnsi"/>
          <w:color w:val="011A3C"/>
          <w:sz w:val="24"/>
          <w:szCs w:val="24"/>
          <w:lang w:eastAsia="en-AU"/>
        </w:rPr>
        <w:lastRenderedPageBreak/>
        <w:t>The funding formula assumes that 15%</w:t>
      </w:r>
      <w:r w:rsidR="00EA34C0" w:rsidRPr="00B148A2">
        <w:rPr>
          <w:color w:val="011A3C"/>
          <w:sz w:val="24"/>
        </w:rPr>
        <w:t xml:space="preserve"> of Year 11 students </w:t>
      </w:r>
      <w:r w:rsidRPr="00596A60">
        <w:rPr>
          <w:rFonts w:eastAsia="Times New Roman" w:cstheme="minorHAnsi"/>
          <w:color w:val="011A3C"/>
          <w:sz w:val="24"/>
          <w:szCs w:val="24"/>
          <w:lang w:eastAsia="en-AU"/>
        </w:rPr>
        <w:t>and 30% of Year 12 students</w:t>
      </w:r>
      <w:r w:rsidR="00EA34C0" w:rsidRPr="00B148A2">
        <w:rPr>
          <w:color w:val="011A3C"/>
          <w:sz w:val="24"/>
        </w:rPr>
        <w:t xml:space="preserve"> will access VCE revision </w:t>
      </w:r>
      <w:r w:rsidRPr="00596A60">
        <w:rPr>
          <w:rFonts w:eastAsia="Times New Roman" w:cstheme="minorHAnsi"/>
          <w:color w:val="011A3C"/>
          <w:sz w:val="24"/>
          <w:szCs w:val="24"/>
          <w:lang w:eastAsia="en-AU"/>
        </w:rPr>
        <w:t xml:space="preserve">supports. </w:t>
      </w:r>
    </w:p>
    <w:p w14:paraId="174D7DC8" w14:textId="72F7C465" w:rsidR="00EA34C0" w:rsidRPr="00B148A2" w:rsidRDefault="00EA34C0" w:rsidP="00B148A2">
      <w:pPr>
        <w:spacing w:before="100" w:beforeAutospacing="1" w:after="100" w:afterAutospacing="1" w:line="240" w:lineRule="auto"/>
        <w:rPr>
          <w:color w:val="011A3C"/>
          <w:sz w:val="24"/>
        </w:rPr>
      </w:pPr>
      <w:r w:rsidRPr="00B148A2">
        <w:rPr>
          <w:color w:val="011A3C"/>
          <w:sz w:val="24"/>
        </w:rPr>
        <w:t xml:space="preserve">The </w:t>
      </w:r>
      <w:r w:rsidR="0003626E" w:rsidRPr="00B148A2">
        <w:rPr>
          <w:color w:val="011A3C"/>
          <w:sz w:val="24"/>
        </w:rPr>
        <w:t xml:space="preserve">base </w:t>
      </w:r>
      <w:r w:rsidRPr="00B148A2">
        <w:rPr>
          <w:color w:val="011A3C"/>
          <w:sz w:val="24"/>
        </w:rPr>
        <w:t>student rate may differ from year to year.</w:t>
      </w:r>
    </w:p>
    <w:p w14:paraId="3EDB2D78" w14:textId="77777777" w:rsidR="004A6ED3" w:rsidRPr="00596A60" w:rsidRDefault="004A6ED3" w:rsidP="004A6ED3">
      <w:pPr>
        <w:spacing w:before="100" w:beforeAutospacing="1" w:after="100" w:afterAutospacing="1" w:line="240" w:lineRule="auto"/>
        <w:rPr>
          <w:rFonts w:eastAsia="Times New Roman" w:cstheme="minorHAnsi"/>
          <w:color w:val="011A3C"/>
          <w:sz w:val="24"/>
          <w:szCs w:val="24"/>
          <w:lang w:eastAsia="en-AU"/>
        </w:rPr>
      </w:pPr>
      <w:r w:rsidRPr="00596A60">
        <w:rPr>
          <w:rFonts w:eastAsia="Times New Roman" w:cstheme="minorHAnsi"/>
          <w:color w:val="011A3C"/>
          <w:sz w:val="24"/>
          <w:szCs w:val="24"/>
          <w:lang w:eastAsia="en-AU"/>
        </w:rPr>
        <w:t>Location indexed funding means that schools furthest from Melbourne and other major centres receive a higher subsidy.</w:t>
      </w:r>
    </w:p>
    <w:p w14:paraId="12DF31C2" w14:textId="2D1B1FF8" w:rsidR="00EA34C0" w:rsidRPr="00260C1D" w:rsidRDefault="00EA34C0" w:rsidP="00EA34C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 xml:space="preserve">Rates — </w:t>
      </w:r>
      <w:r w:rsidR="00A641BD" w:rsidRPr="00260C1D">
        <w:rPr>
          <w:rFonts w:eastAsia="Segoe UI" w:cstheme="minorHAnsi"/>
          <w:b/>
          <w:color w:val="011A3C"/>
          <w:sz w:val="27"/>
          <w:szCs w:val="27"/>
          <w:lang w:val="en" w:eastAsia="en-AU"/>
        </w:rPr>
        <w:t>202</w:t>
      </w:r>
      <w:r w:rsidR="009A3E3C">
        <w:rPr>
          <w:rFonts w:eastAsia="Segoe UI" w:cstheme="minorHAnsi"/>
          <w:b/>
          <w:color w:val="011A3C"/>
          <w:sz w:val="27"/>
          <w:szCs w:val="27"/>
          <w:lang w:val="en" w:eastAsia="en-AU"/>
        </w:rPr>
        <w:t>4</w:t>
      </w:r>
    </w:p>
    <w:p w14:paraId="178499A0" w14:textId="337D4C1A" w:rsidR="00EA34C0" w:rsidRPr="00260C1D" w:rsidRDefault="00EA34C0" w:rsidP="00EA34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[(15%</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Year 11 enrolments)</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$1</w:t>
      </w:r>
      <w:r w:rsidR="00257740">
        <w:rPr>
          <w:rFonts w:eastAsia="Segoe UI" w:cstheme="minorHAnsi"/>
          <w:color w:val="011A3C"/>
          <w:sz w:val="24"/>
          <w:szCs w:val="24"/>
          <w:lang w:val="en" w:eastAsia="en-AU"/>
        </w:rPr>
        <w:t>5</w:t>
      </w:r>
      <w:r w:rsidRPr="00260C1D">
        <w:rPr>
          <w:rFonts w:eastAsia="Segoe UI" w:cstheme="minorHAnsi"/>
          <w:color w:val="011A3C"/>
          <w:sz w:val="24"/>
          <w:szCs w:val="24"/>
          <w:lang w:val="en" w:eastAsia="en-AU"/>
        </w:rPr>
        <w:t>0] + [(30%</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Year 12 enrolments)</w:t>
      </w:r>
      <w:r w:rsidR="00E655E4">
        <w:rPr>
          <w:rFonts w:eastAsia="Segoe UI" w:cstheme="minorHAnsi"/>
          <w:color w:val="011A3C"/>
          <w:sz w:val="24"/>
          <w:szCs w:val="24"/>
          <w:lang w:val="en" w:eastAsia="en-AU"/>
        </w:rPr>
        <w:t xml:space="preserve"> × </w:t>
      </w:r>
      <w:r w:rsidR="0003626E" w:rsidRPr="00260C1D">
        <w:rPr>
          <w:rFonts w:eastAsia="Segoe UI" w:cstheme="minorHAnsi"/>
          <w:color w:val="011A3C"/>
          <w:sz w:val="24"/>
          <w:szCs w:val="24"/>
          <w:lang w:val="en" w:eastAsia="en-AU"/>
        </w:rPr>
        <w:t>$</w:t>
      </w:r>
      <w:r w:rsidR="009A3E3C">
        <w:rPr>
          <w:rFonts w:eastAsia="Segoe UI" w:cstheme="minorHAnsi"/>
          <w:color w:val="011A3C"/>
          <w:sz w:val="24"/>
          <w:szCs w:val="24"/>
          <w:lang w:val="en" w:eastAsia="en-AU"/>
        </w:rPr>
        <w:t>780</w:t>
      </w:r>
      <w:r w:rsidRPr="00260C1D">
        <w:rPr>
          <w:rFonts w:eastAsia="Segoe UI" w:cstheme="minorHAnsi"/>
          <w:color w:val="011A3C"/>
          <w:sz w:val="24"/>
          <w:szCs w:val="24"/>
          <w:lang w:val="en" w:eastAsia="en-AU"/>
        </w:rPr>
        <w:t xml:space="preserve">] + [Location index base </w:t>
      </w:r>
      <w:r w:rsidR="00ED2F0A" w:rsidRPr="00260C1D">
        <w:rPr>
          <w:rFonts w:eastAsia="Segoe UI" w:cstheme="minorHAnsi"/>
          <w:color w:val="011A3C"/>
          <w:sz w:val="24"/>
          <w:szCs w:val="24"/>
          <w:lang w:val="en" w:eastAsia="en-AU"/>
        </w:rPr>
        <w:t>$</w:t>
      </w:r>
      <w:r w:rsidR="003C303B" w:rsidRPr="003C303B">
        <w:rPr>
          <w:rFonts w:eastAsia="Segoe UI" w:cstheme="minorHAnsi"/>
          <w:color w:val="011A3C"/>
          <w:sz w:val="24"/>
          <w:szCs w:val="24"/>
          <w:lang w:val="en" w:eastAsia="en-AU"/>
        </w:rPr>
        <w:t>701.68</w:t>
      </w:r>
      <w:r w:rsidR="00ED2F0A"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(Location index</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Senior secondary enrol</w:t>
      </w:r>
      <w:r w:rsidR="009E32AE" w:rsidRPr="00260C1D">
        <w:rPr>
          <w:rFonts w:eastAsia="Segoe UI" w:cstheme="minorHAnsi"/>
          <w:color w:val="011A3C"/>
          <w:sz w:val="24"/>
          <w:szCs w:val="24"/>
          <w:lang w:val="en" w:eastAsia="en-AU"/>
        </w:rPr>
        <w:t>ments</w:t>
      </w:r>
      <w:r w:rsidR="00E655E4">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Location index per student rate</w:t>
      </w:r>
      <w:r w:rsidR="005574F5" w:rsidRPr="00260C1D">
        <w:rPr>
          <w:rFonts w:eastAsia="Segoe UI" w:cstheme="minorHAnsi"/>
          <w:color w:val="011A3C"/>
          <w:sz w:val="24"/>
          <w:szCs w:val="24"/>
          <w:lang w:val="en" w:eastAsia="en-AU"/>
        </w:rPr>
        <w:t xml:space="preserve"> </w:t>
      </w:r>
      <w:r w:rsidR="00ED2F0A" w:rsidRPr="00260C1D">
        <w:rPr>
          <w:rFonts w:eastAsia="Segoe UI" w:cstheme="minorHAnsi"/>
          <w:color w:val="011A3C"/>
          <w:sz w:val="24"/>
          <w:szCs w:val="24"/>
          <w:lang w:val="en" w:eastAsia="en-AU"/>
        </w:rPr>
        <w:t>$</w:t>
      </w:r>
      <w:r w:rsidR="003C303B" w:rsidRPr="003C303B">
        <w:rPr>
          <w:rFonts w:eastAsia="Segoe UI" w:cstheme="minorHAnsi"/>
          <w:color w:val="011A3C"/>
          <w:sz w:val="24"/>
          <w:szCs w:val="24"/>
          <w:lang w:val="en" w:eastAsia="en-AU"/>
        </w:rPr>
        <w:t>111.05</w:t>
      </w:r>
      <w:r w:rsidRPr="00260C1D">
        <w:rPr>
          <w:rFonts w:eastAsia="Segoe UI" w:cstheme="minorHAnsi"/>
          <w:color w:val="011A3C"/>
          <w:sz w:val="24"/>
          <w:szCs w:val="24"/>
          <w:lang w:val="en" w:eastAsia="en-AU"/>
        </w:rPr>
        <w:t>)]</w:t>
      </w:r>
    </w:p>
    <w:p w14:paraId="3629D6C1" w14:textId="77777777" w:rsidR="00EA34C0" w:rsidRPr="00B148A2" w:rsidRDefault="00EA34C0" w:rsidP="00EA34C0">
      <w:pPr>
        <w:spacing w:before="100" w:beforeAutospacing="1" w:after="100" w:afterAutospacing="1" w:line="288" w:lineRule="atLeast"/>
        <w:outlineLvl w:val="2"/>
        <w:rPr>
          <w:b/>
          <w:color w:val="011A3C"/>
          <w:sz w:val="27"/>
        </w:rPr>
      </w:pPr>
      <w:r w:rsidRPr="00B148A2">
        <w:rPr>
          <w:b/>
          <w:color w:val="011A3C"/>
          <w:sz w:val="27"/>
        </w:rPr>
        <w:t>Further information</w:t>
      </w:r>
    </w:p>
    <w:p w14:paraId="7E208B38" w14:textId="5868AC44" w:rsidR="00EA34C0" w:rsidRPr="00B148A2" w:rsidRDefault="00EA34C0" w:rsidP="00B148A2">
      <w:pPr>
        <w:spacing w:before="100" w:beforeAutospacing="1" w:after="100" w:afterAutospacing="1" w:line="240" w:lineRule="auto"/>
        <w:rPr>
          <w:color w:val="011A3C"/>
          <w:sz w:val="24"/>
        </w:rPr>
      </w:pPr>
      <w:r w:rsidRPr="00B148A2">
        <w:rPr>
          <w:color w:val="011A3C"/>
          <w:sz w:val="24"/>
        </w:rPr>
        <w:t>For more information about the initiative</w:t>
      </w:r>
      <w:r w:rsidR="004A6ED3" w:rsidRPr="00596A60">
        <w:rPr>
          <w:rFonts w:eastAsia="Times New Roman" w:cstheme="minorHAnsi"/>
          <w:color w:val="011A3C"/>
          <w:sz w:val="24"/>
          <w:szCs w:val="24"/>
          <w:lang w:eastAsia="en-AU"/>
        </w:rPr>
        <w:t xml:space="preserve"> </w:t>
      </w:r>
      <w:r w:rsidRPr="00B148A2">
        <w:rPr>
          <w:color w:val="011A3C"/>
          <w:sz w:val="24"/>
        </w:rPr>
        <w:t>contact </w:t>
      </w:r>
      <w:hyperlink r:id="rId208" w:history="1">
        <w:r w:rsidR="0003626E" w:rsidRPr="00B148A2">
          <w:rPr>
            <w:color w:val="1855BF"/>
          </w:rPr>
          <w:t>rural.regional.reform@education.vic.gov.au</w:t>
        </w:r>
      </w:hyperlink>
    </w:p>
    <w:p w14:paraId="444A0080" w14:textId="77777777" w:rsidR="004A6ED3" w:rsidRPr="00596A60" w:rsidRDefault="004A6ED3" w:rsidP="004A6ED3">
      <w:pPr>
        <w:rPr>
          <w:rFonts w:cstheme="minorHAnsi"/>
        </w:rPr>
      </w:pPr>
    </w:p>
    <w:p w14:paraId="4189CCC5" w14:textId="77777777" w:rsidR="00EA34C0" w:rsidRPr="00260C1D" w:rsidRDefault="00EA34C0" w:rsidP="00833928"/>
    <w:bookmarkEnd w:id="253"/>
    <w:p w14:paraId="76B043CB" w14:textId="54D2376F" w:rsidR="00FA5388" w:rsidRPr="00260C1D" w:rsidRDefault="00FA5388" w:rsidP="00532A33">
      <w:pPr>
        <w:pStyle w:val="Heading2"/>
      </w:pPr>
      <w:r w:rsidRPr="00260C1D">
        <w:br w:type="page"/>
      </w:r>
    </w:p>
    <w:p w14:paraId="1B89F0A1" w14:textId="0F52D065" w:rsidR="00A32850" w:rsidRPr="00E92B6C" w:rsidRDefault="00A32850" w:rsidP="00532A33">
      <w:pPr>
        <w:pStyle w:val="Heading2"/>
      </w:pPr>
      <w:bookmarkStart w:id="255" w:name="_Transition_Funding_(Rural)"/>
      <w:bookmarkStart w:id="256" w:name="_Toc109807049"/>
      <w:bookmarkStart w:id="257" w:name="_Hlk113353482"/>
      <w:bookmarkStart w:id="258" w:name="_Toc141965293"/>
      <w:bookmarkStart w:id="259" w:name="_Toc145339620"/>
      <w:bookmarkStart w:id="260" w:name="_Toc153791943"/>
      <w:bookmarkStart w:id="261" w:name="_Hlk133501652"/>
      <w:bookmarkEnd w:id="255"/>
      <w:r w:rsidRPr="00FF525D">
        <w:lastRenderedPageBreak/>
        <w:t>Primary Mathematics and Science Specialists Initiative (Reference 125)</w:t>
      </w:r>
      <w:bookmarkEnd w:id="256"/>
      <w:bookmarkEnd w:id="257"/>
      <w:bookmarkEnd w:id="258"/>
      <w:bookmarkEnd w:id="259"/>
      <w:bookmarkEnd w:id="260"/>
    </w:p>
    <w:bookmarkEnd w:id="261"/>
    <w:p w14:paraId="15E116D9" w14:textId="77777777" w:rsidR="00A32850" w:rsidRPr="00FF525D" w:rsidRDefault="00A32850" w:rsidP="00A32850">
      <w:p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The Primary Mathematics and Science Specialists (PMSS) initiative is a 2 year program designed to drive whole school change through, generally 2, teachers from a primary school training to become specialists in either science or mathematics.</w:t>
      </w:r>
    </w:p>
    <w:p w14:paraId="77364BCF" w14:textId="77777777" w:rsidR="00A32850" w:rsidRPr="00B148A2" w:rsidRDefault="00A32850" w:rsidP="00A32850">
      <w:pPr>
        <w:spacing w:line="360" w:lineRule="atLeast"/>
        <w:rPr>
          <w:rFonts w:eastAsia="Segoe UI" w:cstheme="minorHAnsi"/>
          <w:color w:val="011A3C"/>
          <w:sz w:val="24"/>
          <w:szCs w:val="24"/>
          <w:lang w:val="en" w:eastAsia="en-AU"/>
        </w:rPr>
      </w:pPr>
      <w:r w:rsidRPr="00B148A2">
        <w:rPr>
          <w:rFonts w:eastAsia="Segoe UI" w:cstheme="minorHAnsi"/>
          <w:color w:val="011A3C"/>
          <w:sz w:val="24"/>
          <w:szCs w:val="24"/>
          <w:lang w:val="en" w:eastAsia="en-AU"/>
        </w:rPr>
        <w:t xml:space="preserve">The program provides high quality face to face and online professional learning across the 2 years, including: </w:t>
      </w:r>
    </w:p>
    <w:p w14:paraId="79074140" w14:textId="77777777" w:rsidR="00A32850" w:rsidRPr="00B148A2" w:rsidRDefault="00A32850" w:rsidP="00A32850">
      <w:pPr>
        <w:numPr>
          <w:ilvl w:val="0"/>
          <w:numId w:val="20"/>
        </w:numPr>
        <w:spacing w:after="0" w:line="360" w:lineRule="atLeast"/>
        <w:rPr>
          <w:rFonts w:eastAsia="Segoe UI" w:cstheme="minorHAnsi"/>
          <w:color w:val="011A3C"/>
          <w:sz w:val="24"/>
          <w:szCs w:val="24"/>
          <w:lang w:val="en" w:eastAsia="en-AU"/>
        </w:rPr>
      </w:pPr>
      <w:r w:rsidRPr="00B148A2">
        <w:rPr>
          <w:rFonts w:eastAsia="Segoe UI" w:cstheme="minorHAnsi"/>
          <w:color w:val="011A3C"/>
          <w:sz w:val="24"/>
          <w:szCs w:val="24"/>
          <w:lang w:val="en" w:eastAsia="en-AU"/>
        </w:rPr>
        <w:t>development of the individual specialists’ learning and knowledge about the important and key concepts and pedagogies in mathematics / science learning</w:t>
      </w:r>
    </w:p>
    <w:p w14:paraId="265F3A99" w14:textId="77777777" w:rsidR="00A32850" w:rsidRPr="00B148A2" w:rsidRDefault="00A32850" w:rsidP="00A32850">
      <w:pPr>
        <w:numPr>
          <w:ilvl w:val="0"/>
          <w:numId w:val="20"/>
        </w:numPr>
        <w:spacing w:after="0" w:line="360" w:lineRule="atLeast"/>
        <w:rPr>
          <w:rFonts w:eastAsia="Segoe UI" w:cstheme="minorHAnsi"/>
          <w:color w:val="011A3C"/>
          <w:sz w:val="24"/>
          <w:szCs w:val="24"/>
          <w:lang w:val="en" w:eastAsia="en-AU"/>
        </w:rPr>
      </w:pPr>
      <w:r w:rsidRPr="00B148A2">
        <w:rPr>
          <w:rFonts w:eastAsia="Segoe UI" w:cstheme="minorHAnsi"/>
          <w:color w:val="011A3C"/>
          <w:sz w:val="24"/>
          <w:szCs w:val="24"/>
          <w:lang w:val="en" w:eastAsia="en-AU"/>
        </w:rPr>
        <w:t>development of others – working with teachers at the school level to further develop their practice</w:t>
      </w:r>
    </w:p>
    <w:p w14:paraId="2E57CD49" w14:textId="77777777" w:rsidR="00A32850" w:rsidRPr="00B148A2" w:rsidRDefault="00A32850" w:rsidP="00A32850">
      <w:pPr>
        <w:numPr>
          <w:ilvl w:val="0"/>
          <w:numId w:val="20"/>
        </w:numPr>
        <w:spacing w:after="0" w:line="360" w:lineRule="atLeast"/>
        <w:rPr>
          <w:rFonts w:eastAsia="Segoe UI" w:cstheme="minorHAnsi"/>
          <w:color w:val="011A3C"/>
          <w:sz w:val="24"/>
          <w:szCs w:val="24"/>
          <w:lang w:val="en" w:eastAsia="en-AU"/>
        </w:rPr>
      </w:pPr>
      <w:r w:rsidRPr="00B148A2">
        <w:rPr>
          <w:rFonts w:eastAsia="Segoe UI" w:cstheme="minorHAnsi"/>
          <w:color w:val="011A3C"/>
          <w:sz w:val="24"/>
          <w:szCs w:val="24"/>
          <w:lang w:val="en" w:eastAsia="en-AU"/>
        </w:rPr>
        <w:t>development of whole school level improvements.</w:t>
      </w:r>
    </w:p>
    <w:p w14:paraId="796B2ADB" w14:textId="77777777" w:rsidR="00A32850" w:rsidRPr="00FF525D" w:rsidRDefault="00A32850" w:rsidP="00A32850">
      <w:pPr>
        <w:spacing w:before="100" w:beforeAutospacing="1" w:after="100" w:afterAutospacing="1" w:line="360" w:lineRule="atLeast"/>
        <w:outlineLvl w:val="2"/>
        <w:rPr>
          <w:rFonts w:eastAsia="Segoe UI" w:cstheme="minorHAnsi"/>
          <w:b/>
          <w:color w:val="011A3C"/>
          <w:sz w:val="27"/>
          <w:szCs w:val="27"/>
          <w:lang w:val="en" w:eastAsia="en-AU"/>
        </w:rPr>
      </w:pPr>
      <w:r w:rsidRPr="00FF525D">
        <w:rPr>
          <w:rFonts w:eastAsia="Segoe UI" w:cstheme="minorHAnsi"/>
          <w:b/>
          <w:color w:val="011A3C"/>
          <w:sz w:val="27"/>
          <w:szCs w:val="27"/>
          <w:lang w:val="en" w:eastAsia="en-AU"/>
        </w:rPr>
        <w:t>Eligibility</w:t>
      </w:r>
    </w:p>
    <w:p w14:paraId="1F57FC63" w14:textId="77777777" w:rsidR="00A32850" w:rsidRPr="00B148A2" w:rsidRDefault="00A32850" w:rsidP="00A32850">
      <w:pPr>
        <w:spacing w:line="360" w:lineRule="atLeast"/>
        <w:rPr>
          <w:rFonts w:eastAsia="Segoe UI" w:cstheme="minorHAnsi"/>
          <w:color w:val="011A3C"/>
          <w:sz w:val="24"/>
          <w:szCs w:val="24"/>
          <w:lang w:val="en" w:eastAsia="en-AU"/>
        </w:rPr>
      </w:pPr>
      <w:r w:rsidRPr="00B148A2">
        <w:rPr>
          <w:rFonts w:eastAsia="Segoe UI" w:cstheme="minorHAnsi"/>
          <w:color w:val="011A3C"/>
          <w:sz w:val="24"/>
          <w:szCs w:val="24"/>
          <w:lang w:val="en" w:eastAsia="en-AU"/>
        </w:rPr>
        <w:t>Each cohort of PMSS is subject to State Budget funding.</w:t>
      </w:r>
    </w:p>
    <w:p w14:paraId="0D7A19F1" w14:textId="77777777" w:rsidR="00A32850" w:rsidRPr="00B148A2" w:rsidRDefault="00A32850" w:rsidP="00A32850">
      <w:pPr>
        <w:spacing w:line="360" w:lineRule="atLeast"/>
        <w:rPr>
          <w:rFonts w:eastAsia="Segoe UI" w:cstheme="minorHAnsi"/>
          <w:color w:val="011A3C"/>
          <w:sz w:val="24"/>
          <w:szCs w:val="24"/>
          <w:lang w:val="en" w:eastAsia="en-AU"/>
        </w:rPr>
      </w:pPr>
      <w:r w:rsidRPr="00B148A2">
        <w:rPr>
          <w:rFonts w:eastAsia="Segoe UI" w:cstheme="minorHAnsi"/>
          <w:color w:val="011A3C"/>
          <w:sz w:val="24"/>
          <w:szCs w:val="24"/>
          <w:lang w:val="en" w:eastAsia="en-AU"/>
        </w:rPr>
        <w:t xml:space="preserve">Schools are selected to be invited to participate in the initiative through school level data and consultation with regional executives. </w:t>
      </w:r>
    </w:p>
    <w:p w14:paraId="2041D9F7" w14:textId="77777777" w:rsidR="00A32850" w:rsidRPr="00B148A2" w:rsidRDefault="00A32850" w:rsidP="00A32850">
      <w:pPr>
        <w:spacing w:line="360" w:lineRule="atLeast"/>
        <w:rPr>
          <w:rFonts w:eastAsia="Segoe UI" w:cstheme="minorHAnsi"/>
          <w:color w:val="011A3C"/>
          <w:sz w:val="24"/>
          <w:szCs w:val="24"/>
          <w:lang w:val="en" w:eastAsia="en-AU"/>
        </w:rPr>
      </w:pPr>
      <w:r w:rsidRPr="00B148A2">
        <w:rPr>
          <w:rFonts w:eastAsia="Segoe UI" w:cstheme="minorHAnsi"/>
          <w:color w:val="011A3C"/>
          <w:sz w:val="24"/>
          <w:szCs w:val="24"/>
          <w:lang w:val="en" w:eastAsia="en-AU"/>
        </w:rPr>
        <w:t>All schools identified to be invited to participate are formally approved by the Minister for Education.</w:t>
      </w:r>
    </w:p>
    <w:p w14:paraId="1953A10A" w14:textId="77777777" w:rsidR="00A32850" w:rsidRPr="00B148A2" w:rsidRDefault="00A32850" w:rsidP="00AB7A20">
      <w:pPr>
        <w:spacing w:line="360" w:lineRule="atLeast"/>
        <w:rPr>
          <w:rFonts w:eastAsia="Segoe UI" w:cstheme="minorHAnsi"/>
          <w:color w:val="011A3C"/>
          <w:sz w:val="24"/>
          <w:szCs w:val="24"/>
          <w:lang w:val="en" w:eastAsia="en-AU"/>
        </w:rPr>
      </w:pPr>
      <w:r w:rsidRPr="00B148A2">
        <w:rPr>
          <w:rFonts w:eastAsia="Segoe UI" w:cstheme="minorHAnsi"/>
          <w:color w:val="011A3C"/>
          <w:sz w:val="24"/>
          <w:szCs w:val="24"/>
          <w:lang w:val="en" w:eastAsia="en-AU"/>
        </w:rPr>
        <w:t>Schools for Cohort 7 of this initiative have already undertaken a selection process.</w:t>
      </w:r>
    </w:p>
    <w:p w14:paraId="3855BAF9" w14:textId="446C49F0" w:rsidR="00A32850" w:rsidRPr="00B148A2" w:rsidRDefault="00A32850" w:rsidP="00AB7A20">
      <w:pPr>
        <w:spacing w:line="360" w:lineRule="atLeast"/>
        <w:rPr>
          <w:rFonts w:eastAsia="Segoe UI" w:cstheme="minorHAnsi"/>
          <w:color w:val="011A3C"/>
          <w:sz w:val="24"/>
          <w:szCs w:val="24"/>
          <w:lang w:val="en" w:eastAsia="en-AU"/>
        </w:rPr>
      </w:pPr>
      <w:r w:rsidRPr="00B148A2">
        <w:rPr>
          <w:rFonts w:eastAsia="Segoe UI" w:cstheme="minorHAnsi"/>
          <w:color w:val="011A3C"/>
          <w:sz w:val="24"/>
          <w:szCs w:val="24"/>
          <w:lang w:val="en" w:eastAsia="en-AU"/>
        </w:rPr>
        <w:t>Schools must remain active in the professional learning and evaluation programs and allocate funds as set out in the Letter of Agreement</w:t>
      </w:r>
      <w:r w:rsidR="000A41A9" w:rsidRPr="00B148A2">
        <w:rPr>
          <w:rFonts w:eastAsia="Segoe UI" w:cstheme="minorHAnsi"/>
          <w:color w:val="011A3C"/>
          <w:sz w:val="24"/>
          <w:szCs w:val="24"/>
          <w:lang w:val="en" w:eastAsia="en-AU"/>
        </w:rPr>
        <w:t>.</w:t>
      </w:r>
    </w:p>
    <w:p w14:paraId="4BF2C117" w14:textId="77777777" w:rsidR="00A32850" w:rsidRPr="00FF525D" w:rsidRDefault="00A32850" w:rsidP="00A32850">
      <w:pPr>
        <w:spacing w:before="100" w:beforeAutospacing="1" w:after="100" w:afterAutospacing="1" w:line="360" w:lineRule="atLeast"/>
        <w:outlineLvl w:val="2"/>
        <w:rPr>
          <w:rFonts w:eastAsia="Segoe UI" w:cstheme="minorHAnsi"/>
          <w:b/>
          <w:color w:val="011A3C"/>
          <w:sz w:val="27"/>
          <w:szCs w:val="27"/>
          <w:lang w:val="en" w:eastAsia="en-AU"/>
        </w:rPr>
      </w:pPr>
      <w:r w:rsidRPr="00FF525D">
        <w:rPr>
          <w:rFonts w:eastAsia="Segoe UI" w:cstheme="minorHAnsi"/>
          <w:b/>
          <w:color w:val="011A3C"/>
          <w:sz w:val="27"/>
          <w:szCs w:val="27"/>
          <w:lang w:val="en" w:eastAsia="en-AU"/>
        </w:rPr>
        <w:t>Funding</w:t>
      </w:r>
    </w:p>
    <w:p w14:paraId="3AE67901" w14:textId="77777777" w:rsidR="00A32850" w:rsidRPr="00B148A2" w:rsidRDefault="00A32850" w:rsidP="00A32850">
      <w:pPr>
        <w:spacing w:line="360" w:lineRule="atLeast"/>
        <w:rPr>
          <w:rFonts w:eastAsia="Segoe UI" w:cstheme="minorHAnsi"/>
          <w:color w:val="011A3C"/>
          <w:sz w:val="24"/>
          <w:szCs w:val="24"/>
          <w:lang w:val="en" w:eastAsia="en-AU"/>
        </w:rPr>
      </w:pPr>
      <w:r w:rsidRPr="00B148A2">
        <w:rPr>
          <w:rFonts w:eastAsia="Segoe UI" w:cstheme="minorHAnsi"/>
          <w:color w:val="011A3C"/>
          <w:sz w:val="24"/>
          <w:szCs w:val="24"/>
          <w:lang w:val="en" w:eastAsia="en-AU"/>
        </w:rPr>
        <w:t>Schools that are invited to participate in PMSS are provided funding via the Student Resource Package (SRP) to release each participating teacher 0.5 FTE for the 2 years to support their roles as specialists.</w:t>
      </w:r>
    </w:p>
    <w:p w14:paraId="42F8745C" w14:textId="77777777" w:rsidR="00A32850" w:rsidRPr="00FF525D" w:rsidRDefault="00A32850" w:rsidP="00A32850">
      <w:pPr>
        <w:spacing w:before="100" w:beforeAutospacing="1" w:after="100" w:afterAutospacing="1" w:line="360" w:lineRule="atLeast"/>
        <w:outlineLvl w:val="2"/>
        <w:rPr>
          <w:rFonts w:eastAsia="Segoe UI" w:cstheme="minorHAnsi"/>
          <w:b/>
          <w:color w:val="011A3C"/>
          <w:sz w:val="27"/>
          <w:szCs w:val="27"/>
          <w:lang w:val="en" w:eastAsia="en-AU"/>
        </w:rPr>
      </w:pPr>
      <w:r w:rsidRPr="00FF525D">
        <w:rPr>
          <w:rFonts w:eastAsia="Segoe UI" w:cstheme="minorHAnsi"/>
          <w:b/>
          <w:color w:val="011A3C"/>
          <w:sz w:val="27"/>
          <w:szCs w:val="27"/>
          <w:lang w:val="en" w:eastAsia="en-AU"/>
        </w:rPr>
        <w:t xml:space="preserve">Calculation </w:t>
      </w:r>
    </w:p>
    <w:p w14:paraId="5094D160" w14:textId="42EFC209" w:rsidR="00A32850" w:rsidRPr="00B148A2" w:rsidRDefault="00A32850" w:rsidP="00B148A2">
      <w:pPr>
        <w:spacing w:line="360" w:lineRule="atLeast"/>
        <w:rPr>
          <w:rFonts w:eastAsia="Segoe UI" w:cstheme="minorHAnsi"/>
          <w:color w:val="011A3C"/>
          <w:sz w:val="24"/>
          <w:szCs w:val="24"/>
          <w:lang w:val="en" w:eastAsia="en-AU"/>
        </w:rPr>
      </w:pPr>
      <w:r w:rsidRPr="00B148A2">
        <w:rPr>
          <w:rFonts w:eastAsia="Segoe UI" w:cstheme="minorHAnsi"/>
          <w:color w:val="011A3C"/>
          <w:sz w:val="24"/>
          <w:szCs w:val="24"/>
          <w:lang w:val="en" w:eastAsia="en-AU"/>
        </w:rPr>
        <w:t xml:space="preserve">Allocation = number of participating teachers x 0.5 x level 2‐6 salary + </w:t>
      </w:r>
      <w:r w:rsidR="00FC2817" w:rsidRPr="00B148A2">
        <w:rPr>
          <w:rFonts w:eastAsia="Segoe UI" w:cstheme="minorHAnsi"/>
          <w:color w:val="011A3C"/>
          <w:sz w:val="24"/>
          <w:szCs w:val="24"/>
          <w:lang w:val="en" w:eastAsia="en-AU"/>
        </w:rPr>
        <w:t xml:space="preserve">school </w:t>
      </w:r>
      <w:r w:rsidRPr="00B148A2">
        <w:rPr>
          <w:rFonts w:eastAsia="Segoe UI" w:cstheme="minorHAnsi"/>
          <w:color w:val="011A3C"/>
          <w:sz w:val="24"/>
          <w:szCs w:val="24"/>
          <w:lang w:val="en" w:eastAsia="en-AU"/>
        </w:rPr>
        <w:t>on‐costs</w:t>
      </w:r>
    </w:p>
    <w:p w14:paraId="7980D145" w14:textId="4A287B85" w:rsidR="00A32850" w:rsidRPr="00B148A2" w:rsidRDefault="00A32850" w:rsidP="00E92B6C">
      <w:pPr>
        <w:spacing w:line="360" w:lineRule="atLeast"/>
        <w:rPr>
          <w:rFonts w:eastAsia="Segoe UI" w:cstheme="minorHAnsi"/>
          <w:color w:val="011A3C"/>
          <w:sz w:val="24"/>
          <w:szCs w:val="24"/>
          <w:lang w:val="en" w:eastAsia="en-AU"/>
        </w:rPr>
      </w:pPr>
      <w:r w:rsidRPr="00B148A2">
        <w:rPr>
          <w:rFonts w:eastAsia="Segoe UI" w:cstheme="minorHAnsi"/>
          <w:color w:val="011A3C"/>
          <w:sz w:val="24"/>
          <w:szCs w:val="24"/>
          <w:lang w:val="en" w:eastAsia="en-AU"/>
        </w:rPr>
        <w:t xml:space="preserve">That is </w:t>
      </w:r>
      <w:r w:rsidR="00F94657" w:rsidRPr="00F94657">
        <w:rPr>
          <w:rFonts w:eastAsia="Segoe UI" w:cstheme="minorHAnsi"/>
          <w:color w:val="011A3C"/>
          <w:sz w:val="24"/>
          <w:szCs w:val="24"/>
          <w:lang w:val="en" w:eastAsia="en-AU"/>
        </w:rPr>
        <w:t xml:space="preserve">$67,991.50 </w:t>
      </w:r>
      <w:r w:rsidRPr="00B148A2">
        <w:rPr>
          <w:rFonts w:eastAsia="Segoe UI" w:cstheme="minorHAnsi"/>
          <w:color w:val="011A3C"/>
          <w:sz w:val="24"/>
          <w:szCs w:val="24"/>
          <w:lang w:val="en" w:eastAsia="en-AU"/>
        </w:rPr>
        <w:t>per year for each participating teacher.</w:t>
      </w:r>
    </w:p>
    <w:p w14:paraId="1FCD3EC9" w14:textId="77777777" w:rsidR="00640FED" w:rsidRPr="00260C1D" w:rsidRDefault="00640FED" w:rsidP="00640FED">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Further information</w:t>
      </w:r>
    </w:p>
    <w:p w14:paraId="6601FC0C" w14:textId="0640473D" w:rsidR="0009002E" w:rsidRPr="00917713" w:rsidRDefault="00640FED" w:rsidP="00917713">
      <w:pPr>
        <w:spacing w:before="100" w:beforeAutospacing="1" w:after="100" w:afterAutospacing="1" w:line="360" w:lineRule="atLeast"/>
        <w:rPr>
          <w:rFonts w:eastAsia="Segoe UI" w:cstheme="minorHAnsi"/>
          <w:color w:val="011A3C"/>
          <w:sz w:val="28"/>
          <w:szCs w:val="28"/>
        </w:rPr>
      </w:pPr>
      <w:r>
        <w:rPr>
          <w:sz w:val="24"/>
          <w:szCs w:val="24"/>
        </w:rPr>
        <w:t xml:space="preserve">Contact: </w:t>
      </w:r>
      <w:hyperlink r:id="rId209" w:history="1">
        <w:r>
          <w:rPr>
            <w:rStyle w:val="Hyperlink"/>
          </w:rPr>
          <w:t>pmss@education.vic.gov.au</w:t>
        </w:r>
      </w:hyperlink>
      <w:r>
        <w:t xml:space="preserve"> </w:t>
      </w:r>
      <w:r w:rsidR="0009002E">
        <w:br w:type="page"/>
      </w:r>
    </w:p>
    <w:p w14:paraId="5159B8E7" w14:textId="16AD1BDD" w:rsidR="00341AB0" w:rsidRPr="00260C1D" w:rsidRDefault="00341AB0" w:rsidP="00532A33">
      <w:pPr>
        <w:pStyle w:val="Heading2"/>
      </w:pPr>
      <w:bookmarkStart w:id="262" w:name="_Toc141965294"/>
      <w:bookmarkStart w:id="263" w:name="_Toc145339621"/>
      <w:bookmarkStart w:id="264" w:name="_Toc153791944"/>
      <w:r w:rsidRPr="00260C1D">
        <w:lastRenderedPageBreak/>
        <w:t>Transition Funding (Rural) (Ref</w:t>
      </w:r>
      <w:r w:rsidR="004A6878" w:rsidRPr="00260C1D">
        <w:t>erence</w:t>
      </w:r>
      <w:r w:rsidRPr="00260C1D">
        <w:t xml:space="preserve"> 126)</w:t>
      </w:r>
      <w:bookmarkEnd w:id="262"/>
      <w:bookmarkEnd w:id="263"/>
      <w:bookmarkEnd w:id="264"/>
    </w:p>
    <w:p w14:paraId="617A0951" w14:textId="77777777" w:rsidR="007E0BC0" w:rsidRPr="00260C1D" w:rsidRDefault="007E0BC0" w:rsidP="004D307F">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Transition Funding (Rural) is intended to provide time-limited support to schools most affected by changes to Rural School Size Adjustment Factor (RSAF), Location Index Funding (LIF) and Country Area Program grant (CAP) eligibility as a result of updated geographic boundaries.</w:t>
      </w:r>
    </w:p>
    <w:p w14:paraId="21C45719" w14:textId="77777777" w:rsidR="007E0BC0" w:rsidRPr="00260C1D" w:rsidRDefault="007E0BC0" w:rsidP="007E0BC0">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Funding and Eligibility</w:t>
      </w:r>
    </w:p>
    <w:p w14:paraId="044E186D" w14:textId="77777777" w:rsidR="007E0BC0" w:rsidRPr="00260C1D" w:rsidRDefault="007E0BC0" w:rsidP="007E0B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are eligible to receive Transition Funding (Rural) if they meet all the following eligibility criteria:</w:t>
      </w:r>
    </w:p>
    <w:p w14:paraId="430BC5DE" w14:textId="69771586" w:rsidR="007E0BC0" w:rsidRPr="00260C1D" w:rsidRDefault="009A205C" w:rsidP="00F56244">
      <w:pPr>
        <w:numPr>
          <w:ilvl w:val="0"/>
          <w:numId w:val="20"/>
        </w:numPr>
        <w:spacing w:after="0"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A</w:t>
      </w:r>
      <w:r w:rsidR="007E0BC0" w:rsidRPr="00260C1D">
        <w:rPr>
          <w:rFonts w:eastAsia="Segoe UI" w:cstheme="minorHAnsi"/>
          <w:color w:val="011A3C"/>
          <w:sz w:val="24"/>
          <w:szCs w:val="24"/>
          <w:lang w:val="en" w:eastAsia="en-AU"/>
        </w:rPr>
        <w:t xml:space="preserve"> reduction in funding of greater than $25,000 in 2021 as a result of changes to RSAF, LIF and CAP eligibility from the use of updated geographic boundaries</w:t>
      </w:r>
    </w:p>
    <w:p w14:paraId="35B2BF4C" w14:textId="1881AED7" w:rsidR="007E0BC0" w:rsidRPr="00260C1D" w:rsidRDefault="009A205C" w:rsidP="00F56244">
      <w:pPr>
        <w:numPr>
          <w:ilvl w:val="0"/>
          <w:numId w:val="20"/>
        </w:numPr>
        <w:spacing w:after="0"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T</w:t>
      </w:r>
      <w:r w:rsidR="007E0BC0" w:rsidRPr="00260C1D">
        <w:rPr>
          <w:rFonts w:eastAsia="Segoe UI" w:cstheme="minorHAnsi"/>
          <w:color w:val="011A3C"/>
          <w:sz w:val="24"/>
          <w:szCs w:val="24"/>
          <w:lang w:val="en" w:eastAsia="en-AU"/>
        </w:rPr>
        <w:t xml:space="preserve">heir 2021 </w:t>
      </w:r>
      <w:r w:rsidR="009A130D" w:rsidRPr="00260C1D">
        <w:rPr>
          <w:rFonts w:eastAsia="Segoe UI" w:cstheme="minorHAnsi"/>
          <w:color w:val="011A3C"/>
          <w:sz w:val="24"/>
          <w:szCs w:val="24"/>
          <w:lang w:val="en" w:eastAsia="en-AU"/>
        </w:rPr>
        <w:t>Student Resource Package (</w:t>
      </w:r>
      <w:r w:rsidR="007E0BC0" w:rsidRPr="00260C1D">
        <w:rPr>
          <w:rFonts w:eastAsia="Segoe UI" w:cstheme="minorHAnsi"/>
          <w:color w:val="011A3C"/>
          <w:sz w:val="24"/>
          <w:szCs w:val="24"/>
          <w:lang w:val="en" w:eastAsia="en-AU"/>
        </w:rPr>
        <w:t>SRP</w:t>
      </w:r>
      <w:r w:rsidR="009A130D" w:rsidRPr="00260C1D">
        <w:rPr>
          <w:rFonts w:eastAsia="Segoe UI" w:cstheme="minorHAnsi"/>
          <w:color w:val="011A3C"/>
          <w:sz w:val="24"/>
          <w:szCs w:val="24"/>
          <w:lang w:val="en" w:eastAsia="en-AU"/>
        </w:rPr>
        <w:t>)</w:t>
      </w:r>
      <w:r w:rsidR="007E0BC0" w:rsidRPr="00260C1D">
        <w:rPr>
          <w:rFonts w:eastAsia="Segoe UI" w:cstheme="minorHAnsi"/>
          <w:color w:val="011A3C"/>
          <w:sz w:val="24"/>
          <w:szCs w:val="24"/>
          <w:lang w:val="en" w:eastAsia="en-AU"/>
        </w:rPr>
        <w:t xml:space="preserve"> allocation is less than their 2020 SRP allocation</w:t>
      </w:r>
    </w:p>
    <w:p w14:paraId="74C45015" w14:textId="77777777" w:rsidR="00FC77A1" w:rsidRPr="00260C1D" w:rsidRDefault="00FC77A1" w:rsidP="00FC77A1">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Eligible School Types:</w:t>
      </w:r>
    </w:p>
    <w:p w14:paraId="2A411CE2" w14:textId="77777777" w:rsidR="00FC77A1" w:rsidRPr="00260C1D" w:rsidRDefault="00FC77A1" w:rsidP="00FC77A1">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As per eligibility for:</w:t>
      </w:r>
    </w:p>
    <w:p w14:paraId="1EFDC945" w14:textId="77777777" w:rsidR="00FC77A1" w:rsidRPr="00260C1D" w:rsidRDefault="00FC77A1" w:rsidP="00F56244">
      <w:pPr>
        <w:numPr>
          <w:ilvl w:val="0"/>
          <w:numId w:val="20"/>
        </w:num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Rural School Size Adjustment Factor (RSAF), </w:t>
      </w:r>
    </w:p>
    <w:p w14:paraId="091F1444" w14:textId="77777777" w:rsidR="00FC77A1" w:rsidRPr="00260C1D" w:rsidRDefault="00FC77A1" w:rsidP="00F56244">
      <w:pPr>
        <w:numPr>
          <w:ilvl w:val="0"/>
          <w:numId w:val="20"/>
        </w:num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Location Index Funding (LIF) and </w:t>
      </w:r>
    </w:p>
    <w:p w14:paraId="08593106" w14:textId="77777777" w:rsidR="00FC77A1" w:rsidRPr="00260C1D" w:rsidRDefault="00FC77A1" w:rsidP="00F56244">
      <w:pPr>
        <w:numPr>
          <w:ilvl w:val="0"/>
          <w:numId w:val="20"/>
        </w:num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Country Area Program grant (CAP)</w:t>
      </w:r>
    </w:p>
    <w:p w14:paraId="2561A4CC" w14:textId="77777777" w:rsidR="007E0BC0" w:rsidRPr="00260C1D" w:rsidRDefault="007E0BC0" w:rsidP="007E0BC0">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Calculation and formula</w:t>
      </w:r>
    </w:p>
    <w:p w14:paraId="2DFBE5F3" w14:textId="0E8DF4D1" w:rsidR="007E0BC0" w:rsidRPr="00260C1D" w:rsidRDefault="007E0BC0" w:rsidP="007E0B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Allocation = 202</w:t>
      </w:r>
      <w:r w:rsidR="00590EC4" w:rsidRPr="00260C1D">
        <w:rPr>
          <w:rFonts w:eastAsia="Segoe UI" w:cstheme="minorHAnsi"/>
          <w:color w:val="011A3C"/>
          <w:sz w:val="24"/>
          <w:szCs w:val="24"/>
          <w:lang w:val="en" w:eastAsia="en-AU"/>
        </w:rPr>
        <w:t>0</w:t>
      </w:r>
      <w:r w:rsidRPr="00260C1D">
        <w:rPr>
          <w:rFonts w:eastAsia="Segoe UI" w:cstheme="minorHAnsi"/>
          <w:color w:val="011A3C"/>
          <w:sz w:val="24"/>
          <w:szCs w:val="24"/>
          <w:lang w:val="en" w:eastAsia="en-AU"/>
        </w:rPr>
        <w:t xml:space="preserve"> SRP (campus level) allocation – 202</w:t>
      </w:r>
      <w:r w:rsidR="00590EC4" w:rsidRPr="00260C1D">
        <w:rPr>
          <w:rFonts w:eastAsia="Segoe UI" w:cstheme="minorHAnsi"/>
          <w:color w:val="011A3C"/>
          <w:sz w:val="24"/>
          <w:szCs w:val="24"/>
          <w:lang w:val="en" w:eastAsia="en-AU"/>
        </w:rPr>
        <w:t>1</w:t>
      </w:r>
      <w:r w:rsidRPr="00260C1D">
        <w:rPr>
          <w:rFonts w:eastAsia="Segoe UI" w:cstheme="minorHAnsi"/>
          <w:color w:val="011A3C"/>
          <w:sz w:val="24"/>
          <w:szCs w:val="24"/>
          <w:lang w:val="en" w:eastAsia="en-AU"/>
        </w:rPr>
        <w:t xml:space="preserve"> SRP (campus level) allocation</w:t>
      </w:r>
    </w:p>
    <w:p w14:paraId="33B16BD4" w14:textId="77777777" w:rsidR="007E0BC0" w:rsidRPr="00260C1D" w:rsidRDefault="007E0BC0" w:rsidP="007E0BC0">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Note: The Transition Funding (Rural) allocation for a school campus has a maximum defined by:</w:t>
      </w:r>
    </w:p>
    <w:p w14:paraId="3882619C" w14:textId="421D3CEE" w:rsidR="007E0BC0" w:rsidRPr="00260C1D" w:rsidRDefault="009A205C" w:rsidP="00F56244">
      <w:pPr>
        <w:numPr>
          <w:ilvl w:val="0"/>
          <w:numId w:val="20"/>
        </w:numPr>
        <w:spacing w:after="0"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T</w:t>
      </w:r>
      <w:r w:rsidR="007E0BC0" w:rsidRPr="00260C1D">
        <w:rPr>
          <w:rFonts w:eastAsia="Segoe UI" w:cstheme="minorHAnsi"/>
          <w:color w:val="011A3C"/>
          <w:sz w:val="24"/>
          <w:szCs w:val="24"/>
          <w:lang w:val="en" w:eastAsia="en-AU"/>
        </w:rPr>
        <w:t>he funding reduction in 2021 as a result of changes to RSAF, LIF and CAP eligibility from the use of updated geographic boundaries</w:t>
      </w:r>
    </w:p>
    <w:p w14:paraId="5C0B4867" w14:textId="77777777" w:rsidR="007E0BC0" w:rsidRPr="00260C1D" w:rsidRDefault="007E0BC0" w:rsidP="007E0BC0">
      <w:pPr>
        <w:rPr>
          <w:rFonts w:cstheme="minorHAnsi"/>
        </w:rPr>
      </w:pPr>
    </w:p>
    <w:p w14:paraId="37E56D5D" w14:textId="35A09073" w:rsidR="007E0BC0" w:rsidRPr="00260C1D" w:rsidRDefault="007E0BC0" w:rsidP="007E0BC0">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will be based on the 2021 transitioning position of the eligible school</w:t>
      </w:r>
      <w:r w:rsidR="009A205C">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w:t>
      </w:r>
      <w:r w:rsidR="009A205C">
        <w:rPr>
          <w:rFonts w:eastAsia="Segoe UI" w:cstheme="minorHAnsi"/>
          <w:color w:val="011A3C"/>
          <w:sz w:val="24"/>
          <w:szCs w:val="24"/>
          <w:lang w:val="en" w:eastAsia="en-AU"/>
        </w:rPr>
        <w:t>F</w:t>
      </w:r>
      <w:r w:rsidRPr="00260C1D">
        <w:rPr>
          <w:rFonts w:eastAsia="Segoe UI" w:cstheme="minorHAnsi"/>
          <w:color w:val="011A3C"/>
          <w:sz w:val="24"/>
          <w:szCs w:val="24"/>
          <w:lang w:val="en" w:eastAsia="en-AU"/>
        </w:rPr>
        <w:t>unding is allocated through credit and cash funding.</w:t>
      </w:r>
    </w:p>
    <w:p w14:paraId="77A1495F" w14:textId="6F617F2B" w:rsidR="007E0BC0" w:rsidRPr="00260C1D" w:rsidRDefault="007E0BC0" w:rsidP="007E0BC0">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for transition is time</w:t>
      </w:r>
      <w:r w:rsidR="009A205C">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limited and will reduce annually. The table below outlines the transition funding reduction over the transition </w:t>
      </w:r>
      <w:r w:rsidR="00E47D1A" w:rsidRPr="00260C1D">
        <w:rPr>
          <w:rFonts w:eastAsia="Segoe UI" w:cstheme="minorHAnsi"/>
          <w:color w:val="011A3C"/>
          <w:sz w:val="24"/>
          <w:szCs w:val="24"/>
          <w:lang w:val="en" w:eastAsia="en-AU"/>
        </w:rPr>
        <w:t>period</w:t>
      </w:r>
      <w:r w:rsidR="009A205C">
        <w:rPr>
          <w:rFonts w:eastAsia="Segoe UI" w:cstheme="minorHAnsi"/>
          <w:color w:val="011A3C"/>
          <w:sz w:val="24"/>
          <w:szCs w:val="24"/>
          <w:lang w:val="en" w:eastAsia="en-AU"/>
        </w:rPr>
        <w:t>.</w:t>
      </w:r>
      <w:r w:rsidR="00E47D1A" w:rsidRPr="00260C1D">
        <w:rPr>
          <w:rFonts w:eastAsia="Segoe UI" w:cstheme="minorHAnsi"/>
          <w:color w:val="011A3C"/>
          <w:sz w:val="24"/>
          <w:szCs w:val="24"/>
          <w:lang w:val="en" w:eastAsia="en-AU"/>
        </w:rPr>
        <w:t xml:space="preserve"> </w:t>
      </w:r>
      <w:r w:rsidR="009A205C">
        <w:rPr>
          <w:rFonts w:eastAsia="Segoe UI" w:cstheme="minorHAnsi"/>
          <w:color w:val="011A3C"/>
          <w:sz w:val="24"/>
          <w:szCs w:val="24"/>
          <w:lang w:val="en" w:eastAsia="en-AU"/>
        </w:rPr>
        <w:t>I</w:t>
      </w:r>
      <w:r w:rsidR="00E47D1A" w:rsidRPr="00260C1D">
        <w:rPr>
          <w:rFonts w:eastAsia="Segoe UI" w:cstheme="minorHAnsi"/>
          <w:color w:val="011A3C"/>
          <w:sz w:val="24"/>
          <w:szCs w:val="24"/>
          <w:lang w:val="en" w:eastAsia="en-AU"/>
        </w:rPr>
        <w:t>n 202</w:t>
      </w:r>
      <w:r w:rsidR="00B96026" w:rsidRPr="00260C1D">
        <w:rPr>
          <w:rFonts w:eastAsia="Segoe UI" w:cstheme="minorHAnsi"/>
          <w:color w:val="011A3C"/>
          <w:sz w:val="24"/>
          <w:szCs w:val="24"/>
          <w:lang w:val="en" w:eastAsia="en-AU"/>
        </w:rPr>
        <w:t>3</w:t>
      </w:r>
      <w:r w:rsidR="009A205C">
        <w:rPr>
          <w:rFonts w:eastAsia="Segoe UI" w:cstheme="minorHAnsi"/>
          <w:color w:val="011A3C"/>
          <w:sz w:val="24"/>
          <w:szCs w:val="24"/>
          <w:lang w:val="en" w:eastAsia="en-AU"/>
        </w:rPr>
        <w:t>,</w:t>
      </w:r>
      <w:r w:rsidR="00E47D1A" w:rsidRPr="00260C1D">
        <w:rPr>
          <w:rFonts w:eastAsia="Segoe UI" w:cstheme="minorHAnsi"/>
          <w:color w:val="011A3C"/>
          <w:sz w:val="24"/>
          <w:szCs w:val="24"/>
          <w:lang w:val="en" w:eastAsia="en-AU"/>
        </w:rPr>
        <w:t xml:space="preserve"> </w:t>
      </w:r>
      <w:r w:rsidR="009A205C">
        <w:rPr>
          <w:rFonts w:eastAsia="Segoe UI" w:cstheme="minorHAnsi"/>
          <w:color w:val="011A3C"/>
          <w:sz w:val="24"/>
          <w:szCs w:val="24"/>
          <w:lang w:val="en" w:eastAsia="en-AU"/>
        </w:rPr>
        <w:t>a s</w:t>
      </w:r>
      <w:r w:rsidR="00E47D1A" w:rsidRPr="00260C1D">
        <w:rPr>
          <w:rFonts w:eastAsia="Segoe UI" w:cstheme="minorHAnsi"/>
          <w:color w:val="011A3C"/>
          <w:sz w:val="24"/>
          <w:szCs w:val="24"/>
          <w:lang w:val="en" w:eastAsia="en-AU"/>
        </w:rPr>
        <w:t>chool</w:t>
      </w:r>
      <w:r w:rsidR="009A205C">
        <w:rPr>
          <w:rFonts w:eastAsia="Segoe UI" w:cstheme="minorHAnsi"/>
          <w:color w:val="011A3C"/>
          <w:sz w:val="24"/>
          <w:szCs w:val="24"/>
          <w:lang w:val="en" w:eastAsia="en-AU"/>
        </w:rPr>
        <w:t>’</w:t>
      </w:r>
      <w:r w:rsidR="00E47D1A" w:rsidRPr="00260C1D">
        <w:rPr>
          <w:rFonts w:eastAsia="Segoe UI" w:cstheme="minorHAnsi"/>
          <w:color w:val="011A3C"/>
          <w:sz w:val="24"/>
          <w:szCs w:val="24"/>
          <w:lang w:val="en" w:eastAsia="en-AU"/>
        </w:rPr>
        <w:t xml:space="preserve">s transition funding will represent </w:t>
      </w:r>
      <w:r w:rsidR="003B6FCB" w:rsidRPr="00260C1D">
        <w:rPr>
          <w:rFonts w:eastAsia="Segoe UI" w:cstheme="minorHAnsi"/>
          <w:color w:val="011A3C"/>
          <w:sz w:val="24"/>
          <w:szCs w:val="24"/>
          <w:lang w:val="en" w:eastAsia="en-AU"/>
        </w:rPr>
        <w:t>50</w:t>
      </w:r>
      <w:r w:rsidR="00E47D1A" w:rsidRPr="00260C1D">
        <w:rPr>
          <w:rFonts w:eastAsia="Segoe UI" w:cstheme="minorHAnsi"/>
          <w:color w:val="011A3C"/>
          <w:sz w:val="24"/>
          <w:szCs w:val="24"/>
          <w:lang w:val="en" w:eastAsia="en-AU"/>
        </w:rPr>
        <w:t xml:space="preserve"> per cent of the previous year transition</w:t>
      </w:r>
      <w:r w:rsidRPr="00260C1D">
        <w:rPr>
          <w:rFonts w:eastAsia="Segoe UI" w:cstheme="minorHAnsi"/>
          <w:color w:val="011A3C"/>
          <w:sz w:val="24"/>
          <w:szCs w:val="24"/>
          <w:lang w:val="en" w:eastAsia="en-AU"/>
        </w:rPr>
        <w:t>:</w:t>
      </w:r>
    </w:p>
    <w:tbl>
      <w:tblPr>
        <w:tblStyle w:val="TableGrid11"/>
        <w:tblW w:w="0" w:type="auto"/>
        <w:tblInd w:w="0" w:type="dxa"/>
        <w:tblLook w:val="04A0" w:firstRow="1" w:lastRow="0" w:firstColumn="1" w:lastColumn="0" w:noHBand="0" w:noVBand="1"/>
      </w:tblPr>
      <w:tblGrid>
        <w:gridCol w:w="1195"/>
        <w:gridCol w:w="1195"/>
        <w:gridCol w:w="1280"/>
        <w:gridCol w:w="1281"/>
        <w:gridCol w:w="1195"/>
      </w:tblGrid>
      <w:tr w:rsidR="007E0BC0" w:rsidRPr="00260C1D" w14:paraId="0E83405A" w14:textId="77777777" w:rsidTr="00C71867">
        <w:tc>
          <w:tcPr>
            <w:tcW w:w="0" w:type="dxa"/>
          </w:tcPr>
          <w:p w14:paraId="0188B162" w14:textId="77777777" w:rsidR="007E0BC0" w:rsidRPr="00260C1D" w:rsidRDefault="007E0BC0" w:rsidP="0034555D">
            <w:pPr>
              <w:jc w:val="center"/>
              <w:rPr>
                <w:rFonts w:asciiTheme="minorHAnsi" w:eastAsia="Segoe UI" w:hAnsiTheme="minorHAnsi" w:cstheme="minorHAnsi"/>
                <w:color w:val="011A3C"/>
                <w:sz w:val="24"/>
                <w:lang w:val="en" w:eastAsia="en-AU"/>
              </w:rPr>
            </w:pPr>
            <w:r w:rsidRPr="00260C1D">
              <w:rPr>
                <w:rFonts w:asciiTheme="minorHAnsi" w:eastAsia="Segoe UI" w:hAnsiTheme="minorHAnsi" w:cstheme="minorHAnsi"/>
                <w:color w:val="011A3C"/>
                <w:sz w:val="24"/>
                <w:lang w:val="en" w:eastAsia="en-AU"/>
              </w:rPr>
              <w:t>2021 Transition Funding allocated</w:t>
            </w:r>
          </w:p>
        </w:tc>
        <w:tc>
          <w:tcPr>
            <w:tcW w:w="0" w:type="dxa"/>
          </w:tcPr>
          <w:p w14:paraId="7409B76B" w14:textId="77777777" w:rsidR="007E0BC0" w:rsidRPr="00260C1D" w:rsidRDefault="007E0BC0" w:rsidP="0034555D">
            <w:pPr>
              <w:jc w:val="center"/>
              <w:rPr>
                <w:rFonts w:asciiTheme="minorHAnsi" w:eastAsia="Segoe UI" w:hAnsiTheme="minorHAnsi" w:cstheme="minorHAnsi"/>
                <w:color w:val="011A3C"/>
                <w:sz w:val="24"/>
                <w:lang w:val="en" w:eastAsia="en-AU"/>
              </w:rPr>
            </w:pPr>
            <w:r w:rsidRPr="00260C1D">
              <w:rPr>
                <w:rFonts w:asciiTheme="minorHAnsi" w:eastAsia="Segoe UI" w:hAnsiTheme="minorHAnsi" w:cstheme="minorHAnsi"/>
                <w:color w:val="011A3C"/>
                <w:sz w:val="24"/>
                <w:lang w:val="en" w:eastAsia="en-AU"/>
              </w:rPr>
              <w:t>2022 Transition Funding allocated</w:t>
            </w:r>
          </w:p>
        </w:tc>
        <w:tc>
          <w:tcPr>
            <w:tcW w:w="0" w:type="dxa"/>
          </w:tcPr>
          <w:p w14:paraId="33CE7444" w14:textId="77777777" w:rsidR="007E0BC0" w:rsidRPr="00833928" w:rsidRDefault="007E0BC0" w:rsidP="0034555D">
            <w:pPr>
              <w:jc w:val="center"/>
              <w:rPr>
                <w:rFonts w:asciiTheme="minorHAnsi" w:hAnsiTheme="minorHAnsi"/>
                <w:color w:val="011A3C"/>
                <w:sz w:val="24"/>
                <w:lang w:val="en"/>
              </w:rPr>
            </w:pPr>
            <w:r w:rsidRPr="00833928">
              <w:rPr>
                <w:color w:val="011A3C"/>
                <w:sz w:val="24"/>
                <w:lang w:val="en"/>
              </w:rPr>
              <w:t>2023 Transition Funding allocated</w:t>
            </w:r>
          </w:p>
        </w:tc>
        <w:tc>
          <w:tcPr>
            <w:tcW w:w="0" w:type="dxa"/>
          </w:tcPr>
          <w:p w14:paraId="124F2567" w14:textId="77777777" w:rsidR="007E0BC0" w:rsidRPr="00833928" w:rsidRDefault="007E0BC0" w:rsidP="0034555D">
            <w:pPr>
              <w:jc w:val="center"/>
              <w:rPr>
                <w:rFonts w:asciiTheme="minorHAnsi" w:hAnsiTheme="minorHAnsi"/>
                <w:b/>
                <w:color w:val="011A3C"/>
                <w:sz w:val="24"/>
                <w:lang w:val="en"/>
              </w:rPr>
            </w:pPr>
            <w:r w:rsidRPr="00833928">
              <w:rPr>
                <w:b/>
                <w:color w:val="011A3C"/>
                <w:sz w:val="24"/>
                <w:lang w:val="en"/>
              </w:rPr>
              <w:t>2024 Transition Funding allocated</w:t>
            </w:r>
          </w:p>
        </w:tc>
        <w:tc>
          <w:tcPr>
            <w:tcW w:w="0" w:type="dxa"/>
          </w:tcPr>
          <w:p w14:paraId="015AABF3" w14:textId="06899DA7" w:rsidR="007E0BC0" w:rsidRPr="00260C1D" w:rsidRDefault="007E0BC0" w:rsidP="0034555D">
            <w:pPr>
              <w:jc w:val="center"/>
              <w:rPr>
                <w:rFonts w:asciiTheme="minorHAnsi" w:eastAsia="Segoe UI" w:hAnsiTheme="minorHAnsi" w:cstheme="minorHAnsi"/>
                <w:color w:val="011A3C"/>
                <w:sz w:val="24"/>
                <w:lang w:val="en" w:eastAsia="en-AU"/>
              </w:rPr>
            </w:pPr>
            <w:r w:rsidRPr="00260C1D">
              <w:rPr>
                <w:rFonts w:asciiTheme="minorHAnsi" w:eastAsia="Segoe UI" w:hAnsiTheme="minorHAnsi" w:cstheme="minorHAnsi"/>
                <w:color w:val="011A3C"/>
                <w:sz w:val="24"/>
                <w:lang w:val="en" w:eastAsia="en-AU"/>
              </w:rPr>
              <w:t xml:space="preserve">2025 </w:t>
            </w:r>
            <w:r w:rsidR="00CE4DD7" w:rsidRPr="00260C1D">
              <w:rPr>
                <w:rFonts w:asciiTheme="minorHAnsi" w:eastAsia="Segoe UI" w:hAnsiTheme="minorHAnsi" w:cstheme="minorHAnsi"/>
                <w:color w:val="011A3C"/>
                <w:sz w:val="24"/>
                <w:lang w:val="en" w:eastAsia="en-AU"/>
              </w:rPr>
              <w:t>Transition</w:t>
            </w:r>
            <w:r w:rsidRPr="00260C1D">
              <w:rPr>
                <w:rFonts w:asciiTheme="minorHAnsi" w:eastAsia="Segoe UI" w:hAnsiTheme="minorHAnsi" w:cstheme="minorHAnsi"/>
                <w:color w:val="011A3C"/>
                <w:sz w:val="24"/>
                <w:lang w:val="en" w:eastAsia="en-AU"/>
              </w:rPr>
              <w:t xml:space="preserve"> Funding allocated</w:t>
            </w:r>
          </w:p>
        </w:tc>
      </w:tr>
      <w:tr w:rsidR="007E0BC0" w:rsidRPr="00260C1D" w14:paraId="634119BF" w14:textId="77777777" w:rsidTr="00C71867">
        <w:tc>
          <w:tcPr>
            <w:tcW w:w="0" w:type="dxa"/>
          </w:tcPr>
          <w:p w14:paraId="5C488394" w14:textId="77777777" w:rsidR="007E0BC0" w:rsidRPr="00260C1D" w:rsidRDefault="007E0BC0" w:rsidP="0034555D">
            <w:pPr>
              <w:jc w:val="center"/>
              <w:rPr>
                <w:rFonts w:asciiTheme="minorHAnsi" w:eastAsia="Segoe UI" w:hAnsiTheme="minorHAnsi" w:cstheme="minorHAnsi"/>
                <w:color w:val="011A3C"/>
                <w:sz w:val="24"/>
                <w:lang w:val="en" w:eastAsia="en-AU"/>
              </w:rPr>
            </w:pPr>
            <w:r w:rsidRPr="00260C1D">
              <w:rPr>
                <w:rFonts w:asciiTheme="minorHAnsi" w:eastAsia="Segoe UI" w:hAnsiTheme="minorHAnsi" w:cstheme="minorHAnsi"/>
                <w:color w:val="011A3C"/>
                <w:sz w:val="24"/>
                <w:lang w:val="en" w:eastAsia="en-AU"/>
              </w:rPr>
              <w:t>100%</w:t>
            </w:r>
          </w:p>
        </w:tc>
        <w:tc>
          <w:tcPr>
            <w:tcW w:w="0" w:type="dxa"/>
          </w:tcPr>
          <w:p w14:paraId="64ECA3A9" w14:textId="77777777" w:rsidR="007E0BC0" w:rsidRPr="00260C1D" w:rsidRDefault="007E0BC0" w:rsidP="0034555D">
            <w:pPr>
              <w:jc w:val="center"/>
              <w:rPr>
                <w:rFonts w:asciiTheme="minorHAnsi" w:eastAsia="Segoe UI" w:hAnsiTheme="minorHAnsi" w:cstheme="minorHAnsi"/>
                <w:color w:val="011A3C"/>
                <w:sz w:val="24"/>
                <w:lang w:val="en" w:eastAsia="en-AU"/>
              </w:rPr>
            </w:pPr>
            <w:r w:rsidRPr="00260C1D">
              <w:rPr>
                <w:rFonts w:asciiTheme="minorHAnsi" w:eastAsia="Segoe UI" w:hAnsiTheme="minorHAnsi" w:cstheme="minorHAnsi"/>
                <w:color w:val="011A3C"/>
                <w:sz w:val="24"/>
                <w:lang w:val="en" w:eastAsia="en-AU"/>
              </w:rPr>
              <w:t>75%</w:t>
            </w:r>
          </w:p>
        </w:tc>
        <w:tc>
          <w:tcPr>
            <w:tcW w:w="0" w:type="dxa"/>
          </w:tcPr>
          <w:p w14:paraId="654F7949" w14:textId="77777777" w:rsidR="007E0BC0" w:rsidRPr="00833928" w:rsidRDefault="007E0BC0" w:rsidP="0034555D">
            <w:pPr>
              <w:jc w:val="center"/>
              <w:rPr>
                <w:rFonts w:asciiTheme="minorHAnsi" w:hAnsiTheme="minorHAnsi"/>
                <w:color w:val="011A3C"/>
                <w:sz w:val="24"/>
                <w:lang w:val="en"/>
              </w:rPr>
            </w:pPr>
            <w:r w:rsidRPr="00833928">
              <w:rPr>
                <w:color w:val="011A3C"/>
                <w:sz w:val="24"/>
                <w:lang w:val="en"/>
              </w:rPr>
              <w:t>50%</w:t>
            </w:r>
          </w:p>
        </w:tc>
        <w:tc>
          <w:tcPr>
            <w:tcW w:w="0" w:type="dxa"/>
          </w:tcPr>
          <w:p w14:paraId="34ECDF21" w14:textId="77777777" w:rsidR="007E0BC0" w:rsidRPr="00833928" w:rsidRDefault="007E0BC0" w:rsidP="0034555D">
            <w:pPr>
              <w:jc w:val="center"/>
              <w:rPr>
                <w:rFonts w:asciiTheme="minorHAnsi" w:hAnsiTheme="minorHAnsi"/>
                <w:b/>
                <w:color w:val="011A3C"/>
                <w:sz w:val="24"/>
                <w:lang w:val="en"/>
              </w:rPr>
            </w:pPr>
            <w:r w:rsidRPr="00833928">
              <w:rPr>
                <w:b/>
                <w:color w:val="011A3C"/>
                <w:sz w:val="24"/>
                <w:lang w:val="en"/>
              </w:rPr>
              <w:t>25%</w:t>
            </w:r>
          </w:p>
        </w:tc>
        <w:tc>
          <w:tcPr>
            <w:tcW w:w="0" w:type="dxa"/>
          </w:tcPr>
          <w:p w14:paraId="7E38C742" w14:textId="77777777" w:rsidR="007E0BC0" w:rsidRPr="00260C1D" w:rsidRDefault="007E0BC0" w:rsidP="0034555D">
            <w:pPr>
              <w:jc w:val="center"/>
              <w:rPr>
                <w:rFonts w:asciiTheme="minorHAnsi" w:eastAsia="Segoe UI" w:hAnsiTheme="minorHAnsi" w:cstheme="minorHAnsi"/>
                <w:color w:val="011A3C"/>
                <w:sz w:val="24"/>
                <w:lang w:val="en" w:eastAsia="en-AU"/>
              </w:rPr>
            </w:pPr>
            <w:r w:rsidRPr="00260C1D">
              <w:rPr>
                <w:rFonts w:asciiTheme="minorHAnsi" w:eastAsia="Segoe UI" w:hAnsiTheme="minorHAnsi" w:cstheme="minorHAnsi"/>
                <w:color w:val="011A3C"/>
                <w:sz w:val="24"/>
                <w:lang w:val="en" w:eastAsia="en-AU"/>
              </w:rPr>
              <w:t>0%</w:t>
            </w:r>
          </w:p>
        </w:tc>
      </w:tr>
    </w:tbl>
    <w:p w14:paraId="5385AE72" w14:textId="77777777" w:rsidR="007E0BC0" w:rsidRPr="00260C1D" w:rsidRDefault="007E0BC0" w:rsidP="007E0BC0">
      <w:pPr>
        <w:rPr>
          <w:rFonts w:eastAsia="Segoe UI" w:cstheme="minorHAnsi"/>
          <w:color w:val="011A3C"/>
          <w:sz w:val="24"/>
          <w:szCs w:val="24"/>
          <w:lang w:val="en" w:eastAsia="en-AU"/>
        </w:rPr>
      </w:pPr>
    </w:p>
    <w:p w14:paraId="4A822122" w14:textId="77777777" w:rsidR="007E0BC0" w:rsidRPr="00260C1D" w:rsidRDefault="007E0BC0" w:rsidP="007E0BC0">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Example: Transition Funding (Rural) for a school is calculated as follows:</w:t>
      </w:r>
    </w:p>
    <w:p w14:paraId="7D3DE765" w14:textId="77777777" w:rsidR="007E0BC0" w:rsidRPr="00260C1D" w:rsidRDefault="007E0BC0" w:rsidP="007E0BC0">
      <w:pPr>
        <w:rPr>
          <w:rFonts w:eastAsia="Segoe UI" w:cstheme="minorHAnsi"/>
          <w:color w:val="011A3C"/>
          <w:sz w:val="24"/>
          <w:szCs w:val="24"/>
          <w:lang w:val="en" w:eastAsia="en-AU"/>
        </w:rPr>
      </w:pPr>
      <w:r w:rsidRPr="00260C1D">
        <w:rPr>
          <w:rFonts w:eastAsia="Segoe UI" w:cstheme="minorHAnsi"/>
          <w:color w:val="011A3C"/>
          <w:sz w:val="24"/>
          <w:szCs w:val="24"/>
          <w:lang w:val="en" w:eastAsia="en-AU"/>
        </w:rPr>
        <w:t>A school with numbers in the table below satisfies the eligibility conditions.</w:t>
      </w:r>
    </w:p>
    <w:tbl>
      <w:tblPr>
        <w:tblStyle w:val="TableGrid11"/>
        <w:tblW w:w="0" w:type="auto"/>
        <w:tblInd w:w="0" w:type="dxa"/>
        <w:tblLook w:val="04A0" w:firstRow="1" w:lastRow="0" w:firstColumn="1" w:lastColumn="0" w:noHBand="0" w:noVBand="1"/>
      </w:tblPr>
      <w:tblGrid>
        <w:gridCol w:w="1164"/>
        <w:gridCol w:w="4596"/>
        <w:gridCol w:w="1495"/>
        <w:gridCol w:w="3201"/>
      </w:tblGrid>
      <w:tr w:rsidR="007E0BC0" w:rsidRPr="00260C1D" w14:paraId="6CB5EA81" w14:textId="77777777" w:rsidTr="00C71867">
        <w:trPr>
          <w:trHeight w:val="300"/>
        </w:trPr>
        <w:tc>
          <w:tcPr>
            <w:tcW w:w="0" w:type="auto"/>
            <w:vMerge w:val="restart"/>
            <w:noWrap/>
            <w:hideMark/>
          </w:tcPr>
          <w:p w14:paraId="4AE309EC" w14:textId="77777777" w:rsidR="007E0BC0" w:rsidRPr="00260C1D" w:rsidRDefault="007E0BC0" w:rsidP="0034555D">
            <w:pPr>
              <w:spacing w:after="0" w:line="240" w:lineRule="auto"/>
              <w:jc w:val="center"/>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2020</w:t>
            </w:r>
          </w:p>
        </w:tc>
        <w:tc>
          <w:tcPr>
            <w:tcW w:w="0" w:type="auto"/>
            <w:noWrap/>
            <w:hideMark/>
          </w:tcPr>
          <w:p w14:paraId="030082DF" w14:textId="77777777" w:rsidR="007E0BC0" w:rsidRPr="00260C1D" w:rsidRDefault="007E0BC0" w:rsidP="0034555D">
            <w:pPr>
              <w:spacing w:after="0" w:line="240" w:lineRule="auto"/>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Total SRP less rural items</w:t>
            </w:r>
          </w:p>
        </w:tc>
        <w:tc>
          <w:tcPr>
            <w:tcW w:w="0" w:type="auto"/>
            <w:noWrap/>
            <w:hideMark/>
          </w:tcPr>
          <w:p w14:paraId="45A95A36" w14:textId="77777777" w:rsidR="007E0BC0" w:rsidRPr="00260C1D" w:rsidRDefault="007E0BC0" w:rsidP="0034555D">
            <w:pPr>
              <w:spacing w:after="0" w:line="240" w:lineRule="auto"/>
              <w:rPr>
                <w:rFonts w:asciiTheme="minorHAnsi" w:eastAsia="Segoe UI" w:hAnsiTheme="minorHAnsi" w:cstheme="minorHAnsi"/>
                <w:color w:val="000000"/>
                <w:sz w:val="24"/>
                <w:szCs w:val="24"/>
                <w:lang w:eastAsia="en-AU"/>
              </w:rPr>
            </w:pPr>
            <w:r w:rsidRPr="00260C1D">
              <w:rPr>
                <w:rFonts w:asciiTheme="minorHAnsi" w:eastAsia="Segoe UI" w:hAnsiTheme="minorHAnsi" w:cstheme="minorHAnsi"/>
                <w:color w:val="000000"/>
                <w:sz w:val="24"/>
                <w:szCs w:val="24"/>
                <w:lang w:eastAsia="en-AU"/>
              </w:rPr>
              <w:t xml:space="preserve"> $  1,300,000 </w:t>
            </w:r>
          </w:p>
        </w:tc>
        <w:tc>
          <w:tcPr>
            <w:tcW w:w="0" w:type="auto"/>
            <w:noWrap/>
            <w:hideMark/>
          </w:tcPr>
          <w:p w14:paraId="0CF6A21D" w14:textId="77777777" w:rsidR="007E0BC0" w:rsidRPr="00260C1D" w:rsidRDefault="007E0BC0" w:rsidP="0034555D">
            <w:pPr>
              <w:spacing w:after="0" w:line="240" w:lineRule="auto"/>
              <w:jc w:val="center"/>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A</w:t>
            </w:r>
          </w:p>
        </w:tc>
      </w:tr>
      <w:tr w:rsidR="007E0BC0" w:rsidRPr="00260C1D" w14:paraId="2E4C2851" w14:textId="77777777" w:rsidTr="00C71867">
        <w:trPr>
          <w:trHeight w:val="300"/>
        </w:trPr>
        <w:tc>
          <w:tcPr>
            <w:tcW w:w="0" w:type="auto"/>
            <w:vMerge/>
            <w:hideMark/>
          </w:tcPr>
          <w:p w14:paraId="19F24B01" w14:textId="77777777" w:rsidR="007E0BC0" w:rsidRPr="00260C1D" w:rsidRDefault="007E0BC0" w:rsidP="0034555D">
            <w:pPr>
              <w:spacing w:after="0" w:line="240" w:lineRule="auto"/>
              <w:rPr>
                <w:rFonts w:asciiTheme="minorHAnsi" w:eastAsia="Segoe UI" w:hAnsiTheme="minorHAnsi" w:cstheme="minorHAnsi"/>
                <w:sz w:val="24"/>
                <w:szCs w:val="24"/>
                <w:lang w:eastAsia="en-AU"/>
              </w:rPr>
            </w:pPr>
          </w:p>
        </w:tc>
        <w:tc>
          <w:tcPr>
            <w:tcW w:w="0" w:type="auto"/>
            <w:noWrap/>
            <w:hideMark/>
          </w:tcPr>
          <w:p w14:paraId="7F342DD1" w14:textId="77777777" w:rsidR="007E0BC0" w:rsidRPr="00260C1D" w:rsidRDefault="007E0BC0" w:rsidP="0034555D">
            <w:pPr>
              <w:spacing w:after="0" w:line="240" w:lineRule="auto"/>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Rural items no longer eligible (RSAF/LIF/CAP)</w:t>
            </w:r>
          </w:p>
        </w:tc>
        <w:tc>
          <w:tcPr>
            <w:tcW w:w="0" w:type="auto"/>
            <w:noWrap/>
            <w:hideMark/>
          </w:tcPr>
          <w:p w14:paraId="0FCE9D92" w14:textId="77777777" w:rsidR="007E0BC0" w:rsidRPr="00260C1D" w:rsidRDefault="007E0BC0" w:rsidP="0034555D">
            <w:pPr>
              <w:spacing w:after="0" w:line="240" w:lineRule="auto"/>
              <w:rPr>
                <w:rFonts w:asciiTheme="minorHAnsi" w:eastAsia="Segoe UI" w:hAnsiTheme="minorHAnsi" w:cstheme="minorHAnsi"/>
                <w:color w:val="000000"/>
                <w:sz w:val="24"/>
                <w:szCs w:val="24"/>
                <w:lang w:eastAsia="en-AU"/>
              </w:rPr>
            </w:pPr>
            <w:r w:rsidRPr="00260C1D">
              <w:rPr>
                <w:rFonts w:asciiTheme="minorHAnsi" w:eastAsia="Segoe UI" w:hAnsiTheme="minorHAnsi" w:cstheme="minorHAnsi"/>
                <w:color w:val="000000"/>
                <w:sz w:val="24"/>
                <w:szCs w:val="24"/>
                <w:lang w:eastAsia="en-AU"/>
              </w:rPr>
              <w:t xml:space="preserve"> $     200,000 </w:t>
            </w:r>
          </w:p>
        </w:tc>
        <w:tc>
          <w:tcPr>
            <w:tcW w:w="0" w:type="auto"/>
            <w:noWrap/>
            <w:hideMark/>
          </w:tcPr>
          <w:p w14:paraId="047F9A39" w14:textId="77777777" w:rsidR="007E0BC0" w:rsidRPr="00260C1D" w:rsidRDefault="007E0BC0" w:rsidP="0034555D">
            <w:pPr>
              <w:spacing w:after="0" w:line="240" w:lineRule="auto"/>
              <w:jc w:val="center"/>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B</w:t>
            </w:r>
          </w:p>
        </w:tc>
      </w:tr>
      <w:tr w:rsidR="007E0BC0" w:rsidRPr="00260C1D" w14:paraId="2A47A357" w14:textId="77777777" w:rsidTr="00C71867">
        <w:trPr>
          <w:trHeight w:val="300"/>
        </w:trPr>
        <w:tc>
          <w:tcPr>
            <w:tcW w:w="0" w:type="auto"/>
            <w:vMerge/>
            <w:hideMark/>
          </w:tcPr>
          <w:p w14:paraId="3AB37A53" w14:textId="77777777" w:rsidR="007E0BC0" w:rsidRPr="00260C1D" w:rsidRDefault="007E0BC0" w:rsidP="0034555D">
            <w:pPr>
              <w:spacing w:after="0" w:line="240" w:lineRule="auto"/>
              <w:rPr>
                <w:rFonts w:asciiTheme="minorHAnsi" w:eastAsia="Segoe UI" w:hAnsiTheme="minorHAnsi" w:cstheme="minorHAnsi"/>
                <w:sz w:val="24"/>
                <w:szCs w:val="24"/>
                <w:lang w:eastAsia="en-AU"/>
              </w:rPr>
            </w:pPr>
          </w:p>
        </w:tc>
        <w:tc>
          <w:tcPr>
            <w:tcW w:w="0" w:type="auto"/>
            <w:noWrap/>
            <w:hideMark/>
          </w:tcPr>
          <w:p w14:paraId="1268A642" w14:textId="77777777" w:rsidR="007E0BC0" w:rsidRPr="00260C1D" w:rsidRDefault="007E0BC0" w:rsidP="0034555D">
            <w:pPr>
              <w:spacing w:after="0" w:line="240" w:lineRule="auto"/>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Total SRP 2020</w:t>
            </w:r>
          </w:p>
        </w:tc>
        <w:tc>
          <w:tcPr>
            <w:tcW w:w="0" w:type="auto"/>
            <w:noWrap/>
            <w:hideMark/>
          </w:tcPr>
          <w:p w14:paraId="53BEFF3A" w14:textId="77777777" w:rsidR="007E0BC0" w:rsidRPr="00260C1D" w:rsidRDefault="007E0BC0" w:rsidP="0034555D">
            <w:pPr>
              <w:spacing w:after="0" w:line="240" w:lineRule="auto"/>
              <w:rPr>
                <w:rFonts w:asciiTheme="minorHAnsi" w:eastAsia="Segoe UI" w:hAnsiTheme="minorHAnsi" w:cstheme="minorHAnsi"/>
                <w:color w:val="000000"/>
                <w:sz w:val="24"/>
                <w:szCs w:val="24"/>
                <w:lang w:eastAsia="en-AU"/>
              </w:rPr>
            </w:pPr>
            <w:r w:rsidRPr="00260C1D">
              <w:rPr>
                <w:rFonts w:asciiTheme="minorHAnsi" w:eastAsia="Segoe UI" w:hAnsiTheme="minorHAnsi" w:cstheme="minorHAnsi"/>
                <w:color w:val="000000"/>
                <w:sz w:val="24"/>
                <w:szCs w:val="24"/>
                <w:lang w:eastAsia="en-AU"/>
              </w:rPr>
              <w:t xml:space="preserve"> $  1,500,000 </w:t>
            </w:r>
          </w:p>
        </w:tc>
        <w:tc>
          <w:tcPr>
            <w:tcW w:w="0" w:type="auto"/>
            <w:noWrap/>
            <w:hideMark/>
          </w:tcPr>
          <w:p w14:paraId="61523853" w14:textId="77777777" w:rsidR="007E0BC0" w:rsidRPr="00260C1D" w:rsidRDefault="007E0BC0" w:rsidP="0034555D">
            <w:pPr>
              <w:spacing w:after="0" w:line="240" w:lineRule="auto"/>
              <w:jc w:val="center"/>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C</w:t>
            </w:r>
          </w:p>
        </w:tc>
      </w:tr>
      <w:tr w:rsidR="007E0BC0" w:rsidRPr="00260C1D" w14:paraId="4C7DE936" w14:textId="77777777" w:rsidTr="00C71867">
        <w:trPr>
          <w:trHeight w:val="300"/>
        </w:trPr>
        <w:tc>
          <w:tcPr>
            <w:tcW w:w="0" w:type="auto"/>
            <w:vMerge w:val="restart"/>
            <w:hideMark/>
          </w:tcPr>
          <w:p w14:paraId="19521C9F" w14:textId="77777777" w:rsidR="007E0BC0" w:rsidRPr="00260C1D" w:rsidRDefault="007E0BC0" w:rsidP="0034555D">
            <w:pPr>
              <w:spacing w:after="0" w:line="240" w:lineRule="auto"/>
              <w:jc w:val="center"/>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 xml:space="preserve">2021 </w:t>
            </w:r>
            <w:r w:rsidRPr="00260C1D">
              <w:rPr>
                <w:rFonts w:asciiTheme="minorHAnsi" w:eastAsia="Segoe UI" w:hAnsiTheme="minorHAnsi" w:cstheme="minorHAnsi"/>
                <w:sz w:val="24"/>
                <w:szCs w:val="24"/>
                <w:lang w:eastAsia="en-AU"/>
              </w:rPr>
              <w:br/>
              <w:t>Indicative</w:t>
            </w:r>
          </w:p>
        </w:tc>
        <w:tc>
          <w:tcPr>
            <w:tcW w:w="0" w:type="auto"/>
            <w:noWrap/>
            <w:hideMark/>
          </w:tcPr>
          <w:p w14:paraId="7E20B555" w14:textId="77777777" w:rsidR="007E0BC0" w:rsidRPr="00260C1D" w:rsidRDefault="007E0BC0" w:rsidP="0034555D">
            <w:pPr>
              <w:spacing w:after="0" w:line="240" w:lineRule="auto"/>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Total SRP before Transition 2021</w:t>
            </w:r>
          </w:p>
        </w:tc>
        <w:tc>
          <w:tcPr>
            <w:tcW w:w="0" w:type="auto"/>
            <w:noWrap/>
            <w:hideMark/>
          </w:tcPr>
          <w:p w14:paraId="47D97936" w14:textId="77777777" w:rsidR="007E0BC0" w:rsidRPr="00260C1D" w:rsidRDefault="007E0BC0" w:rsidP="0034555D">
            <w:pPr>
              <w:spacing w:after="0" w:line="240" w:lineRule="auto"/>
              <w:rPr>
                <w:rFonts w:asciiTheme="minorHAnsi" w:eastAsia="Segoe UI" w:hAnsiTheme="minorHAnsi" w:cstheme="minorHAnsi"/>
                <w:color w:val="000000"/>
                <w:sz w:val="24"/>
                <w:szCs w:val="24"/>
                <w:lang w:eastAsia="en-AU"/>
              </w:rPr>
            </w:pPr>
            <w:r w:rsidRPr="00260C1D">
              <w:rPr>
                <w:rFonts w:asciiTheme="minorHAnsi" w:eastAsia="Segoe UI" w:hAnsiTheme="minorHAnsi" w:cstheme="minorHAnsi"/>
                <w:color w:val="000000"/>
                <w:sz w:val="24"/>
                <w:szCs w:val="24"/>
                <w:lang w:eastAsia="en-AU"/>
              </w:rPr>
              <w:t xml:space="preserve"> $  1,200,000 </w:t>
            </w:r>
          </w:p>
        </w:tc>
        <w:tc>
          <w:tcPr>
            <w:tcW w:w="0" w:type="auto"/>
            <w:noWrap/>
            <w:hideMark/>
          </w:tcPr>
          <w:p w14:paraId="7D0BE5DA" w14:textId="77777777" w:rsidR="007E0BC0" w:rsidRPr="00260C1D" w:rsidRDefault="007E0BC0" w:rsidP="0034555D">
            <w:pPr>
              <w:spacing w:after="0" w:line="240" w:lineRule="auto"/>
              <w:jc w:val="center"/>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D</w:t>
            </w:r>
          </w:p>
        </w:tc>
      </w:tr>
      <w:tr w:rsidR="007E0BC0" w:rsidRPr="00260C1D" w14:paraId="38A0472D" w14:textId="77777777" w:rsidTr="00C71867">
        <w:trPr>
          <w:trHeight w:val="300"/>
        </w:trPr>
        <w:tc>
          <w:tcPr>
            <w:tcW w:w="0" w:type="auto"/>
            <w:vMerge/>
            <w:hideMark/>
          </w:tcPr>
          <w:p w14:paraId="156890C4" w14:textId="77777777" w:rsidR="007E0BC0" w:rsidRPr="00260C1D" w:rsidRDefault="007E0BC0" w:rsidP="0034555D">
            <w:pPr>
              <w:spacing w:after="0" w:line="240" w:lineRule="auto"/>
              <w:rPr>
                <w:rFonts w:asciiTheme="minorHAnsi" w:eastAsia="Segoe UI" w:hAnsiTheme="minorHAnsi" w:cstheme="minorHAnsi"/>
                <w:sz w:val="24"/>
                <w:szCs w:val="24"/>
                <w:lang w:eastAsia="en-AU"/>
              </w:rPr>
            </w:pPr>
          </w:p>
        </w:tc>
        <w:tc>
          <w:tcPr>
            <w:tcW w:w="0" w:type="auto"/>
            <w:noWrap/>
            <w:hideMark/>
          </w:tcPr>
          <w:p w14:paraId="67866201" w14:textId="0A588CB3" w:rsidR="007E0BC0" w:rsidRPr="00260C1D" w:rsidRDefault="007E0BC0" w:rsidP="0034555D">
            <w:pPr>
              <w:spacing w:after="0" w:line="240" w:lineRule="auto"/>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2020 SRP - 2021 SRP (w</w:t>
            </w:r>
            <w:r w:rsidR="003B6876">
              <w:rPr>
                <w:rFonts w:asciiTheme="minorHAnsi" w:eastAsia="Segoe UI" w:hAnsiTheme="minorHAnsi" w:cstheme="minorHAnsi"/>
                <w:sz w:val="24"/>
                <w:szCs w:val="24"/>
                <w:lang w:eastAsia="en-AU"/>
              </w:rPr>
              <w:t>ithout</w:t>
            </w:r>
            <w:r w:rsidRPr="00260C1D">
              <w:rPr>
                <w:rFonts w:asciiTheme="minorHAnsi" w:eastAsia="Segoe UI" w:hAnsiTheme="minorHAnsi" w:cstheme="minorHAnsi"/>
                <w:sz w:val="24"/>
                <w:szCs w:val="24"/>
                <w:lang w:eastAsia="en-AU"/>
              </w:rPr>
              <w:t xml:space="preserve"> transition)</w:t>
            </w:r>
          </w:p>
        </w:tc>
        <w:tc>
          <w:tcPr>
            <w:tcW w:w="0" w:type="auto"/>
            <w:noWrap/>
            <w:hideMark/>
          </w:tcPr>
          <w:p w14:paraId="296AA00C" w14:textId="77777777" w:rsidR="007E0BC0" w:rsidRPr="00260C1D" w:rsidRDefault="007E0BC0" w:rsidP="0034555D">
            <w:pPr>
              <w:spacing w:after="0" w:line="240" w:lineRule="auto"/>
              <w:rPr>
                <w:rFonts w:asciiTheme="minorHAnsi" w:eastAsia="Segoe UI" w:hAnsiTheme="minorHAnsi" w:cstheme="minorHAnsi"/>
                <w:color w:val="000000"/>
                <w:sz w:val="24"/>
                <w:szCs w:val="24"/>
                <w:lang w:eastAsia="en-AU"/>
              </w:rPr>
            </w:pPr>
            <w:r w:rsidRPr="00260C1D">
              <w:rPr>
                <w:rFonts w:asciiTheme="minorHAnsi" w:eastAsia="Segoe UI" w:hAnsiTheme="minorHAnsi" w:cstheme="minorHAnsi"/>
                <w:color w:val="000000"/>
                <w:sz w:val="24"/>
                <w:szCs w:val="24"/>
                <w:lang w:eastAsia="en-AU"/>
              </w:rPr>
              <w:t xml:space="preserve"> $     300,000 </w:t>
            </w:r>
          </w:p>
        </w:tc>
        <w:tc>
          <w:tcPr>
            <w:tcW w:w="0" w:type="auto"/>
            <w:noWrap/>
            <w:hideMark/>
          </w:tcPr>
          <w:p w14:paraId="7A8AC479" w14:textId="77777777" w:rsidR="007E0BC0" w:rsidRPr="00260C1D" w:rsidRDefault="007E0BC0" w:rsidP="0034555D">
            <w:pPr>
              <w:spacing w:after="0" w:line="240" w:lineRule="auto"/>
              <w:jc w:val="center"/>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E</w:t>
            </w:r>
          </w:p>
        </w:tc>
      </w:tr>
      <w:tr w:rsidR="007E0BC0" w:rsidRPr="00260C1D" w14:paraId="55393AF9" w14:textId="77777777" w:rsidTr="00C71867">
        <w:trPr>
          <w:trHeight w:val="300"/>
        </w:trPr>
        <w:tc>
          <w:tcPr>
            <w:tcW w:w="0" w:type="auto"/>
            <w:vMerge/>
            <w:hideMark/>
          </w:tcPr>
          <w:p w14:paraId="77D74E81" w14:textId="77777777" w:rsidR="007E0BC0" w:rsidRPr="00260C1D" w:rsidRDefault="007E0BC0" w:rsidP="0034555D">
            <w:pPr>
              <w:spacing w:after="0" w:line="240" w:lineRule="auto"/>
              <w:rPr>
                <w:rFonts w:asciiTheme="minorHAnsi" w:eastAsia="Segoe UI" w:hAnsiTheme="minorHAnsi" w:cstheme="minorHAnsi"/>
                <w:sz w:val="24"/>
                <w:szCs w:val="24"/>
                <w:lang w:eastAsia="en-AU"/>
              </w:rPr>
            </w:pPr>
          </w:p>
        </w:tc>
        <w:tc>
          <w:tcPr>
            <w:tcW w:w="0" w:type="auto"/>
            <w:noWrap/>
            <w:hideMark/>
          </w:tcPr>
          <w:p w14:paraId="19EB9DCE" w14:textId="021A5279" w:rsidR="007E0BC0" w:rsidRPr="00260C1D" w:rsidRDefault="007E0BC0" w:rsidP="0034555D">
            <w:pPr>
              <w:spacing w:after="0" w:line="240" w:lineRule="auto"/>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 xml:space="preserve">Transition </w:t>
            </w:r>
            <w:r w:rsidR="000E5896">
              <w:rPr>
                <w:rFonts w:asciiTheme="minorHAnsi" w:eastAsia="Segoe UI" w:hAnsiTheme="minorHAnsi" w:cstheme="minorHAnsi"/>
                <w:sz w:val="24"/>
                <w:szCs w:val="24"/>
                <w:lang w:eastAsia="en-AU"/>
              </w:rPr>
              <w:t>a</w:t>
            </w:r>
            <w:r w:rsidRPr="00260C1D">
              <w:rPr>
                <w:rFonts w:asciiTheme="minorHAnsi" w:eastAsia="Segoe UI" w:hAnsiTheme="minorHAnsi" w:cstheme="minorHAnsi"/>
                <w:sz w:val="24"/>
                <w:szCs w:val="24"/>
                <w:lang w:eastAsia="en-AU"/>
              </w:rPr>
              <w:t>mount</w:t>
            </w:r>
          </w:p>
        </w:tc>
        <w:tc>
          <w:tcPr>
            <w:tcW w:w="0" w:type="auto"/>
            <w:noWrap/>
            <w:hideMark/>
          </w:tcPr>
          <w:p w14:paraId="7F11B3E2" w14:textId="77777777" w:rsidR="007E0BC0" w:rsidRPr="00260C1D" w:rsidRDefault="007E0BC0" w:rsidP="0034555D">
            <w:pPr>
              <w:spacing w:after="0" w:line="240" w:lineRule="auto"/>
              <w:rPr>
                <w:rFonts w:asciiTheme="minorHAnsi" w:eastAsia="Segoe UI" w:hAnsiTheme="minorHAnsi" w:cstheme="minorHAnsi"/>
                <w:color w:val="000000"/>
                <w:sz w:val="24"/>
                <w:szCs w:val="24"/>
                <w:lang w:eastAsia="en-AU"/>
              </w:rPr>
            </w:pPr>
            <w:r w:rsidRPr="00260C1D">
              <w:rPr>
                <w:rFonts w:asciiTheme="minorHAnsi" w:eastAsia="Segoe UI" w:hAnsiTheme="minorHAnsi" w:cstheme="minorHAnsi"/>
                <w:color w:val="000000"/>
                <w:sz w:val="24"/>
                <w:szCs w:val="24"/>
                <w:lang w:eastAsia="en-AU"/>
              </w:rPr>
              <w:t xml:space="preserve"> $     200,000 </w:t>
            </w:r>
          </w:p>
        </w:tc>
        <w:tc>
          <w:tcPr>
            <w:tcW w:w="0" w:type="auto"/>
            <w:noWrap/>
            <w:hideMark/>
          </w:tcPr>
          <w:p w14:paraId="652EF350" w14:textId="77777777" w:rsidR="007E0BC0" w:rsidRPr="00260C1D" w:rsidRDefault="007E0BC0" w:rsidP="0034555D">
            <w:pPr>
              <w:spacing w:after="0" w:line="240" w:lineRule="auto"/>
              <w:jc w:val="center"/>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F</w:t>
            </w:r>
          </w:p>
        </w:tc>
      </w:tr>
      <w:tr w:rsidR="007E0BC0" w:rsidRPr="00260C1D" w14:paraId="6A31AF8F" w14:textId="77777777" w:rsidTr="00C71867">
        <w:trPr>
          <w:trHeight w:val="300"/>
        </w:trPr>
        <w:tc>
          <w:tcPr>
            <w:tcW w:w="0" w:type="auto"/>
            <w:vMerge/>
            <w:hideMark/>
          </w:tcPr>
          <w:p w14:paraId="0F98466A" w14:textId="77777777" w:rsidR="007E0BC0" w:rsidRPr="00260C1D" w:rsidRDefault="007E0BC0" w:rsidP="0034555D">
            <w:pPr>
              <w:spacing w:after="0" w:line="240" w:lineRule="auto"/>
              <w:rPr>
                <w:rFonts w:asciiTheme="minorHAnsi" w:eastAsia="Segoe UI" w:hAnsiTheme="minorHAnsi" w:cstheme="minorHAnsi"/>
                <w:sz w:val="24"/>
                <w:szCs w:val="24"/>
                <w:lang w:eastAsia="en-AU"/>
              </w:rPr>
            </w:pPr>
          </w:p>
        </w:tc>
        <w:tc>
          <w:tcPr>
            <w:tcW w:w="0" w:type="auto"/>
            <w:noWrap/>
            <w:hideMark/>
          </w:tcPr>
          <w:p w14:paraId="5FD20FD2" w14:textId="77777777" w:rsidR="007E0BC0" w:rsidRPr="00260C1D" w:rsidRDefault="007E0BC0" w:rsidP="0034555D">
            <w:pPr>
              <w:spacing w:after="0" w:line="240" w:lineRule="auto"/>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Total 2021 SRP with NEW TRANSITION</w:t>
            </w:r>
          </w:p>
        </w:tc>
        <w:tc>
          <w:tcPr>
            <w:tcW w:w="0" w:type="auto"/>
            <w:noWrap/>
            <w:hideMark/>
          </w:tcPr>
          <w:p w14:paraId="18B5D7CA" w14:textId="77777777" w:rsidR="007E0BC0" w:rsidRPr="00260C1D" w:rsidRDefault="007E0BC0" w:rsidP="0034555D">
            <w:pPr>
              <w:spacing w:after="0" w:line="240" w:lineRule="auto"/>
              <w:rPr>
                <w:rFonts w:asciiTheme="minorHAnsi" w:eastAsia="Segoe UI" w:hAnsiTheme="minorHAnsi" w:cstheme="minorHAnsi"/>
                <w:color w:val="000000"/>
                <w:sz w:val="24"/>
                <w:szCs w:val="24"/>
                <w:lang w:eastAsia="en-AU"/>
              </w:rPr>
            </w:pPr>
            <w:r w:rsidRPr="00260C1D">
              <w:rPr>
                <w:rFonts w:asciiTheme="minorHAnsi" w:eastAsia="Segoe UI" w:hAnsiTheme="minorHAnsi" w:cstheme="minorHAnsi"/>
                <w:color w:val="000000"/>
                <w:sz w:val="24"/>
                <w:szCs w:val="24"/>
                <w:lang w:eastAsia="en-AU"/>
              </w:rPr>
              <w:t xml:space="preserve"> $  1,400,000 </w:t>
            </w:r>
          </w:p>
        </w:tc>
        <w:tc>
          <w:tcPr>
            <w:tcW w:w="0" w:type="auto"/>
            <w:noWrap/>
            <w:hideMark/>
          </w:tcPr>
          <w:p w14:paraId="13241476" w14:textId="77777777" w:rsidR="007E0BC0" w:rsidRPr="00260C1D" w:rsidRDefault="007E0BC0" w:rsidP="0034555D">
            <w:pPr>
              <w:spacing w:after="0" w:line="240" w:lineRule="auto"/>
              <w:jc w:val="center"/>
              <w:rPr>
                <w:rFonts w:asciiTheme="minorHAnsi" w:eastAsia="Segoe UI" w:hAnsiTheme="minorHAnsi" w:cstheme="minorHAnsi"/>
                <w:sz w:val="24"/>
                <w:szCs w:val="24"/>
                <w:lang w:eastAsia="en-AU"/>
              </w:rPr>
            </w:pPr>
          </w:p>
        </w:tc>
      </w:tr>
      <w:tr w:rsidR="007E0BC0" w:rsidRPr="00260C1D" w14:paraId="546DB9F8" w14:textId="77777777" w:rsidTr="00C71867">
        <w:trPr>
          <w:trHeight w:val="300"/>
        </w:trPr>
        <w:tc>
          <w:tcPr>
            <w:tcW w:w="0" w:type="auto"/>
            <w:noWrap/>
            <w:hideMark/>
          </w:tcPr>
          <w:p w14:paraId="0F28DFBD" w14:textId="77777777" w:rsidR="007E0BC0" w:rsidRPr="00260C1D" w:rsidRDefault="007E0BC0" w:rsidP="0034555D">
            <w:pPr>
              <w:spacing w:after="0" w:line="240" w:lineRule="auto"/>
              <w:jc w:val="center"/>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100%</w:t>
            </w:r>
          </w:p>
        </w:tc>
        <w:tc>
          <w:tcPr>
            <w:tcW w:w="0" w:type="auto"/>
            <w:noWrap/>
            <w:hideMark/>
          </w:tcPr>
          <w:p w14:paraId="2E1C0085" w14:textId="78C4A1FA" w:rsidR="007E0BC0" w:rsidRPr="00260C1D" w:rsidRDefault="007E0BC0" w:rsidP="0034555D">
            <w:pPr>
              <w:spacing w:after="0" w:line="240" w:lineRule="auto"/>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Transition Am</w:t>
            </w:r>
            <w:r w:rsidR="000E5896">
              <w:rPr>
                <w:rFonts w:asciiTheme="minorHAnsi" w:eastAsia="Segoe UI" w:hAnsiTheme="minorHAnsi" w:cstheme="minorHAnsi"/>
                <w:sz w:val="24"/>
                <w:szCs w:val="24"/>
                <w:lang w:eastAsia="en-AU"/>
              </w:rPr>
              <w:t>oun</w:t>
            </w:r>
            <w:r w:rsidRPr="00260C1D">
              <w:rPr>
                <w:rFonts w:asciiTheme="minorHAnsi" w:eastAsia="Segoe UI" w:hAnsiTheme="minorHAnsi" w:cstheme="minorHAnsi"/>
                <w:sz w:val="24"/>
                <w:szCs w:val="24"/>
                <w:lang w:eastAsia="en-AU"/>
              </w:rPr>
              <w:t>t 2021</w:t>
            </w:r>
          </w:p>
        </w:tc>
        <w:tc>
          <w:tcPr>
            <w:tcW w:w="0" w:type="auto"/>
            <w:noWrap/>
            <w:hideMark/>
          </w:tcPr>
          <w:p w14:paraId="034CC443" w14:textId="77777777" w:rsidR="007E0BC0" w:rsidRPr="00260C1D" w:rsidRDefault="007E0BC0" w:rsidP="0034555D">
            <w:pPr>
              <w:spacing w:after="0" w:line="240" w:lineRule="auto"/>
              <w:rPr>
                <w:rFonts w:asciiTheme="minorHAnsi" w:eastAsia="Segoe UI" w:hAnsiTheme="minorHAnsi" w:cstheme="minorHAnsi"/>
                <w:color w:val="000000"/>
                <w:sz w:val="24"/>
                <w:szCs w:val="24"/>
                <w:lang w:eastAsia="en-AU"/>
              </w:rPr>
            </w:pPr>
            <w:r w:rsidRPr="00260C1D">
              <w:rPr>
                <w:rFonts w:asciiTheme="minorHAnsi" w:eastAsia="Segoe UI" w:hAnsiTheme="minorHAnsi" w:cstheme="minorHAnsi"/>
                <w:color w:val="000000"/>
                <w:sz w:val="24"/>
                <w:szCs w:val="24"/>
                <w:lang w:eastAsia="en-AU"/>
              </w:rPr>
              <w:t xml:space="preserve"> $     200,000 </w:t>
            </w:r>
          </w:p>
        </w:tc>
        <w:tc>
          <w:tcPr>
            <w:tcW w:w="0" w:type="auto"/>
            <w:vMerge w:val="restart"/>
            <w:hideMark/>
          </w:tcPr>
          <w:p w14:paraId="3311FEEE" w14:textId="77777777" w:rsidR="007E0BC0" w:rsidRPr="00260C1D" w:rsidRDefault="007E0BC0" w:rsidP="0034555D">
            <w:pPr>
              <w:spacing w:after="0" w:line="240" w:lineRule="auto"/>
              <w:jc w:val="center"/>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Transition Funding reduces over 5 years</w:t>
            </w:r>
          </w:p>
        </w:tc>
      </w:tr>
      <w:tr w:rsidR="007E0BC0" w:rsidRPr="00260C1D" w14:paraId="00B416F9" w14:textId="77777777" w:rsidTr="00C71867">
        <w:trPr>
          <w:trHeight w:val="300"/>
        </w:trPr>
        <w:tc>
          <w:tcPr>
            <w:tcW w:w="0" w:type="auto"/>
            <w:noWrap/>
            <w:hideMark/>
          </w:tcPr>
          <w:p w14:paraId="108430D8" w14:textId="77777777" w:rsidR="007E0BC0" w:rsidRPr="00260C1D" w:rsidRDefault="007E0BC0" w:rsidP="0034555D">
            <w:pPr>
              <w:spacing w:after="0" w:line="240" w:lineRule="auto"/>
              <w:jc w:val="center"/>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75%</w:t>
            </w:r>
          </w:p>
        </w:tc>
        <w:tc>
          <w:tcPr>
            <w:tcW w:w="0" w:type="auto"/>
            <w:noWrap/>
            <w:hideMark/>
          </w:tcPr>
          <w:p w14:paraId="3A528877" w14:textId="002C32D6" w:rsidR="007E0BC0" w:rsidRPr="00260C1D" w:rsidRDefault="007E0BC0" w:rsidP="0034555D">
            <w:pPr>
              <w:spacing w:after="0" w:line="240" w:lineRule="auto"/>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Transition Am</w:t>
            </w:r>
            <w:r w:rsidR="000E5896">
              <w:rPr>
                <w:rFonts w:asciiTheme="minorHAnsi" w:eastAsia="Segoe UI" w:hAnsiTheme="minorHAnsi" w:cstheme="minorHAnsi"/>
                <w:sz w:val="24"/>
                <w:szCs w:val="24"/>
                <w:lang w:eastAsia="en-AU"/>
              </w:rPr>
              <w:t>oun</w:t>
            </w:r>
            <w:r w:rsidRPr="00260C1D">
              <w:rPr>
                <w:rFonts w:asciiTheme="minorHAnsi" w:eastAsia="Segoe UI" w:hAnsiTheme="minorHAnsi" w:cstheme="minorHAnsi"/>
                <w:sz w:val="24"/>
                <w:szCs w:val="24"/>
                <w:lang w:eastAsia="en-AU"/>
              </w:rPr>
              <w:t>t 2022</w:t>
            </w:r>
          </w:p>
        </w:tc>
        <w:tc>
          <w:tcPr>
            <w:tcW w:w="0" w:type="auto"/>
            <w:noWrap/>
            <w:hideMark/>
          </w:tcPr>
          <w:p w14:paraId="0B4A0757" w14:textId="77777777" w:rsidR="007E0BC0" w:rsidRPr="00260C1D" w:rsidRDefault="007E0BC0" w:rsidP="0034555D">
            <w:pPr>
              <w:spacing w:after="0" w:line="240" w:lineRule="auto"/>
              <w:rPr>
                <w:rFonts w:asciiTheme="minorHAnsi" w:eastAsia="Segoe UI" w:hAnsiTheme="minorHAnsi" w:cstheme="minorHAnsi"/>
                <w:color w:val="000000"/>
                <w:sz w:val="24"/>
                <w:szCs w:val="24"/>
                <w:lang w:eastAsia="en-AU"/>
              </w:rPr>
            </w:pPr>
            <w:r w:rsidRPr="00260C1D">
              <w:rPr>
                <w:rFonts w:asciiTheme="minorHAnsi" w:eastAsia="Segoe UI" w:hAnsiTheme="minorHAnsi" w:cstheme="minorHAnsi"/>
                <w:color w:val="000000"/>
                <w:sz w:val="24"/>
                <w:szCs w:val="24"/>
                <w:lang w:eastAsia="en-AU"/>
              </w:rPr>
              <w:t xml:space="preserve"> $     150,000 </w:t>
            </w:r>
          </w:p>
        </w:tc>
        <w:tc>
          <w:tcPr>
            <w:tcW w:w="0" w:type="auto"/>
            <w:vMerge/>
            <w:hideMark/>
          </w:tcPr>
          <w:p w14:paraId="32083A5F" w14:textId="77777777" w:rsidR="007E0BC0" w:rsidRPr="00260C1D" w:rsidRDefault="007E0BC0" w:rsidP="0034555D">
            <w:pPr>
              <w:spacing w:after="0" w:line="240" w:lineRule="auto"/>
              <w:rPr>
                <w:rFonts w:asciiTheme="minorHAnsi" w:eastAsia="Segoe UI" w:hAnsiTheme="minorHAnsi" w:cstheme="minorHAnsi"/>
                <w:sz w:val="24"/>
                <w:szCs w:val="24"/>
                <w:lang w:eastAsia="en-AU"/>
              </w:rPr>
            </w:pPr>
          </w:p>
        </w:tc>
      </w:tr>
      <w:tr w:rsidR="007E0BC0" w:rsidRPr="00260C1D" w14:paraId="1B7DD451" w14:textId="77777777" w:rsidTr="00C71867">
        <w:trPr>
          <w:trHeight w:val="300"/>
        </w:trPr>
        <w:tc>
          <w:tcPr>
            <w:tcW w:w="0" w:type="auto"/>
            <w:noWrap/>
            <w:hideMark/>
          </w:tcPr>
          <w:p w14:paraId="17E1F460" w14:textId="77777777" w:rsidR="007E0BC0" w:rsidRPr="00260C1D" w:rsidRDefault="007E0BC0" w:rsidP="0034555D">
            <w:pPr>
              <w:spacing w:after="0" w:line="240" w:lineRule="auto"/>
              <w:jc w:val="center"/>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50%</w:t>
            </w:r>
          </w:p>
        </w:tc>
        <w:tc>
          <w:tcPr>
            <w:tcW w:w="0" w:type="auto"/>
            <w:noWrap/>
            <w:hideMark/>
          </w:tcPr>
          <w:p w14:paraId="5268B6E8" w14:textId="2C875062" w:rsidR="007E0BC0" w:rsidRPr="00260C1D" w:rsidRDefault="007E0BC0" w:rsidP="0034555D">
            <w:pPr>
              <w:spacing w:after="0" w:line="240" w:lineRule="auto"/>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Transition Am</w:t>
            </w:r>
            <w:r w:rsidR="000E5896">
              <w:rPr>
                <w:rFonts w:asciiTheme="minorHAnsi" w:eastAsia="Segoe UI" w:hAnsiTheme="minorHAnsi" w:cstheme="minorHAnsi"/>
                <w:sz w:val="24"/>
                <w:szCs w:val="24"/>
                <w:lang w:eastAsia="en-AU"/>
              </w:rPr>
              <w:t>oun</w:t>
            </w:r>
            <w:r w:rsidRPr="00260C1D">
              <w:rPr>
                <w:rFonts w:asciiTheme="minorHAnsi" w:eastAsia="Segoe UI" w:hAnsiTheme="minorHAnsi" w:cstheme="minorHAnsi"/>
                <w:sz w:val="24"/>
                <w:szCs w:val="24"/>
                <w:lang w:eastAsia="en-AU"/>
              </w:rPr>
              <w:t>t 2023</w:t>
            </w:r>
          </w:p>
        </w:tc>
        <w:tc>
          <w:tcPr>
            <w:tcW w:w="0" w:type="auto"/>
            <w:noWrap/>
            <w:hideMark/>
          </w:tcPr>
          <w:p w14:paraId="163DB1D2" w14:textId="77777777" w:rsidR="007E0BC0" w:rsidRPr="00260C1D" w:rsidRDefault="007E0BC0" w:rsidP="0034555D">
            <w:pPr>
              <w:spacing w:after="0" w:line="240" w:lineRule="auto"/>
              <w:rPr>
                <w:rFonts w:asciiTheme="minorHAnsi" w:eastAsia="Segoe UI" w:hAnsiTheme="minorHAnsi" w:cstheme="minorHAnsi"/>
                <w:color w:val="000000"/>
                <w:sz w:val="24"/>
                <w:szCs w:val="24"/>
                <w:lang w:eastAsia="en-AU"/>
              </w:rPr>
            </w:pPr>
            <w:r w:rsidRPr="00260C1D">
              <w:rPr>
                <w:rFonts w:asciiTheme="minorHAnsi" w:eastAsia="Segoe UI" w:hAnsiTheme="minorHAnsi" w:cstheme="minorHAnsi"/>
                <w:color w:val="000000"/>
                <w:sz w:val="24"/>
                <w:szCs w:val="24"/>
                <w:lang w:eastAsia="en-AU"/>
              </w:rPr>
              <w:t xml:space="preserve"> $     100,000 </w:t>
            </w:r>
          </w:p>
        </w:tc>
        <w:tc>
          <w:tcPr>
            <w:tcW w:w="0" w:type="auto"/>
            <w:vMerge/>
            <w:hideMark/>
          </w:tcPr>
          <w:p w14:paraId="57DB84AD" w14:textId="77777777" w:rsidR="007E0BC0" w:rsidRPr="00260C1D" w:rsidRDefault="007E0BC0" w:rsidP="0034555D">
            <w:pPr>
              <w:spacing w:after="0" w:line="240" w:lineRule="auto"/>
              <w:rPr>
                <w:rFonts w:asciiTheme="minorHAnsi" w:eastAsia="Segoe UI" w:hAnsiTheme="minorHAnsi" w:cstheme="minorHAnsi"/>
                <w:sz w:val="24"/>
                <w:szCs w:val="24"/>
                <w:lang w:eastAsia="en-AU"/>
              </w:rPr>
            </w:pPr>
          </w:p>
        </w:tc>
      </w:tr>
      <w:tr w:rsidR="007E0BC0" w:rsidRPr="00260C1D" w14:paraId="72186BF1" w14:textId="77777777" w:rsidTr="00C71867">
        <w:trPr>
          <w:trHeight w:val="300"/>
        </w:trPr>
        <w:tc>
          <w:tcPr>
            <w:tcW w:w="0" w:type="auto"/>
            <w:noWrap/>
            <w:hideMark/>
          </w:tcPr>
          <w:p w14:paraId="4546D761" w14:textId="77777777" w:rsidR="007E0BC0" w:rsidRPr="00260C1D" w:rsidRDefault="007E0BC0" w:rsidP="0034555D">
            <w:pPr>
              <w:spacing w:after="0" w:line="240" w:lineRule="auto"/>
              <w:jc w:val="center"/>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25%</w:t>
            </w:r>
          </w:p>
        </w:tc>
        <w:tc>
          <w:tcPr>
            <w:tcW w:w="0" w:type="auto"/>
            <w:noWrap/>
            <w:hideMark/>
          </w:tcPr>
          <w:p w14:paraId="49C187AB" w14:textId="44251399" w:rsidR="007E0BC0" w:rsidRPr="00260C1D" w:rsidRDefault="007E0BC0" w:rsidP="0034555D">
            <w:pPr>
              <w:spacing w:after="0" w:line="240" w:lineRule="auto"/>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Transition Am</w:t>
            </w:r>
            <w:r w:rsidR="000E5896">
              <w:rPr>
                <w:rFonts w:asciiTheme="minorHAnsi" w:eastAsia="Segoe UI" w:hAnsiTheme="minorHAnsi" w:cstheme="minorHAnsi"/>
                <w:sz w:val="24"/>
                <w:szCs w:val="24"/>
                <w:lang w:eastAsia="en-AU"/>
              </w:rPr>
              <w:t>oun</w:t>
            </w:r>
            <w:r w:rsidRPr="00260C1D">
              <w:rPr>
                <w:rFonts w:asciiTheme="minorHAnsi" w:eastAsia="Segoe UI" w:hAnsiTheme="minorHAnsi" w:cstheme="minorHAnsi"/>
                <w:sz w:val="24"/>
                <w:szCs w:val="24"/>
                <w:lang w:eastAsia="en-AU"/>
              </w:rPr>
              <w:t>t 2024</w:t>
            </w:r>
          </w:p>
        </w:tc>
        <w:tc>
          <w:tcPr>
            <w:tcW w:w="0" w:type="auto"/>
            <w:noWrap/>
            <w:hideMark/>
          </w:tcPr>
          <w:p w14:paraId="207E8663" w14:textId="77777777" w:rsidR="007E0BC0" w:rsidRPr="00260C1D" w:rsidRDefault="007E0BC0" w:rsidP="0034555D">
            <w:pPr>
              <w:spacing w:after="0" w:line="240" w:lineRule="auto"/>
              <w:rPr>
                <w:rFonts w:asciiTheme="minorHAnsi" w:eastAsia="Segoe UI" w:hAnsiTheme="minorHAnsi" w:cstheme="minorHAnsi"/>
                <w:color w:val="000000"/>
                <w:sz w:val="24"/>
                <w:szCs w:val="24"/>
                <w:lang w:eastAsia="en-AU"/>
              </w:rPr>
            </w:pPr>
            <w:r w:rsidRPr="00260C1D">
              <w:rPr>
                <w:rFonts w:asciiTheme="minorHAnsi" w:eastAsia="Segoe UI" w:hAnsiTheme="minorHAnsi" w:cstheme="minorHAnsi"/>
                <w:color w:val="000000"/>
                <w:sz w:val="24"/>
                <w:szCs w:val="24"/>
                <w:lang w:eastAsia="en-AU"/>
              </w:rPr>
              <w:t xml:space="preserve"> $        50,000 </w:t>
            </w:r>
          </w:p>
        </w:tc>
        <w:tc>
          <w:tcPr>
            <w:tcW w:w="0" w:type="auto"/>
            <w:vMerge/>
            <w:hideMark/>
          </w:tcPr>
          <w:p w14:paraId="30F64095" w14:textId="77777777" w:rsidR="007E0BC0" w:rsidRPr="00260C1D" w:rsidRDefault="007E0BC0" w:rsidP="0034555D">
            <w:pPr>
              <w:spacing w:after="0" w:line="240" w:lineRule="auto"/>
              <w:rPr>
                <w:rFonts w:asciiTheme="minorHAnsi" w:eastAsia="Segoe UI" w:hAnsiTheme="minorHAnsi" w:cstheme="minorHAnsi"/>
                <w:sz w:val="24"/>
                <w:szCs w:val="24"/>
                <w:lang w:eastAsia="en-AU"/>
              </w:rPr>
            </w:pPr>
          </w:p>
        </w:tc>
      </w:tr>
      <w:tr w:rsidR="007E0BC0" w:rsidRPr="00260C1D" w14:paraId="05CF2555" w14:textId="77777777" w:rsidTr="00C71867">
        <w:trPr>
          <w:trHeight w:val="300"/>
        </w:trPr>
        <w:tc>
          <w:tcPr>
            <w:tcW w:w="0" w:type="auto"/>
            <w:noWrap/>
            <w:hideMark/>
          </w:tcPr>
          <w:p w14:paraId="2DF1F842" w14:textId="77777777" w:rsidR="007E0BC0" w:rsidRPr="00260C1D" w:rsidRDefault="007E0BC0" w:rsidP="0034555D">
            <w:pPr>
              <w:spacing w:after="0" w:line="240" w:lineRule="auto"/>
              <w:jc w:val="center"/>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0%</w:t>
            </w:r>
          </w:p>
        </w:tc>
        <w:tc>
          <w:tcPr>
            <w:tcW w:w="0" w:type="auto"/>
            <w:noWrap/>
            <w:hideMark/>
          </w:tcPr>
          <w:p w14:paraId="36CDD19F" w14:textId="08DF5B2B" w:rsidR="007E0BC0" w:rsidRPr="00260C1D" w:rsidRDefault="007E0BC0" w:rsidP="0034555D">
            <w:pPr>
              <w:spacing w:after="0" w:line="240" w:lineRule="auto"/>
              <w:rPr>
                <w:rFonts w:asciiTheme="minorHAnsi" w:eastAsia="Segoe UI" w:hAnsiTheme="minorHAnsi" w:cstheme="minorHAnsi"/>
                <w:sz w:val="24"/>
                <w:szCs w:val="24"/>
                <w:lang w:eastAsia="en-AU"/>
              </w:rPr>
            </w:pPr>
            <w:r w:rsidRPr="00260C1D">
              <w:rPr>
                <w:rFonts w:asciiTheme="minorHAnsi" w:eastAsia="Segoe UI" w:hAnsiTheme="minorHAnsi" w:cstheme="minorHAnsi"/>
                <w:sz w:val="24"/>
                <w:szCs w:val="24"/>
                <w:lang w:eastAsia="en-AU"/>
              </w:rPr>
              <w:t>Transition Am</w:t>
            </w:r>
            <w:r w:rsidR="000E5896">
              <w:rPr>
                <w:rFonts w:asciiTheme="minorHAnsi" w:eastAsia="Segoe UI" w:hAnsiTheme="minorHAnsi" w:cstheme="minorHAnsi"/>
                <w:sz w:val="24"/>
                <w:szCs w:val="24"/>
                <w:lang w:eastAsia="en-AU"/>
              </w:rPr>
              <w:t>oun</w:t>
            </w:r>
            <w:r w:rsidRPr="00260C1D">
              <w:rPr>
                <w:rFonts w:asciiTheme="minorHAnsi" w:eastAsia="Segoe UI" w:hAnsiTheme="minorHAnsi" w:cstheme="minorHAnsi"/>
                <w:sz w:val="24"/>
                <w:szCs w:val="24"/>
                <w:lang w:eastAsia="en-AU"/>
              </w:rPr>
              <w:t>t 2025</w:t>
            </w:r>
          </w:p>
        </w:tc>
        <w:tc>
          <w:tcPr>
            <w:tcW w:w="0" w:type="auto"/>
            <w:noWrap/>
            <w:hideMark/>
          </w:tcPr>
          <w:p w14:paraId="10EF8BD8" w14:textId="77777777" w:rsidR="007E0BC0" w:rsidRPr="00260C1D" w:rsidRDefault="007E0BC0" w:rsidP="0034555D">
            <w:pPr>
              <w:spacing w:after="0" w:line="240" w:lineRule="auto"/>
              <w:rPr>
                <w:rFonts w:asciiTheme="minorHAnsi" w:eastAsia="Segoe UI" w:hAnsiTheme="minorHAnsi" w:cstheme="minorHAnsi"/>
                <w:color w:val="000000"/>
                <w:sz w:val="24"/>
                <w:szCs w:val="24"/>
                <w:lang w:eastAsia="en-AU"/>
              </w:rPr>
            </w:pPr>
            <w:r w:rsidRPr="00260C1D">
              <w:rPr>
                <w:rFonts w:asciiTheme="minorHAnsi" w:eastAsia="Segoe UI" w:hAnsiTheme="minorHAnsi" w:cstheme="minorHAnsi"/>
                <w:color w:val="000000"/>
                <w:sz w:val="24"/>
                <w:szCs w:val="24"/>
                <w:lang w:eastAsia="en-AU"/>
              </w:rPr>
              <w:t xml:space="preserve"> $                 -   </w:t>
            </w:r>
          </w:p>
        </w:tc>
        <w:tc>
          <w:tcPr>
            <w:tcW w:w="0" w:type="auto"/>
            <w:vMerge/>
            <w:hideMark/>
          </w:tcPr>
          <w:p w14:paraId="50D49118" w14:textId="77777777" w:rsidR="007E0BC0" w:rsidRPr="00260C1D" w:rsidRDefault="007E0BC0" w:rsidP="0034555D">
            <w:pPr>
              <w:spacing w:after="0" w:line="240" w:lineRule="auto"/>
              <w:rPr>
                <w:rFonts w:asciiTheme="minorHAnsi" w:eastAsia="Segoe UI" w:hAnsiTheme="minorHAnsi" w:cstheme="minorHAnsi"/>
                <w:sz w:val="24"/>
                <w:szCs w:val="24"/>
                <w:lang w:eastAsia="en-AU"/>
              </w:rPr>
            </w:pPr>
          </w:p>
        </w:tc>
      </w:tr>
    </w:tbl>
    <w:p w14:paraId="76D7D8A9" w14:textId="77777777" w:rsidR="007E0BC0" w:rsidRPr="00260C1D" w:rsidRDefault="007E0BC0" w:rsidP="007E0BC0">
      <w:pPr>
        <w:rPr>
          <w:rFonts w:cstheme="minorHAnsi"/>
          <w:sz w:val="24"/>
          <w:szCs w:val="24"/>
        </w:rPr>
      </w:pPr>
    </w:p>
    <w:tbl>
      <w:tblPr>
        <w:tblStyle w:val="TableGrid11"/>
        <w:tblW w:w="9350" w:type="dxa"/>
        <w:tblInd w:w="0" w:type="dxa"/>
        <w:tblLook w:val="04A0" w:firstRow="1" w:lastRow="0" w:firstColumn="1" w:lastColumn="0" w:noHBand="0" w:noVBand="1"/>
      </w:tblPr>
      <w:tblGrid>
        <w:gridCol w:w="1696"/>
        <w:gridCol w:w="7654"/>
      </w:tblGrid>
      <w:tr w:rsidR="007E0BC0" w:rsidRPr="00C71867" w14:paraId="53E62299" w14:textId="77777777" w:rsidTr="00C71867">
        <w:trPr>
          <w:trHeight w:val="255"/>
        </w:trPr>
        <w:tc>
          <w:tcPr>
            <w:tcW w:w="1696" w:type="dxa"/>
            <w:noWrap/>
            <w:hideMark/>
          </w:tcPr>
          <w:p w14:paraId="519FC0BB" w14:textId="77777777" w:rsidR="007E0BC0" w:rsidRPr="00C71867" w:rsidRDefault="007E0BC0" w:rsidP="0034555D">
            <w:pPr>
              <w:spacing w:after="0" w:line="240" w:lineRule="auto"/>
              <w:rPr>
                <w:rFonts w:asciiTheme="minorHAnsi" w:eastAsia="Segoe UI" w:hAnsiTheme="minorHAnsi" w:cstheme="minorHAnsi"/>
                <w:b/>
                <w:sz w:val="24"/>
                <w:szCs w:val="24"/>
                <w:lang w:eastAsia="en-AU"/>
              </w:rPr>
            </w:pPr>
            <w:r w:rsidRPr="00C71867">
              <w:rPr>
                <w:rFonts w:asciiTheme="minorHAnsi" w:eastAsia="Segoe UI" w:hAnsiTheme="minorHAnsi" w:cstheme="minorHAnsi"/>
                <w:b/>
                <w:sz w:val="24"/>
                <w:szCs w:val="24"/>
                <w:lang w:eastAsia="en-AU"/>
              </w:rPr>
              <w:t>Formula</w:t>
            </w:r>
          </w:p>
        </w:tc>
        <w:tc>
          <w:tcPr>
            <w:tcW w:w="7654" w:type="dxa"/>
            <w:noWrap/>
            <w:hideMark/>
          </w:tcPr>
          <w:p w14:paraId="78B1B127" w14:textId="77777777" w:rsidR="007E0BC0" w:rsidRPr="00C71867" w:rsidRDefault="007E0BC0" w:rsidP="0034555D">
            <w:pPr>
              <w:spacing w:after="0" w:line="240" w:lineRule="auto"/>
              <w:rPr>
                <w:rFonts w:asciiTheme="minorHAnsi" w:eastAsia="Segoe UI" w:hAnsiTheme="minorHAnsi" w:cstheme="minorHAnsi"/>
                <w:b/>
                <w:sz w:val="24"/>
                <w:szCs w:val="24"/>
                <w:lang w:eastAsia="en-AU"/>
              </w:rPr>
            </w:pPr>
            <w:r w:rsidRPr="00C71867">
              <w:rPr>
                <w:rFonts w:asciiTheme="minorHAnsi" w:eastAsia="Segoe UI" w:hAnsiTheme="minorHAnsi" w:cstheme="minorHAnsi"/>
                <w:b/>
                <w:sz w:val="24"/>
                <w:szCs w:val="24"/>
                <w:lang w:eastAsia="en-AU"/>
              </w:rPr>
              <w:t>Explanation</w:t>
            </w:r>
          </w:p>
        </w:tc>
      </w:tr>
      <w:tr w:rsidR="007E0BC0" w:rsidRPr="00C71867" w14:paraId="6AB06ABB" w14:textId="77777777" w:rsidTr="00C71867">
        <w:trPr>
          <w:trHeight w:val="300"/>
        </w:trPr>
        <w:tc>
          <w:tcPr>
            <w:tcW w:w="1696" w:type="dxa"/>
            <w:noWrap/>
            <w:hideMark/>
          </w:tcPr>
          <w:p w14:paraId="3ECA241E" w14:textId="77777777" w:rsidR="007E0BC0" w:rsidRPr="00C71867" w:rsidRDefault="007E0BC0" w:rsidP="0034555D">
            <w:pPr>
              <w:spacing w:after="0" w:line="240" w:lineRule="auto"/>
              <w:ind w:firstLineChars="100" w:firstLine="240"/>
              <w:rPr>
                <w:rFonts w:asciiTheme="minorHAnsi" w:eastAsia="Segoe UI" w:hAnsiTheme="minorHAnsi" w:cstheme="minorHAnsi"/>
                <w:color w:val="000000"/>
                <w:sz w:val="24"/>
                <w:szCs w:val="24"/>
                <w:lang w:eastAsia="en-AU"/>
              </w:rPr>
            </w:pPr>
            <w:r w:rsidRPr="00C71867">
              <w:rPr>
                <w:rFonts w:asciiTheme="minorHAnsi" w:eastAsia="Segoe UI" w:hAnsiTheme="minorHAnsi" w:cstheme="minorHAnsi"/>
                <w:color w:val="000000"/>
                <w:sz w:val="24"/>
                <w:szCs w:val="24"/>
                <w:lang w:eastAsia="en-AU"/>
              </w:rPr>
              <w:t>B =</w:t>
            </w:r>
          </w:p>
        </w:tc>
        <w:tc>
          <w:tcPr>
            <w:tcW w:w="7654" w:type="dxa"/>
            <w:noWrap/>
            <w:hideMark/>
          </w:tcPr>
          <w:p w14:paraId="6BD87940" w14:textId="77777777" w:rsidR="007E0BC0" w:rsidRPr="00C71867" w:rsidRDefault="007E0BC0" w:rsidP="0034555D">
            <w:pPr>
              <w:spacing w:after="0" w:line="240" w:lineRule="auto"/>
              <w:rPr>
                <w:rFonts w:asciiTheme="minorHAnsi" w:eastAsia="Segoe UI" w:hAnsiTheme="minorHAnsi" w:cstheme="minorHAnsi"/>
                <w:color w:val="000000"/>
                <w:sz w:val="24"/>
                <w:szCs w:val="24"/>
                <w:lang w:eastAsia="en-AU"/>
              </w:rPr>
            </w:pPr>
            <w:r w:rsidRPr="00C71867">
              <w:rPr>
                <w:rFonts w:asciiTheme="minorHAnsi" w:eastAsia="Segoe UI" w:hAnsiTheme="minorHAnsi" w:cstheme="minorHAnsi"/>
                <w:color w:val="000000"/>
                <w:sz w:val="24"/>
                <w:szCs w:val="24"/>
                <w:lang w:eastAsia="en-AU"/>
              </w:rPr>
              <w:t>2020 funding under rural items (RSAF, LIF and CAP) for which the school is no longer eligible</w:t>
            </w:r>
          </w:p>
        </w:tc>
      </w:tr>
      <w:tr w:rsidR="007E0BC0" w:rsidRPr="00C71867" w14:paraId="2F180883" w14:textId="77777777" w:rsidTr="00C71867">
        <w:trPr>
          <w:trHeight w:val="300"/>
        </w:trPr>
        <w:tc>
          <w:tcPr>
            <w:tcW w:w="1696" w:type="dxa"/>
            <w:noWrap/>
            <w:hideMark/>
          </w:tcPr>
          <w:p w14:paraId="0CFB8A16" w14:textId="77777777" w:rsidR="007E0BC0" w:rsidRPr="00C71867" w:rsidRDefault="007E0BC0" w:rsidP="0034555D">
            <w:pPr>
              <w:spacing w:after="0" w:line="240" w:lineRule="auto"/>
              <w:ind w:firstLineChars="100" w:firstLine="240"/>
              <w:rPr>
                <w:rFonts w:asciiTheme="minorHAnsi" w:eastAsia="Segoe UI" w:hAnsiTheme="minorHAnsi" w:cstheme="minorHAnsi"/>
                <w:color w:val="000000"/>
                <w:sz w:val="24"/>
                <w:szCs w:val="24"/>
                <w:lang w:eastAsia="en-AU"/>
              </w:rPr>
            </w:pPr>
            <w:r w:rsidRPr="00C71867">
              <w:rPr>
                <w:rFonts w:asciiTheme="minorHAnsi" w:eastAsia="Segoe UI" w:hAnsiTheme="minorHAnsi" w:cstheme="minorHAnsi"/>
                <w:color w:val="000000"/>
                <w:sz w:val="24"/>
                <w:szCs w:val="24"/>
                <w:lang w:eastAsia="en-AU"/>
              </w:rPr>
              <w:t>C =</w:t>
            </w:r>
          </w:p>
        </w:tc>
        <w:tc>
          <w:tcPr>
            <w:tcW w:w="7654" w:type="dxa"/>
            <w:noWrap/>
            <w:hideMark/>
          </w:tcPr>
          <w:p w14:paraId="28ED3507" w14:textId="77777777" w:rsidR="007E0BC0" w:rsidRPr="00C71867" w:rsidRDefault="007E0BC0" w:rsidP="0034555D">
            <w:pPr>
              <w:spacing w:after="0" w:line="240" w:lineRule="auto"/>
              <w:rPr>
                <w:rFonts w:asciiTheme="minorHAnsi" w:eastAsia="Segoe UI" w:hAnsiTheme="minorHAnsi" w:cstheme="minorHAnsi"/>
                <w:color w:val="000000"/>
                <w:sz w:val="24"/>
                <w:szCs w:val="24"/>
                <w:lang w:eastAsia="en-AU"/>
              </w:rPr>
            </w:pPr>
            <w:r w:rsidRPr="00C71867">
              <w:rPr>
                <w:rFonts w:asciiTheme="minorHAnsi" w:eastAsia="Segoe UI" w:hAnsiTheme="minorHAnsi" w:cstheme="minorHAnsi"/>
                <w:color w:val="000000"/>
                <w:sz w:val="24"/>
                <w:szCs w:val="24"/>
                <w:lang w:eastAsia="en-AU"/>
              </w:rPr>
              <w:t>2020 Revised Total SRP</w:t>
            </w:r>
          </w:p>
        </w:tc>
      </w:tr>
      <w:tr w:rsidR="007E0BC0" w:rsidRPr="00C71867" w14:paraId="5F5F7CF9" w14:textId="77777777" w:rsidTr="00C71867">
        <w:trPr>
          <w:trHeight w:val="300"/>
        </w:trPr>
        <w:tc>
          <w:tcPr>
            <w:tcW w:w="1696" w:type="dxa"/>
            <w:noWrap/>
            <w:hideMark/>
          </w:tcPr>
          <w:p w14:paraId="480B618E" w14:textId="77777777" w:rsidR="007E0BC0" w:rsidRPr="00C71867" w:rsidRDefault="007E0BC0" w:rsidP="0034555D">
            <w:pPr>
              <w:spacing w:after="0" w:line="240" w:lineRule="auto"/>
              <w:ind w:firstLineChars="100" w:firstLine="240"/>
              <w:rPr>
                <w:rFonts w:asciiTheme="minorHAnsi" w:eastAsia="Segoe UI" w:hAnsiTheme="minorHAnsi" w:cstheme="minorHAnsi"/>
                <w:color w:val="000000"/>
                <w:sz w:val="24"/>
                <w:szCs w:val="24"/>
                <w:lang w:eastAsia="en-AU"/>
              </w:rPr>
            </w:pPr>
            <w:r w:rsidRPr="00C71867">
              <w:rPr>
                <w:rFonts w:asciiTheme="minorHAnsi" w:eastAsia="Segoe UI" w:hAnsiTheme="minorHAnsi" w:cstheme="minorHAnsi"/>
                <w:color w:val="000000"/>
                <w:sz w:val="24"/>
                <w:szCs w:val="24"/>
                <w:lang w:eastAsia="en-AU"/>
              </w:rPr>
              <w:t>D =</w:t>
            </w:r>
          </w:p>
        </w:tc>
        <w:tc>
          <w:tcPr>
            <w:tcW w:w="7654" w:type="dxa"/>
            <w:noWrap/>
            <w:hideMark/>
          </w:tcPr>
          <w:p w14:paraId="77AA67DD" w14:textId="77777777" w:rsidR="007E0BC0" w:rsidRPr="00C71867" w:rsidRDefault="007E0BC0" w:rsidP="0034555D">
            <w:pPr>
              <w:spacing w:after="0" w:line="240" w:lineRule="auto"/>
              <w:rPr>
                <w:rFonts w:asciiTheme="minorHAnsi" w:eastAsia="Segoe UI" w:hAnsiTheme="minorHAnsi" w:cstheme="minorHAnsi"/>
                <w:color w:val="000000"/>
                <w:sz w:val="24"/>
                <w:szCs w:val="24"/>
                <w:lang w:eastAsia="en-AU"/>
              </w:rPr>
            </w:pPr>
            <w:r w:rsidRPr="00C71867">
              <w:rPr>
                <w:rFonts w:asciiTheme="minorHAnsi" w:eastAsia="Segoe UI" w:hAnsiTheme="minorHAnsi" w:cstheme="minorHAnsi"/>
                <w:color w:val="000000"/>
                <w:sz w:val="24"/>
                <w:szCs w:val="24"/>
                <w:lang w:eastAsia="en-AU"/>
              </w:rPr>
              <w:t>2021 Indicative SRP without the rurality transition funding</w:t>
            </w:r>
          </w:p>
        </w:tc>
      </w:tr>
      <w:tr w:rsidR="007E0BC0" w:rsidRPr="00C71867" w14:paraId="5DB34154" w14:textId="77777777" w:rsidTr="00C71867">
        <w:trPr>
          <w:trHeight w:val="300"/>
        </w:trPr>
        <w:tc>
          <w:tcPr>
            <w:tcW w:w="1696" w:type="dxa"/>
            <w:noWrap/>
            <w:hideMark/>
          </w:tcPr>
          <w:p w14:paraId="6D4A47AD" w14:textId="77777777" w:rsidR="007E0BC0" w:rsidRPr="00C71867" w:rsidRDefault="007E0BC0" w:rsidP="0034555D">
            <w:pPr>
              <w:spacing w:after="0" w:line="240" w:lineRule="auto"/>
              <w:ind w:firstLineChars="100" w:firstLine="240"/>
              <w:rPr>
                <w:rFonts w:asciiTheme="minorHAnsi" w:eastAsia="Segoe UI" w:hAnsiTheme="minorHAnsi" w:cstheme="minorHAnsi"/>
                <w:color w:val="000000"/>
                <w:sz w:val="24"/>
                <w:szCs w:val="24"/>
                <w:lang w:eastAsia="en-AU"/>
              </w:rPr>
            </w:pPr>
            <w:r w:rsidRPr="00C71867">
              <w:rPr>
                <w:rFonts w:asciiTheme="minorHAnsi" w:eastAsia="Segoe UI" w:hAnsiTheme="minorHAnsi" w:cstheme="minorHAnsi"/>
                <w:color w:val="000000"/>
                <w:sz w:val="24"/>
                <w:szCs w:val="24"/>
                <w:lang w:eastAsia="en-AU"/>
              </w:rPr>
              <w:t>E = C - D</w:t>
            </w:r>
          </w:p>
        </w:tc>
        <w:tc>
          <w:tcPr>
            <w:tcW w:w="7654" w:type="dxa"/>
            <w:noWrap/>
            <w:hideMark/>
          </w:tcPr>
          <w:p w14:paraId="55ACB547" w14:textId="77777777" w:rsidR="007E0BC0" w:rsidRPr="00C71867" w:rsidRDefault="007E0BC0" w:rsidP="0034555D">
            <w:pPr>
              <w:spacing w:after="0" w:line="240" w:lineRule="auto"/>
              <w:rPr>
                <w:rFonts w:asciiTheme="minorHAnsi" w:eastAsia="Segoe UI" w:hAnsiTheme="minorHAnsi" w:cstheme="minorHAnsi"/>
                <w:color w:val="000000"/>
                <w:sz w:val="24"/>
                <w:szCs w:val="24"/>
                <w:lang w:eastAsia="en-AU"/>
              </w:rPr>
            </w:pPr>
            <w:r w:rsidRPr="00C71867">
              <w:rPr>
                <w:rFonts w:asciiTheme="minorHAnsi" w:eastAsia="Segoe UI" w:hAnsiTheme="minorHAnsi" w:cstheme="minorHAnsi"/>
                <w:color w:val="000000"/>
                <w:sz w:val="24"/>
                <w:szCs w:val="24"/>
                <w:lang w:eastAsia="en-AU"/>
              </w:rPr>
              <w:t>2020 SRP - 2021 SRP</w:t>
            </w:r>
          </w:p>
        </w:tc>
      </w:tr>
      <w:tr w:rsidR="007E0BC0" w:rsidRPr="00C71867" w14:paraId="61DD4C10" w14:textId="77777777" w:rsidTr="00C71867">
        <w:trPr>
          <w:trHeight w:val="300"/>
        </w:trPr>
        <w:tc>
          <w:tcPr>
            <w:tcW w:w="1696" w:type="dxa"/>
            <w:noWrap/>
            <w:hideMark/>
          </w:tcPr>
          <w:p w14:paraId="40DE19DE" w14:textId="77777777" w:rsidR="007E0BC0" w:rsidRPr="00C71867" w:rsidRDefault="007E0BC0" w:rsidP="0034555D">
            <w:pPr>
              <w:spacing w:after="0" w:line="240" w:lineRule="auto"/>
              <w:ind w:firstLineChars="100" w:firstLine="240"/>
              <w:rPr>
                <w:rFonts w:asciiTheme="minorHAnsi" w:eastAsia="Segoe UI" w:hAnsiTheme="minorHAnsi" w:cstheme="minorHAnsi"/>
                <w:color w:val="000000"/>
                <w:sz w:val="24"/>
                <w:szCs w:val="24"/>
                <w:lang w:eastAsia="en-AU"/>
              </w:rPr>
            </w:pPr>
            <w:r w:rsidRPr="00C71867">
              <w:rPr>
                <w:rFonts w:asciiTheme="minorHAnsi" w:eastAsia="Segoe UI" w:hAnsiTheme="minorHAnsi" w:cstheme="minorHAnsi"/>
                <w:color w:val="000000"/>
                <w:sz w:val="24"/>
                <w:szCs w:val="24"/>
                <w:lang w:eastAsia="en-AU"/>
              </w:rPr>
              <w:t>F = Min (B,E)</w:t>
            </w:r>
          </w:p>
        </w:tc>
        <w:tc>
          <w:tcPr>
            <w:tcW w:w="7654" w:type="dxa"/>
            <w:noWrap/>
            <w:hideMark/>
          </w:tcPr>
          <w:p w14:paraId="23933823" w14:textId="727F362F" w:rsidR="007E0BC0" w:rsidRPr="00C71867" w:rsidRDefault="007E0BC0" w:rsidP="0034555D">
            <w:pPr>
              <w:spacing w:after="0" w:line="240" w:lineRule="auto"/>
              <w:rPr>
                <w:rFonts w:asciiTheme="minorHAnsi" w:eastAsia="Segoe UI" w:hAnsiTheme="minorHAnsi" w:cstheme="minorHAnsi"/>
                <w:color w:val="000000"/>
                <w:sz w:val="24"/>
                <w:szCs w:val="24"/>
                <w:lang w:eastAsia="en-AU"/>
              </w:rPr>
            </w:pPr>
            <w:r w:rsidRPr="00C71867">
              <w:rPr>
                <w:rFonts w:asciiTheme="minorHAnsi" w:eastAsia="Segoe UI" w:hAnsiTheme="minorHAnsi" w:cstheme="minorHAnsi"/>
                <w:color w:val="000000"/>
                <w:sz w:val="24"/>
                <w:szCs w:val="24"/>
                <w:lang w:eastAsia="en-AU"/>
              </w:rPr>
              <w:t xml:space="preserve">Transition = 2020 SRP - 2021 SRP = (E) but capped at the loss of </w:t>
            </w:r>
            <w:r w:rsidR="00FC77A1">
              <w:rPr>
                <w:rFonts w:asciiTheme="minorHAnsi" w:eastAsia="Segoe UI" w:hAnsiTheme="minorHAnsi" w:cstheme="minorHAnsi"/>
                <w:color w:val="000000"/>
                <w:sz w:val="24"/>
                <w:szCs w:val="24"/>
                <w:lang w:eastAsia="en-AU"/>
              </w:rPr>
              <w:t>r</w:t>
            </w:r>
            <w:r w:rsidRPr="00C71867">
              <w:rPr>
                <w:rFonts w:asciiTheme="minorHAnsi" w:eastAsia="Segoe UI" w:hAnsiTheme="minorHAnsi" w:cstheme="minorHAnsi"/>
                <w:color w:val="000000"/>
                <w:sz w:val="24"/>
                <w:szCs w:val="24"/>
                <w:lang w:eastAsia="en-AU"/>
              </w:rPr>
              <w:t xml:space="preserve">ural </w:t>
            </w:r>
            <w:r w:rsidR="00FC77A1">
              <w:rPr>
                <w:rFonts w:asciiTheme="minorHAnsi" w:eastAsia="Segoe UI" w:hAnsiTheme="minorHAnsi" w:cstheme="minorHAnsi"/>
                <w:color w:val="000000"/>
                <w:sz w:val="24"/>
                <w:szCs w:val="24"/>
                <w:lang w:eastAsia="en-AU"/>
              </w:rPr>
              <w:t>i</w:t>
            </w:r>
            <w:r w:rsidRPr="00C71867">
              <w:rPr>
                <w:rFonts w:asciiTheme="minorHAnsi" w:eastAsia="Segoe UI" w:hAnsiTheme="minorHAnsi" w:cstheme="minorHAnsi"/>
                <w:color w:val="000000"/>
                <w:sz w:val="24"/>
                <w:szCs w:val="24"/>
                <w:lang w:eastAsia="en-AU"/>
              </w:rPr>
              <w:t>tems (B)</w:t>
            </w:r>
          </w:p>
        </w:tc>
      </w:tr>
    </w:tbl>
    <w:p w14:paraId="23F1DBC2" w14:textId="49A25093" w:rsidR="000012C9" w:rsidRPr="00260C1D" w:rsidRDefault="000012C9">
      <w:pPr>
        <w:rPr>
          <w:rFonts w:eastAsia="Segoe UI" w:cstheme="minorHAnsi"/>
          <w:color w:val="011A3C"/>
          <w:sz w:val="24"/>
          <w:szCs w:val="24"/>
          <w:lang w:val="en" w:eastAsia="en-AU"/>
        </w:rPr>
      </w:pPr>
      <w:r w:rsidRPr="61484B2C">
        <w:rPr>
          <w:rFonts w:eastAsia="Segoe UI"/>
          <w:color w:val="011A3C"/>
          <w:sz w:val="24"/>
          <w:szCs w:val="24"/>
          <w:lang w:val="en" w:eastAsia="en-AU"/>
        </w:rPr>
        <w:br w:type="page"/>
      </w:r>
    </w:p>
    <w:p w14:paraId="68079E05" w14:textId="4F08BA01" w:rsidR="006F7D3A" w:rsidRPr="00260C1D" w:rsidRDefault="000012C9" w:rsidP="00532A33">
      <w:pPr>
        <w:pStyle w:val="Heading2"/>
      </w:pPr>
      <w:bookmarkStart w:id="265" w:name="_Toc141965295"/>
      <w:bookmarkStart w:id="266" w:name="_Toc145339622"/>
      <w:bookmarkStart w:id="267" w:name="_Toc153791945"/>
      <w:r>
        <w:lastRenderedPageBreak/>
        <w:t xml:space="preserve">Jobs, Skills and Pathways </w:t>
      </w:r>
      <w:r w:rsidR="00B148E8">
        <w:t>C</w:t>
      </w:r>
      <w:r>
        <w:t xml:space="preserve">oordination (Reference </w:t>
      </w:r>
      <w:r w:rsidR="002D5222">
        <w:t>127</w:t>
      </w:r>
      <w:r>
        <w:t>)</w:t>
      </w:r>
      <w:bookmarkEnd w:id="265"/>
      <w:bookmarkEnd w:id="266"/>
      <w:bookmarkEnd w:id="267"/>
    </w:p>
    <w:p w14:paraId="2D2B5681" w14:textId="77777777" w:rsidR="004767D8" w:rsidRDefault="004767D8" w:rsidP="00633AE5">
      <w:pPr>
        <w:spacing w:after="0" w:line="240" w:lineRule="auto"/>
        <w:rPr>
          <w:rFonts w:eastAsia="Segoe UI" w:cstheme="minorHAnsi"/>
          <w:color w:val="011A3C"/>
          <w:sz w:val="24"/>
          <w:szCs w:val="24"/>
          <w:lang w:val="en" w:eastAsia="en-AU"/>
        </w:rPr>
      </w:pPr>
    </w:p>
    <w:p w14:paraId="0D8F8527" w14:textId="62568B50" w:rsidR="00633AE5" w:rsidRPr="00260C1D" w:rsidRDefault="00633AE5" w:rsidP="00633AE5">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Jobs, Skills and Pathways Coordination </w:t>
      </w:r>
      <w:r>
        <w:rPr>
          <w:rFonts w:eastAsia="Segoe UI" w:cstheme="minorHAnsi"/>
          <w:color w:val="011A3C"/>
          <w:sz w:val="24"/>
          <w:szCs w:val="24"/>
          <w:lang w:val="en" w:eastAsia="en-AU"/>
        </w:rPr>
        <w:t>program</w:t>
      </w:r>
      <w:r w:rsidRPr="00260C1D">
        <w:rPr>
          <w:rFonts w:eastAsia="Segoe UI" w:cstheme="minorHAnsi"/>
          <w:color w:val="011A3C"/>
          <w:sz w:val="24"/>
          <w:szCs w:val="24"/>
          <w:lang w:val="en" w:eastAsia="en-AU"/>
        </w:rPr>
        <w:t xml:space="preserve"> funding </w:t>
      </w:r>
      <w:r>
        <w:rPr>
          <w:rFonts w:eastAsia="Segoe UI" w:cstheme="minorHAnsi"/>
          <w:color w:val="011A3C"/>
          <w:sz w:val="24"/>
          <w:szCs w:val="24"/>
          <w:lang w:val="en" w:eastAsia="en-AU"/>
        </w:rPr>
        <w:t>assists</w:t>
      </w:r>
      <w:r w:rsidRPr="00260C1D">
        <w:rPr>
          <w:rFonts w:eastAsia="Segoe UI" w:cstheme="minorHAnsi"/>
          <w:color w:val="011A3C"/>
          <w:sz w:val="24"/>
          <w:szCs w:val="24"/>
          <w:lang w:val="en" w:eastAsia="en-AU"/>
        </w:rPr>
        <w:t xml:space="preserve"> schools with the coordination and delivery of vocational and applied learning programs</w:t>
      </w:r>
      <w:r>
        <w:rPr>
          <w:rFonts w:eastAsia="Segoe UI" w:cstheme="minorHAnsi"/>
          <w:color w:val="011A3C"/>
          <w:sz w:val="24"/>
          <w:szCs w:val="24"/>
          <w:lang w:val="en" w:eastAsia="en-AU"/>
        </w:rPr>
        <w:t>; in particular,</w:t>
      </w:r>
      <w:r w:rsidRPr="00260C1D">
        <w:rPr>
          <w:rFonts w:eastAsia="Segoe UI" w:cstheme="minorHAnsi"/>
          <w:color w:val="011A3C"/>
          <w:sz w:val="24"/>
          <w:szCs w:val="24"/>
          <w:lang w:val="en" w:eastAsia="en-AU"/>
        </w:rPr>
        <w:t xml:space="preserve"> </w:t>
      </w:r>
      <w:r>
        <w:rPr>
          <w:rFonts w:eastAsia="Segoe UI" w:cstheme="minorHAnsi"/>
          <w:color w:val="011A3C"/>
          <w:sz w:val="24"/>
          <w:szCs w:val="24"/>
          <w:lang w:val="en" w:eastAsia="en-AU"/>
        </w:rPr>
        <w:t xml:space="preserve">with </w:t>
      </w:r>
      <w:r w:rsidRPr="00260C1D">
        <w:rPr>
          <w:rFonts w:eastAsia="Segoe UI" w:cstheme="minorHAnsi"/>
          <w:color w:val="011A3C"/>
          <w:sz w:val="24"/>
          <w:szCs w:val="24"/>
          <w:lang w:val="en" w:eastAsia="en-AU"/>
        </w:rPr>
        <w:t xml:space="preserve">Vocational Education and Training Delivered to </w:t>
      </w:r>
      <w:r>
        <w:rPr>
          <w:rFonts w:eastAsia="Segoe UI" w:cstheme="minorHAnsi"/>
          <w:color w:val="011A3C"/>
          <w:sz w:val="24"/>
          <w:szCs w:val="24"/>
          <w:lang w:val="en" w:eastAsia="en-AU"/>
        </w:rPr>
        <w:t>School</w:t>
      </w:r>
      <w:r w:rsidRPr="00260C1D">
        <w:rPr>
          <w:rFonts w:eastAsia="Segoe UI" w:cstheme="minorHAnsi"/>
          <w:color w:val="011A3C"/>
          <w:sz w:val="24"/>
          <w:szCs w:val="24"/>
          <w:lang w:val="en" w:eastAsia="en-AU"/>
        </w:rPr>
        <w:t xml:space="preserve"> Students </w:t>
      </w:r>
      <w:r>
        <w:rPr>
          <w:rFonts w:eastAsia="Segoe UI" w:cstheme="minorHAnsi"/>
          <w:color w:val="011A3C"/>
          <w:sz w:val="24"/>
          <w:szCs w:val="24"/>
          <w:lang w:val="en" w:eastAsia="en-AU"/>
        </w:rPr>
        <w:t>(VDSS)</w:t>
      </w:r>
      <w:r w:rsidRPr="00260C1D">
        <w:rPr>
          <w:rFonts w:eastAsia="Segoe UI" w:cstheme="minorHAnsi"/>
          <w:color w:val="011A3C"/>
          <w:sz w:val="24"/>
          <w:szCs w:val="24"/>
          <w:lang w:val="en" w:eastAsia="en-AU"/>
        </w:rPr>
        <w:t xml:space="preserve">, </w:t>
      </w:r>
      <w:r>
        <w:rPr>
          <w:rFonts w:eastAsia="Segoe UI" w:cstheme="minorHAnsi"/>
          <w:color w:val="011A3C"/>
          <w:sz w:val="24"/>
          <w:szCs w:val="24"/>
          <w:lang w:val="en" w:eastAsia="en-AU"/>
        </w:rPr>
        <w:t>work-related learning, and</w:t>
      </w:r>
      <w:r w:rsidRPr="00260C1D">
        <w:rPr>
          <w:rFonts w:eastAsia="Segoe UI" w:cstheme="minorHAnsi"/>
          <w:color w:val="011A3C"/>
          <w:sz w:val="24"/>
          <w:szCs w:val="24"/>
          <w:lang w:val="en" w:eastAsia="en-AU"/>
        </w:rPr>
        <w:t xml:space="preserve"> the </w:t>
      </w:r>
      <w:hyperlink r:id="rId210" w:history="1">
        <w:r w:rsidRPr="00260C1D">
          <w:rPr>
            <w:rStyle w:val="Hyperlink"/>
            <w:rFonts w:eastAsia="Segoe UI" w:cstheme="minorHAnsi"/>
            <w:sz w:val="24"/>
            <w:szCs w:val="24"/>
            <w:lang w:val="en" w:eastAsia="en-AU"/>
          </w:rPr>
          <w:t>VCE Vocational Major and Victorian Pathways Certificate</w:t>
        </w:r>
      </w:hyperlink>
      <w:r>
        <w:rPr>
          <w:rStyle w:val="Hyperlink"/>
          <w:rFonts w:eastAsia="Segoe UI" w:cstheme="minorHAnsi"/>
          <w:sz w:val="24"/>
          <w:szCs w:val="24"/>
          <w:lang w:val="en" w:eastAsia="en-AU"/>
        </w:rPr>
        <w:t>.</w:t>
      </w:r>
    </w:p>
    <w:p w14:paraId="55F3D47A" w14:textId="77777777" w:rsidR="00633AE5" w:rsidRPr="00260C1D" w:rsidRDefault="00633AE5" w:rsidP="00633AE5">
      <w:pPr>
        <w:spacing w:after="0" w:line="240" w:lineRule="auto"/>
        <w:rPr>
          <w:rFonts w:eastAsia="Segoe UI" w:cstheme="minorHAnsi"/>
          <w:color w:val="011A3C"/>
          <w:sz w:val="24"/>
          <w:szCs w:val="24"/>
          <w:lang w:val="en" w:eastAsia="en-AU"/>
        </w:rPr>
      </w:pPr>
    </w:p>
    <w:p w14:paraId="062B25B7" w14:textId="77777777" w:rsidR="00633AE5" w:rsidRPr="00260C1D" w:rsidRDefault="00633AE5" w:rsidP="00633AE5">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key objectives of Jobs, Skills and Pathways Coordination funding are to:</w:t>
      </w:r>
    </w:p>
    <w:p w14:paraId="40528558" w14:textId="77777777" w:rsidR="00633AE5" w:rsidRPr="00260C1D" w:rsidRDefault="00633AE5" w:rsidP="00633AE5">
      <w:pPr>
        <w:spacing w:after="0" w:line="240" w:lineRule="auto"/>
        <w:rPr>
          <w:rFonts w:eastAsia="Segoe UI" w:cstheme="minorHAnsi"/>
          <w:color w:val="011A3C"/>
          <w:sz w:val="24"/>
          <w:szCs w:val="24"/>
          <w:lang w:val="en" w:eastAsia="en-AU"/>
        </w:rPr>
      </w:pPr>
    </w:p>
    <w:p w14:paraId="38D24CB9" w14:textId="77777777" w:rsidR="00633AE5" w:rsidRPr="00260C1D" w:rsidRDefault="00633AE5" w:rsidP="00633AE5">
      <w:pPr>
        <w:numPr>
          <w:ilvl w:val="0"/>
          <w:numId w:val="30"/>
        </w:numPr>
        <w:spacing w:after="0"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upport schools with the administrative burden of delivering vocational and applied learning</w:t>
      </w:r>
      <w:r>
        <w:rPr>
          <w:rFonts w:eastAsia="Segoe UI" w:cstheme="minorHAnsi"/>
          <w:color w:val="011A3C"/>
          <w:sz w:val="24"/>
          <w:szCs w:val="24"/>
          <w:lang w:val="en" w:eastAsia="en-AU"/>
        </w:rPr>
        <w:t xml:space="preserve"> and</w:t>
      </w:r>
    </w:p>
    <w:p w14:paraId="76D6212E" w14:textId="77777777" w:rsidR="00633AE5" w:rsidRPr="00260C1D" w:rsidRDefault="00633AE5" w:rsidP="00633AE5">
      <w:pPr>
        <w:numPr>
          <w:ilvl w:val="0"/>
          <w:numId w:val="30"/>
        </w:numPr>
        <w:spacing w:after="0"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t>p</w:t>
      </w:r>
      <w:r w:rsidRPr="00260C1D">
        <w:rPr>
          <w:rFonts w:eastAsia="Segoe UI" w:cstheme="minorHAnsi"/>
          <w:color w:val="011A3C"/>
          <w:sz w:val="24"/>
          <w:szCs w:val="24"/>
          <w:lang w:val="en" w:eastAsia="en-AU"/>
        </w:rPr>
        <w:t xml:space="preserve">rovide schools with additional support </w:t>
      </w:r>
      <w:r>
        <w:rPr>
          <w:rFonts w:eastAsia="Segoe UI" w:cstheme="minorHAnsi"/>
          <w:color w:val="011A3C"/>
          <w:sz w:val="24"/>
          <w:szCs w:val="24"/>
          <w:lang w:val="en" w:eastAsia="en-AU"/>
        </w:rPr>
        <w:t>in coordinating the</w:t>
      </w:r>
      <w:r w:rsidRPr="00260C1D">
        <w:rPr>
          <w:rFonts w:eastAsia="Segoe UI" w:cstheme="minorHAnsi"/>
          <w:color w:val="011A3C"/>
          <w:sz w:val="24"/>
          <w:szCs w:val="24"/>
          <w:lang w:val="en" w:eastAsia="en-AU"/>
        </w:rPr>
        <w:t xml:space="preserve"> deliver</w:t>
      </w:r>
      <w:r>
        <w:rPr>
          <w:rFonts w:eastAsia="Segoe UI" w:cstheme="minorHAnsi"/>
          <w:color w:val="011A3C"/>
          <w:sz w:val="24"/>
          <w:szCs w:val="24"/>
          <w:lang w:val="en" w:eastAsia="en-AU"/>
        </w:rPr>
        <w:t>y of</w:t>
      </w:r>
      <w:r w:rsidRPr="00260C1D">
        <w:rPr>
          <w:rFonts w:eastAsia="Segoe UI" w:cstheme="minorHAnsi"/>
          <w:color w:val="011A3C"/>
          <w:sz w:val="24"/>
          <w:szCs w:val="24"/>
          <w:lang w:val="en" w:eastAsia="en-AU"/>
        </w:rPr>
        <w:t xml:space="preserve"> high-quality</w:t>
      </w:r>
      <w:r w:rsidRPr="00260C1D">
        <w:rPr>
          <w:rFonts w:cstheme="minorHAnsi"/>
        </w:rPr>
        <w:t xml:space="preserve"> </w:t>
      </w:r>
      <w:r w:rsidRPr="00260C1D">
        <w:rPr>
          <w:rFonts w:eastAsia="Segoe UI" w:cstheme="minorHAnsi"/>
          <w:color w:val="011A3C"/>
          <w:sz w:val="24"/>
          <w:szCs w:val="24"/>
          <w:lang w:val="en" w:eastAsia="en-AU"/>
        </w:rPr>
        <w:t>vocational and applied learning pathways.</w:t>
      </w:r>
    </w:p>
    <w:p w14:paraId="0FC3E8F6" w14:textId="77777777" w:rsidR="00633AE5" w:rsidRPr="00260C1D" w:rsidRDefault="00633AE5" w:rsidP="00633AE5">
      <w:pPr>
        <w:spacing w:after="0" w:line="240" w:lineRule="auto"/>
        <w:rPr>
          <w:rFonts w:eastAsia="Segoe UI" w:cstheme="minorHAnsi"/>
          <w:color w:val="011A3C"/>
          <w:sz w:val="24"/>
          <w:szCs w:val="24"/>
          <w:lang w:val="en" w:eastAsia="en-AU"/>
        </w:rPr>
      </w:pPr>
    </w:p>
    <w:p w14:paraId="69CCD399" w14:textId="77777777" w:rsidR="00633AE5" w:rsidRPr="00260C1D" w:rsidRDefault="00633AE5" w:rsidP="00633AE5">
      <w:pPr>
        <w:spacing w:after="0" w:line="240" w:lineRule="auto"/>
        <w:rPr>
          <w:rFonts w:eastAsia="Segoe UI"/>
          <w:color w:val="011A3C"/>
          <w:sz w:val="24"/>
          <w:szCs w:val="24"/>
          <w:lang w:val="en" w:eastAsia="en-AU"/>
        </w:rPr>
      </w:pPr>
      <w:r w:rsidRPr="61484B2C">
        <w:rPr>
          <w:rFonts w:eastAsia="Segoe UI"/>
          <w:color w:val="011A3C"/>
          <w:sz w:val="24"/>
          <w:szCs w:val="24"/>
          <w:lang w:val="en" w:eastAsia="en-AU"/>
        </w:rPr>
        <w:t xml:space="preserve">For further information, refer to the department’s policy on </w:t>
      </w:r>
      <w:hyperlink r:id="rId211">
        <w:r>
          <w:rPr>
            <w:rStyle w:val="Hyperlink"/>
            <w:rFonts w:eastAsia="Segoe UI"/>
            <w:sz w:val="24"/>
            <w:szCs w:val="24"/>
            <w:lang w:val="en" w:eastAsia="en-AU"/>
          </w:rPr>
          <w:t>Jobs, Skills and Pathways Coordination</w:t>
        </w:r>
      </w:hyperlink>
      <w:r w:rsidRPr="61484B2C">
        <w:rPr>
          <w:rFonts w:eastAsia="Segoe UI"/>
          <w:color w:val="011A3C"/>
          <w:sz w:val="24"/>
          <w:szCs w:val="24"/>
          <w:lang w:val="en" w:eastAsia="en-AU"/>
        </w:rPr>
        <w:t>.</w:t>
      </w:r>
    </w:p>
    <w:p w14:paraId="71DE7131" w14:textId="77777777" w:rsidR="00633AE5" w:rsidRDefault="00633AE5" w:rsidP="00633AE5">
      <w:pPr>
        <w:spacing w:after="0" w:line="240" w:lineRule="auto"/>
        <w:rPr>
          <w:rFonts w:eastAsia="Segoe UI"/>
          <w:color w:val="011A3C"/>
          <w:sz w:val="24"/>
          <w:szCs w:val="24"/>
          <w:lang w:val="en" w:eastAsia="en-AU"/>
        </w:rPr>
      </w:pPr>
    </w:p>
    <w:p w14:paraId="7DA9521E" w14:textId="77777777" w:rsidR="00633AE5" w:rsidRPr="00260C1D" w:rsidRDefault="00633AE5" w:rsidP="00633AE5">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Eligibility</w:t>
      </w:r>
    </w:p>
    <w:p w14:paraId="63C049B3" w14:textId="77777777" w:rsidR="00633AE5" w:rsidRDefault="00633AE5" w:rsidP="00633AE5">
      <w:pPr>
        <w:spacing w:after="0" w:line="240" w:lineRule="auto"/>
        <w:rPr>
          <w:lang w:val="en" w:eastAsia="en-AU"/>
        </w:rPr>
      </w:pPr>
    </w:p>
    <w:p w14:paraId="62D83B28" w14:textId="77777777" w:rsidR="00633AE5" w:rsidRPr="005D6BDE" w:rsidRDefault="00633AE5" w:rsidP="00633AE5">
      <w:pPr>
        <w:rPr>
          <w:rFonts w:eastAsia="Times New Roman" w:cstheme="minorHAnsi"/>
          <w:color w:val="000000"/>
          <w:sz w:val="24"/>
          <w:szCs w:val="24"/>
        </w:rPr>
      </w:pPr>
      <w:r w:rsidRPr="005D6BDE">
        <w:rPr>
          <w:rFonts w:eastAsia="Times New Roman" w:cstheme="minorHAnsi"/>
          <w:color w:val="000000"/>
          <w:sz w:val="24"/>
          <w:szCs w:val="24"/>
        </w:rPr>
        <w:t>In 2023 and 2024, the following schools are eligible to receive funding for Jobs, Skills and Pathways Coordination funding:</w:t>
      </w:r>
    </w:p>
    <w:p w14:paraId="1C625349" w14:textId="77777777" w:rsidR="00633AE5" w:rsidRPr="005D6BDE" w:rsidRDefault="00633AE5" w:rsidP="00633AE5">
      <w:pPr>
        <w:numPr>
          <w:ilvl w:val="0"/>
          <w:numId w:val="163"/>
        </w:numPr>
        <w:spacing w:before="100" w:beforeAutospacing="1" w:after="100" w:afterAutospacing="1" w:line="240" w:lineRule="auto"/>
        <w:rPr>
          <w:rFonts w:eastAsia="Times New Roman" w:cstheme="minorHAnsi"/>
          <w:color w:val="000000"/>
          <w:sz w:val="24"/>
          <w:szCs w:val="24"/>
        </w:rPr>
      </w:pPr>
      <w:r w:rsidRPr="005D6BDE">
        <w:rPr>
          <w:rFonts w:eastAsia="Times New Roman" w:cstheme="minorHAnsi"/>
          <w:color w:val="000000"/>
          <w:sz w:val="24"/>
          <w:szCs w:val="24"/>
        </w:rPr>
        <w:t>any mainstream government schools with a senior secondary program (i.e., with at least one student enrolment in a senior secondary certificate), and</w:t>
      </w:r>
    </w:p>
    <w:p w14:paraId="0321E4A0" w14:textId="77777777" w:rsidR="00633AE5" w:rsidRPr="005D6BDE" w:rsidRDefault="00633AE5" w:rsidP="00633AE5">
      <w:pPr>
        <w:numPr>
          <w:ilvl w:val="0"/>
          <w:numId w:val="163"/>
        </w:numPr>
        <w:spacing w:before="100" w:beforeAutospacing="1" w:after="100" w:afterAutospacing="1" w:line="240" w:lineRule="auto"/>
        <w:rPr>
          <w:rFonts w:eastAsia="Times New Roman" w:cstheme="minorHAnsi"/>
          <w:color w:val="000000"/>
          <w:sz w:val="24"/>
          <w:szCs w:val="24"/>
        </w:rPr>
      </w:pPr>
      <w:r w:rsidRPr="005D6BDE">
        <w:rPr>
          <w:rFonts w:eastAsia="Times New Roman" w:cstheme="minorHAnsi"/>
          <w:color w:val="000000"/>
          <w:sz w:val="24"/>
          <w:szCs w:val="24"/>
        </w:rPr>
        <w:t>any specialist schools with at least one senior secondary-aged student (i.e., aged 15 years or above at the time of eligibility determination).</w:t>
      </w:r>
    </w:p>
    <w:p w14:paraId="464C7E14" w14:textId="77777777" w:rsidR="00633AE5" w:rsidRPr="005D6BDE" w:rsidRDefault="00633AE5" w:rsidP="00633AE5">
      <w:pPr>
        <w:rPr>
          <w:rFonts w:eastAsia="Times New Roman" w:cstheme="minorHAnsi"/>
          <w:color w:val="000000"/>
          <w:sz w:val="24"/>
          <w:szCs w:val="24"/>
        </w:rPr>
      </w:pPr>
      <w:r w:rsidRPr="005D6BDE">
        <w:rPr>
          <w:rFonts w:eastAsia="Times New Roman" w:cstheme="minorHAnsi"/>
          <w:color w:val="000000"/>
          <w:sz w:val="24"/>
          <w:szCs w:val="24"/>
        </w:rPr>
        <w:t>Please note:</w:t>
      </w:r>
    </w:p>
    <w:p w14:paraId="7F8DA8B2" w14:textId="77777777" w:rsidR="00633AE5" w:rsidRPr="005D6BDE" w:rsidRDefault="00633AE5" w:rsidP="00633AE5">
      <w:pPr>
        <w:numPr>
          <w:ilvl w:val="0"/>
          <w:numId w:val="164"/>
        </w:numPr>
        <w:spacing w:before="100" w:beforeAutospacing="1" w:after="100" w:afterAutospacing="1" w:line="240" w:lineRule="auto"/>
        <w:rPr>
          <w:rFonts w:eastAsia="Times New Roman" w:cstheme="minorHAnsi"/>
          <w:color w:val="000000"/>
          <w:sz w:val="24"/>
          <w:szCs w:val="24"/>
        </w:rPr>
      </w:pPr>
      <w:r w:rsidRPr="005D6BDE">
        <w:rPr>
          <w:rStyle w:val="contentpasted14"/>
          <w:rFonts w:eastAsia="Times New Roman" w:cstheme="minorHAnsi"/>
          <w:color w:val="000000"/>
          <w:sz w:val="24"/>
          <w:szCs w:val="24"/>
          <w:shd w:val="clear" w:color="auto" w:fill="FFFFFF"/>
        </w:rPr>
        <w:t>English Language schools are not eligible.</w:t>
      </w:r>
    </w:p>
    <w:p w14:paraId="788DA6ED" w14:textId="77777777" w:rsidR="00633AE5" w:rsidRPr="005D6BDE" w:rsidRDefault="00633AE5" w:rsidP="00633AE5">
      <w:pPr>
        <w:numPr>
          <w:ilvl w:val="0"/>
          <w:numId w:val="164"/>
        </w:numPr>
        <w:spacing w:before="100" w:beforeAutospacing="1" w:after="0" w:afterAutospacing="1" w:line="240" w:lineRule="auto"/>
        <w:rPr>
          <w:rStyle w:val="contentpasted13"/>
          <w:rFonts w:cstheme="minorHAnsi"/>
          <w:sz w:val="24"/>
          <w:szCs w:val="24"/>
          <w:lang w:val="en" w:eastAsia="en-AU"/>
        </w:rPr>
      </w:pPr>
      <w:r w:rsidRPr="005D6BDE">
        <w:rPr>
          <w:rStyle w:val="contentpasted13"/>
          <w:rFonts w:eastAsia="Times New Roman" w:cstheme="minorHAnsi"/>
          <w:color w:val="000000"/>
          <w:sz w:val="24"/>
          <w:szCs w:val="24"/>
          <w:shd w:val="clear" w:color="auto" w:fill="FFFFFF"/>
        </w:rPr>
        <w:t>Schools with multiple campuses are only paid once (to the administration or senior campus).</w:t>
      </w:r>
    </w:p>
    <w:p w14:paraId="6D49D273" w14:textId="77777777" w:rsidR="00633AE5" w:rsidRPr="005D6BDE" w:rsidRDefault="00633AE5" w:rsidP="00633AE5">
      <w:pPr>
        <w:numPr>
          <w:ilvl w:val="0"/>
          <w:numId w:val="164"/>
        </w:numPr>
        <w:spacing w:before="100" w:beforeAutospacing="1" w:after="0" w:afterAutospacing="1" w:line="240" w:lineRule="auto"/>
        <w:rPr>
          <w:rFonts w:cstheme="minorHAnsi"/>
          <w:sz w:val="24"/>
          <w:szCs w:val="24"/>
          <w:lang w:val="en" w:eastAsia="en-AU"/>
        </w:rPr>
      </w:pPr>
      <w:r w:rsidRPr="005D6BDE">
        <w:rPr>
          <w:rFonts w:eastAsia="Times New Roman" w:cstheme="minorHAnsi"/>
          <w:color w:val="000000"/>
          <w:sz w:val="24"/>
          <w:szCs w:val="24"/>
        </w:rPr>
        <w:t>Eligibility of all Victorian government schools will automatically be reviewed each year for the following funded year using provisional data; schools do not need to request an eligibility review for this funding.</w:t>
      </w:r>
    </w:p>
    <w:p w14:paraId="441B6576" w14:textId="77777777" w:rsidR="00633AE5" w:rsidRPr="00260C1D" w:rsidRDefault="00633AE5" w:rsidP="00633AE5">
      <w:pPr>
        <w:spacing w:before="100" w:beforeAutospacing="1" w:after="100" w:afterAutospacing="1" w:line="288" w:lineRule="atLeast"/>
        <w:outlineLvl w:val="2"/>
        <w:rPr>
          <w:rFonts w:eastAsia="Segoe UI" w:cstheme="minorHAnsi"/>
          <w:color w:val="011A3C"/>
          <w:sz w:val="24"/>
          <w:szCs w:val="24"/>
          <w:lang w:val="en" w:eastAsia="en-AU"/>
        </w:rPr>
      </w:pPr>
      <w:r w:rsidRPr="00260C1D">
        <w:rPr>
          <w:rFonts w:eastAsia="Segoe UI" w:cstheme="minorHAnsi"/>
          <w:b/>
          <w:color w:val="011A3C"/>
          <w:sz w:val="27"/>
          <w:szCs w:val="27"/>
          <w:lang w:val="en" w:eastAsia="en-AU"/>
        </w:rPr>
        <w:t>Calculation</w:t>
      </w:r>
    </w:p>
    <w:p w14:paraId="6A10380E" w14:textId="4D3208CA" w:rsidR="00633AE5" w:rsidRDefault="00633AE5" w:rsidP="00633AE5">
      <w:pPr>
        <w:spacing w:after="0" w:line="240" w:lineRule="auto"/>
        <w:rPr>
          <w:rFonts w:eastAsia="Segoe UI"/>
          <w:color w:val="011A3C"/>
          <w:sz w:val="24"/>
          <w:szCs w:val="24"/>
          <w:lang w:val="en" w:eastAsia="en-AU"/>
        </w:rPr>
      </w:pPr>
      <w:r>
        <w:rPr>
          <w:rFonts w:eastAsia="Segoe UI"/>
          <w:color w:val="011A3C"/>
          <w:sz w:val="24"/>
          <w:szCs w:val="24"/>
          <w:lang w:val="en" w:eastAsia="en-AU"/>
        </w:rPr>
        <w:t>E</w:t>
      </w:r>
      <w:r w:rsidRPr="61484B2C">
        <w:rPr>
          <w:rFonts w:eastAsia="Segoe UI"/>
          <w:color w:val="011A3C"/>
          <w:sz w:val="24"/>
          <w:szCs w:val="24"/>
          <w:lang w:val="en" w:eastAsia="en-AU"/>
        </w:rPr>
        <w:t>ach</w:t>
      </w:r>
      <w:r>
        <w:rPr>
          <w:rFonts w:eastAsia="Segoe UI"/>
          <w:color w:val="011A3C"/>
          <w:sz w:val="24"/>
          <w:szCs w:val="24"/>
          <w:lang w:val="en" w:eastAsia="en-AU"/>
        </w:rPr>
        <w:t xml:space="preserve"> eligible</w:t>
      </w:r>
      <w:r w:rsidRPr="61484B2C">
        <w:rPr>
          <w:rFonts w:eastAsia="Segoe UI"/>
          <w:color w:val="011A3C"/>
          <w:sz w:val="24"/>
          <w:szCs w:val="24"/>
          <w:lang w:val="en" w:eastAsia="en-AU"/>
        </w:rPr>
        <w:t xml:space="preserve"> school will receive a flat amount equivalent to 0.3 FTE of an Education Support Staff salary </w:t>
      </w:r>
      <w:r>
        <w:rPr>
          <w:rFonts w:eastAsia="Segoe UI"/>
          <w:color w:val="011A3C"/>
          <w:sz w:val="24"/>
          <w:szCs w:val="24"/>
          <w:lang w:val="en" w:eastAsia="en-AU"/>
        </w:rPr>
        <w:t>at Level 1, Range</w:t>
      </w:r>
      <w:r w:rsidRPr="61484B2C">
        <w:rPr>
          <w:rFonts w:eastAsia="Segoe UI"/>
          <w:color w:val="011A3C"/>
          <w:sz w:val="24"/>
          <w:szCs w:val="24"/>
          <w:lang w:val="en" w:eastAsia="en-AU"/>
        </w:rPr>
        <w:t xml:space="preserve"> 4-6</w:t>
      </w:r>
      <w:r>
        <w:rPr>
          <w:rFonts w:eastAsia="Segoe UI"/>
          <w:color w:val="011A3C"/>
          <w:sz w:val="24"/>
          <w:szCs w:val="24"/>
          <w:lang w:val="en" w:eastAsia="en-AU"/>
        </w:rPr>
        <w:t>, including superannuation and payroll tax.</w:t>
      </w:r>
      <w:r w:rsidR="006A5DC6">
        <w:rPr>
          <w:rFonts w:eastAsia="Segoe UI"/>
          <w:color w:val="011A3C"/>
          <w:sz w:val="24"/>
          <w:szCs w:val="24"/>
          <w:lang w:val="en" w:eastAsia="en-AU"/>
        </w:rPr>
        <w:t xml:space="preserve"> </w:t>
      </w:r>
      <w:r w:rsidRPr="00260C1D">
        <w:rPr>
          <w:rFonts w:eastAsia="Segoe UI" w:cstheme="minorHAnsi"/>
          <w:color w:val="011A3C"/>
          <w:sz w:val="24"/>
          <w:szCs w:val="24"/>
          <w:lang w:val="en" w:eastAsia="en-AU"/>
        </w:rPr>
        <w:t xml:space="preserve">Funding is calculated at the </w:t>
      </w:r>
      <w:r>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onfirmed </w:t>
      </w:r>
      <w:r>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ycle</w:t>
      </w:r>
      <w:r>
        <w:rPr>
          <w:rFonts w:eastAsia="Segoe UI" w:cstheme="minorHAnsi"/>
          <w:color w:val="011A3C"/>
          <w:sz w:val="24"/>
          <w:szCs w:val="24"/>
          <w:lang w:val="en" w:eastAsia="en-AU"/>
        </w:rPr>
        <w:t xml:space="preserve"> and is allocated</w:t>
      </w:r>
      <w:r w:rsidRPr="00260C1D">
        <w:rPr>
          <w:rFonts w:eastAsia="Segoe UI" w:cstheme="minorHAnsi"/>
          <w:color w:val="011A3C"/>
          <w:sz w:val="24"/>
          <w:szCs w:val="24"/>
          <w:lang w:val="en" w:eastAsia="en-AU"/>
        </w:rPr>
        <w:t xml:space="preserve"> through </w:t>
      </w:r>
      <w:r>
        <w:rPr>
          <w:rFonts w:eastAsia="Segoe UI" w:cstheme="minorHAnsi"/>
          <w:color w:val="011A3C"/>
          <w:sz w:val="24"/>
          <w:szCs w:val="24"/>
          <w:lang w:val="en" w:eastAsia="en-AU"/>
        </w:rPr>
        <w:t xml:space="preserve">SRP </w:t>
      </w:r>
      <w:r w:rsidRPr="00260C1D">
        <w:rPr>
          <w:rFonts w:eastAsia="Segoe UI" w:cstheme="minorHAnsi"/>
          <w:color w:val="011A3C"/>
          <w:sz w:val="24"/>
          <w:szCs w:val="24"/>
          <w:lang w:val="en" w:eastAsia="en-AU"/>
        </w:rPr>
        <w:t>cash funding</w:t>
      </w:r>
      <w:r>
        <w:rPr>
          <w:rFonts w:eastAsia="Segoe UI" w:cstheme="minorHAnsi"/>
          <w:color w:val="011A3C"/>
          <w:sz w:val="24"/>
          <w:szCs w:val="24"/>
          <w:lang w:val="en" w:eastAsia="en-AU"/>
        </w:rPr>
        <w:t xml:space="preserve"> on a termly basis</w:t>
      </w:r>
      <w:r w:rsidRPr="00260C1D">
        <w:rPr>
          <w:rFonts w:eastAsia="Segoe UI" w:cstheme="minorHAnsi"/>
          <w:color w:val="011A3C"/>
          <w:sz w:val="24"/>
          <w:szCs w:val="24"/>
          <w:lang w:val="en" w:eastAsia="en-AU"/>
        </w:rPr>
        <w:t>.</w:t>
      </w:r>
    </w:p>
    <w:p w14:paraId="0B436946" w14:textId="77777777" w:rsidR="00633AE5" w:rsidRPr="00260C1D" w:rsidRDefault="00633AE5" w:rsidP="00633AE5">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w:t>
      </w:r>
    </w:p>
    <w:p w14:paraId="342A6365" w14:textId="77777777" w:rsidR="00633AE5" w:rsidRDefault="00633AE5" w:rsidP="00633AE5">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202</w:t>
      </w:r>
      <w:r>
        <w:rPr>
          <w:rFonts w:eastAsia="Segoe UI" w:cstheme="minorHAnsi"/>
          <w:color w:val="011A3C"/>
          <w:sz w:val="24"/>
          <w:szCs w:val="24"/>
          <w:lang w:val="en" w:eastAsia="en-AU"/>
        </w:rPr>
        <w:t>4</w:t>
      </w:r>
      <w:r w:rsidRPr="00260C1D">
        <w:rPr>
          <w:rFonts w:eastAsia="Segoe UI" w:cstheme="minorHAnsi"/>
          <w:color w:val="011A3C"/>
          <w:sz w:val="24"/>
          <w:szCs w:val="24"/>
          <w:lang w:val="en" w:eastAsia="en-AU"/>
        </w:rPr>
        <w:t xml:space="preserve"> Indicative </w:t>
      </w:r>
      <w:r>
        <w:rPr>
          <w:rFonts w:eastAsia="Segoe UI" w:cstheme="minorHAnsi"/>
          <w:color w:val="011A3C"/>
          <w:sz w:val="24"/>
          <w:szCs w:val="24"/>
          <w:lang w:val="en" w:eastAsia="en-AU"/>
        </w:rPr>
        <w:t xml:space="preserve">amount </w:t>
      </w:r>
      <w:r w:rsidRPr="00260C1D">
        <w:rPr>
          <w:rFonts w:eastAsia="Segoe UI" w:cstheme="minorHAnsi"/>
          <w:color w:val="011A3C"/>
          <w:sz w:val="24"/>
          <w:szCs w:val="24"/>
          <w:lang w:val="en" w:eastAsia="en-AU"/>
        </w:rPr>
        <w:t>per annum per school</w:t>
      </w:r>
      <w:r w:rsidRPr="00260C1D" w:rsidDel="00B45D30">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 </w:t>
      </w:r>
      <w:r>
        <w:rPr>
          <w:rFonts w:eastAsia="Segoe UI" w:cstheme="minorHAnsi"/>
          <w:color w:val="011A3C"/>
          <w:sz w:val="24"/>
          <w:szCs w:val="24"/>
          <w:lang w:val="en" w:eastAsia="en-AU"/>
        </w:rPr>
        <w:t xml:space="preserve">0.3 of $125,394.54 = </w:t>
      </w:r>
      <w:r w:rsidRPr="00652231">
        <w:rPr>
          <w:rFonts w:eastAsia="Segoe UI"/>
          <w:color w:val="011A3C"/>
          <w:sz w:val="24"/>
          <w:szCs w:val="24"/>
          <w:lang w:val="en" w:eastAsia="en-AU"/>
        </w:rPr>
        <w:t>$37,</w:t>
      </w:r>
      <w:r>
        <w:rPr>
          <w:rFonts w:eastAsia="Segoe UI"/>
          <w:color w:val="011A3C"/>
          <w:sz w:val="24"/>
          <w:szCs w:val="24"/>
          <w:lang w:val="en" w:eastAsia="en-AU"/>
        </w:rPr>
        <w:t>618.36</w:t>
      </w:r>
      <w:r>
        <w:rPr>
          <w:rFonts w:eastAsia="Segoe UI" w:cstheme="minorHAnsi"/>
          <w:color w:val="011A3C"/>
          <w:sz w:val="24"/>
          <w:szCs w:val="24"/>
          <w:lang w:val="en" w:eastAsia="en-AU"/>
        </w:rPr>
        <w:t>.</w:t>
      </w:r>
    </w:p>
    <w:p w14:paraId="5933DFAC" w14:textId="77777777" w:rsidR="00633AE5" w:rsidRDefault="00633AE5" w:rsidP="00633AE5">
      <w:pPr>
        <w:spacing w:after="0" w:line="240" w:lineRule="auto"/>
        <w:rPr>
          <w:rFonts w:eastAsia="Segoe UI" w:cstheme="minorHAnsi"/>
          <w:color w:val="011A3C"/>
          <w:sz w:val="24"/>
          <w:szCs w:val="24"/>
          <w:lang w:val="en" w:eastAsia="en-AU"/>
        </w:rPr>
      </w:pPr>
    </w:p>
    <w:p w14:paraId="598C3786" w14:textId="77777777" w:rsidR="00633AE5" w:rsidRDefault="00633AE5" w:rsidP="00633AE5">
      <w:pPr>
        <w:spacing w:after="0" w:line="240" w:lineRule="auto"/>
        <w:rPr>
          <w:rFonts w:eastAsia="Segoe UI"/>
          <w:color w:val="011A3C"/>
          <w:sz w:val="24"/>
          <w:szCs w:val="24"/>
          <w:lang w:val="en" w:eastAsia="en-AU"/>
        </w:rPr>
      </w:pPr>
      <w:r>
        <w:rPr>
          <w:rFonts w:eastAsia="Segoe UI" w:cstheme="minorHAnsi"/>
          <w:color w:val="011A3C"/>
          <w:sz w:val="24"/>
          <w:szCs w:val="24"/>
          <w:lang w:val="en" w:eastAsia="en-AU"/>
        </w:rPr>
        <w:t>2024 Indicative amount per school per term = 0.25 of $</w:t>
      </w:r>
      <w:r w:rsidRPr="00652231">
        <w:rPr>
          <w:rFonts w:eastAsia="Segoe UI"/>
          <w:color w:val="011A3C"/>
          <w:sz w:val="24"/>
          <w:szCs w:val="24"/>
          <w:lang w:val="en" w:eastAsia="en-AU"/>
        </w:rPr>
        <w:t>37,</w:t>
      </w:r>
      <w:r>
        <w:rPr>
          <w:rFonts w:eastAsia="Segoe UI"/>
          <w:color w:val="011A3C"/>
          <w:sz w:val="24"/>
          <w:szCs w:val="24"/>
          <w:lang w:val="en" w:eastAsia="en-AU"/>
        </w:rPr>
        <w:t>618.36 = $9,404.59.</w:t>
      </w:r>
    </w:p>
    <w:p w14:paraId="733AE804" w14:textId="77777777" w:rsidR="00633AE5" w:rsidRDefault="00633AE5" w:rsidP="00633AE5">
      <w:pPr>
        <w:spacing w:after="0" w:line="240" w:lineRule="auto"/>
        <w:rPr>
          <w:rFonts w:eastAsia="Segoe UI" w:cstheme="minorHAnsi"/>
          <w:color w:val="011A3C"/>
          <w:sz w:val="24"/>
          <w:szCs w:val="24"/>
          <w:lang w:val="en" w:eastAsia="en-AU"/>
        </w:rPr>
      </w:pPr>
    </w:p>
    <w:p w14:paraId="35E3E793" w14:textId="77777777" w:rsidR="00633AE5" w:rsidRPr="00260C1D" w:rsidRDefault="00633AE5" w:rsidP="00633AE5">
      <w:pPr>
        <w:spacing w:after="0" w:line="240" w:lineRule="auto"/>
        <w:rPr>
          <w:rFonts w:eastAsia="Segoe UI" w:cstheme="minorHAnsi"/>
          <w:color w:val="011A3C"/>
          <w:sz w:val="24"/>
          <w:szCs w:val="24"/>
          <w:lang w:val="en" w:eastAsia="en-AU"/>
        </w:rPr>
      </w:pPr>
    </w:p>
    <w:p w14:paraId="0337D1A4" w14:textId="77777777" w:rsidR="00633AE5" w:rsidRPr="00260C1D" w:rsidRDefault="00633AE5" w:rsidP="00633AE5">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lastRenderedPageBreak/>
        <w:t xml:space="preserve">Further Information </w:t>
      </w:r>
    </w:p>
    <w:p w14:paraId="0F722EE3" w14:textId="77777777" w:rsidR="00633AE5" w:rsidRDefault="00633AE5" w:rsidP="00633AE5">
      <w:pPr>
        <w:spacing w:after="0" w:line="240" w:lineRule="auto"/>
        <w:rPr>
          <w:rFonts w:eastAsia="Segoe UI"/>
          <w:color w:val="011A3C"/>
          <w:sz w:val="24"/>
          <w:szCs w:val="24"/>
          <w:lang w:val="en" w:eastAsia="en-AU"/>
        </w:rPr>
      </w:pPr>
      <w:r w:rsidRPr="61484B2C">
        <w:rPr>
          <w:rFonts w:eastAsia="Segoe UI"/>
          <w:color w:val="011A3C"/>
          <w:sz w:val="24"/>
          <w:szCs w:val="24"/>
          <w:lang w:val="en" w:eastAsia="en-AU"/>
        </w:rPr>
        <w:t xml:space="preserve">The funding is currently available for 2023 and 2024 only. </w:t>
      </w:r>
    </w:p>
    <w:p w14:paraId="2A7D77AF" w14:textId="77777777" w:rsidR="00633AE5" w:rsidRDefault="00633AE5" w:rsidP="00633AE5">
      <w:pPr>
        <w:spacing w:after="0" w:line="240" w:lineRule="auto"/>
        <w:rPr>
          <w:rFonts w:eastAsia="Segoe UI"/>
          <w:color w:val="011A3C"/>
          <w:sz w:val="24"/>
          <w:szCs w:val="24"/>
          <w:lang w:val="en" w:eastAsia="en-AU"/>
        </w:rPr>
      </w:pPr>
    </w:p>
    <w:p w14:paraId="2A654E6A" w14:textId="77777777" w:rsidR="00633AE5" w:rsidRPr="00260C1D" w:rsidRDefault="00633AE5" w:rsidP="00633AE5">
      <w:pPr>
        <w:spacing w:after="0" w:line="240" w:lineRule="auto"/>
        <w:rPr>
          <w:lang w:val="en"/>
        </w:rPr>
      </w:pPr>
      <w:r w:rsidRPr="00260C1D">
        <w:rPr>
          <w:rFonts w:eastAsia="Segoe UI" w:cstheme="minorHAnsi"/>
          <w:color w:val="011A3C"/>
          <w:sz w:val="24"/>
          <w:szCs w:val="24"/>
          <w:lang w:val="en" w:eastAsia="en-AU"/>
        </w:rPr>
        <w:t xml:space="preserve">Further information about the functions </w:t>
      </w:r>
      <w:r>
        <w:rPr>
          <w:rFonts w:eastAsia="Segoe UI" w:cstheme="minorHAnsi"/>
          <w:color w:val="011A3C"/>
          <w:sz w:val="24"/>
          <w:szCs w:val="24"/>
          <w:lang w:val="en" w:eastAsia="en-AU"/>
        </w:rPr>
        <w:t>that this</w:t>
      </w:r>
      <w:r w:rsidRPr="00260C1D">
        <w:rPr>
          <w:rFonts w:eastAsia="Segoe UI" w:cstheme="minorHAnsi"/>
          <w:color w:val="011A3C"/>
          <w:sz w:val="24"/>
          <w:szCs w:val="24"/>
          <w:lang w:val="en" w:eastAsia="en-AU"/>
        </w:rPr>
        <w:t xml:space="preserve"> funding can be used for and some examples of how the funding can be used are available at </w:t>
      </w:r>
      <w:hyperlink r:id="rId212" w:history="1">
        <w:r>
          <w:rPr>
            <w:rStyle w:val="Hyperlink"/>
            <w:rFonts w:cstheme="minorHAnsi"/>
            <w:sz w:val="24"/>
            <w:szCs w:val="24"/>
          </w:rPr>
          <w:t>Jobs, Skills and Pathways Coordination</w:t>
        </w:r>
      </w:hyperlink>
    </w:p>
    <w:p w14:paraId="0B7E0A2F" w14:textId="77777777" w:rsidR="00633AE5" w:rsidRDefault="00633AE5" w:rsidP="00633AE5">
      <w:pPr>
        <w:spacing w:after="0" w:line="240" w:lineRule="auto"/>
        <w:rPr>
          <w:rFonts w:eastAsia="Segoe UI"/>
          <w:color w:val="011A3C"/>
          <w:sz w:val="24"/>
          <w:szCs w:val="24"/>
          <w:lang w:val="en" w:eastAsia="en-AU"/>
        </w:rPr>
      </w:pPr>
    </w:p>
    <w:p w14:paraId="7D596019" w14:textId="77777777" w:rsidR="00633AE5" w:rsidRPr="00260C1D" w:rsidRDefault="00633AE5" w:rsidP="00633AE5">
      <w:pPr>
        <w:pStyle w:val="mld-paragraph"/>
        <w:spacing w:before="0" w:beforeAutospacing="0" w:after="0" w:afterAutospacing="0" w:line="315" w:lineRule="exact"/>
        <w:rPr>
          <w:rFonts w:asciiTheme="minorHAnsi" w:eastAsia="Segoe UI" w:hAnsiTheme="minorHAnsi" w:cstheme="minorHAnsi"/>
          <w:color w:val="011A3C"/>
          <w:sz w:val="24"/>
          <w:szCs w:val="24"/>
          <w:lang w:val="en"/>
        </w:rPr>
      </w:pPr>
      <w:r w:rsidRPr="00260C1D">
        <w:rPr>
          <w:rFonts w:asciiTheme="minorHAnsi" w:eastAsia="Segoe UI" w:hAnsiTheme="minorHAnsi" w:cstheme="minorHAnsi"/>
          <w:color w:val="011A3C"/>
          <w:sz w:val="24"/>
          <w:szCs w:val="24"/>
          <w:lang w:val="en"/>
        </w:rPr>
        <w:t>To record expenditure against this funding, schools should activate a CASES21 code within the 8950-8999 range (Vocational Ed and Training) and add the title ‘JSP Coordination’.</w:t>
      </w:r>
    </w:p>
    <w:p w14:paraId="68C893AB" w14:textId="77777777" w:rsidR="00633AE5" w:rsidRPr="00260C1D" w:rsidRDefault="00633AE5" w:rsidP="00633AE5">
      <w:pPr>
        <w:spacing w:after="0" w:line="240" w:lineRule="auto"/>
        <w:rPr>
          <w:rFonts w:eastAsia="Segoe UI" w:cstheme="minorHAnsi"/>
          <w:color w:val="011A3C"/>
          <w:sz w:val="24"/>
          <w:szCs w:val="24"/>
          <w:lang w:val="en" w:eastAsia="en-AU"/>
        </w:rPr>
      </w:pPr>
    </w:p>
    <w:p w14:paraId="71D5F93C" w14:textId="77777777" w:rsidR="00633AE5" w:rsidRPr="00260C1D" w:rsidRDefault="00633AE5" w:rsidP="00633AE5">
      <w:pPr>
        <w:spacing w:after="0" w:line="240" w:lineRule="auto"/>
        <w:rPr>
          <w:rFonts w:eastAsia="Segoe UI"/>
          <w:color w:val="011A3C"/>
          <w:sz w:val="24"/>
          <w:szCs w:val="24"/>
          <w:lang w:val="en" w:eastAsia="en-AU"/>
        </w:rPr>
      </w:pPr>
      <w:r w:rsidRPr="61484B2C">
        <w:rPr>
          <w:rFonts w:eastAsia="Segoe UI"/>
          <w:color w:val="011A3C"/>
          <w:sz w:val="24"/>
          <w:szCs w:val="24"/>
          <w:lang w:val="en" w:eastAsia="en-AU"/>
        </w:rPr>
        <w:t>Please note</w:t>
      </w:r>
      <w:r>
        <w:rPr>
          <w:rFonts w:eastAsia="Segoe UI"/>
          <w:color w:val="011A3C"/>
          <w:sz w:val="24"/>
          <w:szCs w:val="24"/>
          <w:lang w:val="en" w:eastAsia="en-AU"/>
        </w:rPr>
        <w:t>:</w:t>
      </w:r>
      <w:r w:rsidRPr="61484B2C">
        <w:rPr>
          <w:rFonts w:eastAsia="Segoe UI"/>
          <w:color w:val="011A3C"/>
          <w:sz w:val="24"/>
          <w:szCs w:val="24"/>
          <w:lang w:val="en" w:eastAsia="en-AU"/>
        </w:rPr>
        <w:t xml:space="preserve"> when using the J</w:t>
      </w:r>
      <w:r>
        <w:rPr>
          <w:rFonts w:eastAsia="Segoe UI"/>
          <w:color w:val="011A3C"/>
          <w:sz w:val="24"/>
          <w:szCs w:val="24"/>
          <w:lang w:val="en" w:eastAsia="en-AU"/>
        </w:rPr>
        <w:t xml:space="preserve">obs, </w:t>
      </w:r>
      <w:r w:rsidRPr="61484B2C">
        <w:rPr>
          <w:rFonts w:eastAsia="Segoe UI"/>
          <w:color w:val="011A3C"/>
          <w:sz w:val="24"/>
          <w:szCs w:val="24"/>
          <w:lang w:val="en" w:eastAsia="en-AU"/>
        </w:rPr>
        <w:t>S</w:t>
      </w:r>
      <w:r>
        <w:rPr>
          <w:rFonts w:eastAsia="Segoe UI"/>
          <w:color w:val="011A3C"/>
          <w:sz w:val="24"/>
          <w:szCs w:val="24"/>
          <w:lang w:val="en" w:eastAsia="en-AU"/>
        </w:rPr>
        <w:t xml:space="preserve">kills and </w:t>
      </w:r>
      <w:r w:rsidRPr="61484B2C">
        <w:rPr>
          <w:rFonts w:eastAsia="Segoe UI"/>
          <w:color w:val="011A3C"/>
          <w:sz w:val="24"/>
          <w:szCs w:val="24"/>
          <w:lang w:val="en" w:eastAsia="en-AU"/>
        </w:rPr>
        <w:t>P</w:t>
      </w:r>
      <w:r>
        <w:rPr>
          <w:rFonts w:eastAsia="Segoe UI"/>
          <w:color w:val="011A3C"/>
          <w:sz w:val="24"/>
          <w:szCs w:val="24"/>
          <w:lang w:val="en" w:eastAsia="en-AU"/>
        </w:rPr>
        <w:t>athways</w:t>
      </w:r>
      <w:r w:rsidRPr="61484B2C">
        <w:rPr>
          <w:rFonts w:eastAsia="Segoe UI"/>
          <w:color w:val="011A3C"/>
          <w:sz w:val="24"/>
          <w:szCs w:val="24"/>
          <w:lang w:val="en" w:eastAsia="en-AU"/>
        </w:rPr>
        <w:t xml:space="preserve"> </w:t>
      </w:r>
      <w:r>
        <w:rPr>
          <w:rFonts w:eastAsia="Segoe UI"/>
          <w:color w:val="011A3C"/>
          <w:sz w:val="24"/>
          <w:szCs w:val="24"/>
          <w:lang w:val="en" w:eastAsia="en-AU"/>
        </w:rPr>
        <w:t>C</w:t>
      </w:r>
      <w:r w:rsidRPr="61484B2C">
        <w:rPr>
          <w:rFonts w:eastAsia="Segoe UI"/>
          <w:color w:val="011A3C"/>
          <w:sz w:val="24"/>
          <w:szCs w:val="24"/>
          <w:lang w:val="en" w:eastAsia="en-AU"/>
        </w:rPr>
        <w:t xml:space="preserve">oordination funding </w:t>
      </w:r>
      <w:r>
        <w:rPr>
          <w:rFonts w:eastAsia="Segoe UI"/>
          <w:color w:val="011A3C"/>
          <w:sz w:val="24"/>
          <w:szCs w:val="24"/>
          <w:lang w:val="en" w:eastAsia="en-AU"/>
        </w:rPr>
        <w:t>to fund</w:t>
      </w:r>
      <w:r w:rsidRPr="61484B2C">
        <w:rPr>
          <w:rFonts w:eastAsia="Segoe UI"/>
          <w:color w:val="011A3C"/>
          <w:sz w:val="24"/>
          <w:szCs w:val="24"/>
          <w:lang w:val="en" w:eastAsia="en-AU"/>
        </w:rPr>
        <w:t xml:space="preserve"> the employment of new staff in one or multiple schools, consideration must be made on the employment conditions of fixed-term and ongoing staff</w:t>
      </w:r>
      <w:r>
        <w:rPr>
          <w:rFonts w:eastAsia="Segoe UI"/>
          <w:color w:val="011A3C"/>
          <w:sz w:val="24"/>
          <w:szCs w:val="24"/>
          <w:lang w:val="en" w:eastAsia="en-AU"/>
        </w:rPr>
        <w:t>,</w:t>
      </w:r>
      <w:r w:rsidRPr="61484B2C">
        <w:rPr>
          <w:rFonts w:eastAsia="Segoe UI"/>
          <w:color w:val="011A3C"/>
          <w:sz w:val="24"/>
          <w:szCs w:val="24"/>
          <w:lang w:val="en" w:eastAsia="en-AU"/>
        </w:rPr>
        <w:t xml:space="preserve"> and the implications for the school</w:t>
      </w:r>
      <w:r>
        <w:rPr>
          <w:rFonts w:eastAsia="Segoe UI"/>
          <w:color w:val="011A3C"/>
          <w:sz w:val="24"/>
          <w:szCs w:val="24"/>
          <w:lang w:val="en" w:eastAsia="en-AU"/>
        </w:rPr>
        <w:t>(s)</w:t>
      </w:r>
      <w:r w:rsidRPr="61484B2C">
        <w:rPr>
          <w:rFonts w:eastAsia="Segoe UI"/>
          <w:color w:val="011A3C"/>
          <w:sz w:val="24"/>
          <w:szCs w:val="24"/>
          <w:lang w:val="en" w:eastAsia="en-AU"/>
        </w:rPr>
        <w:t xml:space="preserve"> with funding only given to the role for 1 or 2 years.</w:t>
      </w:r>
    </w:p>
    <w:p w14:paraId="38C76523" w14:textId="77777777" w:rsidR="00633AE5" w:rsidRDefault="00633AE5" w:rsidP="00633AE5">
      <w:pPr>
        <w:spacing w:after="0" w:line="240" w:lineRule="auto"/>
        <w:rPr>
          <w:rFonts w:eastAsia="Segoe UI"/>
          <w:color w:val="011A3C"/>
          <w:sz w:val="24"/>
          <w:szCs w:val="24"/>
          <w:lang w:val="en" w:eastAsia="en-AU"/>
        </w:rPr>
      </w:pPr>
    </w:p>
    <w:p w14:paraId="547FD0BF" w14:textId="77777777" w:rsidR="00633AE5" w:rsidRPr="00260C1D" w:rsidRDefault="00633AE5" w:rsidP="00633AE5">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Contact Information</w:t>
      </w:r>
    </w:p>
    <w:p w14:paraId="467811D8" w14:textId="77777777" w:rsidR="00633AE5" w:rsidRPr="00614B09" w:rsidRDefault="00633AE5" w:rsidP="00633AE5">
      <w:pPr>
        <w:spacing w:after="0" w:line="240" w:lineRule="auto"/>
        <w:rPr>
          <w:rStyle w:val="Hyperlink"/>
          <w:rFonts w:cstheme="minorHAnsi"/>
          <w:color w:val="011A3C"/>
          <w:sz w:val="24"/>
          <w:szCs w:val="24"/>
        </w:rPr>
      </w:pPr>
      <w:r>
        <w:rPr>
          <w:rFonts w:cstheme="minorHAnsi"/>
          <w:color w:val="011A3C"/>
          <w:sz w:val="24"/>
          <w:szCs w:val="24"/>
        </w:rPr>
        <w:t xml:space="preserve">Contact the </w:t>
      </w:r>
      <w:r w:rsidRPr="00614B09">
        <w:rPr>
          <w:rFonts w:cstheme="minorHAnsi"/>
          <w:color w:val="011A3C"/>
          <w:sz w:val="24"/>
          <w:szCs w:val="24"/>
        </w:rPr>
        <w:t>Senior Secondary Pathways Reform Taskforce</w:t>
      </w:r>
      <w:r>
        <w:rPr>
          <w:rFonts w:cstheme="minorHAnsi"/>
          <w:color w:val="011A3C"/>
          <w:sz w:val="24"/>
          <w:szCs w:val="24"/>
        </w:rPr>
        <w:t xml:space="preserve"> at </w:t>
      </w:r>
      <w:hyperlink r:id="rId213" w:history="1">
        <w:r w:rsidRPr="00614B09">
          <w:rPr>
            <w:rStyle w:val="Hyperlink"/>
            <w:rFonts w:cstheme="minorHAnsi"/>
            <w:sz w:val="24"/>
            <w:szCs w:val="24"/>
          </w:rPr>
          <w:t>pathways.reform@education.vic.gov.au</w:t>
        </w:r>
      </w:hyperlink>
      <w:r>
        <w:rPr>
          <w:rStyle w:val="Hyperlink"/>
          <w:rFonts w:cstheme="minorHAnsi"/>
          <w:sz w:val="24"/>
          <w:szCs w:val="24"/>
        </w:rPr>
        <w:t>.</w:t>
      </w:r>
    </w:p>
    <w:p w14:paraId="43211AEB" w14:textId="56D66832" w:rsidR="6ACA85B7" w:rsidRPr="00260C1D" w:rsidRDefault="6ACA85B7" w:rsidP="6ACA85B7">
      <w:pPr>
        <w:rPr>
          <w:rFonts w:cstheme="minorHAnsi"/>
        </w:rPr>
      </w:pPr>
    </w:p>
    <w:p w14:paraId="55B07800" w14:textId="77777777" w:rsidR="00062DA0" w:rsidRPr="00260C1D" w:rsidRDefault="00062DA0" w:rsidP="00532A33">
      <w:pPr>
        <w:pStyle w:val="Heading2"/>
      </w:pPr>
      <w:bookmarkStart w:id="268" w:name="_Hlk83981865"/>
      <w:r w:rsidRPr="00260C1D">
        <w:br w:type="page"/>
      </w:r>
    </w:p>
    <w:p w14:paraId="0C0CCA7B" w14:textId="727A3782" w:rsidR="008205DE" w:rsidRPr="00260C1D" w:rsidRDefault="008205DE" w:rsidP="00532A33">
      <w:pPr>
        <w:pStyle w:val="Heading2"/>
      </w:pPr>
      <w:bookmarkStart w:id="269" w:name="_Toc141965296"/>
      <w:bookmarkStart w:id="270" w:name="_Toc145339623"/>
      <w:bookmarkStart w:id="271" w:name="_Toc153791946"/>
      <w:r w:rsidRPr="00260C1D">
        <w:lastRenderedPageBreak/>
        <w:t>Tutor Learning Initiative (Reference 129)</w:t>
      </w:r>
      <w:bookmarkEnd w:id="269"/>
      <w:bookmarkEnd w:id="270"/>
      <w:bookmarkEnd w:id="271"/>
    </w:p>
    <w:bookmarkEnd w:id="268"/>
    <w:p w14:paraId="160F4CEC" w14:textId="77777777" w:rsidR="00061B66" w:rsidRPr="009B4DE1" w:rsidRDefault="00061B66" w:rsidP="009B4DE1">
      <w:pPr>
        <w:spacing w:before="100" w:beforeAutospacing="1" w:after="100" w:afterAutospacing="1" w:line="288" w:lineRule="atLeast"/>
        <w:outlineLvl w:val="2"/>
        <w:rPr>
          <w:rFonts w:eastAsia="Segoe UI" w:cstheme="minorHAnsi"/>
          <w:b/>
          <w:color w:val="011A3C"/>
          <w:sz w:val="27"/>
          <w:szCs w:val="27"/>
          <w:lang w:val="en" w:eastAsia="en-AU"/>
        </w:rPr>
      </w:pPr>
      <w:r w:rsidRPr="009B4DE1">
        <w:rPr>
          <w:rFonts w:eastAsia="Segoe UI" w:cstheme="minorHAnsi"/>
          <w:b/>
          <w:color w:val="011A3C"/>
          <w:sz w:val="27"/>
          <w:szCs w:val="27"/>
          <w:lang w:val="en" w:eastAsia="en-AU"/>
        </w:rPr>
        <w:t>Purpose</w:t>
      </w:r>
    </w:p>
    <w:p w14:paraId="57F4E15E" w14:textId="02339C8B" w:rsidR="00062DA0" w:rsidRPr="00833928" w:rsidRDefault="00F72BAE" w:rsidP="00833928">
      <w:pPr>
        <w:jc w:val="both"/>
        <w:rPr>
          <w:rFonts w:ascii="VIC" w:hAnsi="VIC"/>
          <w:u w:val="single"/>
        </w:rPr>
      </w:pPr>
      <w:r w:rsidRPr="009B4DE1">
        <w:rPr>
          <w:rFonts w:eastAsia="Segoe UI" w:cstheme="minorHAnsi"/>
          <w:color w:val="011A3C"/>
          <w:sz w:val="24"/>
          <w:szCs w:val="24"/>
          <w:lang w:val="en" w:eastAsia="en-AU"/>
        </w:rPr>
        <w:t>The Tutor Learning Initiative (TLI) provides funding for schools to employ tutors</w:t>
      </w:r>
      <w:r w:rsidRPr="00833928">
        <w:rPr>
          <w:color w:val="011A3C"/>
          <w:sz w:val="24"/>
          <w:lang w:val="en"/>
        </w:rPr>
        <w:t xml:space="preserve"> to provide small group learning support to students </w:t>
      </w:r>
      <w:r w:rsidRPr="009B4DE1">
        <w:rPr>
          <w:rFonts w:eastAsia="Segoe UI" w:cstheme="minorHAnsi"/>
          <w:color w:val="011A3C"/>
          <w:sz w:val="24"/>
          <w:szCs w:val="24"/>
          <w:lang w:val="en" w:eastAsia="en-AU"/>
        </w:rPr>
        <w:t>identified as needing additional support in literacy and numeracy. For further information on the TLI, refer to the department's policy on the</w:t>
      </w:r>
      <w:r w:rsidRPr="00833928">
        <w:rPr>
          <w:rFonts w:ascii="VIC" w:hAnsi="VIC"/>
        </w:rPr>
        <w:t xml:space="preserve"> </w:t>
      </w:r>
      <w:hyperlink r:id="rId214">
        <w:r w:rsidRPr="009B4DE1">
          <w:rPr>
            <w:rStyle w:val="Hyperlink"/>
            <w:sz w:val="24"/>
            <w:szCs w:val="24"/>
          </w:rPr>
          <w:t>Tutor Learning Initiative.</w:t>
        </w:r>
      </w:hyperlink>
    </w:p>
    <w:p w14:paraId="6876B680" w14:textId="77777777" w:rsidR="00062DA0" w:rsidRPr="00833928" w:rsidRDefault="00062DA0" w:rsidP="00833928">
      <w:pPr>
        <w:spacing w:before="100" w:beforeAutospacing="1" w:after="100" w:afterAutospacing="1" w:line="288" w:lineRule="atLeast"/>
        <w:outlineLvl w:val="2"/>
        <w:rPr>
          <w:b/>
          <w:color w:val="011A3C"/>
          <w:sz w:val="27"/>
          <w:lang w:val="en"/>
        </w:rPr>
      </w:pPr>
      <w:r w:rsidRPr="00833928">
        <w:rPr>
          <w:b/>
          <w:color w:val="011A3C"/>
          <w:sz w:val="27"/>
          <w:lang w:val="en"/>
        </w:rPr>
        <w:t>Eligibility</w:t>
      </w:r>
    </w:p>
    <w:p w14:paraId="489D403F" w14:textId="2AF0340D" w:rsidR="00AD13B8" w:rsidRPr="009B4DE1" w:rsidRDefault="00AD13B8" w:rsidP="00833928">
      <w:pPr>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The following school types are eligible for TLI funding:</w:t>
      </w:r>
    </w:p>
    <w:p w14:paraId="53B69584" w14:textId="77777777" w:rsidR="00AD13B8" w:rsidRPr="009B4DE1" w:rsidRDefault="00AD13B8" w:rsidP="009B4DE1">
      <w:pPr>
        <w:pStyle w:val="ListParagraph"/>
        <w:numPr>
          <w:ilvl w:val="0"/>
          <w:numId w:val="97"/>
        </w:num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Primary</w:t>
      </w:r>
    </w:p>
    <w:p w14:paraId="1E92C09F" w14:textId="77777777" w:rsidR="00AD13B8" w:rsidRPr="009B4DE1" w:rsidRDefault="00AD13B8" w:rsidP="009B4DE1">
      <w:pPr>
        <w:pStyle w:val="ListParagraph"/>
        <w:numPr>
          <w:ilvl w:val="0"/>
          <w:numId w:val="97"/>
        </w:num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Secondary</w:t>
      </w:r>
    </w:p>
    <w:p w14:paraId="7EF45B2A" w14:textId="77777777" w:rsidR="00AD13B8" w:rsidRPr="009B4DE1" w:rsidRDefault="00AD13B8" w:rsidP="009B4DE1">
      <w:pPr>
        <w:pStyle w:val="ListParagraph"/>
        <w:numPr>
          <w:ilvl w:val="0"/>
          <w:numId w:val="97"/>
        </w:num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Primary/Secondary</w:t>
      </w:r>
    </w:p>
    <w:p w14:paraId="7F5A5E6E" w14:textId="77777777" w:rsidR="00AD13B8" w:rsidRPr="009B4DE1" w:rsidRDefault="00AD13B8" w:rsidP="009B4DE1">
      <w:pPr>
        <w:pStyle w:val="ListParagraph"/>
        <w:numPr>
          <w:ilvl w:val="0"/>
          <w:numId w:val="97"/>
        </w:num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Specialist</w:t>
      </w:r>
    </w:p>
    <w:p w14:paraId="48E58BAF" w14:textId="77777777" w:rsidR="00AD13B8" w:rsidRPr="009B4DE1" w:rsidRDefault="00AD13B8" w:rsidP="009B4DE1">
      <w:pPr>
        <w:pStyle w:val="ListParagraph"/>
        <w:numPr>
          <w:ilvl w:val="0"/>
          <w:numId w:val="97"/>
        </w:num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Language</w:t>
      </w:r>
    </w:p>
    <w:p w14:paraId="292C9DCE" w14:textId="7B3A50CF" w:rsidR="00AD13B8" w:rsidRPr="00833928" w:rsidRDefault="00AD13B8" w:rsidP="00833928">
      <w:pPr>
        <w:jc w:val="both"/>
        <w:rPr>
          <w:b/>
          <w:color w:val="011A3C"/>
          <w:sz w:val="24"/>
          <w:lang w:val="en"/>
        </w:rPr>
      </w:pPr>
      <w:r w:rsidRPr="00620585">
        <w:rPr>
          <w:color w:val="011A3C"/>
          <w:sz w:val="24"/>
          <w:lang w:val="en"/>
        </w:rPr>
        <w:t xml:space="preserve">The following schools are </w:t>
      </w:r>
      <w:r w:rsidRPr="009B4DE1">
        <w:rPr>
          <w:rFonts w:eastAsia="Segoe UI" w:cstheme="minorHAnsi"/>
          <w:color w:val="011A3C"/>
          <w:sz w:val="24"/>
          <w:szCs w:val="24"/>
          <w:lang w:val="en" w:eastAsia="en-AU"/>
        </w:rPr>
        <w:t xml:space="preserve">not eligible for TLI funding: </w:t>
      </w:r>
    </w:p>
    <w:p w14:paraId="2FAEAA86" w14:textId="7EEAB698" w:rsidR="00AD13B8" w:rsidRPr="009B4DE1" w:rsidRDefault="00AD13B8" w:rsidP="009B4DE1">
      <w:pPr>
        <w:pStyle w:val="ListParagraph"/>
        <w:numPr>
          <w:ilvl w:val="0"/>
          <w:numId w:val="97"/>
        </w:num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Camp schools, irrespective of their listed school type (i.e., 'Camp' school types, Somers School Camp, Outdoor School, Rubicon Outdoor School)</w:t>
      </w:r>
    </w:p>
    <w:p w14:paraId="5AD0A37B" w14:textId="001F0878" w:rsidR="00AD13B8" w:rsidRPr="009B4DE1" w:rsidRDefault="00AD13B8" w:rsidP="009B4DE1">
      <w:pPr>
        <w:pStyle w:val="ListParagraph"/>
        <w:numPr>
          <w:ilvl w:val="0"/>
          <w:numId w:val="97"/>
        </w:num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Victorian School of Languages </w:t>
      </w:r>
    </w:p>
    <w:p w14:paraId="111C867E" w14:textId="66168831" w:rsidR="00AD13B8" w:rsidRPr="009B4DE1" w:rsidRDefault="00AD13B8" w:rsidP="009B4DE1">
      <w:pPr>
        <w:pStyle w:val="ListParagraph"/>
        <w:numPr>
          <w:ilvl w:val="0"/>
          <w:numId w:val="97"/>
        </w:num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Parkville College </w:t>
      </w:r>
    </w:p>
    <w:p w14:paraId="0E605D54" w14:textId="0973A555" w:rsidR="00AD13B8" w:rsidRPr="00833928" w:rsidRDefault="00AD13B8" w:rsidP="00833928">
      <w:pPr>
        <w:pStyle w:val="ListParagraph"/>
        <w:numPr>
          <w:ilvl w:val="0"/>
          <w:numId w:val="97"/>
        </w:numPr>
        <w:spacing w:before="120" w:after="120" w:line="360" w:lineRule="atLeast"/>
        <w:jc w:val="both"/>
        <w:rPr>
          <w:b/>
          <w:color w:val="011A3C"/>
          <w:sz w:val="24"/>
          <w:lang w:val="en"/>
        </w:rPr>
      </w:pPr>
      <w:r w:rsidRPr="00620585">
        <w:rPr>
          <w:color w:val="011A3C"/>
          <w:sz w:val="24"/>
          <w:lang w:val="en"/>
        </w:rPr>
        <w:t xml:space="preserve">Centre for Higher Education Studies </w:t>
      </w:r>
    </w:p>
    <w:p w14:paraId="21E912EB" w14:textId="77777777" w:rsidR="00AD13B8" w:rsidRPr="009B4DE1" w:rsidRDefault="00AD13B8" w:rsidP="009B4DE1">
      <w:pPr>
        <w:pStyle w:val="ListParagraph"/>
        <w:numPr>
          <w:ilvl w:val="0"/>
          <w:numId w:val="97"/>
        </w:num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Monash Children’s Hospital School</w:t>
      </w:r>
    </w:p>
    <w:p w14:paraId="05878C14" w14:textId="77777777" w:rsidR="00AD13B8" w:rsidRPr="009B4DE1" w:rsidRDefault="00AD13B8" w:rsidP="009B4DE1">
      <w:pPr>
        <w:pStyle w:val="ListParagraph"/>
        <w:numPr>
          <w:ilvl w:val="0"/>
          <w:numId w:val="97"/>
        </w:num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Selective Entry High Schools (i.e., MacRobertson Girls High School, Melbourne High School, Nossal High School, Suzanne Cory High School)</w:t>
      </w:r>
    </w:p>
    <w:p w14:paraId="4B553A65" w14:textId="77777777" w:rsidR="00062DA0" w:rsidRPr="00833928" w:rsidRDefault="00062DA0" w:rsidP="00833928">
      <w:pPr>
        <w:spacing w:before="100" w:beforeAutospacing="1" w:after="100" w:afterAutospacing="1" w:line="288" w:lineRule="atLeast"/>
        <w:outlineLvl w:val="2"/>
        <w:rPr>
          <w:b/>
          <w:color w:val="011A3C"/>
          <w:sz w:val="27"/>
          <w:lang w:val="en"/>
        </w:rPr>
      </w:pPr>
      <w:r w:rsidRPr="00833928">
        <w:rPr>
          <w:b/>
          <w:color w:val="011A3C"/>
          <w:sz w:val="27"/>
          <w:lang w:val="en"/>
        </w:rPr>
        <w:t xml:space="preserve">Funding </w:t>
      </w:r>
    </w:p>
    <w:p w14:paraId="00D6C3D8" w14:textId="2A243B70" w:rsidR="0044155A" w:rsidRPr="009B4DE1" w:rsidRDefault="0044155A" w:rsidP="00833928">
      <w:pPr>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Funding will be provided directly to schools as a specific purpose payment through a credit allocation in their Student Resource Package (SRP). Enrolments collected during the February 2024 </w:t>
      </w:r>
      <w:r w:rsidR="00013406">
        <w:rPr>
          <w:rFonts w:eastAsia="Segoe UI" w:cstheme="minorHAnsi"/>
          <w:color w:val="011A3C"/>
          <w:sz w:val="24"/>
          <w:szCs w:val="24"/>
          <w:lang w:val="en" w:eastAsia="en-AU"/>
        </w:rPr>
        <w:t xml:space="preserve">census </w:t>
      </w:r>
      <w:r w:rsidRPr="009B4DE1">
        <w:rPr>
          <w:rFonts w:eastAsia="Segoe UI" w:cstheme="minorHAnsi"/>
          <w:color w:val="011A3C"/>
          <w:sz w:val="24"/>
          <w:szCs w:val="24"/>
          <w:lang w:val="en" w:eastAsia="en-AU"/>
        </w:rPr>
        <w:t>will be used to update the TLI allocation to schools in the 2024 Confirmed SRP.</w:t>
      </w:r>
    </w:p>
    <w:p w14:paraId="4A23EFEA" w14:textId="36BBB97E" w:rsidR="0044155A" w:rsidRPr="00833928" w:rsidRDefault="0044155A" w:rsidP="00833928">
      <w:pPr>
        <w:jc w:val="both"/>
        <w:rPr>
          <w:color w:val="011A3C"/>
          <w:sz w:val="24"/>
          <w:lang w:val="en"/>
        </w:rPr>
      </w:pPr>
      <w:r w:rsidRPr="009B4DE1">
        <w:rPr>
          <w:rFonts w:eastAsia="Segoe UI" w:cstheme="minorHAnsi"/>
          <w:color w:val="011A3C"/>
          <w:sz w:val="24"/>
          <w:szCs w:val="24"/>
          <w:lang w:val="en" w:eastAsia="en-AU"/>
        </w:rPr>
        <w:t xml:space="preserve">Schools must only use their TLI funding for the provision of the TLI, which is to employ tutors to provide targeted small group instruction to students identified as needing </w:t>
      </w:r>
      <w:r w:rsidRPr="00833928">
        <w:rPr>
          <w:color w:val="011A3C"/>
          <w:sz w:val="24"/>
          <w:lang w:val="en"/>
        </w:rPr>
        <w:t xml:space="preserve">additional </w:t>
      </w:r>
      <w:r w:rsidRPr="009B4DE1">
        <w:rPr>
          <w:rFonts w:eastAsia="Segoe UI" w:cstheme="minorHAnsi"/>
          <w:color w:val="011A3C"/>
          <w:sz w:val="24"/>
          <w:szCs w:val="24"/>
          <w:lang w:val="en" w:eastAsia="en-AU"/>
        </w:rPr>
        <w:t xml:space="preserve">support in literacy and numeracy. </w:t>
      </w:r>
    </w:p>
    <w:p w14:paraId="164BE1C3" w14:textId="12773765" w:rsidR="0044155A" w:rsidRPr="00833928" w:rsidRDefault="0044155A" w:rsidP="00833928">
      <w:pPr>
        <w:rPr>
          <w:lang w:val="en"/>
        </w:rPr>
      </w:pPr>
      <w:r w:rsidRPr="00833928">
        <w:rPr>
          <w:color w:val="011A3C"/>
          <w:sz w:val="24"/>
          <w:lang w:val="en"/>
        </w:rPr>
        <w:t xml:space="preserve">This funding includes tutor on-costs for superannuation and payroll tax. When hiring staff, it is important to factor in these on-costs as they are not separately </w:t>
      </w:r>
      <w:proofErr w:type="spellStart"/>
      <w:r w:rsidRPr="00833928">
        <w:rPr>
          <w:color w:val="011A3C"/>
          <w:sz w:val="24"/>
          <w:lang w:val="en"/>
        </w:rPr>
        <w:t>itemised</w:t>
      </w:r>
      <w:proofErr w:type="spellEnd"/>
      <w:r w:rsidRPr="00833928">
        <w:rPr>
          <w:color w:val="011A3C"/>
          <w:sz w:val="24"/>
          <w:lang w:val="en"/>
        </w:rPr>
        <w:t xml:space="preserve"> within the budget.</w:t>
      </w:r>
      <w:r w:rsidRPr="009B4DE1">
        <w:rPr>
          <w:rFonts w:eastAsia="Segoe UI" w:cstheme="minorHAnsi"/>
          <w:color w:val="011A3C"/>
          <w:sz w:val="24"/>
          <w:szCs w:val="24"/>
          <w:lang w:val="en" w:eastAsia="en-AU"/>
        </w:rPr>
        <w:t xml:space="preserve"> Schools can choose to use additional funds, for example through Equity Social Disadvantage, to expand delivery of the TLI program within the school.</w:t>
      </w:r>
    </w:p>
    <w:p w14:paraId="304430A0" w14:textId="438459C6" w:rsidR="008B24DB" w:rsidRPr="009B4DE1" w:rsidRDefault="00BF3744" w:rsidP="009B4DE1">
      <w:pPr>
        <w:rPr>
          <w:lang w:val="en" w:eastAsia="en-AU"/>
        </w:rPr>
      </w:pPr>
      <w:r w:rsidRPr="009B4DE1">
        <w:rPr>
          <w:rFonts w:eastAsia="Segoe UI" w:cstheme="minorHAnsi"/>
          <w:b/>
          <w:color w:val="011A3C"/>
          <w:sz w:val="26"/>
          <w:szCs w:val="26"/>
          <w:lang w:val="en" w:eastAsia="en-AU"/>
        </w:rPr>
        <w:t>Calculation</w:t>
      </w:r>
    </w:p>
    <w:p w14:paraId="2F9FEEEB" w14:textId="77777777" w:rsidR="00213252" w:rsidRPr="009B4DE1" w:rsidRDefault="00213252" w:rsidP="009B4DE1">
      <w:pPr>
        <w:spacing w:before="100" w:beforeAutospacing="1" w:after="100" w:afterAutospacing="1" w:line="288" w:lineRule="atLeast"/>
        <w:outlineLvl w:val="2"/>
        <w:rPr>
          <w:rFonts w:eastAsia="Segoe UI" w:cstheme="minorHAnsi"/>
          <w:b/>
          <w:color w:val="011A3C"/>
          <w:sz w:val="26"/>
          <w:szCs w:val="26"/>
          <w:lang w:val="en" w:eastAsia="en-AU"/>
        </w:rPr>
      </w:pPr>
      <w:r w:rsidRPr="009B4DE1">
        <w:rPr>
          <w:rFonts w:eastAsia="Segoe UI" w:cstheme="minorHAnsi"/>
          <w:b/>
          <w:color w:val="011A3C"/>
          <w:sz w:val="26"/>
          <w:szCs w:val="26"/>
          <w:lang w:val="en" w:eastAsia="en-AU"/>
        </w:rPr>
        <w:t>Primary, secondary, and Primary-Secondary schools</w:t>
      </w:r>
    </w:p>
    <w:p w14:paraId="259D730E" w14:textId="4774DDEA" w:rsidR="00213252" w:rsidRPr="009B4DE1" w:rsidRDefault="00213252" w:rsidP="009B4DE1">
      <w:pPr>
        <w:spacing w:before="120" w:after="120" w:line="360" w:lineRule="atLeast"/>
        <w:rPr>
          <w:rFonts w:eastAsia="Segoe UI" w:cstheme="minorHAnsi"/>
          <w:color w:val="011A3C"/>
          <w:sz w:val="24"/>
          <w:szCs w:val="24"/>
          <w:lang w:val="en" w:eastAsia="en-AU"/>
        </w:rPr>
      </w:pPr>
      <w:r w:rsidRPr="009B4DE1">
        <w:rPr>
          <w:rFonts w:eastAsia="Segoe UI" w:cstheme="minorHAnsi"/>
          <w:color w:val="011A3C"/>
          <w:sz w:val="24"/>
          <w:szCs w:val="24"/>
          <w:lang w:val="en" w:eastAsia="en-AU"/>
        </w:rPr>
        <w:lastRenderedPageBreak/>
        <w:t xml:space="preserve">Primary, Secondary and </w:t>
      </w:r>
      <w:proofErr w:type="spellStart"/>
      <w:r w:rsidRPr="009B4DE1">
        <w:rPr>
          <w:rFonts w:eastAsia="Segoe UI" w:cstheme="minorHAnsi"/>
          <w:color w:val="011A3C"/>
          <w:sz w:val="24"/>
          <w:szCs w:val="24"/>
          <w:lang w:val="en" w:eastAsia="en-AU"/>
        </w:rPr>
        <w:t>Pri</w:t>
      </w:r>
      <w:proofErr w:type="spellEnd"/>
      <w:r w:rsidRPr="009B4DE1">
        <w:rPr>
          <w:rFonts w:eastAsia="Segoe UI" w:cstheme="minorHAnsi"/>
          <w:color w:val="011A3C"/>
          <w:sz w:val="24"/>
          <w:szCs w:val="24"/>
          <w:lang w:val="en" w:eastAsia="en-AU"/>
        </w:rPr>
        <w:t>-Sec schools are funded based on the number of students requiring additional learning support in literacy and numeracy, where the per student rate is equivalent to the cost of delivering a standard tutor learning program (3 sessions of 45 minutes per week, for groups of 5 students</w:t>
      </w:r>
      <w:r w:rsidR="00BF1085">
        <w:rPr>
          <w:rFonts w:eastAsia="Segoe UI" w:cstheme="minorHAnsi"/>
          <w:color w:val="011A3C"/>
          <w:sz w:val="24"/>
          <w:szCs w:val="24"/>
          <w:lang w:val="en" w:eastAsia="en-AU"/>
        </w:rPr>
        <w:t>)</w:t>
      </w:r>
      <w:r w:rsidRPr="009B4DE1">
        <w:rPr>
          <w:rFonts w:eastAsia="Segoe UI" w:cstheme="minorHAnsi"/>
          <w:color w:val="011A3C"/>
          <w:sz w:val="24"/>
          <w:szCs w:val="24"/>
          <w:lang w:val="en" w:eastAsia="en-AU"/>
        </w:rPr>
        <w:t>, for 20 weeks by a Classroom Teacher 2-3 as according to the Victorian Government Schools Agreement.</w:t>
      </w:r>
    </w:p>
    <w:p w14:paraId="2453B714" w14:textId="77777777" w:rsidR="00213252" w:rsidRPr="009B4DE1" w:rsidRDefault="00213252" w:rsidP="009B4DE1">
      <w:pPr>
        <w:spacing w:before="120" w:after="120" w:line="360" w:lineRule="atLeast"/>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The minimum funding allocation is set at $26,500 per annum for primary schools and $30,000 per annum for secondary schools, funding approximately 0.2 FTE, ensuring schools have sufficient funding to deliver at least 4 groups of small-group intervention, 2 each for reading and numeracy. </w:t>
      </w:r>
    </w:p>
    <w:p w14:paraId="49F49A87" w14:textId="77777777" w:rsidR="008B24DB" w:rsidRDefault="008B24DB" w:rsidP="00213252">
      <w:pPr>
        <w:jc w:val="both"/>
        <w:rPr>
          <w:rFonts w:ascii="VIC" w:hAnsi="VIC"/>
          <w:bCs/>
          <w:u w:val="single"/>
        </w:rPr>
      </w:pPr>
    </w:p>
    <w:p w14:paraId="3AA34FAF" w14:textId="776A7417" w:rsidR="00213252" w:rsidRPr="009B4DE1" w:rsidRDefault="00213252" w:rsidP="00213252">
      <w:pPr>
        <w:jc w:val="both"/>
        <w:rPr>
          <w:rFonts w:eastAsia="Segoe UI" w:cstheme="minorHAnsi"/>
          <w:b/>
          <w:bCs/>
          <w:color w:val="011A3C"/>
          <w:sz w:val="24"/>
          <w:szCs w:val="24"/>
          <w:u w:val="single"/>
          <w:lang w:val="en" w:eastAsia="en-AU"/>
        </w:rPr>
      </w:pPr>
      <w:r w:rsidRPr="009B4DE1">
        <w:rPr>
          <w:rFonts w:eastAsia="Segoe UI" w:cstheme="minorHAnsi"/>
          <w:b/>
          <w:bCs/>
          <w:color w:val="011A3C"/>
          <w:sz w:val="24"/>
          <w:szCs w:val="24"/>
          <w:u w:val="single"/>
          <w:lang w:val="en" w:eastAsia="en-AU"/>
        </w:rPr>
        <w:t xml:space="preserve">Per student rates </w:t>
      </w:r>
    </w:p>
    <w:p w14:paraId="2634C91D" w14:textId="77777777" w:rsidR="00213252" w:rsidRPr="009B4DE1" w:rsidRDefault="00213252" w:rsidP="00213252">
      <w:pPr>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Primary (Prep to Year 6 including primary ungraded) per funded student rate: $1,246.32.</w:t>
      </w:r>
    </w:p>
    <w:p w14:paraId="52141D86" w14:textId="77777777" w:rsidR="00213252" w:rsidRPr="009B4DE1" w:rsidRDefault="00213252" w:rsidP="00213252">
      <w:pPr>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Secondary (Year 7 to Year 12 including secondary ungraded) per funded student rate: $1,414.74.</w:t>
      </w:r>
    </w:p>
    <w:p w14:paraId="27BBDC12" w14:textId="77777777" w:rsidR="008B24DB" w:rsidRDefault="008B24DB" w:rsidP="00213252">
      <w:pPr>
        <w:jc w:val="both"/>
        <w:rPr>
          <w:rFonts w:eastAsia="Segoe UI" w:cstheme="minorHAnsi"/>
          <w:b/>
          <w:bCs/>
          <w:color w:val="011A3C"/>
          <w:sz w:val="24"/>
          <w:szCs w:val="24"/>
          <w:u w:val="single"/>
          <w:lang w:val="en" w:eastAsia="en-AU"/>
        </w:rPr>
      </w:pPr>
    </w:p>
    <w:p w14:paraId="68BD7C29" w14:textId="57F3316C" w:rsidR="00213252" w:rsidRPr="009B4DE1" w:rsidRDefault="00213252" w:rsidP="00213252">
      <w:pPr>
        <w:jc w:val="both"/>
        <w:rPr>
          <w:rFonts w:eastAsia="Segoe UI" w:cstheme="minorHAnsi"/>
          <w:b/>
          <w:bCs/>
          <w:color w:val="011A3C"/>
          <w:sz w:val="24"/>
          <w:szCs w:val="24"/>
          <w:u w:val="single"/>
          <w:lang w:val="en" w:eastAsia="en-AU"/>
        </w:rPr>
      </w:pPr>
      <w:r w:rsidRPr="009B4DE1">
        <w:rPr>
          <w:rFonts w:eastAsia="Segoe UI" w:cstheme="minorHAnsi"/>
          <w:b/>
          <w:bCs/>
          <w:color w:val="011A3C"/>
          <w:sz w:val="24"/>
          <w:szCs w:val="24"/>
          <w:u w:val="single"/>
          <w:lang w:val="en" w:eastAsia="en-AU"/>
        </w:rPr>
        <w:t>Number of eligible students</w:t>
      </w:r>
    </w:p>
    <w:p w14:paraId="485132F8" w14:textId="77777777" w:rsidR="00213252" w:rsidRPr="009B4DE1" w:rsidRDefault="00213252" w:rsidP="00213252">
      <w:pPr>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2023 NAPLAN data is used to identify students assessed as Needs Additional Support (NAS) and Exempt students in Years 3, 5, 7 and 9. </w:t>
      </w:r>
    </w:p>
    <w:p w14:paraId="6E1D3A85" w14:textId="77777777" w:rsidR="00213252" w:rsidRPr="009B4DE1" w:rsidRDefault="00213252" w:rsidP="00213252">
      <w:pPr>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This is then used to extrapolate out and estimate the number of students needing literacy and/or numeracy support for the year levels with no new NAPLAN data.  </w:t>
      </w:r>
    </w:p>
    <w:p w14:paraId="725AE5C4" w14:textId="77777777" w:rsidR="00213252" w:rsidRPr="009B4DE1" w:rsidRDefault="00213252" w:rsidP="00213252">
      <w:pPr>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For the purposes of funding, it is assumed that students absent from NAPLAN follow the school level distribution of NAS and Exempt students. The number of absent students is multiplied by the school level average percentage of NAS and Exempt students. The calculated percentage of absent students estimated to be NAS is then also extrapolated out to year levels with no new NAPLAN data to account for the additional estimated need. </w:t>
      </w:r>
    </w:p>
    <w:p w14:paraId="242D8E4F" w14:textId="77777777" w:rsidR="00213252" w:rsidRPr="009B4DE1" w:rsidRDefault="00213252" w:rsidP="00213252">
      <w:pPr>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For schools with </w:t>
      </w:r>
      <w:r w:rsidRPr="009B4DE1">
        <w:rPr>
          <w:rFonts w:eastAsia="Segoe UI" w:cstheme="minorHAnsi"/>
          <w:color w:val="011A3C"/>
          <w:sz w:val="24"/>
          <w:szCs w:val="24"/>
          <w:u w:val="single"/>
          <w:lang w:val="en" w:eastAsia="en-AU"/>
        </w:rPr>
        <w:t>no students who sat NAPLAN in 2023</w:t>
      </w:r>
      <w:r w:rsidRPr="009B4DE1">
        <w:rPr>
          <w:rFonts w:eastAsia="Segoe UI" w:cstheme="minorHAnsi"/>
          <w:color w:val="011A3C"/>
          <w:sz w:val="24"/>
          <w:szCs w:val="24"/>
          <w:lang w:val="en" w:eastAsia="en-AU"/>
        </w:rPr>
        <w:t xml:space="preserve"> (e.g. very small primary schools without students in years 3 and 5), the corresponding system average % of NAS and Exempt students for primary or secondary year levels will be used.</w:t>
      </w:r>
    </w:p>
    <w:p w14:paraId="02B93B27" w14:textId="77777777" w:rsidR="00213252" w:rsidRPr="009B4DE1" w:rsidRDefault="00213252" w:rsidP="00213252">
      <w:pPr>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For </w:t>
      </w:r>
      <w:r w:rsidRPr="009B4DE1">
        <w:rPr>
          <w:rFonts w:eastAsia="Segoe UI" w:cstheme="minorHAnsi"/>
          <w:color w:val="011A3C"/>
          <w:sz w:val="24"/>
          <w:szCs w:val="24"/>
          <w:u w:val="single"/>
          <w:lang w:val="en" w:eastAsia="en-AU"/>
        </w:rPr>
        <w:t>senior secondary schools</w:t>
      </w:r>
      <w:r w:rsidRPr="009B4DE1">
        <w:rPr>
          <w:rFonts w:eastAsia="Segoe UI" w:cstheme="minorHAnsi"/>
          <w:color w:val="011A3C"/>
          <w:sz w:val="24"/>
          <w:szCs w:val="24"/>
          <w:lang w:val="en" w:eastAsia="en-AU"/>
        </w:rPr>
        <w:t>, in 2024, the year 9 system average % of NAS and Exempt students is used to calculate funding. It is intended that this will transition to actual school data in future years once sufficient NAPLAN data for students attending senior secondary schools is available.</w:t>
      </w:r>
    </w:p>
    <w:p w14:paraId="171F0177" w14:textId="77777777" w:rsidR="00213252" w:rsidRPr="009B4DE1" w:rsidRDefault="00213252" w:rsidP="009B4DE1">
      <w:pPr>
        <w:spacing w:before="100" w:beforeAutospacing="1" w:after="100" w:afterAutospacing="1" w:line="288" w:lineRule="atLeast"/>
        <w:outlineLvl w:val="2"/>
        <w:rPr>
          <w:rFonts w:eastAsia="Segoe UI" w:cstheme="minorHAnsi"/>
          <w:b/>
          <w:color w:val="011A3C"/>
          <w:sz w:val="24"/>
          <w:szCs w:val="24"/>
          <w:lang w:val="en" w:eastAsia="en-AU"/>
        </w:rPr>
      </w:pPr>
      <w:r w:rsidRPr="009B4DE1">
        <w:rPr>
          <w:rFonts w:eastAsia="Segoe UI" w:cstheme="minorHAnsi"/>
          <w:b/>
          <w:color w:val="011A3C"/>
          <w:sz w:val="24"/>
          <w:szCs w:val="24"/>
          <w:lang w:val="en" w:eastAsia="en-AU"/>
        </w:rPr>
        <w:t xml:space="preserve">Funding formula </w:t>
      </w:r>
    </w:p>
    <w:p w14:paraId="1B87F1D9" w14:textId="77777777" w:rsidR="00213252" w:rsidRPr="009B4DE1" w:rsidRDefault="00213252" w:rsidP="00213252">
      <w:pPr>
        <w:jc w:val="both"/>
        <w:rPr>
          <w:rFonts w:eastAsia="Segoe UI" w:cstheme="minorHAnsi"/>
          <w:color w:val="011A3C"/>
          <w:sz w:val="24"/>
          <w:szCs w:val="24"/>
          <w:u w:val="single"/>
          <w:lang w:val="en" w:eastAsia="en-AU"/>
        </w:rPr>
      </w:pPr>
      <w:r w:rsidRPr="009B4DE1">
        <w:rPr>
          <w:rFonts w:eastAsia="Segoe UI" w:cstheme="minorHAnsi"/>
          <w:color w:val="011A3C"/>
          <w:sz w:val="24"/>
          <w:szCs w:val="24"/>
          <w:u w:val="single"/>
          <w:lang w:val="en" w:eastAsia="en-AU"/>
        </w:rPr>
        <w:t>Primary</w:t>
      </w:r>
    </w:p>
    <w:p w14:paraId="4955E47A" w14:textId="77777777" w:rsidR="00213252" w:rsidRPr="00620585" w:rsidRDefault="00213252" w:rsidP="00833928">
      <w:pPr>
        <w:pStyle w:val="NormalWeb"/>
        <w:spacing w:before="0" w:beforeAutospacing="0" w:after="240" w:afterAutospacing="0"/>
        <w:jc w:val="both"/>
        <w:rPr>
          <w:color w:val="011A3C"/>
          <w:lang w:val="en"/>
        </w:rPr>
      </w:pPr>
      <w:r w:rsidRPr="00833928">
        <w:rPr>
          <w:rFonts w:asciiTheme="minorHAnsi" w:hAnsiTheme="minorHAnsi"/>
          <w:color w:val="011A3C"/>
          <w:lang w:val="en"/>
        </w:rPr>
        <w:t>Provided if Primary enrolment &gt; 0</w:t>
      </w:r>
    </w:p>
    <w:p w14:paraId="7F2B0391" w14:textId="77777777" w:rsidR="00213252" w:rsidRPr="009B4DE1" w:rsidRDefault="00213252" w:rsidP="00213252">
      <w:pPr>
        <w:spacing w:after="0"/>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Primary funding = MAX of [Primary floor $26,500]</w:t>
      </w:r>
    </w:p>
    <w:p w14:paraId="3034DD6B" w14:textId="77777777" w:rsidR="00213252" w:rsidRPr="009B4DE1" w:rsidRDefault="00213252" w:rsidP="00213252">
      <w:pPr>
        <w:ind w:firstLine="720"/>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OR [Primary funded count * Primary per student rate]</w:t>
      </w:r>
    </w:p>
    <w:p w14:paraId="771F2291" w14:textId="71A8569F" w:rsidR="00213252" w:rsidRPr="00833928" w:rsidRDefault="00213252" w:rsidP="00833928">
      <w:pPr>
        <w:jc w:val="both"/>
        <w:rPr>
          <w:color w:val="011A3C"/>
          <w:sz w:val="24"/>
          <w:u w:val="single"/>
          <w:lang w:val="en"/>
        </w:rPr>
      </w:pPr>
      <w:r w:rsidRPr="00833928">
        <w:rPr>
          <w:color w:val="011A3C"/>
          <w:sz w:val="24"/>
          <w:u w:val="single"/>
          <w:lang w:val="en"/>
        </w:rPr>
        <w:t>Secondary</w:t>
      </w:r>
    </w:p>
    <w:p w14:paraId="007E0692" w14:textId="77777777" w:rsidR="00213252" w:rsidRPr="00620585" w:rsidRDefault="00213252" w:rsidP="00833928">
      <w:pPr>
        <w:pStyle w:val="NormalWeb"/>
        <w:spacing w:before="0" w:beforeAutospacing="0"/>
        <w:jc w:val="both"/>
        <w:rPr>
          <w:color w:val="011A3C"/>
          <w:lang w:val="en"/>
        </w:rPr>
      </w:pPr>
      <w:r w:rsidRPr="00833928">
        <w:rPr>
          <w:rFonts w:asciiTheme="minorHAnsi" w:hAnsiTheme="minorHAnsi"/>
          <w:color w:val="011A3C"/>
          <w:lang w:val="en"/>
        </w:rPr>
        <w:t>Provided if Secondary enrolment &gt; 0</w:t>
      </w:r>
    </w:p>
    <w:p w14:paraId="7DCEC61C" w14:textId="77777777" w:rsidR="00213252" w:rsidRPr="009B4DE1" w:rsidRDefault="00213252" w:rsidP="00213252">
      <w:pPr>
        <w:spacing w:after="0"/>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lastRenderedPageBreak/>
        <w:t xml:space="preserve">Secondary funding = MAX of </w:t>
      </w:r>
      <w:bookmarkStart w:id="272" w:name="_Hlk143869233"/>
      <w:r w:rsidRPr="009B4DE1">
        <w:rPr>
          <w:rFonts w:eastAsia="Segoe UI" w:cstheme="minorHAnsi"/>
          <w:color w:val="011A3C"/>
          <w:sz w:val="24"/>
          <w:szCs w:val="24"/>
          <w:lang w:val="en" w:eastAsia="en-AU"/>
        </w:rPr>
        <w:t>[Secondary floor $30,000]</w:t>
      </w:r>
      <w:bookmarkEnd w:id="272"/>
    </w:p>
    <w:p w14:paraId="00930D6C" w14:textId="77777777" w:rsidR="00213252" w:rsidRPr="009B4DE1" w:rsidRDefault="00213252" w:rsidP="00213252">
      <w:pPr>
        <w:ind w:firstLine="720"/>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OR [Secondary funded count * Secondary per student rate]</w:t>
      </w:r>
      <w:r w:rsidRPr="009B4DE1">
        <w:rPr>
          <w:rFonts w:eastAsia="Segoe UI" w:cstheme="minorHAnsi"/>
          <w:color w:val="011A3C"/>
          <w:sz w:val="24"/>
          <w:szCs w:val="24"/>
          <w:lang w:val="en" w:eastAsia="en-AU"/>
        </w:rPr>
        <w:tab/>
      </w:r>
    </w:p>
    <w:p w14:paraId="2476A0CF" w14:textId="77777777" w:rsidR="00213252" w:rsidRPr="009B4DE1" w:rsidRDefault="00213252" w:rsidP="00213252">
      <w:pPr>
        <w:jc w:val="both"/>
        <w:rPr>
          <w:rFonts w:eastAsia="Segoe UI" w:cstheme="minorHAnsi"/>
          <w:color w:val="011A3C"/>
          <w:sz w:val="24"/>
          <w:szCs w:val="24"/>
          <w:u w:val="single"/>
          <w:lang w:val="en" w:eastAsia="en-AU"/>
        </w:rPr>
      </w:pPr>
      <w:r w:rsidRPr="009B4DE1">
        <w:rPr>
          <w:rFonts w:eastAsia="Segoe UI" w:cstheme="minorHAnsi"/>
          <w:color w:val="011A3C"/>
          <w:sz w:val="24"/>
          <w:szCs w:val="24"/>
          <w:u w:val="single"/>
          <w:lang w:val="en" w:eastAsia="en-AU"/>
        </w:rPr>
        <w:t>Combined</w:t>
      </w:r>
    </w:p>
    <w:p w14:paraId="3BE7AE5A" w14:textId="620FF9E9" w:rsidR="00013406" w:rsidRDefault="00213252" w:rsidP="00833928">
      <w:pPr>
        <w:jc w:val="both"/>
        <w:rPr>
          <w:rFonts w:eastAsia="Segoe UI" w:cstheme="minorHAnsi"/>
          <w:b/>
          <w:i/>
          <w:iCs/>
          <w:color w:val="011A3C"/>
          <w:sz w:val="24"/>
          <w:szCs w:val="24"/>
          <w:lang w:val="en" w:eastAsia="en-AU"/>
        </w:rPr>
      </w:pPr>
      <w:r w:rsidRPr="009B4DE1">
        <w:rPr>
          <w:rFonts w:eastAsia="Segoe UI" w:cstheme="minorHAnsi"/>
          <w:color w:val="011A3C"/>
          <w:sz w:val="24"/>
          <w:szCs w:val="24"/>
          <w:lang w:val="en" w:eastAsia="en-AU"/>
        </w:rPr>
        <w:t>Total school funding = primary funding + secondary funding</w:t>
      </w:r>
    </w:p>
    <w:p w14:paraId="0D6858D8" w14:textId="3E180E41" w:rsidR="00213252" w:rsidRPr="009B4DE1" w:rsidRDefault="00213252" w:rsidP="009B4DE1">
      <w:pPr>
        <w:spacing w:before="100" w:beforeAutospacing="1" w:after="100" w:afterAutospacing="1" w:line="288" w:lineRule="atLeast"/>
        <w:outlineLvl w:val="2"/>
        <w:rPr>
          <w:rFonts w:eastAsia="Segoe UI" w:cstheme="minorHAnsi"/>
          <w:b/>
          <w:i/>
          <w:iCs/>
          <w:color w:val="011A3C"/>
          <w:sz w:val="24"/>
          <w:szCs w:val="24"/>
          <w:lang w:val="en" w:eastAsia="en-AU"/>
        </w:rPr>
      </w:pPr>
      <w:r w:rsidRPr="009B4DE1">
        <w:rPr>
          <w:rFonts w:eastAsia="Segoe UI" w:cstheme="minorHAnsi"/>
          <w:b/>
          <w:i/>
          <w:iCs/>
          <w:color w:val="011A3C"/>
          <w:sz w:val="24"/>
          <w:szCs w:val="24"/>
          <w:lang w:val="en" w:eastAsia="en-AU"/>
        </w:rPr>
        <w:t>School Example</w:t>
      </w:r>
    </w:p>
    <w:p w14:paraId="77250033" w14:textId="25B9FBA6" w:rsidR="00213252" w:rsidRPr="009B4DE1" w:rsidRDefault="00013406" w:rsidP="00213252">
      <w:pPr>
        <w:jc w:val="both"/>
        <w:rPr>
          <w:rFonts w:eastAsia="Segoe UI" w:cstheme="minorHAnsi"/>
          <w:color w:val="011A3C"/>
          <w:sz w:val="24"/>
          <w:szCs w:val="24"/>
          <w:lang w:val="en" w:eastAsia="en-AU"/>
        </w:rPr>
      </w:pPr>
      <w:r w:rsidRPr="00013406">
        <w:rPr>
          <w:rFonts w:eastAsia="Segoe UI" w:cstheme="minorHAnsi"/>
          <w:color w:val="011A3C"/>
          <w:sz w:val="24"/>
          <w:szCs w:val="24"/>
          <w:lang w:val="en" w:eastAsia="en-AU"/>
        </w:rPr>
        <w:t>School A has 300 students. Students are distributed across the primary year levels, with 50 students in Year 3, 50 students in Year 5, and 200 students in the other primary year levels.</w:t>
      </w:r>
    </w:p>
    <w:p w14:paraId="6185AB66" w14:textId="77777777" w:rsidR="00213252" w:rsidRPr="009B4DE1" w:rsidRDefault="00213252" w:rsidP="00213252">
      <w:pPr>
        <w:jc w:val="both"/>
        <w:rPr>
          <w:rFonts w:eastAsia="Segoe UI" w:cstheme="minorHAnsi"/>
          <w:color w:val="011A3C"/>
          <w:sz w:val="24"/>
          <w:szCs w:val="24"/>
          <w:lang w:val="en" w:eastAsia="en-AU"/>
        </w:rPr>
      </w:pPr>
      <w:r w:rsidRPr="00833928">
        <w:rPr>
          <w:rFonts w:eastAsia="Segoe UI" w:cstheme="minorHAnsi"/>
          <w:i/>
          <w:iCs/>
          <w:color w:val="011A3C"/>
          <w:sz w:val="24"/>
          <w:szCs w:val="24"/>
          <w:lang w:val="en" w:eastAsia="en-AU"/>
        </w:rPr>
        <w:t>Students who have sat</w:t>
      </w:r>
      <w:r w:rsidRPr="009B4DE1">
        <w:rPr>
          <w:rFonts w:eastAsia="Segoe UI" w:cstheme="minorHAnsi"/>
          <w:color w:val="011A3C"/>
          <w:sz w:val="24"/>
          <w:szCs w:val="24"/>
          <w:lang w:val="en" w:eastAsia="en-AU"/>
        </w:rPr>
        <w:t xml:space="preserve"> </w:t>
      </w:r>
      <w:r w:rsidRPr="009B4DE1">
        <w:rPr>
          <w:rFonts w:eastAsia="Segoe UI" w:cstheme="minorHAnsi"/>
          <w:i/>
          <w:iCs/>
          <w:color w:val="011A3C"/>
          <w:sz w:val="24"/>
          <w:szCs w:val="24"/>
          <w:lang w:val="en" w:eastAsia="en-AU"/>
        </w:rPr>
        <w:t>NAPLAN</w:t>
      </w:r>
      <w:r w:rsidRPr="009B4DE1">
        <w:rPr>
          <w:rFonts w:eastAsia="Segoe UI" w:cstheme="minorHAnsi"/>
          <w:color w:val="011A3C"/>
          <w:sz w:val="24"/>
          <w:szCs w:val="24"/>
          <w:lang w:val="en" w:eastAsia="en-AU"/>
        </w:rPr>
        <w:t>:</w:t>
      </w:r>
    </w:p>
    <w:p w14:paraId="586C6531" w14:textId="70BB7F49" w:rsidR="00013406" w:rsidRDefault="00013406" w:rsidP="00213252">
      <w:pPr>
        <w:jc w:val="both"/>
        <w:rPr>
          <w:rFonts w:eastAsia="Segoe UI" w:cstheme="minorHAnsi"/>
          <w:i/>
          <w:iCs/>
          <w:color w:val="011A3C"/>
          <w:sz w:val="24"/>
          <w:szCs w:val="24"/>
          <w:lang w:val="en" w:eastAsia="en-AU"/>
        </w:rPr>
      </w:pPr>
      <w:r w:rsidRPr="00013406">
        <w:rPr>
          <w:rFonts w:eastAsia="Segoe UI" w:cstheme="minorHAnsi"/>
          <w:color w:val="011A3C"/>
          <w:sz w:val="24"/>
          <w:szCs w:val="24"/>
          <w:lang w:val="en" w:eastAsia="en-AU"/>
        </w:rPr>
        <w:t xml:space="preserve">Out of 50 Year 3s who are due to complete NAPLAN, 8 are NAS/Exempt. Out of 50 Year 5s, 12 are NAS/Exempt. The school is funded for 8 + 12 = </w:t>
      </w:r>
      <w:r w:rsidRPr="00833928">
        <w:rPr>
          <w:rFonts w:eastAsia="Segoe UI" w:cstheme="minorHAnsi"/>
          <w:b/>
          <w:bCs/>
          <w:color w:val="011A3C"/>
          <w:sz w:val="24"/>
          <w:szCs w:val="24"/>
          <w:lang w:val="en" w:eastAsia="en-AU"/>
        </w:rPr>
        <w:t>20</w:t>
      </w:r>
      <w:r w:rsidRPr="00013406">
        <w:rPr>
          <w:rFonts w:eastAsia="Segoe UI" w:cstheme="minorHAnsi"/>
          <w:color w:val="011A3C"/>
          <w:sz w:val="24"/>
          <w:szCs w:val="24"/>
          <w:lang w:val="en" w:eastAsia="en-AU"/>
        </w:rPr>
        <w:t xml:space="preserve"> students who have sat NAPLAN.</w:t>
      </w:r>
    </w:p>
    <w:p w14:paraId="1BF8AFBA" w14:textId="74A0D085" w:rsidR="00213252" w:rsidRPr="009B4DE1" w:rsidRDefault="00213252" w:rsidP="00213252">
      <w:pPr>
        <w:jc w:val="both"/>
        <w:rPr>
          <w:rFonts w:eastAsia="Segoe UI" w:cstheme="minorHAnsi"/>
          <w:i/>
          <w:iCs/>
          <w:color w:val="011A3C"/>
          <w:sz w:val="24"/>
          <w:szCs w:val="24"/>
          <w:lang w:val="en" w:eastAsia="en-AU"/>
        </w:rPr>
      </w:pPr>
      <w:r w:rsidRPr="009B4DE1">
        <w:rPr>
          <w:rFonts w:eastAsia="Segoe UI" w:cstheme="minorHAnsi"/>
          <w:i/>
          <w:iCs/>
          <w:color w:val="011A3C"/>
          <w:sz w:val="24"/>
          <w:szCs w:val="24"/>
          <w:lang w:val="en" w:eastAsia="en-AU"/>
        </w:rPr>
        <w:t>Students who have not sat NAPLAN:</w:t>
      </w:r>
    </w:p>
    <w:p w14:paraId="17F778F2" w14:textId="77777777" w:rsidR="00013406" w:rsidRPr="00013406" w:rsidRDefault="00013406" w:rsidP="00013406">
      <w:pPr>
        <w:jc w:val="both"/>
        <w:rPr>
          <w:rFonts w:eastAsia="Segoe UI" w:cstheme="minorHAnsi"/>
          <w:color w:val="011A3C"/>
          <w:sz w:val="24"/>
          <w:szCs w:val="24"/>
          <w:lang w:val="en" w:eastAsia="en-AU"/>
        </w:rPr>
      </w:pPr>
      <w:r w:rsidRPr="00013406">
        <w:rPr>
          <w:rFonts w:eastAsia="Segoe UI" w:cstheme="minorHAnsi"/>
          <w:color w:val="011A3C"/>
          <w:sz w:val="24"/>
          <w:szCs w:val="24"/>
          <w:lang w:val="en" w:eastAsia="en-AU"/>
        </w:rPr>
        <w:t xml:space="preserve">20/100 equals 20%, which is the school’s funded percentage for primary students for TLI funding. To extrapolate out the year levels which have not yet sat the new NAPLAN (200 students), we get 20% * 200 = </w:t>
      </w:r>
      <w:r w:rsidRPr="00833928">
        <w:rPr>
          <w:rFonts w:eastAsia="Segoe UI" w:cstheme="minorHAnsi"/>
          <w:b/>
          <w:bCs/>
          <w:color w:val="011A3C"/>
          <w:sz w:val="24"/>
          <w:szCs w:val="24"/>
          <w:lang w:val="en" w:eastAsia="en-AU"/>
        </w:rPr>
        <w:t>40</w:t>
      </w:r>
      <w:r w:rsidRPr="00013406">
        <w:rPr>
          <w:rFonts w:eastAsia="Segoe UI" w:cstheme="minorHAnsi"/>
          <w:color w:val="011A3C"/>
          <w:sz w:val="24"/>
          <w:szCs w:val="24"/>
          <w:lang w:val="en" w:eastAsia="en-AU"/>
        </w:rPr>
        <w:t xml:space="preserve"> students.</w:t>
      </w:r>
    </w:p>
    <w:p w14:paraId="0BE78B0C" w14:textId="77777777" w:rsidR="00013406" w:rsidRPr="00013406" w:rsidRDefault="00013406" w:rsidP="00013406">
      <w:pPr>
        <w:jc w:val="both"/>
        <w:rPr>
          <w:rFonts w:eastAsia="Segoe UI" w:cstheme="minorHAnsi"/>
          <w:color w:val="011A3C"/>
          <w:sz w:val="24"/>
          <w:szCs w:val="24"/>
          <w:lang w:val="en" w:eastAsia="en-AU"/>
        </w:rPr>
      </w:pPr>
      <w:r w:rsidRPr="00013406">
        <w:rPr>
          <w:rFonts w:eastAsia="Segoe UI" w:cstheme="minorHAnsi"/>
          <w:color w:val="011A3C"/>
          <w:sz w:val="24"/>
          <w:szCs w:val="24"/>
          <w:lang w:val="en" w:eastAsia="en-AU"/>
        </w:rPr>
        <w:t xml:space="preserve">If there are 10 NAPLAN absences (5 year 3, 5 year 5), we multiply 10 by the school level average percentage of NAS and Exempt to get 10 * 20% = </w:t>
      </w:r>
      <w:r w:rsidRPr="00833928">
        <w:rPr>
          <w:rFonts w:eastAsia="Segoe UI" w:cstheme="minorHAnsi"/>
          <w:b/>
          <w:bCs/>
          <w:color w:val="011A3C"/>
          <w:sz w:val="24"/>
          <w:szCs w:val="24"/>
          <w:lang w:val="en" w:eastAsia="en-AU"/>
        </w:rPr>
        <w:t xml:space="preserve">2 </w:t>
      </w:r>
      <w:r w:rsidRPr="00013406">
        <w:rPr>
          <w:rFonts w:eastAsia="Segoe UI" w:cstheme="minorHAnsi"/>
          <w:color w:val="011A3C"/>
          <w:sz w:val="24"/>
          <w:szCs w:val="24"/>
          <w:lang w:val="en" w:eastAsia="en-AU"/>
        </w:rPr>
        <w:t>students.</w:t>
      </w:r>
    </w:p>
    <w:p w14:paraId="62D5FC02" w14:textId="637E7FA8" w:rsidR="00013406" w:rsidRDefault="00013406" w:rsidP="00013406">
      <w:pPr>
        <w:jc w:val="both"/>
        <w:rPr>
          <w:rFonts w:eastAsia="Segoe UI" w:cstheme="minorHAnsi"/>
          <w:color w:val="011A3C"/>
          <w:sz w:val="24"/>
          <w:szCs w:val="24"/>
          <w:lang w:val="en" w:eastAsia="en-AU"/>
        </w:rPr>
      </w:pPr>
      <w:r w:rsidRPr="00013406">
        <w:rPr>
          <w:rFonts w:eastAsia="Segoe UI" w:cstheme="minorHAnsi"/>
          <w:color w:val="011A3C"/>
          <w:sz w:val="24"/>
          <w:szCs w:val="24"/>
          <w:lang w:val="en" w:eastAsia="en-AU"/>
        </w:rPr>
        <w:t xml:space="preserve">We extrapolate this out to the other year levels by using the school absent % * school NAS &amp; Exempt % (in this example, 10%*20% = 2%) to get 2%*200 = </w:t>
      </w:r>
      <w:r w:rsidRPr="00833928">
        <w:rPr>
          <w:rFonts w:eastAsia="Segoe UI" w:cstheme="minorHAnsi"/>
          <w:b/>
          <w:bCs/>
          <w:color w:val="011A3C"/>
          <w:sz w:val="24"/>
          <w:szCs w:val="24"/>
          <w:lang w:val="en" w:eastAsia="en-AU"/>
        </w:rPr>
        <w:t>4</w:t>
      </w:r>
      <w:r w:rsidRPr="00013406">
        <w:rPr>
          <w:rFonts w:eastAsia="Segoe UI" w:cstheme="minorHAnsi"/>
          <w:color w:val="011A3C"/>
          <w:sz w:val="24"/>
          <w:szCs w:val="24"/>
          <w:lang w:val="en" w:eastAsia="en-AU"/>
        </w:rPr>
        <w:t xml:space="preserve"> students.</w:t>
      </w:r>
    </w:p>
    <w:p w14:paraId="7DA1AA88" w14:textId="77777777" w:rsidR="00013406" w:rsidRPr="009B4DE1" w:rsidRDefault="00013406" w:rsidP="00013406">
      <w:pPr>
        <w:jc w:val="both"/>
        <w:rPr>
          <w:rFonts w:eastAsia="Segoe UI" w:cstheme="minorHAnsi"/>
          <w:color w:val="011A3C"/>
          <w:sz w:val="24"/>
          <w:szCs w:val="24"/>
          <w:lang w:val="en" w:eastAsia="en-AU"/>
        </w:rPr>
      </w:pPr>
    </w:p>
    <w:p w14:paraId="1AD69ACA" w14:textId="77777777" w:rsidR="00213252" w:rsidRPr="009B4DE1" w:rsidRDefault="00213252" w:rsidP="00213252">
      <w:pPr>
        <w:jc w:val="both"/>
        <w:rPr>
          <w:rFonts w:eastAsia="Segoe UI" w:cstheme="minorHAnsi"/>
          <w:i/>
          <w:iCs/>
          <w:color w:val="011A3C"/>
          <w:sz w:val="24"/>
          <w:szCs w:val="24"/>
          <w:lang w:val="en" w:eastAsia="en-AU"/>
        </w:rPr>
      </w:pPr>
      <w:r w:rsidRPr="009B4DE1">
        <w:rPr>
          <w:rFonts w:eastAsia="Segoe UI" w:cstheme="minorHAnsi"/>
          <w:i/>
          <w:iCs/>
          <w:color w:val="011A3C"/>
          <w:sz w:val="24"/>
          <w:szCs w:val="24"/>
          <w:lang w:val="en" w:eastAsia="en-AU"/>
        </w:rPr>
        <w:t>Total funding:</w:t>
      </w:r>
    </w:p>
    <w:p w14:paraId="10D30DF5" w14:textId="77777777" w:rsidR="00013406" w:rsidRPr="00013406" w:rsidRDefault="00013406" w:rsidP="00013406">
      <w:pPr>
        <w:jc w:val="both"/>
        <w:rPr>
          <w:rFonts w:eastAsia="Segoe UI" w:cstheme="minorHAnsi"/>
          <w:color w:val="011A3C"/>
          <w:sz w:val="24"/>
          <w:szCs w:val="24"/>
          <w:lang w:val="en" w:eastAsia="en-AU"/>
        </w:rPr>
      </w:pPr>
      <w:r w:rsidRPr="00013406">
        <w:rPr>
          <w:rFonts w:eastAsia="Segoe UI" w:cstheme="minorHAnsi"/>
          <w:color w:val="011A3C"/>
          <w:sz w:val="24"/>
          <w:szCs w:val="24"/>
          <w:lang w:val="en" w:eastAsia="en-AU"/>
        </w:rPr>
        <w:t xml:space="preserve">The total number of students in School A attracting funding is 20+40+2+4 = </w:t>
      </w:r>
      <w:r w:rsidRPr="00833928">
        <w:rPr>
          <w:rFonts w:eastAsia="Segoe UI" w:cstheme="minorHAnsi"/>
          <w:b/>
          <w:bCs/>
          <w:color w:val="011A3C"/>
          <w:sz w:val="24"/>
          <w:szCs w:val="24"/>
          <w:lang w:val="en" w:eastAsia="en-AU"/>
        </w:rPr>
        <w:t>66</w:t>
      </w:r>
      <w:r w:rsidRPr="00013406">
        <w:rPr>
          <w:rFonts w:eastAsia="Segoe UI" w:cstheme="minorHAnsi"/>
          <w:color w:val="011A3C"/>
          <w:sz w:val="24"/>
          <w:szCs w:val="24"/>
          <w:lang w:val="en" w:eastAsia="en-AU"/>
        </w:rPr>
        <w:t xml:space="preserve"> students. </w:t>
      </w:r>
    </w:p>
    <w:p w14:paraId="0BCB2309" w14:textId="77777777" w:rsidR="00013406" w:rsidRPr="00833928" w:rsidRDefault="00013406" w:rsidP="00013406">
      <w:pPr>
        <w:jc w:val="both"/>
        <w:rPr>
          <w:rFonts w:eastAsia="Segoe UI" w:cstheme="minorHAnsi"/>
          <w:b/>
          <w:bCs/>
          <w:color w:val="011A3C"/>
          <w:sz w:val="24"/>
          <w:szCs w:val="24"/>
          <w:lang w:val="en" w:eastAsia="en-AU"/>
        </w:rPr>
      </w:pPr>
      <w:r w:rsidRPr="00013406">
        <w:rPr>
          <w:rFonts w:eastAsia="Segoe UI" w:cstheme="minorHAnsi"/>
          <w:color w:val="011A3C"/>
          <w:sz w:val="24"/>
          <w:szCs w:val="24"/>
          <w:lang w:val="en" w:eastAsia="en-AU"/>
        </w:rPr>
        <w:t xml:space="preserve">Total funding amount is thus 66 * per student rate = 66 * $1,246.32 = </w:t>
      </w:r>
      <w:r w:rsidRPr="00833928">
        <w:rPr>
          <w:rFonts w:eastAsia="Segoe UI" w:cstheme="minorHAnsi"/>
          <w:b/>
          <w:bCs/>
          <w:color w:val="011A3C"/>
          <w:sz w:val="24"/>
          <w:szCs w:val="24"/>
          <w:lang w:val="en" w:eastAsia="en-AU"/>
        </w:rPr>
        <w:t>$82,257.12.</w:t>
      </w:r>
    </w:p>
    <w:p w14:paraId="1CAE9071" w14:textId="4C4C6272" w:rsidR="00013406" w:rsidRPr="009B4DE1" w:rsidRDefault="00013406" w:rsidP="00213252">
      <w:pPr>
        <w:jc w:val="both"/>
        <w:rPr>
          <w:rFonts w:eastAsia="Segoe UI" w:cstheme="minorHAnsi"/>
          <w:b/>
          <w:bCs/>
          <w:color w:val="011A3C"/>
          <w:sz w:val="24"/>
          <w:szCs w:val="24"/>
          <w:lang w:val="en" w:eastAsia="en-AU"/>
        </w:rPr>
      </w:pPr>
      <w:r w:rsidRPr="00013406">
        <w:rPr>
          <w:rFonts w:eastAsia="Segoe UI" w:cstheme="minorHAnsi"/>
          <w:color w:val="011A3C"/>
          <w:sz w:val="24"/>
          <w:szCs w:val="24"/>
          <w:lang w:val="en" w:eastAsia="en-AU"/>
        </w:rPr>
        <w:t xml:space="preserve">As this is higher than the funding floor for the primary component of $26,500, School A will receive </w:t>
      </w:r>
      <w:r w:rsidRPr="00833928">
        <w:rPr>
          <w:rFonts w:eastAsia="Segoe UI" w:cstheme="minorHAnsi"/>
          <w:b/>
          <w:bCs/>
          <w:color w:val="011A3C"/>
          <w:sz w:val="24"/>
          <w:szCs w:val="24"/>
          <w:lang w:val="en" w:eastAsia="en-AU"/>
        </w:rPr>
        <w:t>$82,257.12</w:t>
      </w:r>
      <w:r w:rsidRPr="00013406">
        <w:rPr>
          <w:rFonts w:eastAsia="Segoe UI" w:cstheme="minorHAnsi"/>
          <w:color w:val="011A3C"/>
          <w:sz w:val="24"/>
          <w:szCs w:val="24"/>
          <w:lang w:val="en" w:eastAsia="en-AU"/>
        </w:rPr>
        <w:t xml:space="preserve"> as their final TLI allocation.</w:t>
      </w:r>
    </w:p>
    <w:p w14:paraId="557DC088" w14:textId="77777777" w:rsidR="00213252" w:rsidRPr="009B4DE1" w:rsidRDefault="00213252" w:rsidP="009B4DE1">
      <w:pPr>
        <w:spacing w:before="100" w:beforeAutospacing="1" w:after="100" w:afterAutospacing="1" w:line="288" w:lineRule="atLeast"/>
        <w:outlineLvl w:val="2"/>
        <w:rPr>
          <w:rFonts w:eastAsia="Segoe UI" w:cstheme="minorHAnsi"/>
          <w:b/>
          <w:color w:val="011A3C"/>
          <w:sz w:val="26"/>
          <w:szCs w:val="26"/>
          <w:lang w:val="en" w:eastAsia="en-AU"/>
        </w:rPr>
      </w:pPr>
      <w:r w:rsidRPr="009B4DE1">
        <w:rPr>
          <w:rFonts w:eastAsia="Segoe UI" w:cstheme="minorHAnsi"/>
          <w:b/>
          <w:color w:val="011A3C"/>
          <w:sz w:val="26"/>
          <w:szCs w:val="26"/>
          <w:lang w:val="en" w:eastAsia="en-AU"/>
        </w:rPr>
        <w:t>Special and Language schools</w:t>
      </w:r>
    </w:p>
    <w:p w14:paraId="54500F2D" w14:textId="77777777" w:rsidR="00213252" w:rsidRPr="009B4DE1" w:rsidRDefault="00213252" w:rsidP="00213252">
      <w:pPr>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The funding model for specialist and language schools will remain the same as the previous (2023) TLI funding model, with updated floor amounts.</w:t>
      </w:r>
    </w:p>
    <w:p w14:paraId="1E630F29" w14:textId="2CEE34AB" w:rsidR="00213252" w:rsidRPr="009B4DE1" w:rsidRDefault="00213252" w:rsidP="009B4DE1">
      <w:pPr>
        <w:spacing w:before="240" w:after="120" w:line="360" w:lineRule="auto"/>
        <w:jc w:val="both"/>
        <w:rPr>
          <w:rFonts w:eastAsia="Segoe UI" w:cstheme="minorHAnsi"/>
          <w:b/>
          <w:color w:val="011A3C"/>
          <w:sz w:val="24"/>
          <w:szCs w:val="24"/>
          <w:lang w:val="en" w:eastAsia="en-AU"/>
        </w:rPr>
      </w:pPr>
      <w:r w:rsidRPr="009B4DE1">
        <w:rPr>
          <w:rFonts w:eastAsia="Segoe UI" w:cstheme="minorHAnsi"/>
          <w:b/>
          <w:color w:val="011A3C"/>
          <w:sz w:val="24"/>
          <w:szCs w:val="24"/>
          <w:lang w:val="en" w:eastAsia="en-AU"/>
        </w:rPr>
        <w:t xml:space="preserve">Funding formula </w:t>
      </w:r>
    </w:p>
    <w:p w14:paraId="59495B41" w14:textId="77777777" w:rsidR="00213252" w:rsidRPr="009B4DE1" w:rsidRDefault="00213252" w:rsidP="009B4DE1">
      <w:pPr>
        <w:jc w:val="both"/>
        <w:rPr>
          <w:rFonts w:eastAsia="Segoe UI" w:cstheme="minorHAnsi"/>
          <w:color w:val="011A3C"/>
          <w:sz w:val="24"/>
          <w:szCs w:val="24"/>
          <w:u w:val="single"/>
          <w:lang w:val="en"/>
        </w:rPr>
      </w:pPr>
      <w:r w:rsidRPr="009B4DE1">
        <w:rPr>
          <w:rFonts w:eastAsia="Segoe UI" w:cstheme="minorHAnsi"/>
          <w:color w:val="011A3C"/>
          <w:sz w:val="24"/>
          <w:szCs w:val="24"/>
          <w:u w:val="single"/>
          <w:lang w:val="en" w:eastAsia="en-AU"/>
        </w:rPr>
        <w:t>Primary years and primary age equivalents</w:t>
      </w:r>
    </w:p>
    <w:p w14:paraId="6E3EB1C4" w14:textId="77777777" w:rsidR="00213252" w:rsidRPr="009B4DE1" w:rsidRDefault="00213252" w:rsidP="009B4DE1">
      <w:pPr>
        <w:jc w:val="both"/>
        <w:rPr>
          <w:rFonts w:eastAsia="Segoe UI" w:cstheme="minorHAnsi"/>
          <w:color w:val="011A3C"/>
          <w:sz w:val="24"/>
          <w:szCs w:val="24"/>
          <w:lang w:val="en"/>
        </w:rPr>
      </w:pPr>
      <w:r w:rsidRPr="009B4DE1">
        <w:rPr>
          <w:rFonts w:eastAsia="Segoe UI" w:cstheme="minorHAnsi"/>
          <w:color w:val="011A3C"/>
          <w:sz w:val="24"/>
          <w:szCs w:val="24"/>
          <w:lang w:val="en" w:eastAsia="en-AU"/>
        </w:rPr>
        <w:t>Provided if Primary enrolment &gt; 0</w:t>
      </w:r>
    </w:p>
    <w:p w14:paraId="76368E48" w14:textId="77777777" w:rsidR="00213252" w:rsidRPr="009B4DE1" w:rsidRDefault="00213252" w:rsidP="009B4DE1">
      <w:pPr>
        <w:jc w:val="both"/>
        <w:rPr>
          <w:rFonts w:eastAsia="Segoe UI" w:cstheme="minorHAnsi"/>
          <w:color w:val="011A3C"/>
          <w:sz w:val="24"/>
          <w:szCs w:val="24"/>
          <w:lang w:val="en"/>
        </w:rPr>
      </w:pPr>
      <w:r w:rsidRPr="009B4DE1">
        <w:rPr>
          <w:rFonts w:eastAsia="Segoe UI" w:cstheme="minorHAnsi"/>
          <w:color w:val="011A3C"/>
          <w:sz w:val="24"/>
          <w:szCs w:val="24"/>
          <w:lang w:val="en" w:eastAsia="en-AU"/>
        </w:rPr>
        <w:t>Primary funding = MAX of [Primary floor $26,500]</w:t>
      </w:r>
    </w:p>
    <w:p w14:paraId="25FD5785" w14:textId="77777777" w:rsidR="00213252" w:rsidRPr="009B4DE1" w:rsidRDefault="00213252" w:rsidP="009B4DE1">
      <w:pPr>
        <w:jc w:val="both"/>
        <w:rPr>
          <w:rFonts w:eastAsia="Segoe UI" w:cstheme="minorHAnsi"/>
          <w:color w:val="011A3C"/>
          <w:sz w:val="24"/>
          <w:szCs w:val="24"/>
          <w:lang w:val="en"/>
        </w:rPr>
      </w:pPr>
      <w:r w:rsidRPr="009B4DE1">
        <w:rPr>
          <w:rFonts w:eastAsia="Segoe UI" w:cstheme="minorHAnsi"/>
          <w:color w:val="011A3C"/>
          <w:sz w:val="24"/>
          <w:szCs w:val="24"/>
          <w:lang w:val="en" w:eastAsia="en-AU"/>
        </w:rPr>
        <w:t>OR [</w:t>
      </w:r>
      <w:proofErr w:type="spellStart"/>
      <w:r w:rsidRPr="009B4DE1">
        <w:rPr>
          <w:rFonts w:eastAsia="Segoe UI" w:cstheme="minorHAnsi"/>
          <w:color w:val="011A3C"/>
          <w:sz w:val="24"/>
          <w:szCs w:val="24"/>
          <w:lang w:val="en" w:eastAsia="en-AU"/>
        </w:rPr>
        <w:t>Pri_total_enrol</w:t>
      </w:r>
      <w:proofErr w:type="spellEnd"/>
      <w:r w:rsidRPr="009B4DE1">
        <w:rPr>
          <w:rFonts w:eastAsia="Segoe UI" w:cstheme="minorHAnsi"/>
          <w:color w:val="011A3C"/>
          <w:sz w:val="24"/>
          <w:szCs w:val="24"/>
          <w:lang w:val="en" w:eastAsia="en-AU"/>
        </w:rPr>
        <w:t xml:space="preserve"> × </w:t>
      </w:r>
      <w:proofErr w:type="spellStart"/>
      <w:r w:rsidRPr="009B4DE1">
        <w:rPr>
          <w:rFonts w:eastAsia="Segoe UI" w:cstheme="minorHAnsi"/>
          <w:color w:val="011A3C"/>
          <w:sz w:val="24"/>
          <w:szCs w:val="24"/>
          <w:lang w:val="en" w:eastAsia="en-AU"/>
        </w:rPr>
        <w:t>Pri_enrol_rate</w:t>
      </w:r>
      <w:proofErr w:type="spellEnd"/>
      <w:r w:rsidRPr="009B4DE1">
        <w:rPr>
          <w:rFonts w:eastAsia="Segoe UI" w:cstheme="minorHAnsi"/>
          <w:color w:val="011A3C"/>
          <w:sz w:val="24"/>
          <w:szCs w:val="24"/>
          <w:lang w:val="en" w:eastAsia="en-AU"/>
        </w:rPr>
        <w:t xml:space="preserve"> + </w:t>
      </w:r>
      <w:proofErr w:type="spellStart"/>
      <w:r w:rsidRPr="009B4DE1">
        <w:rPr>
          <w:rFonts w:eastAsia="Segoe UI" w:cstheme="minorHAnsi"/>
          <w:color w:val="011A3C"/>
          <w:sz w:val="24"/>
          <w:szCs w:val="24"/>
          <w:lang w:val="en" w:eastAsia="en-AU"/>
        </w:rPr>
        <w:t>Pri_SD_enrol</w:t>
      </w:r>
      <w:proofErr w:type="spellEnd"/>
      <w:r w:rsidRPr="009B4DE1">
        <w:rPr>
          <w:rFonts w:eastAsia="Segoe UI" w:cstheme="minorHAnsi"/>
          <w:color w:val="011A3C"/>
          <w:sz w:val="24"/>
          <w:szCs w:val="24"/>
          <w:lang w:val="en" w:eastAsia="en-AU"/>
        </w:rPr>
        <w:t xml:space="preserve"> × </w:t>
      </w:r>
      <w:proofErr w:type="spellStart"/>
      <w:r w:rsidRPr="009B4DE1">
        <w:rPr>
          <w:rFonts w:eastAsia="Segoe UI" w:cstheme="minorHAnsi"/>
          <w:color w:val="011A3C"/>
          <w:sz w:val="24"/>
          <w:szCs w:val="24"/>
          <w:lang w:val="en" w:eastAsia="en-AU"/>
        </w:rPr>
        <w:t>Pri_SD_enrol_rate</w:t>
      </w:r>
      <w:proofErr w:type="spellEnd"/>
      <w:r w:rsidRPr="009B4DE1">
        <w:rPr>
          <w:rFonts w:eastAsia="Segoe UI" w:cstheme="minorHAnsi"/>
          <w:color w:val="011A3C"/>
          <w:sz w:val="24"/>
          <w:szCs w:val="24"/>
          <w:lang w:val="en" w:eastAsia="en-AU"/>
        </w:rPr>
        <w:t>]</w:t>
      </w:r>
    </w:p>
    <w:p w14:paraId="03134A6F" w14:textId="77777777" w:rsidR="00213252" w:rsidRPr="009B4DE1" w:rsidRDefault="00213252" w:rsidP="009B4DE1">
      <w:pPr>
        <w:jc w:val="both"/>
        <w:rPr>
          <w:rFonts w:eastAsia="Segoe UI" w:cstheme="minorHAnsi"/>
          <w:color w:val="011A3C"/>
          <w:sz w:val="24"/>
          <w:szCs w:val="24"/>
          <w:u w:val="single"/>
          <w:lang w:val="en" w:eastAsia="en-AU"/>
        </w:rPr>
      </w:pPr>
      <w:r w:rsidRPr="009B4DE1">
        <w:rPr>
          <w:rFonts w:eastAsia="Segoe UI" w:cstheme="minorHAnsi"/>
          <w:color w:val="011A3C"/>
          <w:sz w:val="24"/>
          <w:szCs w:val="24"/>
          <w:u w:val="single"/>
          <w:lang w:val="en" w:eastAsia="en-AU"/>
        </w:rPr>
        <w:lastRenderedPageBreak/>
        <w:t>Secondary years and secondary age equivalents</w:t>
      </w:r>
    </w:p>
    <w:p w14:paraId="161B31E2" w14:textId="77777777" w:rsidR="00213252" w:rsidRPr="009B4DE1" w:rsidRDefault="00213252" w:rsidP="00213252">
      <w:pPr>
        <w:pStyle w:val="NormalWeb"/>
        <w:spacing w:before="0" w:beforeAutospacing="0"/>
        <w:jc w:val="both"/>
        <w:rPr>
          <w:rFonts w:asciiTheme="minorHAnsi" w:eastAsia="Segoe UI" w:hAnsiTheme="minorHAnsi" w:cstheme="minorHAnsi"/>
          <w:color w:val="011A3C"/>
          <w:lang w:val="en"/>
        </w:rPr>
      </w:pPr>
      <w:r w:rsidRPr="009B4DE1">
        <w:rPr>
          <w:rFonts w:asciiTheme="minorHAnsi" w:eastAsia="Segoe UI" w:hAnsiTheme="minorHAnsi" w:cstheme="minorHAnsi"/>
          <w:color w:val="011A3C"/>
          <w:lang w:val="en"/>
        </w:rPr>
        <w:t>Provided if Secondary enrolment &gt; 0</w:t>
      </w:r>
    </w:p>
    <w:p w14:paraId="2C556F5D" w14:textId="77777777" w:rsidR="00213252" w:rsidRPr="009B4DE1" w:rsidRDefault="00213252" w:rsidP="00213252">
      <w:pPr>
        <w:pStyle w:val="NormalWeb"/>
        <w:spacing w:after="0" w:afterAutospacing="0"/>
        <w:jc w:val="both"/>
        <w:rPr>
          <w:rFonts w:asciiTheme="minorHAnsi" w:eastAsia="Segoe UI" w:hAnsiTheme="minorHAnsi" w:cstheme="minorHAnsi"/>
          <w:color w:val="011A3C"/>
          <w:lang w:val="en"/>
        </w:rPr>
      </w:pPr>
      <w:r w:rsidRPr="009B4DE1">
        <w:rPr>
          <w:rFonts w:asciiTheme="minorHAnsi" w:eastAsia="Segoe UI" w:hAnsiTheme="minorHAnsi" w:cstheme="minorHAnsi"/>
          <w:color w:val="011A3C"/>
          <w:lang w:val="en"/>
        </w:rPr>
        <w:t>Secondary funding = MAX of [Secondary floor $30,000]</w:t>
      </w:r>
    </w:p>
    <w:p w14:paraId="649E1F78" w14:textId="5AA95AF7" w:rsidR="00213252" w:rsidRPr="00620585" w:rsidRDefault="00213252" w:rsidP="00833928">
      <w:pPr>
        <w:pStyle w:val="NormalWeb"/>
        <w:spacing w:before="0" w:beforeAutospacing="0"/>
        <w:ind w:firstLine="720"/>
        <w:jc w:val="both"/>
        <w:rPr>
          <w:color w:val="011A3C"/>
          <w:lang w:val="en"/>
        </w:rPr>
      </w:pPr>
      <w:r w:rsidRPr="009B4DE1">
        <w:rPr>
          <w:rFonts w:asciiTheme="minorHAnsi" w:eastAsia="Segoe UI" w:hAnsiTheme="minorHAnsi" w:cstheme="minorHAnsi"/>
          <w:color w:val="011A3C"/>
          <w:lang w:val="en"/>
        </w:rPr>
        <w:t xml:space="preserve">OR </w:t>
      </w:r>
      <w:r w:rsidRPr="00833928">
        <w:rPr>
          <w:rFonts w:asciiTheme="minorHAnsi" w:hAnsiTheme="minorHAnsi"/>
          <w:color w:val="011A3C"/>
          <w:lang w:val="en"/>
        </w:rPr>
        <w:t>[</w:t>
      </w:r>
      <w:proofErr w:type="spellStart"/>
      <w:r w:rsidRPr="00833928">
        <w:rPr>
          <w:rFonts w:asciiTheme="minorHAnsi" w:hAnsiTheme="minorHAnsi"/>
          <w:color w:val="011A3C"/>
          <w:lang w:val="en"/>
        </w:rPr>
        <w:t>Sec_total_enrol</w:t>
      </w:r>
      <w:proofErr w:type="spellEnd"/>
      <w:r w:rsidRPr="009B4DE1">
        <w:rPr>
          <w:rFonts w:asciiTheme="minorHAnsi" w:eastAsia="Segoe UI" w:hAnsiTheme="minorHAnsi" w:cstheme="minorHAnsi"/>
          <w:color w:val="011A3C"/>
          <w:lang w:val="en"/>
        </w:rPr>
        <w:t xml:space="preserve"> × </w:t>
      </w:r>
      <w:proofErr w:type="spellStart"/>
      <w:r w:rsidRPr="00833928">
        <w:rPr>
          <w:rFonts w:asciiTheme="minorHAnsi" w:hAnsiTheme="minorHAnsi"/>
          <w:color w:val="011A3C"/>
          <w:lang w:val="en"/>
        </w:rPr>
        <w:t>Sec_enrol_rate</w:t>
      </w:r>
      <w:proofErr w:type="spellEnd"/>
      <w:r w:rsidRPr="009B4DE1">
        <w:rPr>
          <w:rFonts w:asciiTheme="minorHAnsi" w:eastAsia="Segoe UI" w:hAnsiTheme="minorHAnsi" w:cstheme="minorHAnsi"/>
          <w:color w:val="011A3C"/>
          <w:lang w:val="en"/>
        </w:rPr>
        <w:t xml:space="preserve"> + </w:t>
      </w:r>
      <w:proofErr w:type="spellStart"/>
      <w:r w:rsidRPr="00833928">
        <w:rPr>
          <w:rFonts w:asciiTheme="minorHAnsi" w:hAnsiTheme="minorHAnsi"/>
          <w:color w:val="011A3C"/>
          <w:lang w:val="en"/>
        </w:rPr>
        <w:t>Sec_SD_enrol</w:t>
      </w:r>
      <w:proofErr w:type="spellEnd"/>
      <w:r w:rsidRPr="009B4DE1">
        <w:rPr>
          <w:rFonts w:asciiTheme="minorHAnsi" w:eastAsia="Segoe UI" w:hAnsiTheme="minorHAnsi" w:cstheme="minorHAnsi"/>
          <w:color w:val="011A3C"/>
          <w:lang w:val="en"/>
        </w:rPr>
        <w:t xml:space="preserve"> × </w:t>
      </w:r>
      <w:proofErr w:type="spellStart"/>
      <w:r w:rsidRPr="00833928">
        <w:rPr>
          <w:rFonts w:asciiTheme="minorHAnsi" w:hAnsiTheme="minorHAnsi"/>
          <w:color w:val="011A3C"/>
          <w:lang w:val="en"/>
        </w:rPr>
        <w:t>Sec_SD_enrol_rate</w:t>
      </w:r>
      <w:proofErr w:type="spellEnd"/>
      <w:r w:rsidRPr="00833928">
        <w:rPr>
          <w:rFonts w:asciiTheme="minorHAnsi" w:hAnsiTheme="minorHAnsi"/>
          <w:color w:val="011A3C"/>
          <w:lang w:val="en"/>
        </w:rPr>
        <w:t>]</w:t>
      </w:r>
    </w:p>
    <w:p w14:paraId="212A32E2" w14:textId="23850454" w:rsidR="00213252" w:rsidRPr="009B4DE1" w:rsidRDefault="00213252" w:rsidP="00213252">
      <w:pPr>
        <w:jc w:val="both"/>
        <w:rPr>
          <w:rFonts w:eastAsia="Segoe UI" w:cstheme="minorHAnsi"/>
          <w:color w:val="011A3C"/>
          <w:sz w:val="24"/>
          <w:szCs w:val="24"/>
          <w:u w:val="single"/>
          <w:lang w:val="en" w:eastAsia="en-AU"/>
        </w:rPr>
      </w:pPr>
      <w:r w:rsidRPr="009B4DE1">
        <w:rPr>
          <w:rFonts w:eastAsia="Segoe UI" w:cstheme="minorHAnsi"/>
          <w:color w:val="011A3C"/>
          <w:sz w:val="24"/>
          <w:szCs w:val="24"/>
          <w:u w:val="single"/>
          <w:lang w:val="en" w:eastAsia="en-AU"/>
        </w:rPr>
        <w:t>Combined</w:t>
      </w:r>
      <w:r w:rsidRPr="00833928">
        <w:rPr>
          <w:color w:val="011A3C"/>
          <w:sz w:val="24"/>
          <w:u w:val="single"/>
          <w:lang w:val="en"/>
        </w:rPr>
        <w:t xml:space="preserve"> primary and secondary </w:t>
      </w:r>
      <w:r w:rsidRPr="009B4DE1">
        <w:rPr>
          <w:rFonts w:eastAsia="Segoe UI" w:cstheme="minorHAnsi"/>
          <w:color w:val="011A3C"/>
          <w:sz w:val="24"/>
          <w:szCs w:val="24"/>
          <w:u w:val="single"/>
          <w:lang w:val="en" w:eastAsia="en-AU"/>
        </w:rPr>
        <w:t>years</w:t>
      </w:r>
      <w:r w:rsidRPr="00833928">
        <w:rPr>
          <w:color w:val="011A3C"/>
          <w:sz w:val="24"/>
          <w:u w:val="single"/>
          <w:lang w:val="en"/>
        </w:rPr>
        <w:t xml:space="preserve"> or age equivalents</w:t>
      </w:r>
      <w:r w:rsidRPr="009B4DE1">
        <w:rPr>
          <w:rFonts w:eastAsia="Segoe UI" w:cstheme="minorHAnsi"/>
          <w:color w:val="011A3C"/>
          <w:sz w:val="24"/>
          <w:szCs w:val="24"/>
          <w:u w:val="single"/>
          <w:lang w:val="en" w:eastAsia="en-AU"/>
        </w:rPr>
        <w:t xml:space="preserve"> </w:t>
      </w:r>
    </w:p>
    <w:p w14:paraId="6AEEDE57" w14:textId="77777777" w:rsidR="00213252" w:rsidRPr="009B4DE1" w:rsidRDefault="00213252" w:rsidP="009B4DE1">
      <w:pPr>
        <w:pStyle w:val="NormalWeb"/>
        <w:spacing w:before="0" w:beforeAutospacing="0"/>
        <w:jc w:val="both"/>
        <w:rPr>
          <w:rFonts w:asciiTheme="minorHAnsi" w:eastAsia="Segoe UI" w:hAnsiTheme="minorHAnsi" w:cstheme="minorHAnsi"/>
          <w:color w:val="011A3C"/>
          <w:lang w:val="en"/>
        </w:rPr>
      </w:pPr>
      <w:r w:rsidRPr="009B4DE1">
        <w:rPr>
          <w:rFonts w:asciiTheme="minorHAnsi" w:eastAsia="Segoe UI" w:hAnsiTheme="minorHAnsi" w:cstheme="minorHAnsi"/>
          <w:color w:val="011A3C"/>
          <w:lang w:val="en"/>
        </w:rPr>
        <w:t>Total school funding = primary funding + secondary funding</w:t>
      </w:r>
    </w:p>
    <w:p w14:paraId="68D4B26E" w14:textId="77777777" w:rsidR="00213252" w:rsidRPr="009B4DE1" w:rsidRDefault="00213252" w:rsidP="00213252">
      <w:pPr>
        <w:jc w:val="both"/>
        <w:rPr>
          <w:rFonts w:eastAsia="Segoe UI" w:cstheme="minorHAnsi"/>
          <w:color w:val="011A3C"/>
          <w:sz w:val="24"/>
          <w:szCs w:val="24"/>
          <w:u w:val="single"/>
          <w:lang w:val="en" w:eastAsia="en-AU"/>
        </w:rPr>
      </w:pPr>
      <w:r w:rsidRPr="009B4DE1">
        <w:rPr>
          <w:rFonts w:eastAsia="Segoe UI" w:cstheme="minorHAnsi"/>
          <w:color w:val="011A3C"/>
          <w:sz w:val="24"/>
          <w:szCs w:val="24"/>
          <w:u w:val="single"/>
          <w:lang w:val="en" w:eastAsia="en-AU"/>
        </w:rPr>
        <w:t>Rates for special and language schools</w:t>
      </w:r>
    </w:p>
    <w:p w14:paraId="42CE057F" w14:textId="4103BFDD" w:rsidR="00213252" w:rsidRPr="00620585" w:rsidRDefault="00213252" w:rsidP="00833928">
      <w:pPr>
        <w:pStyle w:val="NormalWeb"/>
        <w:spacing w:before="0" w:beforeAutospacing="0"/>
        <w:jc w:val="both"/>
        <w:rPr>
          <w:color w:val="011A3C"/>
          <w:lang w:val="en"/>
        </w:rPr>
      </w:pPr>
      <w:r w:rsidRPr="009B4DE1">
        <w:rPr>
          <w:rFonts w:asciiTheme="minorHAnsi" w:eastAsia="Segoe UI" w:hAnsiTheme="minorHAnsi" w:cstheme="minorHAnsi"/>
          <w:color w:val="011A3C"/>
          <w:lang w:val="en"/>
        </w:rPr>
        <w:t>Primary</w:t>
      </w:r>
      <w:r w:rsidRPr="00833928">
        <w:rPr>
          <w:rFonts w:asciiTheme="minorHAnsi" w:hAnsiTheme="minorHAnsi"/>
          <w:color w:val="011A3C"/>
          <w:lang w:val="en"/>
        </w:rPr>
        <w:t xml:space="preserve"> per student rate: $157.98 (referenced as </w:t>
      </w:r>
      <w:proofErr w:type="spellStart"/>
      <w:r w:rsidRPr="00833928">
        <w:rPr>
          <w:rFonts w:asciiTheme="minorHAnsi" w:hAnsiTheme="minorHAnsi"/>
          <w:color w:val="011A3C"/>
          <w:lang w:val="en"/>
        </w:rPr>
        <w:t>Pri_total_rate</w:t>
      </w:r>
      <w:proofErr w:type="spellEnd"/>
      <w:r w:rsidRPr="00833928">
        <w:rPr>
          <w:rFonts w:asciiTheme="minorHAnsi" w:hAnsiTheme="minorHAnsi"/>
          <w:color w:val="011A3C"/>
          <w:lang w:val="en"/>
        </w:rPr>
        <w:t xml:space="preserve"> in calculation above</w:t>
      </w:r>
      <w:r w:rsidRPr="009B4DE1">
        <w:rPr>
          <w:rFonts w:asciiTheme="minorHAnsi" w:eastAsia="Segoe UI" w:hAnsiTheme="minorHAnsi" w:cstheme="minorHAnsi"/>
          <w:color w:val="011A3C"/>
          <w:lang w:val="en"/>
        </w:rPr>
        <w:t>)</w:t>
      </w:r>
    </w:p>
    <w:p w14:paraId="74B5A350" w14:textId="206B9693" w:rsidR="00213252" w:rsidRPr="00620585" w:rsidRDefault="00213252" w:rsidP="00833928">
      <w:pPr>
        <w:pStyle w:val="NormalWeb"/>
        <w:spacing w:before="0" w:beforeAutospacing="0"/>
        <w:jc w:val="both"/>
        <w:rPr>
          <w:color w:val="011A3C"/>
          <w:lang w:val="en"/>
        </w:rPr>
      </w:pPr>
      <w:r w:rsidRPr="009B4DE1">
        <w:rPr>
          <w:rFonts w:asciiTheme="minorHAnsi" w:eastAsia="Segoe UI" w:hAnsiTheme="minorHAnsi" w:cstheme="minorHAnsi"/>
          <w:color w:val="011A3C"/>
          <w:lang w:val="en"/>
        </w:rPr>
        <w:t>Secondary</w:t>
      </w:r>
      <w:r w:rsidRPr="00833928">
        <w:rPr>
          <w:rFonts w:asciiTheme="minorHAnsi" w:hAnsiTheme="minorHAnsi"/>
          <w:color w:val="011A3C"/>
          <w:lang w:val="en"/>
        </w:rPr>
        <w:t xml:space="preserve"> per student rate: $178.77 (referenced as </w:t>
      </w:r>
      <w:proofErr w:type="spellStart"/>
      <w:r w:rsidRPr="00833928">
        <w:rPr>
          <w:rFonts w:asciiTheme="minorHAnsi" w:hAnsiTheme="minorHAnsi"/>
          <w:color w:val="011A3C"/>
          <w:lang w:val="en"/>
        </w:rPr>
        <w:t>Sec_total_rate</w:t>
      </w:r>
      <w:proofErr w:type="spellEnd"/>
      <w:r w:rsidRPr="00833928">
        <w:rPr>
          <w:rFonts w:asciiTheme="minorHAnsi" w:hAnsiTheme="minorHAnsi"/>
          <w:color w:val="011A3C"/>
          <w:lang w:val="en"/>
        </w:rPr>
        <w:t xml:space="preserve"> in calculation above).</w:t>
      </w:r>
    </w:p>
    <w:p w14:paraId="77472D85" w14:textId="5A7C36A1" w:rsidR="00213252" w:rsidRPr="00620585" w:rsidRDefault="00213252" w:rsidP="00833928">
      <w:pPr>
        <w:pStyle w:val="NormalWeb"/>
        <w:spacing w:before="0" w:beforeAutospacing="0"/>
        <w:jc w:val="both"/>
        <w:rPr>
          <w:color w:val="011A3C"/>
          <w:lang w:val="en"/>
        </w:rPr>
      </w:pPr>
      <w:r w:rsidRPr="009B4DE1">
        <w:rPr>
          <w:rFonts w:asciiTheme="minorHAnsi" w:eastAsia="Segoe UI" w:hAnsiTheme="minorHAnsi" w:cstheme="minorHAnsi"/>
          <w:color w:val="011A3C"/>
          <w:lang w:val="en"/>
        </w:rPr>
        <w:t>Special</w:t>
      </w:r>
      <w:r w:rsidRPr="00833928">
        <w:rPr>
          <w:rFonts w:asciiTheme="minorHAnsi" w:hAnsiTheme="minorHAnsi"/>
          <w:color w:val="011A3C"/>
          <w:lang w:val="en"/>
        </w:rPr>
        <w:t xml:space="preserve"> social disadvantage per student rate: $424.96 (referenced as </w:t>
      </w:r>
      <w:proofErr w:type="spellStart"/>
      <w:r w:rsidRPr="00833928">
        <w:rPr>
          <w:rFonts w:asciiTheme="minorHAnsi" w:hAnsiTheme="minorHAnsi"/>
          <w:color w:val="011A3C"/>
          <w:lang w:val="en"/>
        </w:rPr>
        <w:t>Pri_SD_enrol_rate</w:t>
      </w:r>
      <w:proofErr w:type="spellEnd"/>
      <w:r w:rsidRPr="00833928">
        <w:rPr>
          <w:rFonts w:asciiTheme="minorHAnsi" w:hAnsiTheme="minorHAnsi"/>
          <w:color w:val="011A3C"/>
          <w:lang w:val="en"/>
        </w:rPr>
        <w:t xml:space="preserve"> in calculation above).</w:t>
      </w:r>
    </w:p>
    <w:p w14:paraId="00AA3218" w14:textId="7FF9E9CF" w:rsidR="00213252" w:rsidRPr="00620585" w:rsidRDefault="00213252" w:rsidP="00833928">
      <w:pPr>
        <w:pStyle w:val="NormalWeb"/>
        <w:spacing w:before="0" w:beforeAutospacing="0"/>
        <w:jc w:val="both"/>
        <w:rPr>
          <w:color w:val="011A3C"/>
          <w:lang w:val="en"/>
        </w:rPr>
      </w:pPr>
      <w:r w:rsidRPr="009B4DE1">
        <w:rPr>
          <w:rFonts w:asciiTheme="minorHAnsi" w:eastAsia="Segoe UI" w:hAnsiTheme="minorHAnsi" w:cstheme="minorHAnsi"/>
          <w:color w:val="011A3C"/>
          <w:lang w:val="en"/>
        </w:rPr>
        <w:t>Special secondary</w:t>
      </w:r>
      <w:r w:rsidRPr="00833928">
        <w:rPr>
          <w:rFonts w:asciiTheme="minorHAnsi" w:hAnsiTheme="minorHAnsi"/>
          <w:color w:val="011A3C"/>
          <w:lang w:val="en"/>
        </w:rPr>
        <w:t xml:space="preserve"> social disadvantage per student rate</w:t>
      </w:r>
      <w:r w:rsidRPr="009B4DE1">
        <w:rPr>
          <w:rFonts w:asciiTheme="minorHAnsi" w:eastAsia="Segoe UI" w:hAnsiTheme="minorHAnsi" w:cstheme="minorHAnsi"/>
          <w:color w:val="011A3C"/>
          <w:lang w:val="en"/>
        </w:rPr>
        <w:t>*:</w:t>
      </w:r>
      <w:r w:rsidRPr="00833928">
        <w:rPr>
          <w:rFonts w:asciiTheme="minorHAnsi" w:hAnsiTheme="minorHAnsi"/>
          <w:color w:val="011A3C"/>
          <w:lang w:val="en"/>
        </w:rPr>
        <w:t xml:space="preserve"> $480.88 (referenced as </w:t>
      </w:r>
      <w:proofErr w:type="spellStart"/>
      <w:r w:rsidRPr="00833928">
        <w:rPr>
          <w:rFonts w:asciiTheme="minorHAnsi" w:hAnsiTheme="minorHAnsi"/>
          <w:color w:val="011A3C"/>
          <w:lang w:val="en"/>
        </w:rPr>
        <w:t>Sec_SD_enrol_rate</w:t>
      </w:r>
      <w:proofErr w:type="spellEnd"/>
      <w:r w:rsidRPr="00833928">
        <w:rPr>
          <w:rFonts w:asciiTheme="minorHAnsi" w:hAnsiTheme="minorHAnsi"/>
          <w:color w:val="011A3C"/>
          <w:lang w:val="en"/>
        </w:rPr>
        <w:t xml:space="preserve"> in calculation above).</w:t>
      </w:r>
    </w:p>
    <w:p w14:paraId="54E77871" w14:textId="0553EF3C" w:rsidR="00213252" w:rsidRPr="00833928" w:rsidRDefault="00213252" w:rsidP="00833928">
      <w:pPr>
        <w:pStyle w:val="NormalWeb"/>
        <w:spacing w:before="0" w:beforeAutospacing="0"/>
        <w:jc w:val="both"/>
      </w:pPr>
      <w:r w:rsidRPr="009B4DE1">
        <w:rPr>
          <w:rFonts w:asciiTheme="minorHAnsi" w:eastAsia="Segoe UI" w:hAnsiTheme="minorHAnsi" w:cstheme="minorHAnsi"/>
          <w:color w:val="011A3C"/>
          <w:sz w:val="22"/>
          <w:szCs w:val="22"/>
          <w:lang w:val="en"/>
        </w:rPr>
        <w:t>*Applied for special and language schools with only secondary equivalent enrolments</w:t>
      </w:r>
    </w:p>
    <w:p w14:paraId="77034609" w14:textId="2FA24F83" w:rsidR="00BF3744" w:rsidRPr="00833928" w:rsidRDefault="00BF3744" w:rsidP="00833928">
      <w:pPr>
        <w:spacing w:before="100" w:beforeAutospacing="1" w:after="100" w:afterAutospacing="1" w:line="288" w:lineRule="atLeast"/>
        <w:outlineLvl w:val="2"/>
        <w:rPr>
          <w:b/>
          <w:color w:val="011A3C"/>
          <w:sz w:val="27"/>
          <w:lang w:val="en"/>
        </w:rPr>
      </w:pPr>
      <w:r w:rsidRPr="00833928">
        <w:rPr>
          <w:b/>
          <w:color w:val="011A3C"/>
          <w:sz w:val="27"/>
          <w:lang w:val="en"/>
        </w:rPr>
        <w:t>Accountability requirements</w:t>
      </w:r>
    </w:p>
    <w:p w14:paraId="53A2B6B0" w14:textId="77777777" w:rsidR="00BF3744" w:rsidRPr="00260C1D" w:rsidRDefault="00BF3744" w:rsidP="00950CBB">
      <w:pPr>
        <w:spacing w:before="120" w:after="120"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are required to:</w:t>
      </w:r>
    </w:p>
    <w:p w14:paraId="6319431E" w14:textId="77777777" w:rsidR="0045353F" w:rsidRPr="00833928" w:rsidRDefault="0045353F" w:rsidP="00833928">
      <w:pPr>
        <w:pStyle w:val="ListParagraph"/>
        <w:numPr>
          <w:ilvl w:val="0"/>
          <w:numId w:val="180"/>
        </w:numPr>
        <w:spacing w:before="120" w:after="120" w:line="360" w:lineRule="atLeast"/>
        <w:jc w:val="both"/>
        <w:rPr>
          <w:color w:val="011A3C"/>
          <w:sz w:val="24"/>
          <w:lang w:val="en"/>
        </w:rPr>
      </w:pPr>
      <w:r w:rsidRPr="009B4DE1">
        <w:rPr>
          <w:rFonts w:eastAsia="Segoe UI" w:cstheme="minorHAnsi"/>
          <w:color w:val="011A3C"/>
          <w:sz w:val="24"/>
          <w:szCs w:val="24"/>
          <w:lang w:val="en" w:eastAsia="en-AU"/>
        </w:rPr>
        <w:t xml:space="preserve">ensure </w:t>
      </w:r>
      <w:proofErr w:type="spellStart"/>
      <w:r w:rsidRPr="009B4DE1">
        <w:rPr>
          <w:rFonts w:eastAsia="Segoe UI" w:cstheme="minorHAnsi"/>
          <w:color w:val="011A3C"/>
          <w:sz w:val="24"/>
          <w:szCs w:val="24"/>
          <w:lang w:val="en" w:eastAsia="en-AU"/>
        </w:rPr>
        <w:t>eduPay</w:t>
      </w:r>
      <w:proofErr w:type="spellEnd"/>
      <w:r w:rsidRPr="009B4DE1">
        <w:rPr>
          <w:rFonts w:eastAsia="Segoe UI" w:cstheme="minorHAnsi"/>
          <w:color w:val="011A3C"/>
          <w:sz w:val="24"/>
          <w:szCs w:val="24"/>
          <w:lang w:val="en" w:eastAsia="en-AU"/>
        </w:rPr>
        <w:t xml:space="preserve"> records are updated by coding tutors as they are recruited. </w:t>
      </w:r>
      <w:r w:rsidRPr="00833928">
        <w:rPr>
          <w:color w:val="011A3C"/>
          <w:sz w:val="24"/>
          <w:lang w:val="en"/>
        </w:rPr>
        <w:t xml:space="preserve">Schools must code tutors using the TLI code: 80026. Note that if tutors are being appointed from the school’s existing staff, their tutoring FTE must be re-coded to the TLI code: 80026 using a General Ledger (GL) override on </w:t>
      </w:r>
      <w:proofErr w:type="spellStart"/>
      <w:r w:rsidRPr="00833928">
        <w:rPr>
          <w:color w:val="011A3C"/>
          <w:sz w:val="24"/>
          <w:lang w:val="en"/>
        </w:rPr>
        <w:t>eduPay</w:t>
      </w:r>
      <w:proofErr w:type="spellEnd"/>
      <w:r w:rsidRPr="009B4DE1">
        <w:rPr>
          <w:rFonts w:eastAsia="Segoe UI" w:cstheme="minorHAnsi"/>
          <w:color w:val="011A3C"/>
          <w:sz w:val="24"/>
          <w:szCs w:val="24"/>
          <w:lang w:val="en" w:eastAsia="en-AU"/>
        </w:rPr>
        <w:t>.</w:t>
      </w:r>
    </w:p>
    <w:p w14:paraId="5B30C251" w14:textId="49AAFC61" w:rsidR="0045353F" w:rsidRPr="00833928" w:rsidRDefault="0045353F" w:rsidP="00833928">
      <w:pPr>
        <w:pStyle w:val="ListParagraph"/>
        <w:numPr>
          <w:ilvl w:val="0"/>
          <w:numId w:val="180"/>
        </w:numPr>
        <w:spacing w:before="120" w:after="120" w:line="360" w:lineRule="atLeast"/>
        <w:jc w:val="both"/>
        <w:rPr>
          <w:color w:val="011A3C"/>
          <w:sz w:val="24"/>
          <w:lang w:val="en"/>
        </w:rPr>
      </w:pPr>
      <w:r w:rsidRPr="009B4DE1">
        <w:rPr>
          <w:rFonts w:eastAsia="Segoe UI" w:cstheme="minorHAnsi"/>
          <w:color w:val="011A3C"/>
          <w:sz w:val="24"/>
          <w:szCs w:val="24"/>
          <w:lang w:val="en" w:eastAsia="en-AU"/>
        </w:rPr>
        <w:t xml:space="preserve">ensure </w:t>
      </w:r>
      <w:r w:rsidRPr="00833928">
        <w:rPr>
          <w:color w:val="011A3C"/>
          <w:sz w:val="24"/>
          <w:lang w:val="en"/>
        </w:rPr>
        <w:t xml:space="preserve">students participating in TLI </w:t>
      </w:r>
      <w:r w:rsidRPr="009B4DE1">
        <w:rPr>
          <w:rFonts w:eastAsia="Segoe UI" w:cstheme="minorHAnsi"/>
          <w:color w:val="011A3C"/>
          <w:sz w:val="24"/>
          <w:szCs w:val="24"/>
          <w:lang w:val="en" w:eastAsia="en-AU"/>
        </w:rPr>
        <w:t>are tagged in CASES21, including if the focus of support is literacy or numeracy.</w:t>
      </w:r>
    </w:p>
    <w:p w14:paraId="789B9742" w14:textId="77777777" w:rsidR="0045353F" w:rsidRPr="00833928" w:rsidRDefault="0045353F" w:rsidP="00833928">
      <w:pPr>
        <w:pStyle w:val="ListParagraph"/>
        <w:numPr>
          <w:ilvl w:val="0"/>
          <w:numId w:val="180"/>
        </w:numPr>
        <w:spacing w:before="120" w:after="120" w:line="360" w:lineRule="atLeast"/>
        <w:jc w:val="both"/>
        <w:rPr>
          <w:color w:val="011A3C"/>
          <w:sz w:val="24"/>
          <w:lang w:val="en"/>
        </w:rPr>
      </w:pPr>
      <w:proofErr w:type="spellStart"/>
      <w:r w:rsidRPr="009B4DE1">
        <w:rPr>
          <w:rFonts w:eastAsia="Segoe UI" w:cstheme="minorHAnsi"/>
          <w:color w:val="011A3C"/>
          <w:sz w:val="24"/>
          <w:szCs w:val="24"/>
          <w:lang w:val="en" w:eastAsia="en-AU"/>
        </w:rPr>
        <w:t>utilise</w:t>
      </w:r>
      <w:proofErr w:type="spellEnd"/>
      <w:r w:rsidRPr="009B4DE1">
        <w:rPr>
          <w:rFonts w:eastAsia="Segoe UI" w:cstheme="minorHAnsi"/>
          <w:color w:val="011A3C"/>
          <w:sz w:val="24"/>
          <w:szCs w:val="24"/>
          <w:lang w:val="en" w:eastAsia="en-AU"/>
        </w:rPr>
        <w:t xml:space="preserve"> an approved template for </w:t>
      </w:r>
      <w:r w:rsidRPr="00833928">
        <w:rPr>
          <w:color w:val="011A3C"/>
          <w:sz w:val="24"/>
          <w:lang w:val="en"/>
        </w:rPr>
        <w:t>t</w:t>
      </w:r>
      <w:r w:rsidRPr="009B4DE1">
        <w:rPr>
          <w:rFonts w:eastAsia="Segoe UI" w:cstheme="minorHAnsi"/>
          <w:color w:val="011A3C"/>
          <w:sz w:val="24"/>
          <w:szCs w:val="24"/>
          <w:lang w:val="en" w:eastAsia="en-AU"/>
        </w:rPr>
        <w:t>utors to record students’ learning goals.</w:t>
      </w:r>
    </w:p>
    <w:p w14:paraId="0406A628" w14:textId="77777777" w:rsidR="0045353F" w:rsidRDefault="0045353F" w:rsidP="0045353F">
      <w:pPr>
        <w:pStyle w:val="ListParagraph"/>
        <w:numPr>
          <w:ilvl w:val="0"/>
          <w:numId w:val="180"/>
        </w:num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support evaluation and monitoring of the initiative.</w:t>
      </w:r>
    </w:p>
    <w:p w14:paraId="05186167" w14:textId="77777777" w:rsidR="00FE2B85" w:rsidRDefault="00FE2B85" w:rsidP="00FE2B85">
      <w:pPr>
        <w:jc w:val="both"/>
        <w:rPr>
          <w:rFonts w:ascii="VIC" w:hAnsi="VIC"/>
          <w:b/>
          <w:bCs/>
        </w:rPr>
      </w:pPr>
    </w:p>
    <w:p w14:paraId="1ED37425" w14:textId="34E9B6D9" w:rsidR="00FE2B85" w:rsidRPr="009B4DE1" w:rsidRDefault="00FE2B85" w:rsidP="009B4DE1">
      <w:pPr>
        <w:spacing w:before="240" w:after="120" w:line="360" w:lineRule="auto"/>
        <w:jc w:val="both"/>
        <w:rPr>
          <w:rFonts w:eastAsia="Segoe UI" w:cstheme="minorHAnsi"/>
          <w:b/>
          <w:color w:val="011A3C"/>
          <w:sz w:val="24"/>
          <w:szCs w:val="24"/>
          <w:lang w:val="en" w:eastAsia="en-AU"/>
        </w:rPr>
      </w:pPr>
      <w:r w:rsidRPr="009B4DE1">
        <w:rPr>
          <w:rFonts w:eastAsia="Segoe UI" w:cstheme="minorHAnsi"/>
          <w:b/>
          <w:color w:val="011A3C"/>
          <w:sz w:val="24"/>
          <w:szCs w:val="24"/>
          <w:lang w:val="en" w:eastAsia="en-AU"/>
        </w:rPr>
        <w:t>Expenditure of funding</w:t>
      </w:r>
    </w:p>
    <w:p w14:paraId="26592AC4" w14:textId="2EE0F84C" w:rsidR="00FE2B85" w:rsidRPr="00833928" w:rsidRDefault="00FE2B85" w:rsidP="00833928">
      <w:pPr>
        <w:jc w:val="both"/>
        <w:rPr>
          <w:color w:val="011A3C"/>
          <w:sz w:val="24"/>
          <w:lang w:val="en"/>
        </w:rPr>
      </w:pPr>
      <w:r w:rsidRPr="009B4DE1">
        <w:rPr>
          <w:rFonts w:eastAsia="Segoe UI" w:cstheme="minorHAnsi"/>
          <w:color w:val="011A3C"/>
          <w:sz w:val="24"/>
          <w:szCs w:val="24"/>
          <w:lang w:val="en" w:eastAsia="en-AU"/>
        </w:rPr>
        <w:t>Schools are required to spend and acquit the TLI allocation during the 2024 calendar year (including any unspent TLI funding from previous years). Schools will, however, be able to retain unspent 2023 funding for the salary of tutors who are employed until 19 January 2024. As funding is only allocated in 2023, the unspent portion of funding will form the final 2023 credit position and be rolled over into the 2024 year, as per normal SRP reconciliation processes.</w:t>
      </w:r>
    </w:p>
    <w:p w14:paraId="5CB652B6" w14:textId="77777777" w:rsidR="00BF3744" w:rsidRPr="00833928" w:rsidRDefault="00BF3744" w:rsidP="00833928">
      <w:pPr>
        <w:spacing w:before="100" w:beforeAutospacing="1" w:after="100" w:afterAutospacing="1" w:line="288" w:lineRule="atLeast"/>
        <w:outlineLvl w:val="2"/>
        <w:rPr>
          <w:b/>
          <w:color w:val="011A3C"/>
          <w:sz w:val="27"/>
          <w:lang w:val="en"/>
        </w:rPr>
      </w:pPr>
      <w:r w:rsidRPr="00833928">
        <w:rPr>
          <w:b/>
          <w:color w:val="011A3C"/>
          <w:sz w:val="27"/>
          <w:lang w:val="en"/>
        </w:rPr>
        <w:t>Contact information</w:t>
      </w:r>
    </w:p>
    <w:p w14:paraId="1F39B5D3" w14:textId="197A33BC" w:rsidR="00852A82" w:rsidRDefault="005F614D" w:rsidP="00833928">
      <w:pPr>
        <w:spacing w:before="120" w:after="120" w:line="360" w:lineRule="atLeast"/>
      </w:pPr>
      <w:r w:rsidRPr="005F614D">
        <w:rPr>
          <w:rFonts w:eastAsia="Segoe UI" w:cstheme="minorHAnsi"/>
          <w:color w:val="011A3C"/>
          <w:sz w:val="24"/>
          <w:szCs w:val="24"/>
          <w:lang w:val="en" w:eastAsia="en-AU"/>
        </w:rPr>
        <w:t xml:space="preserve">For further information, please contact </w:t>
      </w:r>
      <w:r w:rsidRPr="009B4DE1">
        <w:rPr>
          <w:rStyle w:val="Hyperlink"/>
          <w:sz w:val="24"/>
          <w:szCs w:val="24"/>
        </w:rPr>
        <w:t>tutor@education.vic.gov.au</w:t>
      </w:r>
      <w:r w:rsidR="00BF3744" w:rsidRPr="005F63B8">
        <w:rPr>
          <w:rFonts w:eastAsia="Segoe UI" w:cstheme="minorHAnsi"/>
          <w:color w:val="4472C4" w:themeColor="accent1"/>
          <w:sz w:val="24"/>
          <w:szCs w:val="24"/>
          <w:lang w:val="en" w:eastAsia="en-AU"/>
        </w:rPr>
        <w:t xml:space="preserve"> </w:t>
      </w:r>
      <w:r w:rsidR="00852A82">
        <w:br w:type="page"/>
      </w:r>
    </w:p>
    <w:p w14:paraId="58EDD84F" w14:textId="368424F4" w:rsidR="000012C9" w:rsidRPr="00260C1D" w:rsidRDefault="00CA677C" w:rsidP="00532A33">
      <w:pPr>
        <w:pStyle w:val="Heading2"/>
      </w:pPr>
      <w:bookmarkStart w:id="273" w:name="_Toc141965297"/>
      <w:bookmarkStart w:id="274" w:name="_Toc145339624"/>
      <w:bookmarkStart w:id="275" w:name="_Toc153791947"/>
      <w:r w:rsidRPr="00260C1D">
        <w:lastRenderedPageBreak/>
        <w:t>Mental Health in Primary Schools</w:t>
      </w:r>
      <w:r w:rsidR="0062549B" w:rsidRPr="00260C1D">
        <w:t xml:space="preserve"> (Ref</w:t>
      </w:r>
      <w:r w:rsidR="004A6878" w:rsidRPr="00260C1D">
        <w:t>erence 130</w:t>
      </w:r>
      <w:r w:rsidR="0062549B" w:rsidRPr="00260C1D">
        <w:t>)</w:t>
      </w:r>
      <w:bookmarkEnd w:id="273"/>
      <w:bookmarkEnd w:id="274"/>
      <w:bookmarkEnd w:id="275"/>
    </w:p>
    <w:p w14:paraId="7949B9BE" w14:textId="1CD1BDB9" w:rsidR="00D662EC" w:rsidRPr="00260C1D" w:rsidRDefault="00D662EC" w:rsidP="004273D0">
      <w:pPr>
        <w:spacing w:before="120" w:after="120"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Victorian Government is providing $200 million over four years and $93.7 million ongoing to expand the Mental Health in Primary Schools </w:t>
      </w:r>
      <w:r w:rsidR="00ED00BD">
        <w:rPr>
          <w:rFonts w:eastAsia="Segoe UI" w:cstheme="minorHAnsi"/>
          <w:color w:val="011A3C"/>
          <w:sz w:val="24"/>
          <w:szCs w:val="24"/>
          <w:lang w:val="en" w:eastAsia="en-AU"/>
        </w:rPr>
        <w:t>(</w:t>
      </w:r>
      <w:proofErr w:type="spellStart"/>
      <w:r w:rsidR="00ED00BD">
        <w:rPr>
          <w:rFonts w:eastAsia="Segoe UI" w:cstheme="minorHAnsi"/>
          <w:color w:val="011A3C"/>
          <w:sz w:val="24"/>
          <w:szCs w:val="24"/>
          <w:lang w:val="en" w:eastAsia="en-AU"/>
        </w:rPr>
        <w:t>MHiPS</w:t>
      </w:r>
      <w:proofErr w:type="spellEnd"/>
      <w:r w:rsidR="00ED00B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program to every government and low-fee non-government primary school in Victoria. </w:t>
      </w:r>
    </w:p>
    <w:p w14:paraId="753D3CAD" w14:textId="781D7B58" w:rsidR="004273D0" w:rsidRPr="00260C1D" w:rsidRDefault="00D662EC" w:rsidP="004273D0">
      <w:pPr>
        <w:spacing w:before="120" w:after="120"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Scaling up across the state from 2023, by 2026 every primary school will </w:t>
      </w:r>
      <w:r w:rsidR="00251A98">
        <w:rPr>
          <w:rFonts w:eastAsia="Segoe UI" w:cstheme="minorHAnsi"/>
          <w:color w:val="011A3C"/>
          <w:sz w:val="24"/>
          <w:szCs w:val="24"/>
          <w:lang w:val="en" w:eastAsia="en-AU"/>
        </w:rPr>
        <w:t>receive funding</w:t>
      </w:r>
      <w:r w:rsidR="00251A98"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to employ a Mental Health and Wellbeing Leader to implement a whole-school approach to </w:t>
      </w:r>
      <w:r w:rsidR="00E67E0A">
        <w:rPr>
          <w:rFonts w:eastAsia="Segoe UI" w:cstheme="minorHAnsi"/>
          <w:color w:val="011A3C"/>
          <w:sz w:val="24"/>
          <w:szCs w:val="24"/>
          <w:lang w:val="en" w:eastAsia="en-AU"/>
        </w:rPr>
        <w:t>mental health and</w:t>
      </w:r>
      <w:r w:rsidRPr="00260C1D">
        <w:rPr>
          <w:rFonts w:eastAsia="Segoe UI" w:cstheme="minorHAnsi"/>
          <w:color w:val="011A3C"/>
          <w:sz w:val="24"/>
          <w:szCs w:val="24"/>
          <w:lang w:val="en" w:eastAsia="en-AU"/>
        </w:rPr>
        <w:t xml:space="preserve"> wellbeing.</w:t>
      </w:r>
      <w:bookmarkStart w:id="276" w:name="_Hlk80192439"/>
    </w:p>
    <w:p w14:paraId="23ACE641" w14:textId="43001548" w:rsidR="00A47CA3" w:rsidRPr="00260C1D" w:rsidRDefault="00A47CA3" w:rsidP="004273D0">
      <w:pPr>
        <w:spacing w:before="360" w:after="120" w:line="360" w:lineRule="atLeast"/>
        <w:outlineLvl w:val="2"/>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Eligibility</w:t>
      </w:r>
    </w:p>
    <w:p w14:paraId="3B0A0AC7" w14:textId="77777777" w:rsidR="00A47CA3" w:rsidRPr="00260C1D" w:rsidRDefault="00A47CA3" w:rsidP="004273D0">
      <w:pPr>
        <w:spacing w:before="120" w:after="120"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All government school campuses with primary-aged enrolments are eligible for </w:t>
      </w:r>
      <w:proofErr w:type="spellStart"/>
      <w:r w:rsidRPr="00260C1D">
        <w:rPr>
          <w:rFonts w:eastAsia="Segoe UI" w:cstheme="minorHAnsi"/>
          <w:color w:val="011A3C"/>
          <w:sz w:val="24"/>
          <w:szCs w:val="24"/>
          <w:lang w:val="en" w:eastAsia="en-AU"/>
        </w:rPr>
        <w:t>MHiPS</w:t>
      </w:r>
      <w:proofErr w:type="spellEnd"/>
      <w:r w:rsidRPr="00260C1D">
        <w:rPr>
          <w:rFonts w:eastAsia="Segoe UI" w:cstheme="minorHAnsi"/>
          <w:color w:val="011A3C"/>
          <w:sz w:val="24"/>
          <w:szCs w:val="24"/>
          <w:lang w:val="en" w:eastAsia="en-AU"/>
        </w:rPr>
        <w:t xml:space="preserve"> funding, including: </w:t>
      </w:r>
    </w:p>
    <w:p w14:paraId="0B4C52DB" w14:textId="77777777" w:rsidR="00A47CA3" w:rsidRPr="00260C1D" w:rsidRDefault="00A47CA3" w:rsidP="00F56244">
      <w:pPr>
        <w:pStyle w:val="ListParagraph"/>
        <w:numPr>
          <w:ilvl w:val="0"/>
          <w:numId w:val="54"/>
        </w:numPr>
        <w:spacing w:before="120" w:after="120"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Primary</w:t>
      </w:r>
    </w:p>
    <w:p w14:paraId="0A1357E1" w14:textId="77777777" w:rsidR="00A47CA3" w:rsidRPr="00260C1D" w:rsidRDefault="00A47CA3" w:rsidP="00F56244">
      <w:pPr>
        <w:pStyle w:val="ListParagraph"/>
        <w:numPr>
          <w:ilvl w:val="0"/>
          <w:numId w:val="54"/>
        </w:numPr>
        <w:spacing w:before="120" w:after="120"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Primary/Secondary (primary enrolments only)</w:t>
      </w:r>
    </w:p>
    <w:p w14:paraId="231F0EAF" w14:textId="77777777" w:rsidR="00A47CA3" w:rsidRPr="00260C1D" w:rsidRDefault="00A47CA3" w:rsidP="00F56244">
      <w:pPr>
        <w:pStyle w:val="ListParagraph"/>
        <w:numPr>
          <w:ilvl w:val="0"/>
          <w:numId w:val="54"/>
        </w:numPr>
        <w:spacing w:before="120" w:after="120"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Specialist (primary enrolments only)</w:t>
      </w:r>
    </w:p>
    <w:p w14:paraId="79830F09" w14:textId="1D2F0899" w:rsidR="00A47CA3" w:rsidRPr="00260C1D" w:rsidRDefault="00A47CA3" w:rsidP="00F56244">
      <w:pPr>
        <w:pStyle w:val="ListParagraph"/>
        <w:numPr>
          <w:ilvl w:val="0"/>
          <w:numId w:val="54"/>
        </w:numPr>
        <w:spacing w:before="120" w:after="120" w:line="360" w:lineRule="atLeast"/>
        <w:jc w:val="both"/>
        <w:rPr>
          <w:rFonts w:eastAsia="Segoe UI"/>
          <w:color w:val="011A3C"/>
          <w:sz w:val="24"/>
          <w:szCs w:val="24"/>
          <w:lang w:val="en" w:eastAsia="en-AU"/>
        </w:rPr>
      </w:pPr>
      <w:r w:rsidRPr="54961C12">
        <w:rPr>
          <w:rFonts w:eastAsia="Segoe UI"/>
          <w:color w:val="011A3C"/>
          <w:sz w:val="24"/>
          <w:szCs w:val="24"/>
          <w:lang w:val="en" w:eastAsia="en-AU"/>
        </w:rPr>
        <w:t>Language (primary enrolments only)</w:t>
      </w:r>
    </w:p>
    <w:p w14:paraId="072DA945" w14:textId="1D2F0899" w:rsidR="00B51A1C" w:rsidRDefault="00A47CA3" w:rsidP="004273D0">
      <w:pPr>
        <w:spacing w:before="120" w:after="120" w:line="360" w:lineRule="atLeast"/>
        <w:jc w:val="both"/>
        <w:rPr>
          <w:rFonts w:eastAsia="Segoe UI"/>
          <w:color w:val="011A3C"/>
          <w:sz w:val="24"/>
          <w:szCs w:val="24"/>
          <w:lang w:val="en" w:eastAsia="en-AU"/>
        </w:rPr>
      </w:pPr>
      <w:r w:rsidRPr="54961C12">
        <w:rPr>
          <w:rFonts w:eastAsia="Segoe UI"/>
          <w:color w:val="011A3C"/>
          <w:sz w:val="24"/>
          <w:szCs w:val="24"/>
          <w:lang w:val="en" w:eastAsia="en-AU"/>
        </w:rPr>
        <w:t xml:space="preserve">‘Secondary’ and ‘Camp’ schools and campuses are ineligible for </w:t>
      </w:r>
      <w:proofErr w:type="spellStart"/>
      <w:r w:rsidRPr="54961C12">
        <w:rPr>
          <w:rFonts w:eastAsia="Segoe UI"/>
          <w:color w:val="011A3C"/>
          <w:sz w:val="24"/>
          <w:szCs w:val="24"/>
          <w:lang w:val="en" w:eastAsia="en-AU"/>
        </w:rPr>
        <w:t>MHiPS</w:t>
      </w:r>
      <w:proofErr w:type="spellEnd"/>
      <w:r w:rsidRPr="54961C12">
        <w:rPr>
          <w:rFonts w:eastAsia="Segoe UI"/>
          <w:color w:val="011A3C"/>
          <w:sz w:val="24"/>
          <w:szCs w:val="24"/>
          <w:lang w:val="en" w:eastAsia="en-AU"/>
        </w:rPr>
        <w:t xml:space="preserve"> funding. </w:t>
      </w:r>
    </w:p>
    <w:p w14:paraId="33E4C6B4" w14:textId="001F6CC5" w:rsidR="00A47CA3" w:rsidRPr="00260C1D" w:rsidRDefault="003C2D75" w:rsidP="004273D0">
      <w:pPr>
        <w:spacing w:before="120" w:after="120" w:line="360" w:lineRule="atLeast"/>
        <w:jc w:val="both"/>
        <w:rPr>
          <w:rFonts w:eastAsia="Segoe UI" w:cstheme="minorHAnsi"/>
          <w:color w:val="011A3C"/>
          <w:sz w:val="24"/>
          <w:szCs w:val="24"/>
          <w:lang w:val="en" w:eastAsia="en-AU"/>
        </w:rPr>
      </w:pPr>
      <w:r>
        <w:rPr>
          <w:rFonts w:eastAsia="Segoe UI" w:cstheme="minorHAnsi"/>
          <w:color w:val="011A3C"/>
          <w:sz w:val="24"/>
          <w:szCs w:val="24"/>
          <w:lang w:val="en" w:eastAsia="en-AU"/>
        </w:rPr>
        <w:t xml:space="preserve">Virtual School Victoria is </w:t>
      </w:r>
      <w:r w:rsidR="00A23AE6">
        <w:rPr>
          <w:rFonts w:eastAsia="Segoe UI" w:cstheme="minorHAnsi"/>
          <w:color w:val="011A3C"/>
          <w:sz w:val="24"/>
          <w:szCs w:val="24"/>
          <w:lang w:val="en" w:eastAsia="en-AU"/>
        </w:rPr>
        <w:t xml:space="preserve">eligible for </w:t>
      </w:r>
      <w:proofErr w:type="spellStart"/>
      <w:r w:rsidR="00A23AE6">
        <w:rPr>
          <w:rFonts w:eastAsia="Segoe UI" w:cstheme="minorHAnsi"/>
          <w:color w:val="011A3C"/>
          <w:sz w:val="24"/>
          <w:szCs w:val="24"/>
          <w:lang w:val="en" w:eastAsia="en-AU"/>
        </w:rPr>
        <w:t>M</w:t>
      </w:r>
      <w:r w:rsidR="00A3006A">
        <w:rPr>
          <w:rFonts w:eastAsia="Segoe UI" w:cstheme="minorHAnsi"/>
          <w:color w:val="011A3C"/>
          <w:sz w:val="24"/>
          <w:szCs w:val="24"/>
          <w:lang w:val="en" w:eastAsia="en-AU"/>
        </w:rPr>
        <w:t>H</w:t>
      </w:r>
      <w:r w:rsidR="00A23AE6">
        <w:rPr>
          <w:rFonts w:eastAsia="Segoe UI" w:cstheme="minorHAnsi"/>
          <w:color w:val="011A3C"/>
          <w:sz w:val="24"/>
          <w:szCs w:val="24"/>
          <w:lang w:val="en" w:eastAsia="en-AU"/>
        </w:rPr>
        <w:t>iPS</w:t>
      </w:r>
      <w:proofErr w:type="spellEnd"/>
      <w:r w:rsidR="00A23AE6">
        <w:rPr>
          <w:rFonts w:eastAsia="Segoe UI" w:cstheme="minorHAnsi"/>
          <w:color w:val="011A3C"/>
          <w:sz w:val="24"/>
          <w:szCs w:val="24"/>
          <w:lang w:val="en" w:eastAsia="en-AU"/>
        </w:rPr>
        <w:t xml:space="preserve"> funding</w:t>
      </w:r>
      <w:r w:rsidR="00F805F6">
        <w:rPr>
          <w:rFonts w:eastAsia="Segoe UI" w:cstheme="minorHAnsi"/>
          <w:color w:val="011A3C"/>
          <w:sz w:val="24"/>
          <w:szCs w:val="24"/>
          <w:lang w:val="en" w:eastAsia="en-AU"/>
        </w:rPr>
        <w:t xml:space="preserve"> from 2023</w:t>
      </w:r>
      <w:r w:rsidR="00A23AE6">
        <w:rPr>
          <w:rFonts w:eastAsia="Segoe UI" w:cstheme="minorHAnsi"/>
          <w:color w:val="011A3C"/>
          <w:sz w:val="24"/>
          <w:szCs w:val="24"/>
          <w:lang w:val="en" w:eastAsia="en-AU"/>
        </w:rPr>
        <w:t>.</w:t>
      </w:r>
    </w:p>
    <w:p w14:paraId="6AA7B9BC" w14:textId="0CCE6C36" w:rsidR="00A47CA3" w:rsidRPr="00260C1D" w:rsidRDefault="00A47CA3" w:rsidP="004273D0">
      <w:pPr>
        <w:spacing w:before="120" w:after="120" w:line="360" w:lineRule="atLeast"/>
        <w:jc w:val="both"/>
        <w:rPr>
          <w:rFonts w:eastAsia="Segoe UI" w:cstheme="minorHAnsi"/>
          <w:color w:val="011A3C"/>
          <w:sz w:val="24"/>
          <w:szCs w:val="24"/>
          <w:lang w:val="en" w:eastAsia="en-AU"/>
        </w:rPr>
      </w:pPr>
      <w:proofErr w:type="spellStart"/>
      <w:r w:rsidRPr="00260C1D">
        <w:rPr>
          <w:rFonts w:eastAsia="Segoe UI" w:cstheme="minorHAnsi"/>
          <w:color w:val="011A3C"/>
          <w:sz w:val="24"/>
          <w:szCs w:val="24"/>
          <w:lang w:val="en" w:eastAsia="en-AU"/>
        </w:rPr>
        <w:t>MHiPS</w:t>
      </w:r>
      <w:proofErr w:type="spellEnd"/>
      <w:r w:rsidRPr="00260C1D">
        <w:rPr>
          <w:rFonts w:eastAsia="Segoe UI" w:cstheme="minorHAnsi"/>
          <w:color w:val="011A3C"/>
          <w:sz w:val="24"/>
          <w:szCs w:val="24"/>
          <w:lang w:val="en" w:eastAsia="en-AU"/>
        </w:rPr>
        <w:t xml:space="preserve"> will be rolled out based on </w:t>
      </w:r>
      <w:r w:rsidR="00ED00BD">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rea between 2023 and 2026</w:t>
      </w:r>
      <w:r w:rsidR="00ED00B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The schedule is: </w:t>
      </w:r>
    </w:p>
    <w:p w14:paraId="3F8D530A" w14:textId="230DA270" w:rsidR="00A47CA3" w:rsidRPr="00260C1D" w:rsidRDefault="00A47CA3" w:rsidP="00F56244">
      <w:pPr>
        <w:pStyle w:val="ListParagraph"/>
        <w:numPr>
          <w:ilvl w:val="0"/>
          <w:numId w:val="54"/>
        </w:numPr>
        <w:spacing w:before="120" w:after="120"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2023: Barwon, </w:t>
      </w:r>
      <w:proofErr w:type="spellStart"/>
      <w:r w:rsidRPr="00260C1D">
        <w:rPr>
          <w:rFonts w:eastAsia="Segoe UI" w:cstheme="minorHAnsi"/>
          <w:color w:val="011A3C"/>
          <w:sz w:val="24"/>
          <w:szCs w:val="24"/>
          <w:lang w:val="en" w:eastAsia="en-AU"/>
        </w:rPr>
        <w:t>Brimbank</w:t>
      </w:r>
      <w:proofErr w:type="spellEnd"/>
      <w:r w:rsidRPr="00260C1D">
        <w:rPr>
          <w:rFonts w:eastAsia="Segoe UI" w:cstheme="minorHAnsi"/>
          <w:color w:val="011A3C"/>
          <w:sz w:val="24"/>
          <w:szCs w:val="24"/>
          <w:lang w:val="en" w:eastAsia="en-AU"/>
        </w:rPr>
        <w:t xml:space="preserve"> Melton, Goulburn, Hume </w:t>
      </w:r>
      <w:r w:rsidR="005C6432">
        <w:rPr>
          <w:rFonts w:eastAsia="Segoe UI" w:cstheme="minorHAnsi"/>
          <w:color w:val="011A3C"/>
          <w:sz w:val="24"/>
          <w:szCs w:val="24"/>
          <w:lang w:val="en" w:eastAsia="en-AU"/>
        </w:rPr>
        <w:t>Merri</w:t>
      </w:r>
      <w:r w:rsidR="003E4227">
        <w:rPr>
          <w:rFonts w:eastAsia="Segoe UI" w:cstheme="minorHAnsi"/>
          <w:color w:val="011A3C"/>
          <w:sz w:val="24"/>
          <w:szCs w:val="24"/>
          <w:lang w:val="en" w:eastAsia="en-AU"/>
        </w:rPr>
        <w:t>-</w:t>
      </w:r>
      <w:r w:rsidR="005C6432">
        <w:rPr>
          <w:rFonts w:eastAsia="Segoe UI" w:cstheme="minorHAnsi"/>
          <w:color w:val="011A3C"/>
          <w:sz w:val="24"/>
          <w:szCs w:val="24"/>
          <w:lang w:val="en" w:eastAsia="en-AU"/>
        </w:rPr>
        <w:t>bek</w:t>
      </w:r>
      <w:r w:rsidRPr="00260C1D">
        <w:rPr>
          <w:rFonts w:eastAsia="Segoe UI" w:cstheme="minorHAnsi"/>
          <w:color w:val="011A3C"/>
          <w:sz w:val="24"/>
          <w:szCs w:val="24"/>
          <w:lang w:val="en" w:eastAsia="en-AU"/>
        </w:rPr>
        <w:t>, Outer Gippsland</w:t>
      </w:r>
    </w:p>
    <w:p w14:paraId="2BB77622" w14:textId="77777777" w:rsidR="00A47CA3" w:rsidRPr="00260C1D" w:rsidRDefault="00A47CA3" w:rsidP="00F56244">
      <w:pPr>
        <w:pStyle w:val="ListParagraph"/>
        <w:numPr>
          <w:ilvl w:val="0"/>
          <w:numId w:val="54"/>
        </w:numPr>
        <w:spacing w:before="120" w:after="120"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2024: Mallee, Ovens Murray, Southern Melbourne, Western Melbourne</w:t>
      </w:r>
    </w:p>
    <w:p w14:paraId="383BC57A" w14:textId="509C8141" w:rsidR="00A47CA3" w:rsidRPr="00260C1D" w:rsidRDefault="00A47CA3" w:rsidP="00F56244">
      <w:pPr>
        <w:pStyle w:val="ListParagraph"/>
        <w:numPr>
          <w:ilvl w:val="0"/>
          <w:numId w:val="54"/>
        </w:numPr>
        <w:spacing w:before="120" w:after="120"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2025: Inner Gippsland</w:t>
      </w:r>
      <w:r w:rsidR="00641D70">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Loddon Campaspe, Outer East</w:t>
      </w:r>
      <w:r w:rsidR="00C242CD">
        <w:rPr>
          <w:rFonts w:eastAsia="Segoe UI" w:cstheme="minorHAnsi"/>
          <w:color w:val="011A3C"/>
          <w:sz w:val="24"/>
          <w:szCs w:val="24"/>
          <w:lang w:val="en" w:eastAsia="en-AU"/>
        </w:rPr>
        <w:t>ern</w:t>
      </w:r>
      <w:r w:rsidRPr="00260C1D">
        <w:rPr>
          <w:rFonts w:eastAsia="Segoe UI" w:cstheme="minorHAnsi"/>
          <w:color w:val="011A3C"/>
          <w:sz w:val="24"/>
          <w:szCs w:val="24"/>
          <w:lang w:val="en" w:eastAsia="en-AU"/>
        </w:rPr>
        <w:t xml:space="preserve"> Melbourne, Wimmera South West</w:t>
      </w:r>
    </w:p>
    <w:p w14:paraId="6813ABF7" w14:textId="56C0EC78" w:rsidR="00A47CA3" w:rsidRPr="00260C1D" w:rsidRDefault="00A47CA3" w:rsidP="00F56244">
      <w:pPr>
        <w:pStyle w:val="ListParagraph"/>
        <w:numPr>
          <w:ilvl w:val="0"/>
          <w:numId w:val="54"/>
        </w:numPr>
        <w:spacing w:before="120" w:after="120"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2026: Bayside Peninsula, Central Highlands, Inner East</w:t>
      </w:r>
      <w:r w:rsidR="00C242CD">
        <w:rPr>
          <w:rFonts w:eastAsia="Segoe UI" w:cstheme="minorHAnsi"/>
          <w:color w:val="011A3C"/>
          <w:sz w:val="24"/>
          <w:szCs w:val="24"/>
          <w:lang w:val="en" w:eastAsia="en-AU"/>
        </w:rPr>
        <w:t>ern</w:t>
      </w:r>
      <w:r w:rsidRPr="00260C1D">
        <w:rPr>
          <w:rFonts w:eastAsia="Segoe UI" w:cstheme="minorHAnsi"/>
          <w:color w:val="011A3C"/>
          <w:sz w:val="24"/>
          <w:szCs w:val="24"/>
          <w:lang w:val="en" w:eastAsia="en-AU"/>
        </w:rPr>
        <w:t xml:space="preserve"> Melbourne, North East</w:t>
      </w:r>
      <w:r w:rsidR="00C242CD">
        <w:rPr>
          <w:rFonts w:eastAsia="Segoe UI" w:cstheme="minorHAnsi"/>
          <w:color w:val="011A3C"/>
          <w:sz w:val="24"/>
          <w:szCs w:val="24"/>
          <w:lang w:val="en" w:eastAsia="en-AU"/>
        </w:rPr>
        <w:t>ern</w:t>
      </w:r>
      <w:r w:rsidRPr="00260C1D">
        <w:rPr>
          <w:rFonts w:eastAsia="Segoe UI" w:cstheme="minorHAnsi"/>
          <w:color w:val="011A3C"/>
          <w:sz w:val="24"/>
          <w:szCs w:val="24"/>
          <w:lang w:val="en" w:eastAsia="en-AU"/>
        </w:rPr>
        <w:t xml:space="preserve"> Melbourne</w:t>
      </w:r>
    </w:p>
    <w:p w14:paraId="55B909FB" w14:textId="1F178397" w:rsidR="00A47CA3" w:rsidRPr="00260C1D" w:rsidRDefault="00A47CA3" w:rsidP="004273D0">
      <w:pPr>
        <w:spacing w:before="120" w:after="120"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All </w:t>
      </w:r>
      <w:proofErr w:type="spellStart"/>
      <w:r w:rsidRPr="00260C1D">
        <w:rPr>
          <w:rFonts w:eastAsia="Segoe UI" w:cstheme="minorHAnsi"/>
          <w:color w:val="011A3C"/>
          <w:sz w:val="24"/>
          <w:szCs w:val="24"/>
          <w:lang w:val="en" w:eastAsia="en-AU"/>
        </w:rPr>
        <w:t>MHiPS</w:t>
      </w:r>
      <w:proofErr w:type="spellEnd"/>
      <w:r w:rsidRPr="00260C1D">
        <w:rPr>
          <w:rFonts w:eastAsia="Segoe UI" w:cstheme="minorHAnsi"/>
          <w:color w:val="011A3C"/>
          <w:sz w:val="24"/>
          <w:szCs w:val="24"/>
          <w:lang w:val="en" w:eastAsia="en-AU"/>
        </w:rPr>
        <w:t xml:space="preserve"> Pilot schools will continue </w:t>
      </w:r>
      <w:r w:rsidR="00713D9A">
        <w:rPr>
          <w:rFonts w:eastAsia="Segoe UI" w:cstheme="minorHAnsi"/>
          <w:color w:val="011A3C"/>
          <w:sz w:val="24"/>
          <w:szCs w:val="24"/>
          <w:lang w:val="en" w:eastAsia="en-AU"/>
        </w:rPr>
        <w:t>participation in the statewide program from 2023</w:t>
      </w:r>
      <w:r w:rsidRPr="00260C1D">
        <w:rPr>
          <w:rFonts w:eastAsia="Segoe UI" w:cstheme="minorHAnsi"/>
          <w:color w:val="011A3C"/>
          <w:sz w:val="24"/>
          <w:szCs w:val="24"/>
          <w:lang w:val="en" w:eastAsia="en-AU"/>
        </w:rPr>
        <w:t xml:space="preserve">. </w:t>
      </w:r>
      <w:r w:rsidR="00713D9A">
        <w:rPr>
          <w:rFonts w:eastAsia="Segoe UI" w:cstheme="minorHAnsi"/>
          <w:color w:val="011A3C"/>
          <w:sz w:val="24"/>
          <w:szCs w:val="24"/>
          <w:lang w:val="en" w:eastAsia="en-AU"/>
        </w:rPr>
        <w:t>The pilot has now concluded</w:t>
      </w:r>
      <w:r w:rsidRPr="00260C1D">
        <w:rPr>
          <w:rFonts w:eastAsia="Segoe UI" w:cstheme="minorHAnsi"/>
          <w:color w:val="011A3C"/>
          <w:sz w:val="24"/>
          <w:szCs w:val="24"/>
          <w:lang w:val="en" w:eastAsia="en-AU"/>
        </w:rPr>
        <w:t xml:space="preserve">. </w:t>
      </w:r>
    </w:p>
    <w:p w14:paraId="59D00D68" w14:textId="254260BA" w:rsidR="00713D9A" w:rsidRPr="00260C1D" w:rsidRDefault="00713D9A" w:rsidP="004273D0">
      <w:pPr>
        <w:spacing w:before="120" w:after="120" w:line="360" w:lineRule="atLeast"/>
        <w:jc w:val="both"/>
        <w:rPr>
          <w:rFonts w:eastAsia="Segoe UI" w:cstheme="minorHAnsi"/>
          <w:color w:val="011A3C"/>
          <w:sz w:val="24"/>
          <w:szCs w:val="24"/>
          <w:lang w:val="en" w:eastAsia="en-AU"/>
        </w:rPr>
      </w:pPr>
      <w:r>
        <w:rPr>
          <w:rFonts w:eastAsia="Segoe UI" w:cstheme="minorHAnsi"/>
          <w:color w:val="011A3C"/>
          <w:sz w:val="24"/>
          <w:szCs w:val="24"/>
          <w:lang w:val="en" w:eastAsia="en-AU"/>
        </w:rPr>
        <w:t>Funding is calculated as the Indicative, Confirmed and Revised cycles; funding is allocated through credit funding.</w:t>
      </w:r>
    </w:p>
    <w:p w14:paraId="36C0C790" w14:textId="77777777" w:rsidR="00A47CA3" w:rsidRPr="00260C1D" w:rsidRDefault="00A47CA3" w:rsidP="004273D0">
      <w:pPr>
        <w:spacing w:before="360" w:after="120" w:line="360" w:lineRule="atLeast"/>
        <w:outlineLvl w:val="2"/>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Calculation</w:t>
      </w:r>
    </w:p>
    <w:p w14:paraId="1CB4AFF0" w14:textId="64200C13" w:rsidR="00A47CA3" w:rsidRPr="00260C1D" w:rsidRDefault="00A47CA3" w:rsidP="004273D0">
      <w:pPr>
        <w:spacing w:before="120" w:after="120"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Participating </w:t>
      </w:r>
      <w:r w:rsidR="00713D9A">
        <w:rPr>
          <w:rFonts w:eastAsia="Segoe UI" w:cstheme="minorHAnsi"/>
          <w:color w:val="011A3C"/>
          <w:sz w:val="24"/>
          <w:szCs w:val="24"/>
          <w:lang w:val="en" w:eastAsia="en-AU"/>
        </w:rPr>
        <w:t xml:space="preserve">government school </w:t>
      </w:r>
      <w:r w:rsidRPr="00260C1D">
        <w:rPr>
          <w:rFonts w:eastAsia="Segoe UI" w:cstheme="minorHAnsi"/>
          <w:color w:val="011A3C"/>
          <w:sz w:val="24"/>
          <w:szCs w:val="24"/>
          <w:lang w:val="en" w:eastAsia="en-AU"/>
        </w:rPr>
        <w:t>campuses are funded to employ a Mental Health and Wellbeing Leader, at a Classroom Teacher 2-4 level, ranging from a minimum of 0.</w:t>
      </w:r>
      <w:r w:rsidR="00713D9A">
        <w:rPr>
          <w:rFonts w:eastAsia="Segoe UI" w:cstheme="minorHAnsi"/>
          <w:color w:val="011A3C"/>
          <w:sz w:val="24"/>
          <w:szCs w:val="24"/>
          <w:lang w:val="en" w:eastAsia="en-AU"/>
        </w:rPr>
        <w:t>5</w:t>
      </w:r>
      <w:r w:rsidRPr="00260C1D">
        <w:rPr>
          <w:rFonts w:eastAsia="Segoe UI" w:cstheme="minorHAnsi"/>
          <w:color w:val="011A3C"/>
          <w:sz w:val="24"/>
          <w:szCs w:val="24"/>
          <w:lang w:val="en" w:eastAsia="en-AU"/>
        </w:rPr>
        <w:t xml:space="preserve"> FTE to 1.0 FTE. </w:t>
      </w:r>
    </w:p>
    <w:p w14:paraId="5ACE4EBF" w14:textId="77777777" w:rsidR="00A47CA3" w:rsidRPr="00260C1D" w:rsidRDefault="00A47CA3" w:rsidP="004273D0">
      <w:pPr>
        <w:spacing w:before="120" w:after="120"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 campus’s FTE allocation is based on primary enrolments. </w:t>
      </w:r>
    </w:p>
    <w:p w14:paraId="37AFD6F2" w14:textId="7966A656" w:rsidR="00A47CA3" w:rsidRPr="00614B09" w:rsidRDefault="00A47CA3" w:rsidP="004273D0">
      <w:pPr>
        <w:spacing w:before="120" w:after="120" w:line="360" w:lineRule="atLeast"/>
        <w:jc w:val="both"/>
        <w:rPr>
          <w:rFonts w:eastAsia="Segoe UI" w:cstheme="minorHAnsi"/>
          <w:color w:val="011A3C"/>
          <w:sz w:val="24"/>
          <w:szCs w:val="24"/>
          <w:lang w:val="en" w:eastAsia="en-AU"/>
        </w:rPr>
      </w:pPr>
      <w:r w:rsidRPr="00614B09">
        <w:rPr>
          <w:rFonts w:eastAsia="Segoe UI" w:cstheme="minorHAnsi"/>
          <w:color w:val="011A3C"/>
          <w:sz w:val="24"/>
          <w:szCs w:val="24"/>
          <w:lang w:val="en" w:eastAsia="en-AU"/>
        </w:rPr>
        <w:t xml:space="preserve">Funding allocation = </w:t>
      </w:r>
      <w:r w:rsidR="00957A69" w:rsidRPr="00614B09">
        <w:rPr>
          <w:rFonts w:eastAsia="Segoe UI" w:cstheme="minorHAnsi"/>
          <w:color w:val="011A3C"/>
          <w:sz w:val="24"/>
          <w:szCs w:val="24"/>
          <w:lang w:val="en" w:eastAsia="en-AU"/>
        </w:rPr>
        <w:t>B</w:t>
      </w:r>
      <w:r w:rsidRPr="00614B09">
        <w:rPr>
          <w:rFonts w:eastAsia="Segoe UI" w:cstheme="minorHAnsi"/>
          <w:color w:val="011A3C"/>
          <w:sz w:val="24"/>
          <w:szCs w:val="24"/>
          <w:lang w:val="en" w:eastAsia="en-AU"/>
        </w:rPr>
        <w:t xml:space="preserve">ase FTE </w:t>
      </w:r>
      <w:r w:rsidR="00AE1ECA">
        <w:rPr>
          <w:rFonts w:eastAsia="Segoe UI" w:cstheme="minorHAnsi"/>
          <w:color w:val="011A3C"/>
          <w:sz w:val="24"/>
          <w:szCs w:val="24"/>
          <w:lang w:val="en" w:eastAsia="en-AU"/>
        </w:rPr>
        <w:t>×</w:t>
      </w:r>
      <w:r w:rsidRPr="00614B09">
        <w:rPr>
          <w:rFonts w:eastAsia="Segoe UI" w:cstheme="minorHAnsi"/>
          <w:color w:val="011A3C"/>
          <w:sz w:val="24"/>
          <w:szCs w:val="24"/>
          <w:lang w:val="en" w:eastAsia="en-AU"/>
        </w:rPr>
        <w:t xml:space="preserve"> Rate + </w:t>
      </w:r>
      <w:r w:rsidR="00957A69" w:rsidRPr="00614B09">
        <w:rPr>
          <w:rFonts w:eastAsia="Segoe UI" w:cstheme="minorHAnsi"/>
          <w:color w:val="011A3C"/>
          <w:sz w:val="24"/>
          <w:szCs w:val="24"/>
          <w:lang w:val="en" w:eastAsia="en-AU"/>
        </w:rPr>
        <w:t>S</w:t>
      </w:r>
      <w:r w:rsidRPr="00614B09">
        <w:rPr>
          <w:rFonts w:eastAsia="Segoe UI" w:cstheme="minorHAnsi"/>
          <w:color w:val="011A3C"/>
          <w:sz w:val="24"/>
          <w:szCs w:val="24"/>
          <w:lang w:val="en" w:eastAsia="en-AU"/>
        </w:rPr>
        <w:t>chool on</w:t>
      </w:r>
      <w:r w:rsidR="00957A69" w:rsidRPr="00614B09">
        <w:rPr>
          <w:rFonts w:eastAsia="Segoe UI" w:cstheme="minorHAnsi"/>
          <w:color w:val="011A3C"/>
          <w:sz w:val="24"/>
          <w:szCs w:val="24"/>
          <w:lang w:val="en" w:eastAsia="en-AU"/>
        </w:rPr>
        <w:t>-</w:t>
      </w:r>
      <w:r w:rsidRPr="00614B09">
        <w:rPr>
          <w:rFonts w:eastAsia="Segoe UI" w:cstheme="minorHAnsi"/>
          <w:color w:val="011A3C"/>
          <w:sz w:val="24"/>
          <w:szCs w:val="24"/>
          <w:lang w:val="en" w:eastAsia="en-AU"/>
        </w:rPr>
        <w:t>costs</w:t>
      </w:r>
    </w:p>
    <w:p w14:paraId="6FD5C86B" w14:textId="77777777" w:rsidR="00A47CA3" w:rsidRPr="00260C1D" w:rsidRDefault="00A47CA3" w:rsidP="004273D0">
      <w:pPr>
        <w:spacing w:before="360" w:after="120" w:line="360" w:lineRule="atLeast"/>
        <w:outlineLvl w:val="2"/>
        <w:rPr>
          <w:rFonts w:eastAsia="Segoe UI" w:cstheme="minorHAnsi"/>
          <w:bCs/>
          <w:color w:val="011A3C"/>
          <w:sz w:val="24"/>
          <w:szCs w:val="24"/>
          <w:u w:val="single"/>
          <w:lang w:val="en" w:eastAsia="en-AU"/>
        </w:rPr>
      </w:pPr>
      <w:r w:rsidRPr="00260C1D">
        <w:rPr>
          <w:rFonts w:eastAsia="Segoe UI" w:cstheme="minorHAnsi"/>
          <w:bCs/>
          <w:color w:val="011A3C"/>
          <w:sz w:val="24"/>
          <w:szCs w:val="24"/>
          <w:u w:val="single"/>
          <w:lang w:val="en" w:eastAsia="en-AU"/>
        </w:rPr>
        <w:t>Base FTE</w:t>
      </w:r>
    </w:p>
    <w:tbl>
      <w:tblPr>
        <w:tblStyle w:val="TableGrid11"/>
        <w:tblW w:w="4239" w:type="dxa"/>
        <w:tblInd w:w="0" w:type="dxa"/>
        <w:tblLook w:val="04A0" w:firstRow="1" w:lastRow="0" w:firstColumn="1" w:lastColumn="0" w:noHBand="0" w:noVBand="1"/>
      </w:tblPr>
      <w:tblGrid>
        <w:gridCol w:w="2361"/>
        <w:gridCol w:w="1878"/>
      </w:tblGrid>
      <w:tr w:rsidR="00A47CA3" w:rsidRPr="005F63B8" w14:paraId="72337A21" w14:textId="77777777" w:rsidTr="00C71867">
        <w:trPr>
          <w:trHeight w:val="225"/>
        </w:trPr>
        <w:tc>
          <w:tcPr>
            <w:tcW w:w="2361" w:type="dxa"/>
          </w:tcPr>
          <w:p w14:paraId="7776AE26" w14:textId="323CBE76" w:rsidR="00A47CA3" w:rsidRPr="002E28BA" w:rsidRDefault="00A47CA3" w:rsidP="00A47CA3">
            <w:pPr>
              <w:jc w:val="right"/>
              <w:rPr>
                <w:rFonts w:asciiTheme="minorHAnsi" w:eastAsia="Segoe UI" w:hAnsiTheme="minorHAnsi" w:cstheme="minorHAnsi"/>
                <w:color w:val="011A3C"/>
                <w:sz w:val="24"/>
                <w:szCs w:val="24"/>
                <w:lang w:val="en" w:eastAsia="en-AU"/>
              </w:rPr>
            </w:pPr>
            <w:r w:rsidRPr="008C2F6E">
              <w:rPr>
                <w:color w:val="011A3C"/>
                <w:sz w:val="24"/>
                <w:lang w:val="en"/>
              </w:rPr>
              <w:t>Campus enrol</w:t>
            </w:r>
            <w:r w:rsidR="00957A69" w:rsidRPr="008C2F6E">
              <w:rPr>
                <w:color w:val="011A3C"/>
                <w:sz w:val="24"/>
                <w:lang w:val="en"/>
              </w:rPr>
              <w:t>ment</w:t>
            </w:r>
            <w:r w:rsidRPr="008C2F6E">
              <w:rPr>
                <w:color w:val="011A3C"/>
                <w:sz w:val="24"/>
                <w:lang w:val="en"/>
              </w:rPr>
              <w:t>s</w:t>
            </w:r>
          </w:p>
        </w:tc>
        <w:tc>
          <w:tcPr>
            <w:tcW w:w="1878" w:type="dxa"/>
          </w:tcPr>
          <w:p w14:paraId="1F03DC9F" w14:textId="77777777" w:rsidR="00A47CA3" w:rsidRPr="002E28BA" w:rsidRDefault="00A47CA3" w:rsidP="00A47CA3">
            <w:pPr>
              <w:jc w:val="right"/>
              <w:rPr>
                <w:rFonts w:asciiTheme="minorHAnsi" w:eastAsia="Segoe UI" w:hAnsiTheme="minorHAnsi" w:cstheme="minorHAnsi"/>
                <w:color w:val="011A3C"/>
                <w:sz w:val="24"/>
                <w:szCs w:val="24"/>
                <w:lang w:val="en" w:eastAsia="en-AU"/>
              </w:rPr>
            </w:pPr>
            <w:r w:rsidRPr="008C2F6E">
              <w:rPr>
                <w:color w:val="011A3C"/>
                <w:sz w:val="24"/>
                <w:lang w:val="en"/>
              </w:rPr>
              <w:t>FTE</w:t>
            </w:r>
          </w:p>
        </w:tc>
      </w:tr>
      <w:tr w:rsidR="00A47CA3" w:rsidRPr="005F63B8" w14:paraId="49EFB630" w14:textId="77777777" w:rsidTr="00C71867">
        <w:trPr>
          <w:trHeight w:val="231"/>
        </w:trPr>
        <w:tc>
          <w:tcPr>
            <w:tcW w:w="2361" w:type="dxa"/>
          </w:tcPr>
          <w:p w14:paraId="3BE130EF" w14:textId="3C7C1509" w:rsidR="00A47CA3" w:rsidRPr="002E28BA" w:rsidRDefault="00A47CA3" w:rsidP="00A47CA3">
            <w:pPr>
              <w:jc w:val="right"/>
              <w:rPr>
                <w:rFonts w:asciiTheme="minorHAnsi" w:eastAsia="Segoe UI" w:hAnsiTheme="minorHAnsi" w:cstheme="minorHAnsi"/>
                <w:color w:val="011A3C"/>
                <w:sz w:val="24"/>
                <w:szCs w:val="24"/>
                <w:lang w:val="en" w:eastAsia="en-AU"/>
              </w:rPr>
            </w:pPr>
            <w:r w:rsidRPr="008C2F6E">
              <w:rPr>
                <w:color w:val="011A3C"/>
                <w:sz w:val="24"/>
                <w:lang w:val="en"/>
              </w:rPr>
              <w:t>1-</w:t>
            </w:r>
            <w:r w:rsidR="006C05E9" w:rsidRPr="009B4DE1">
              <w:rPr>
                <w:rFonts w:asciiTheme="minorHAnsi" w:eastAsia="Segoe UI" w:hAnsiTheme="minorHAnsi" w:cstheme="minorHAnsi"/>
                <w:color w:val="011A3C"/>
                <w:sz w:val="24"/>
                <w:szCs w:val="24"/>
                <w:lang w:val="en" w:eastAsia="en-AU"/>
              </w:rPr>
              <w:t>2</w:t>
            </w:r>
            <w:r w:rsidRPr="009B4DE1">
              <w:rPr>
                <w:rFonts w:asciiTheme="minorHAnsi" w:eastAsia="Segoe UI" w:hAnsiTheme="minorHAnsi" w:cstheme="minorHAnsi"/>
                <w:color w:val="011A3C"/>
                <w:sz w:val="24"/>
                <w:szCs w:val="24"/>
                <w:lang w:val="en" w:eastAsia="en-AU"/>
              </w:rPr>
              <w:t>99</w:t>
            </w:r>
          </w:p>
        </w:tc>
        <w:tc>
          <w:tcPr>
            <w:tcW w:w="1878" w:type="dxa"/>
          </w:tcPr>
          <w:p w14:paraId="491F1EDC" w14:textId="7F3FD5D4" w:rsidR="00A47CA3" w:rsidRPr="002E28BA" w:rsidRDefault="00A47CA3" w:rsidP="00A47CA3">
            <w:pPr>
              <w:jc w:val="right"/>
              <w:rPr>
                <w:rFonts w:asciiTheme="minorHAnsi" w:eastAsia="Segoe UI" w:hAnsiTheme="minorHAnsi" w:cstheme="minorHAnsi"/>
                <w:color w:val="011A3C"/>
                <w:sz w:val="24"/>
                <w:szCs w:val="24"/>
                <w:lang w:val="en" w:eastAsia="en-AU"/>
              </w:rPr>
            </w:pPr>
            <w:r w:rsidRPr="008C2F6E">
              <w:rPr>
                <w:color w:val="011A3C"/>
                <w:sz w:val="24"/>
                <w:lang w:val="en"/>
              </w:rPr>
              <w:t>0.</w:t>
            </w:r>
            <w:r w:rsidR="006C05E9" w:rsidRPr="009B4DE1">
              <w:rPr>
                <w:rFonts w:asciiTheme="minorHAnsi" w:eastAsia="Segoe UI" w:hAnsiTheme="minorHAnsi" w:cstheme="minorHAnsi"/>
                <w:color w:val="011A3C"/>
                <w:sz w:val="24"/>
                <w:szCs w:val="24"/>
                <w:lang w:val="en" w:eastAsia="en-AU"/>
              </w:rPr>
              <w:t>5</w:t>
            </w:r>
          </w:p>
        </w:tc>
      </w:tr>
      <w:tr w:rsidR="00A47CA3" w:rsidRPr="005F63B8" w14:paraId="63E29626" w14:textId="77777777" w:rsidTr="00C71867">
        <w:trPr>
          <w:trHeight w:val="225"/>
        </w:trPr>
        <w:tc>
          <w:tcPr>
            <w:tcW w:w="2361" w:type="dxa"/>
          </w:tcPr>
          <w:p w14:paraId="0C2D283B" w14:textId="4EFB24DE" w:rsidR="00A47CA3" w:rsidRPr="002E28BA" w:rsidRDefault="006C05E9" w:rsidP="00A47CA3">
            <w:pPr>
              <w:jc w:val="right"/>
              <w:rPr>
                <w:rFonts w:asciiTheme="minorHAnsi" w:eastAsia="Segoe UI" w:hAnsiTheme="minorHAnsi" w:cstheme="minorHAnsi"/>
                <w:color w:val="011A3C"/>
                <w:sz w:val="24"/>
                <w:szCs w:val="24"/>
                <w:lang w:val="en" w:eastAsia="en-AU"/>
              </w:rPr>
            </w:pPr>
            <w:r w:rsidRPr="009B4DE1">
              <w:rPr>
                <w:rFonts w:asciiTheme="minorHAnsi" w:eastAsia="Segoe UI" w:hAnsiTheme="minorHAnsi" w:cstheme="minorHAnsi"/>
                <w:color w:val="011A3C"/>
                <w:sz w:val="24"/>
                <w:szCs w:val="24"/>
                <w:lang w:val="en" w:eastAsia="en-AU"/>
              </w:rPr>
              <w:lastRenderedPageBreak/>
              <w:t>3</w:t>
            </w:r>
            <w:r w:rsidR="00A47CA3" w:rsidRPr="009B4DE1">
              <w:rPr>
                <w:rFonts w:asciiTheme="minorHAnsi" w:eastAsia="Segoe UI" w:hAnsiTheme="minorHAnsi" w:cstheme="minorHAnsi"/>
                <w:color w:val="011A3C"/>
                <w:sz w:val="24"/>
                <w:szCs w:val="24"/>
                <w:lang w:val="en" w:eastAsia="en-AU"/>
              </w:rPr>
              <w:t xml:space="preserve">00 - </w:t>
            </w:r>
            <w:r w:rsidRPr="009B4DE1">
              <w:rPr>
                <w:rFonts w:asciiTheme="minorHAnsi" w:eastAsia="Segoe UI" w:hAnsiTheme="minorHAnsi" w:cstheme="minorHAnsi"/>
                <w:color w:val="011A3C"/>
                <w:sz w:val="24"/>
                <w:szCs w:val="24"/>
                <w:lang w:val="en" w:eastAsia="en-AU"/>
              </w:rPr>
              <w:t>5</w:t>
            </w:r>
            <w:r w:rsidR="00A47CA3" w:rsidRPr="009B4DE1">
              <w:rPr>
                <w:rFonts w:asciiTheme="minorHAnsi" w:eastAsia="Segoe UI" w:hAnsiTheme="minorHAnsi" w:cstheme="minorHAnsi"/>
                <w:color w:val="011A3C"/>
                <w:sz w:val="24"/>
                <w:szCs w:val="24"/>
                <w:lang w:val="en" w:eastAsia="en-AU"/>
              </w:rPr>
              <w:t>99</w:t>
            </w:r>
          </w:p>
        </w:tc>
        <w:tc>
          <w:tcPr>
            <w:tcW w:w="1878" w:type="dxa"/>
          </w:tcPr>
          <w:p w14:paraId="3B6D1C47" w14:textId="13C2466C" w:rsidR="00A47CA3" w:rsidRPr="002E28BA" w:rsidRDefault="00A47CA3" w:rsidP="00A47CA3">
            <w:pPr>
              <w:jc w:val="right"/>
              <w:rPr>
                <w:rFonts w:asciiTheme="minorHAnsi" w:eastAsia="Segoe UI" w:hAnsiTheme="minorHAnsi" w:cstheme="minorHAnsi"/>
                <w:color w:val="011A3C"/>
                <w:sz w:val="24"/>
                <w:szCs w:val="24"/>
                <w:lang w:val="en" w:eastAsia="en-AU"/>
              </w:rPr>
            </w:pPr>
            <w:r w:rsidRPr="008C2F6E">
              <w:rPr>
                <w:color w:val="011A3C"/>
                <w:sz w:val="24"/>
                <w:lang w:val="en"/>
              </w:rPr>
              <w:t>0.</w:t>
            </w:r>
            <w:r w:rsidR="006C05E9" w:rsidRPr="009B4DE1">
              <w:rPr>
                <w:rFonts w:asciiTheme="minorHAnsi" w:eastAsia="Segoe UI" w:hAnsiTheme="minorHAnsi" w:cstheme="minorHAnsi"/>
                <w:color w:val="011A3C"/>
                <w:sz w:val="24"/>
                <w:szCs w:val="24"/>
                <w:lang w:val="en" w:eastAsia="en-AU"/>
              </w:rPr>
              <w:t>6</w:t>
            </w:r>
          </w:p>
        </w:tc>
      </w:tr>
      <w:tr w:rsidR="00A47CA3" w:rsidRPr="005F63B8" w14:paraId="6D25A70B" w14:textId="77777777" w:rsidTr="00C71867">
        <w:trPr>
          <w:trHeight w:val="231"/>
        </w:trPr>
        <w:tc>
          <w:tcPr>
            <w:tcW w:w="2361" w:type="dxa"/>
          </w:tcPr>
          <w:p w14:paraId="06A71F27" w14:textId="1F1454AF" w:rsidR="00A47CA3" w:rsidRPr="002E28BA" w:rsidRDefault="006C05E9" w:rsidP="00A47CA3">
            <w:pPr>
              <w:jc w:val="right"/>
              <w:rPr>
                <w:rFonts w:asciiTheme="minorHAnsi" w:eastAsia="Segoe UI" w:hAnsiTheme="minorHAnsi" w:cstheme="minorHAnsi"/>
                <w:color w:val="011A3C"/>
                <w:sz w:val="24"/>
                <w:szCs w:val="24"/>
                <w:lang w:val="en" w:eastAsia="en-AU"/>
              </w:rPr>
            </w:pPr>
            <w:r w:rsidRPr="009B4DE1">
              <w:rPr>
                <w:rFonts w:asciiTheme="minorHAnsi" w:eastAsia="Segoe UI" w:hAnsiTheme="minorHAnsi" w:cstheme="minorHAnsi"/>
                <w:color w:val="011A3C"/>
                <w:sz w:val="24"/>
                <w:szCs w:val="24"/>
                <w:lang w:val="en" w:eastAsia="en-AU"/>
              </w:rPr>
              <w:t>6</w:t>
            </w:r>
            <w:r w:rsidR="00A47CA3" w:rsidRPr="009B4DE1">
              <w:rPr>
                <w:rFonts w:asciiTheme="minorHAnsi" w:eastAsia="Segoe UI" w:hAnsiTheme="minorHAnsi" w:cstheme="minorHAnsi"/>
                <w:color w:val="011A3C"/>
                <w:sz w:val="24"/>
                <w:szCs w:val="24"/>
                <w:lang w:val="en" w:eastAsia="en-AU"/>
              </w:rPr>
              <w:t>00-</w:t>
            </w:r>
            <w:r w:rsidRPr="009B4DE1">
              <w:rPr>
                <w:rFonts w:asciiTheme="minorHAnsi" w:eastAsia="Segoe UI" w:hAnsiTheme="minorHAnsi" w:cstheme="minorHAnsi"/>
                <w:color w:val="011A3C"/>
                <w:sz w:val="24"/>
                <w:szCs w:val="24"/>
                <w:lang w:val="en" w:eastAsia="en-AU"/>
              </w:rPr>
              <w:t>749</w:t>
            </w:r>
          </w:p>
        </w:tc>
        <w:tc>
          <w:tcPr>
            <w:tcW w:w="1878" w:type="dxa"/>
          </w:tcPr>
          <w:p w14:paraId="5462CB7F" w14:textId="6A0180EF" w:rsidR="00A47CA3" w:rsidRPr="002E28BA" w:rsidRDefault="00A47CA3" w:rsidP="00A47CA3">
            <w:pPr>
              <w:jc w:val="right"/>
              <w:rPr>
                <w:rFonts w:asciiTheme="minorHAnsi" w:eastAsia="Segoe UI" w:hAnsiTheme="minorHAnsi" w:cstheme="minorHAnsi"/>
                <w:color w:val="011A3C"/>
                <w:sz w:val="24"/>
                <w:szCs w:val="24"/>
                <w:lang w:val="en" w:eastAsia="en-AU"/>
              </w:rPr>
            </w:pPr>
            <w:r w:rsidRPr="008C2F6E">
              <w:rPr>
                <w:color w:val="011A3C"/>
                <w:sz w:val="24"/>
                <w:lang w:val="en"/>
              </w:rPr>
              <w:t>0.</w:t>
            </w:r>
            <w:r w:rsidR="006C05E9" w:rsidRPr="009B4DE1">
              <w:rPr>
                <w:rFonts w:asciiTheme="minorHAnsi" w:eastAsia="Segoe UI" w:hAnsiTheme="minorHAnsi" w:cstheme="minorHAnsi"/>
                <w:color w:val="011A3C"/>
                <w:sz w:val="24"/>
                <w:szCs w:val="24"/>
                <w:lang w:val="en" w:eastAsia="en-AU"/>
              </w:rPr>
              <w:t>7</w:t>
            </w:r>
          </w:p>
        </w:tc>
      </w:tr>
      <w:tr w:rsidR="00A47CA3" w:rsidRPr="005F63B8" w14:paraId="4EE2F0C7" w14:textId="77777777" w:rsidTr="00C71867">
        <w:trPr>
          <w:trHeight w:val="225"/>
        </w:trPr>
        <w:tc>
          <w:tcPr>
            <w:tcW w:w="2361" w:type="dxa"/>
          </w:tcPr>
          <w:p w14:paraId="58863E04" w14:textId="56BC35FA" w:rsidR="00A47CA3" w:rsidRPr="002E28BA" w:rsidRDefault="00A47CA3" w:rsidP="00A47CA3">
            <w:pPr>
              <w:jc w:val="right"/>
              <w:rPr>
                <w:rFonts w:asciiTheme="minorHAnsi" w:eastAsia="Segoe UI" w:hAnsiTheme="minorHAnsi" w:cstheme="minorHAnsi"/>
                <w:color w:val="011A3C"/>
                <w:sz w:val="24"/>
                <w:szCs w:val="24"/>
                <w:lang w:val="en" w:eastAsia="en-AU"/>
              </w:rPr>
            </w:pPr>
            <w:r w:rsidRPr="009B4DE1">
              <w:rPr>
                <w:rFonts w:asciiTheme="minorHAnsi" w:eastAsia="Segoe UI" w:hAnsiTheme="minorHAnsi" w:cstheme="minorHAnsi"/>
                <w:color w:val="011A3C"/>
                <w:sz w:val="24"/>
                <w:szCs w:val="24"/>
                <w:lang w:val="en" w:eastAsia="en-AU"/>
              </w:rPr>
              <w:t>7</w:t>
            </w:r>
            <w:r w:rsidR="000C2783" w:rsidRPr="009B4DE1">
              <w:rPr>
                <w:rFonts w:asciiTheme="minorHAnsi" w:eastAsia="Segoe UI" w:hAnsiTheme="minorHAnsi" w:cstheme="minorHAnsi"/>
                <w:color w:val="011A3C"/>
                <w:sz w:val="24"/>
                <w:szCs w:val="24"/>
                <w:lang w:val="en" w:eastAsia="en-AU"/>
              </w:rPr>
              <w:t>5</w:t>
            </w:r>
            <w:r w:rsidRPr="009B4DE1">
              <w:rPr>
                <w:rFonts w:asciiTheme="minorHAnsi" w:eastAsia="Segoe UI" w:hAnsiTheme="minorHAnsi" w:cstheme="minorHAnsi"/>
                <w:color w:val="011A3C"/>
                <w:sz w:val="24"/>
                <w:szCs w:val="24"/>
                <w:lang w:val="en" w:eastAsia="en-AU"/>
              </w:rPr>
              <w:t>0</w:t>
            </w:r>
            <w:r w:rsidRPr="008C2F6E">
              <w:rPr>
                <w:color w:val="011A3C"/>
                <w:sz w:val="24"/>
                <w:lang w:val="en"/>
              </w:rPr>
              <w:t>-849</w:t>
            </w:r>
          </w:p>
        </w:tc>
        <w:tc>
          <w:tcPr>
            <w:tcW w:w="1878" w:type="dxa"/>
          </w:tcPr>
          <w:p w14:paraId="31060462" w14:textId="0D6F99E8" w:rsidR="00A47CA3" w:rsidRPr="002E28BA" w:rsidRDefault="00A47CA3" w:rsidP="00A47CA3">
            <w:pPr>
              <w:jc w:val="right"/>
              <w:rPr>
                <w:rFonts w:asciiTheme="minorHAnsi" w:eastAsia="Segoe UI" w:hAnsiTheme="minorHAnsi" w:cstheme="minorHAnsi"/>
                <w:color w:val="011A3C"/>
                <w:sz w:val="24"/>
                <w:szCs w:val="24"/>
                <w:lang w:val="en" w:eastAsia="en-AU"/>
              </w:rPr>
            </w:pPr>
            <w:r w:rsidRPr="008C2F6E">
              <w:rPr>
                <w:color w:val="011A3C"/>
                <w:sz w:val="24"/>
                <w:lang w:val="en"/>
              </w:rPr>
              <w:t>0.</w:t>
            </w:r>
            <w:r w:rsidR="000C2783" w:rsidRPr="009B4DE1">
              <w:rPr>
                <w:rFonts w:asciiTheme="minorHAnsi" w:eastAsia="Segoe UI" w:hAnsiTheme="minorHAnsi" w:cstheme="minorHAnsi"/>
                <w:color w:val="011A3C"/>
                <w:sz w:val="24"/>
                <w:szCs w:val="24"/>
                <w:lang w:val="en" w:eastAsia="en-AU"/>
              </w:rPr>
              <w:t>8</w:t>
            </w:r>
          </w:p>
        </w:tc>
      </w:tr>
      <w:tr w:rsidR="00A47CA3" w:rsidRPr="005F63B8" w14:paraId="395E848A" w14:textId="77777777" w:rsidTr="00C71867">
        <w:trPr>
          <w:trHeight w:val="225"/>
        </w:trPr>
        <w:tc>
          <w:tcPr>
            <w:tcW w:w="2361" w:type="dxa"/>
          </w:tcPr>
          <w:p w14:paraId="733BDF93" w14:textId="77777777" w:rsidR="00A47CA3" w:rsidRPr="002E28BA" w:rsidRDefault="00A47CA3" w:rsidP="00A47CA3">
            <w:pPr>
              <w:jc w:val="right"/>
              <w:rPr>
                <w:rFonts w:asciiTheme="minorHAnsi" w:eastAsia="Segoe UI" w:hAnsiTheme="minorHAnsi" w:cstheme="minorHAnsi"/>
                <w:color w:val="011A3C"/>
                <w:sz w:val="24"/>
                <w:szCs w:val="24"/>
                <w:lang w:val="en" w:eastAsia="en-AU"/>
              </w:rPr>
            </w:pPr>
            <w:r w:rsidRPr="008C2F6E">
              <w:rPr>
                <w:color w:val="011A3C"/>
                <w:sz w:val="24"/>
                <w:lang w:val="en"/>
              </w:rPr>
              <w:t>850-949</w:t>
            </w:r>
          </w:p>
        </w:tc>
        <w:tc>
          <w:tcPr>
            <w:tcW w:w="1878" w:type="dxa"/>
          </w:tcPr>
          <w:p w14:paraId="5AFD1013" w14:textId="0D7003D8" w:rsidR="00A47CA3" w:rsidRPr="002E28BA" w:rsidRDefault="00A47CA3" w:rsidP="00A47CA3">
            <w:pPr>
              <w:jc w:val="right"/>
              <w:rPr>
                <w:rFonts w:asciiTheme="minorHAnsi" w:eastAsia="Segoe UI" w:hAnsiTheme="minorHAnsi" w:cstheme="minorHAnsi"/>
                <w:color w:val="011A3C"/>
                <w:sz w:val="24"/>
                <w:szCs w:val="24"/>
                <w:lang w:val="en" w:eastAsia="en-AU"/>
              </w:rPr>
            </w:pPr>
            <w:r w:rsidRPr="008C2F6E">
              <w:rPr>
                <w:color w:val="011A3C"/>
                <w:sz w:val="24"/>
                <w:lang w:val="en"/>
              </w:rPr>
              <w:t>0.</w:t>
            </w:r>
            <w:r w:rsidR="000C2783" w:rsidRPr="009B4DE1">
              <w:rPr>
                <w:rFonts w:asciiTheme="minorHAnsi" w:eastAsia="Segoe UI" w:hAnsiTheme="minorHAnsi" w:cstheme="minorHAnsi"/>
                <w:color w:val="011A3C"/>
                <w:sz w:val="24"/>
                <w:szCs w:val="24"/>
                <w:lang w:val="en" w:eastAsia="en-AU"/>
              </w:rPr>
              <w:t>9</w:t>
            </w:r>
          </w:p>
        </w:tc>
      </w:tr>
      <w:tr w:rsidR="00A47CA3" w:rsidRPr="005F63B8" w14:paraId="44EBBE41" w14:textId="77777777" w:rsidTr="00C71867">
        <w:trPr>
          <w:trHeight w:val="46"/>
        </w:trPr>
        <w:tc>
          <w:tcPr>
            <w:tcW w:w="2361" w:type="dxa"/>
          </w:tcPr>
          <w:p w14:paraId="7A0F8197" w14:textId="77777777" w:rsidR="00A47CA3" w:rsidRPr="002E28BA" w:rsidRDefault="00A47CA3" w:rsidP="00A47CA3">
            <w:pPr>
              <w:jc w:val="right"/>
              <w:rPr>
                <w:rFonts w:asciiTheme="minorHAnsi" w:eastAsia="Segoe UI" w:hAnsiTheme="minorHAnsi" w:cstheme="minorHAnsi"/>
                <w:color w:val="011A3C"/>
                <w:sz w:val="24"/>
                <w:szCs w:val="24"/>
                <w:lang w:val="en" w:eastAsia="en-AU"/>
              </w:rPr>
            </w:pPr>
            <w:r w:rsidRPr="008C2F6E">
              <w:rPr>
                <w:color w:val="011A3C"/>
                <w:sz w:val="24"/>
                <w:lang w:val="en"/>
              </w:rPr>
              <w:t>950+</w:t>
            </w:r>
          </w:p>
        </w:tc>
        <w:tc>
          <w:tcPr>
            <w:tcW w:w="1878" w:type="dxa"/>
          </w:tcPr>
          <w:p w14:paraId="3FEB676E" w14:textId="77777777" w:rsidR="00A47CA3" w:rsidRPr="002E28BA" w:rsidRDefault="00A47CA3" w:rsidP="00A47CA3">
            <w:pPr>
              <w:jc w:val="right"/>
              <w:rPr>
                <w:rFonts w:asciiTheme="minorHAnsi" w:eastAsia="Segoe UI" w:hAnsiTheme="minorHAnsi" w:cstheme="minorHAnsi"/>
                <w:color w:val="011A3C"/>
                <w:sz w:val="24"/>
                <w:szCs w:val="24"/>
                <w:lang w:val="en" w:eastAsia="en-AU"/>
              </w:rPr>
            </w:pPr>
            <w:r w:rsidRPr="008C2F6E">
              <w:rPr>
                <w:color w:val="011A3C"/>
                <w:sz w:val="24"/>
                <w:lang w:val="en"/>
              </w:rPr>
              <w:t>1</w:t>
            </w:r>
          </w:p>
        </w:tc>
      </w:tr>
    </w:tbl>
    <w:p w14:paraId="22EE8E8B" w14:textId="1D502F8A" w:rsidR="00A47CA3" w:rsidRPr="00260C1D" w:rsidRDefault="00A47CA3" w:rsidP="004273D0">
      <w:pPr>
        <w:spacing w:before="120" w:after="120" w:line="360" w:lineRule="atLeast"/>
        <w:jc w:val="both"/>
        <w:rPr>
          <w:rFonts w:eastAsia="Segoe UI" w:cstheme="minorHAnsi"/>
          <w:color w:val="011A3C"/>
          <w:sz w:val="24"/>
          <w:szCs w:val="24"/>
          <w:lang w:val="en" w:eastAsia="en-AU"/>
        </w:rPr>
      </w:pPr>
      <w:r w:rsidRPr="00260C1D">
        <w:rPr>
          <w:rFonts w:eastAsia="Arial" w:cstheme="minorHAnsi"/>
          <w:b/>
          <w:bCs/>
          <w:sz w:val="21"/>
          <w:szCs w:val="21"/>
          <w:lang w:val="en-US"/>
        </w:rPr>
        <w:br/>
      </w:r>
      <w:r w:rsidRPr="00260C1D">
        <w:rPr>
          <w:rFonts w:eastAsia="Segoe UI" w:cstheme="minorHAnsi"/>
          <w:color w:val="011A3C"/>
          <w:sz w:val="24"/>
          <w:szCs w:val="24"/>
          <w:lang w:val="en" w:eastAsia="en-AU"/>
        </w:rPr>
        <w:t xml:space="preserve">Enrolments used to calculate </w:t>
      </w:r>
      <w:proofErr w:type="spellStart"/>
      <w:r w:rsidRPr="00260C1D">
        <w:rPr>
          <w:rFonts w:eastAsia="Segoe UI" w:cstheme="minorHAnsi"/>
          <w:color w:val="011A3C"/>
          <w:sz w:val="24"/>
          <w:szCs w:val="24"/>
          <w:lang w:val="en" w:eastAsia="en-AU"/>
        </w:rPr>
        <w:t>MHiPS</w:t>
      </w:r>
      <w:proofErr w:type="spellEnd"/>
      <w:r w:rsidRPr="00260C1D">
        <w:rPr>
          <w:rFonts w:eastAsia="Segoe UI" w:cstheme="minorHAnsi"/>
          <w:color w:val="011A3C"/>
          <w:sz w:val="24"/>
          <w:szCs w:val="24"/>
          <w:lang w:val="en" w:eastAsia="en-AU"/>
        </w:rPr>
        <w:t xml:space="preserve"> funding will be updated at each SRP cycle (‘Indicative’ to reflect </w:t>
      </w:r>
      <w:r w:rsidR="00957A69">
        <w:rPr>
          <w:rFonts w:eastAsia="Segoe UI" w:cstheme="minorHAnsi"/>
          <w:color w:val="011A3C"/>
          <w:sz w:val="24"/>
          <w:szCs w:val="24"/>
          <w:lang w:val="en" w:eastAsia="en-AU"/>
        </w:rPr>
        <w:t>p</w:t>
      </w:r>
      <w:r w:rsidRPr="00260C1D">
        <w:rPr>
          <w:rFonts w:eastAsia="Segoe UI" w:cstheme="minorHAnsi"/>
          <w:color w:val="011A3C"/>
          <w:sz w:val="24"/>
          <w:szCs w:val="24"/>
          <w:lang w:val="en" w:eastAsia="en-AU"/>
        </w:rPr>
        <w:t xml:space="preserve">rincipal enrolment projections, ‘Confirmed’ to reflect February census enrolment and ‘Revised’ to reflect audited enrolments). </w:t>
      </w:r>
    </w:p>
    <w:p w14:paraId="34DF368D" w14:textId="77777777" w:rsidR="00A47CA3" w:rsidRPr="00260C1D" w:rsidRDefault="00A47CA3" w:rsidP="004273D0">
      <w:pPr>
        <w:spacing w:before="360" w:after="120" w:line="360" w:lineRule="atLeast"/>
        <w:outlineLvl w:val="2"/>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 xml:space="preserve">Rate </w:t>
      </w:r>
    </w:p>
    <w:p w14:paraId="723C80B5" w14:textId="283C9235" w:rsidR="00A47CA3" w:rsidRPr="00260C1D" w:rsidRDefault="00A47CA3" w:rsidP="004273D0">
      <w:pPr>
        <w:spacing w:before="120" w:after="120"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Rate = $</w:t>
      </w:r>
      <w:r w:rsidR="001D6B08">
        <w:rPr>
          <w:rFonts w:eastAsia="Segoe UI" w:cstheme="minorHAnsi"/>
          <w:color w:val="011A3C"/>
          <w:sz w:val="24"/>
          <w:szCs w:val="24"/>
          <w:lang w:val="en" w:eastAsia="en-AU"/>
        </w:rPr>
        <w:t>120,622.10</w:t>
      </w:r>
      <w:r w:rsidRPr="00260C1D">
        <w:rPr>
          <w:rFonts w:eastAsia="Segoe UI" w:cstheme="minorHAnsi"/>
          <w:color w:val="011A3C"/>
          <w:sz w:val="24"/>
          <w:szCs w:val="24"/>
          <w:lang w:val="en" w:eastAsia="en-AU"/>
        </w:rPr>
        <w:t xml:space="preserve"> including school on-costs (Classroom </w:t>
      </w:r>
      <w:r w:rsidR="00E04EF8">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eacher 2-4)</w:t>
      </w:r>
      <w:r w:rsidR="008E4C2A">
        <w:rPr>
          <w:rFonts w:eastAsia="Segoe UI" w:cstheme="minorHAnsi"/>
          <w:color w:val="011A3C"/>
          <w:sz w:val="24"/>
          <w:szCs w:val="24"/>
          <w:lang w:val="en" w:eastAsia="en-AU"/>
        </w:rPr>
        <w:t>.</w:t>
      </w:r>
    </w:p>
    <w:p w14:paraId="16229685" w14:textId="5DC922BD" w:rsidR="00A47CA3" w:rsidRPr="00260C1D" w:rsidRDefault="00A47CA3" w:rsidP="004273D0">
      <w:pPr>
        <w:spacing w:before="360" w:after="120" w:line="360" w:lineRule="atLeast"/>
        <w:outlineLvl w:val="2"/>
        <w:rPr>
          <w:rFonts w:eastAsia="Segoe UI" w:cstheme="minorHAnsi"/>
          <w:bCs/>
          <w:color w:val="011A3C"/>
          <w:sz w:val="24"/>
          <w:szCs w:val="24"/>
          <w:u w:val="single"/>
          <w:lang w:val="en" w:eastAsia="en-AU"/>
        </w:rPr>
      </w:pPr>
      <w:r w:rsidRPr="00260C1D">
        <w:rPr>
          <w:rFonts w:eastAsia="Segoe UI" w:cstheme="minorHAnsi"/>
          <w:bCs/>
          <w:color w:val="011A3C"/>
          <w:sz w:val="24"/>
          <w:szCs w:val="24"/>
          <w:u w:val="single"/>
          <w:lang w:val="en" w:eastAsia="en-AU"/>
        </w:rPr>
        <w:t>Schools that receiv</w:t>
      </w:r>
      <w:r w:rsidR="00E813FD">
        <w:rPr>
          <w:rFonts w:eastAsia="Segoe UI" w:cstheme="minorHAnsi"/>
          <w:bCs/>
          <w:color w:val="011A3C"/>
          <w:sz w:val="24"/>
          <w:szCs w:val="24"/>
          <w:u w:val="single"/>
          <w:lang w:val="en" w:eastAsia="en-AU"/>
        </w:rPr>
        <w:t>ed</w:t>
      </w:r>
      <w:r w:rsidRPr="00260C1D">
        <w:rPr>
          <w:rFonts w:eastAsia="Segoe UI" w:cstheme="minorHAnsi"/>
          <w:bCs/>
          <w:color w:val="011A3C"/>
          <w:sz w:val="24"/>
          <w:szCs w:val="24"/>
          <w:u w:val="single"/>
          <w:lang w:val="en" w:eastAsia="en-AU"/>
        </w:rPr>
        <w:t xml:space="preserve"> </w:t>
      </w:r>
      <w:r w:rsidR="00E813FD">
        <w:rPr>
          <w:rFonts w:eastAsia="Segoe UI" w:cstheme="minorHAnsi"/>
          <w:bCs/>
          <w:color w:val="011A3C"/>
          <w:sz w:val="24"/>
          <w:szCs w:val="24"/>
          <w:u w:val="single"/>
          <w:lang w:val="en" w:eastAsia="en-AU"/>
        </w:rPr>
        <w:t>Primary Welfare Officer (</w:t>
      </w:r>
      <w:r w:rsidRPr="00260C1D">
        <w:rPr>
          <w:rFonts w:eastAsia="Segoe UI" w:cstheme="minorHAnsi"/>
          <w:bCs/>
          <w:color w:val="011A3C"/>
          <w:sz w:val="24"/>
          <w:szCs w:val="24"/>
          <w:u w:val="single"/>
          <w:lang w:val="en" w:eastAsia="en-AU"/>
        </w:rPr>
        <w:t>PWO</w:t>
      </w:r>
      <w:r w:rsidR="00E813FD">
        <w:rPr>
          <w:rFonts w:eastAsia="Segoe UI" w:cstheme="minorHAnsi"/>
          <w:bCs/>
          <w:color w:val="011A3C"/>
          <w:sz w:val="24"/>
          <w:szCs w:val="24"/>
          <w:u w:val="single"/>
          <w:lang w:val="en" w:eastAsia="en-AU"/>
        </w:rPr>
        <w:t xml:space="preserve">) funding in the year prior to </w:t>
      </w:r>
      <w:r w:rsidR="00857164">
        <w:rPr>
          <w:rFonts w:eastAsia="Segoe UI" w:cstheme="minorHAnsi"/>
          <w:bCs/>
          <w:color w:val="011A3C"/>
          <w:sz w:val="24"/>
          <w:szCs w:val="24"/>
          <w:u w:val="single"/>
          <w:lang w:val="en" w:eastAsia="en-AU"/>
        </w:rPr>
        <w:t>transitioning to</w:t>
      </w:r>
      <w:r w:rsidRPr="00260C1D">
        <w:rPr>
          <w:rFonts w:eastAsia="Segoe UI" w:cstheme="minorHAnsi"/>
          <w:bCs/>
          <w:color w:val="011A3C"/>
          <w:sz w:val="24"/>
          <w:szCs w:val="24"/>
          <w:u w:val="single"/>
          <w:lang w:val="en" w:eastAsia="en-AU"/>
        </w:rPr>
        <w:t xml:space="preserve"> </w:t>
      </w:r>
      <w:proofErr w:type="spellStart"/>
      <w:r w:rsidRPr="00260C1D">
        <w:rPr>
          <w:rFonts w:eastAsia="Segoe UI" w:cstheme="minorHAnsi"/>
          <w:bCs/>
          <w:color w:val="011A3C"/>
          <w:sz w:val="24"/>
          <w:szCs w:val="24"/>
          <w:u w:val="single"/>
          <w:lang w:val="en" w:eastAsia="en-AU"/>
        </w:rPr>
        <w:t>MHiPS</w:t>
      </w:r>
      <w:proofErr w:type="spellEnd"/>
      <w:r w:rsidRPr="00260C1D">
        <w:rPr>
          <w:rFonts w:eastAsia="Segoe UI" w:cstheme="minorHAnsi"/>
          <w:bCs/>
          <w:color w:val="011A3C"/>
          <w:sz w:val="24"/>
          <w:szCs w:val="24"/>
          <w:u w:val="single"/>
          <w:lang w:val="en" w:eastAsia="en-AU"/>
        </w:rPr>
        <w:t xml:space="preserve"> </w:t>
      </w:r>
    </w:p>
    <w:p w14:paraId="5B37B0F5" w14:textId="16C7B579" w:rsidR="00B85EBE" w:rsidRPr="009B4DE1" w:rsidRDefault="00B85EBE" w:rsidP="009B4DE1">
      <w:p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The PWO initiative is transitioning to the </w:t>
      </w:r>
      <w:proofErr w:type="spellStart"/>
      <w:r w:rsidRPr="009B4DE1">
        <w:rPr>
          <w:rFonts w:eastAsia="Segoe UI" w:cstheme="minorHAnsi"/>
          <w:color w:val="011A3C"/>
          <w:sz w:val="24"/>
          <w:szCs w:val="24"/>
          <w:lang w:val="en" w:eastAsia="en-AU"/>
        </w:rPr>
        <w:t>MHiPS</w:t>
      </w:r>
      <w:proofErr w:type="spellEnd"/>
      <w:r w:rsidRPr="009B4DE1">
        <w:rPr>
          <w:rFonts w:eastAsia="Segoe UI" w:cstheme="minorHAnsi"/>
          <w:color w:val="011A3C"/>
          <w:sz w:val="24"/>
          <w:szCs w:val="24"/>
          <w:lang w:val="en" w:eastAsia="en-AU"/>
        </w:rPr>
        <w:t xml:space="preserve"> program from 2023. </w:t>
      </w:r>
    </w:p>
    <w:p w14:paraId="028C9C69" w14:textId="6A11B2D4" w:rsidR="00B85EBE" w:rsidRPr="009B4DE1" w:rsidRDefault="00B85EBE" w:rsidP="009B4DE1">
      <w:p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Schools transitioning from the PWO initiative to the </w:t>
      </w:r>
      <w:proofErr w:type="spellStart"/>
      <w:r w:rsidRPr="009B4DE1">
        <w:rPr>
          <w:rFonts w:eastAsia="Segoe UI" w:cstheme="minorHAnsi"/>
          <w:color w:val="011A3C"/>
          <w:sz w:val="24"/>
          <w:szCs w:val="24"/>
          <w:lang w:val="en" w:eastAsia="en-AU"/>
        </w:rPr>
        <w:t>MHiPS</w:t>
      </w:r>
      <w:proofErr w:type="spellEnd"/>
      <w:r w:rsidRPr="009B4DE1">
        <w:rPr>
          <w:rFonts w:eastAsia="Segoe UI" w:cstheme="minorHAnsi"/>
          <w:color w:val="011A3C"/>
          <w:sz w:val="24"/>
          <w:szCs w:val="24"/>
          <w:lang w:val="en" w:eastAsia="en-AU"/>
        </w:rPr>
        <w:t xml:space="preserve"> program, in line with the above Area rollout schedule, will receive the higher of either their PWO allocation in the year prior to transitioning to MHIPS or their 2024 </w:t>
      </w:r>
      <w:proofErr w:type="spellStart"/>
      <w:r w:rsidRPr="009B4DE1">
        <w:rPr>
          <w:rFonts w:eastAsia="Segoe UI" w:cstheme="minorHAnsi"/>
          <w:color w:val="011A3C"/>
          <w:sz w:val="24"/>
          <w:szCs w:val="24"/>
          <w:lang w:val="en" w:eastAsia="en-AU"/>
        </w:rPr>
        <w:t>MHiPS</w:t>
      </w:r>
      <w:proofErr w:type="spellEnd"/>
      <w:r w:rsidRPr="009B4DE1">
        <w:rPr>
          <w:rFonts w:eastAsia="Segoe UI" w:cstheme="minorHAnsi"/>
          <w:color w:val="011A3C"/>
          <w:sz w:val="24"/>
          <w:szCs w:val="24"/>
          <w:lang w:val="en" w:eastAsia="en-AU"/>
        </w:rPr>
        <w:t xml:space="preserve"> allocation as calculated above. </w:t>
      </w:r>
    </w:p>
    <w:p w14:paraId="67592489" w14:textId="77777777" w:rsidR="00B85EBE" w:rsidRPr="009B4DE1" w:rsidRDefault="00B85EBE" w:rsidP="009B4DE1">
      <w:p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This will appear under the </w:t>
      </w:r>
      <w:proofErr w:type="spellStart"/>
      <w:r w:rsidRPr="009B4DE1">
        <w:rPr>
          <w:rFonts w:eastAsia="Segoe UI" w:cstheme="minorHAnsi"/>
          <w:color w:val="011A3C"/>
          <w:sz w:val="24"/>
          <w:szCs w:val="24"/>
          <w:lang w:val="en" w:eastAsia="en-AU"/>
        </w:rPr>
        <w:t>MHiPS</w:t>
      </w:r>
      <w:proofErr w:type="spellEnd"/>
      <w:r w:rsidRPr="009B4DE1">
        <w:rPr>
          <w:rFonts w:eastAsia="Segoe UI" w:cstheme="minorHAnsi"/>
          <w:color w:val="011A3C"/>
          <w:sz w:val="24"/>
          <w:szCs w:val="24"/>
          <w:lang w:val="en" w:eastAsia="en-AU"/>
        </w:rPr>
        <w:t xml:space="preserve"> funding line in the SRP. </w:t>
      </w:r>
    </w:p>
    <w:p w14:paraId="396DAF0B" w14:textId="77777777" w:rsidR="00372F51" w:rsidRPr="009B4DE1" w:rsidRDefault="00372F51" w:rsidP="009B4DE1">
      <w:pPr>
        <w:spacing w:before="360" w:after="120" w:line="360" w:lineRule="atLeast"/>
        <w:outlineLvl w:val="2"/>
        <w:rPr>
          <w:rFonts w:eastAsia="Segoe UI" w:cstheme="minorHAnsi"/>
          <w:bCs/>
          <w:color w:val="011A3C"/>
          <w:sz w:val="24"/>
          <w:szCs w:val="24"/>
          <w:u w:val="single"/>
          <w:lang w:val="en" w:eastAsia="en-AU"/>
        </w:rPr>
      </w:pPr>
      <w:r w:rsidRPr="009B4DE1">
        <w:rPr>
          <w:rFonts w:eastAsia="Segoe UI" w:cstheme="minorHAnsi"/>
          <w:bCs/>
          <w:color w:val="011A3C"/>
          <w:sz w:val="24"/>
          <w:szCs w:val="24"/>
          <w:u w:val="single"/>
          <w:lang w:val="en" w:eastAsia="en-AU"/>
        </w:rPr>
        <w:t>Schools that participated in the Mental Health in Primary Schools Pilot</w:t>
      </w:r>
    </w:p>
    <w:p w14:paraId="376BBB20" w14:textId="48790DAC" w:rsidR="00372F51" w:rsidRPr="009B4DE1" w:rsidRDefault="00372F51" w:rsidP="009B4DE1">
      <w:p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Former government pilot schools will transition from their pilot funding allocation to the </w:t>
      </w:r>
      <w:proofErr w:type="spellStart"/>
      <w:r w:rsidRPr="009B4DE1">
        <w:rPr>
          <w:rFonts w:eastAsia="Segoe UI" w:cstheme="minorHAnsi"/>
          <w:color w:val="011A3C"/>
          <w:sz w:val="24"/>
          <w:szCs w:val="24"/>
          <w:lang w:val="en" w:eastAsia="en-AU"/>
        </w:rPr>
        <w:t>MHiPS</w:t>
      </w:r>
      <w:proofErr w:type="spellEnd"/>
      <w:r w:rsidRPr="009B4DE1">
        <w:rPr>
          <w:rFonts w:eastAsia="Segoe UI" w:cstheme="minorHAnsi"/>
          <w:color w:val="011A3C"/>
          <w:sz w:val="24"/>
          <w:szCs w:val="24"/>
          <w:lang w:val="en" w:eastAsia="en-AU"/>
        </w:rPr>
        <w:t xml:space="preserve"> statewide expansion funding model by 2025, in line with other schools participating in the program. </w:t>
      </w:r>
    </w:p>
    <w:p w14:paraId="3AF67C7D" w14:textId="77777777" w:rsidR="00372F51" w:rsidRPr="009B4DE1" w:rsidRDefault="00372F51" w:rsidP="009B4DE1">
      <w:p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In 2024, former Pilot schools will receive:</w:t>
      </w:r>
    </w:p>
    <w:p w14:paraId="1D12944A" w14:textId="77777777" w:rsidR="00372F51" w:rsidRPr="009B4DE1" w:rsidRDefault="00372F51" w:rsidP="009B4DE1">
      <w:pPr>
        <w:pStyle w:val="ListParagraph"/>
        <w:numPr>
          <w:ilvl w:val="0"/>
          <w:numId w:val="173"/>
        </w:num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the higher of either </w:t>
      </w:r>
      <w:proofErr w:type="spellStart"/>
      <w:r w:rsidRPr="009B4DE1">
        <w:rPr>
          <w:rFonts w:eastAsia="Segoe UI" w:cstheme="minorHAnsi"/>
          <w:color w:val="011A3C"/>
          <w:sz w:val="24"/>
          <w:szCs w:val="24"/>
          <w:lang w:val="en" w:eastAsia="en-AU"/>
        </w:rPr>
        <w:t>MHiPS</w:t>
      </w:r>
      <w:proofErr w:type="spellEnd"/>
      <w:r w:rsidRPr="009B4DE1">
        <w:rPr>
          <w:rFonts w:eastAsia="Segoe UI" w:cstheme="minorHAnsi"/>
          <w:color w:val="011A3C"/>
          <w:sz w:val="24"/>
          <w:szCs w:val="24"/>
          <w:lang w:val="en" w:eastAsia="en-AU"/>
        </w:rPr>
        <w:t xml:space="preserve"> funding based on enrolments, or 2022 Primary Welfare Officer (PWO) funding (with indexation), (appearing under the </w:t>
      </w:r>
      <w:proofErr w:type="spellStart"/>
      <w:r w:rsidRPr="009B4DE1">
        <w:rPr>
          <w:rFonts w:eastAsia="Segoe UI" w:cstheme="minorHAnsi"/>
          <w:color w:val="011A3C"/>
          <w:sz w:val="24"/>
          <w:szCs w:val="24"/>
          <w:lang w:val="en" w:eastAsia="en-AU"/>
        </w:rPr>
        <w:t>MHiPS</w:t>
      </w:r>
      <w:proofErr w:type="spellEnd"/>
      <w:r w:rsidRPr="009B4DE1">
        <w:rPr>
          <w:rFonts w:eastAsia="Segoe UI" w:cstheme="minorHAnsi"/>
          <w:color w:val="011A3C"/>
          <w:sz w:val="24"/>
          <w:szCs w:val="24"/>
          <w:lang w:val="en" w:eastAsia="en-AU"/>
        </w:rPr>
        <w:t xml:space="preserve"> funding line in the Student Resource Package (SRP))</w:t>
      </w:r>
    </w:p>
    <w:p w14:paraId="6CCF9C4B" w14:textId="77777777" w:rsidR="00372F51" w:rsidRPr="009B4DE1" w:rsidRDefault="00372F51" w:rsidP="009B4DE1">
      <w:pPr>
        <w:spacing w:before="120" w:after="120" w:line="360" w:lineRule="atLeast"/>
        <w:jc w:val="both"/>
        <w:rPr>
          <w:rFonts w:eastAsia="Segoe UI" w:cstheme="minorHAnsi"/>
          <w:b/>
          <w:bCs/>
          <w:color w:val="011A3C"/>
          <w:sz w:val="24"/>
          <w:szCs w:val="24"/>
          <w:lang w:val="en" w:eastAsia="en-AU"/>
        </w:rPr>
      </w:pPr>
      <w:r w:rsidRPr="009B4DE1">
        <w:rPr>
          <w:rFonts w:eastAsia="Segoe UI" w:cstheme="minorHAnsi"/>
          <w:b/>
          <w:bCs/>
          <w:color w:val="011A3C"/>
          <w:sz w:val="24"/>
          <w:szCs w:val="24"/>
          <w:lang w:val="en" w:eastAsia="en-AU"/>
        </w:rPr>
        <w:t>plus</w:t>
      </w:r>
    </w:p>
    <w:p w14:paraId="73ABD909" w14:textId="44064CAD" w:rsidR="00372F51" w:rsidRPr="009B4DE1" w:rsidRDefault="00372F51" w:rsidP="009B4DE1">
      <w:pPr>
        <w:pStyle w:val="ListParagraph"/>
        <w:numPr>
          <w:ilvl w:val="0"/>
          <w:numId w:val="173"/>
        </w:num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50 per cent of the 2022 PWO funding (with indexation) to support the step down from the dual funding allocation in line with all other schools transitioning from PWO funding to </w:t>
      </w:r>
      <w:proofErr w:type="spellStart"/>
      <w:r w:rsidRPr="009B4DE1">
        <w:rPr>
          <w:rFonts w:eastAsia="Segoe UI" w:cstheme="minorHAnsi"/>
          <w:color w:val="011A3C"/>
          <w:sz w:val="24"/>
          <w:szCs w:val="24"/>
          <w:lang w:val="en" w:eastAsia="en-AU"/>
        </w:rPr>
        <w:t>MHiPS</w:t>
      </w:r>
      <w:proofErr w:type="spellEnd"/>
      <w:r w:rsidRPr="009B4DE1">
        <w:rPr>
          <w:rFonts w:eastAsia="Segoe UI" w:cstheme="minorHAnsi"/>
          <w:color w:val="011A3C"/>
          <w:sz w:val="24"/>
          <w:szCs w:val="24"/>
          <w:lang w:val="en" w:eastAsia="en-AU"/>
        </w:rPr>
        <w:t xml:space="preserve"> funding, (appearing under the PWO funding line in the SRP)</w:t>
      </w:r>
    </w:p>
    <w:p w14:paraId="22B22EC6" w14:textId="77777777" w:rsidR="00372F51" w:rsidRPr="009B4DE1" w:rsidRDefault="00372F51" w:rsidP="009B4DE1">
      <w:pPr>
        <w:spacing w:before="120" w:after="120" w:line="360" w:lineRule="atLeast"/>
        <w:jc w:val="both"/>
        <w:rPr>
          <w:rFonts w:eastAsia="Segoe UI" w:cstheme="minorHAnsi"/>
          <w:b/>
          <w:bCs/>
          <w:color w:val="011A3C"/>
          <w:sz w:val="24"/>
          <w:szCs w:val="24"/>
          <w:lang w:val="en" w:eastAsia="en-AU"/>
        </w:rPr>
      </w:pPr>
      <w:r w:rsidRPr="009B4DE1">
        <w:rPr>
          <w:rFonts w:eastAsia="Segoe UI" w:cstheme="minorHAnsi"/>
          <w:b/>
          <w:bCs/>
          <w:color w:val="011A3C"/>
          <w:sz w:val="24"/>
          <w:szCs w:val="24"/>
          <w:lang w:val="en" w:eastAsia="en-AU"/>
        </w:rPr>
        <w:t xml:space="preserve">plus, if the Pilot funding is higher than both the </w:t>
      </w:r>
      <w:proofErr w:type="spellStart"/>
      <w:r w:rsidRPr="009B4DE1">
        <w:rPr>
          <w:rFonts w:eastAsia="Segoe UI" w:cstheme="minorHAnsi"/>
          <w:b/>
          <w:bCs/>
          <w:color w:val="011A3C"/>
          <w:sz w:val="24"/>
          <w:szCs w:val="24"/>
          <w:lang w:val="en" w:eastAsia="en-AU"/>
        </w:rPr>
        <w:t>MHiPS</w:t>
      </w:r>
      <w:proofErr w:type="spellEnd"/>
      <w:r w:rsidRPr="009B4DE1">
        <w:rPr>
          <w:rFonts w:eastAsia="Segoe UI" w:cstheme="minorHAnsi"/>
          <w:b/>
          <w:bCs/>
          <w:color w:val="011A3C"/>
          <w:sz w:val="24"/>
          <w:szCs w:val="24"/>
          <w:lang w:val="en" w:eastAsia="en-AU"/>
        </w:rPr>
        <w:t xml:space="preserve"> funding and the PWO funding, schools will also receive</w:t>
      </w:r>
    </w:p>
    <w:p w14:paraId="28B92930" w14:textId="77777777" w:rsidR="00372F51" w:rsidRPr="009B4DE1" w:rsidRDefault="00372F51" w:rsidP="009B4DE1">
      <w:pPr>
        <w:pStyle w:val="ListParagraph"/>
        <w:numPr>
          <w:ilvl w:val="0"/>
          <w:numId w:val="173"/>
        </w:num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lastRenderedPageBreak/>
        <w:t xml:space="preserve">50 per cent of the gap between the Pilot funding and the highest of the </w:t>
      </w:r>
      <w:proofErr w:type="spellStart"/>
      <w:r w:rsidRPr="009B4DE1">
        <w:rPr>
          <w:rFonts w:eastAsia="Segoe UI" w:cstheme="minorHAnsi"/>
          <w:color w:val="011A3C"/>
          <w:sz w:val="24"/>
          <w:szCs w:val="24"/>
          <w:lang w:val="en" w:eastAsia="en-AU"/>
        </w:rPr>
        <w:t>MHiPS</w:t>
      </w:r>
      <w:proofErr w:type="spellEnd"/>
      <w:r w:rsidRPr="009B4DE1">
        <w:rPr>
          <w:rFonts w:eastAsia="Segoe UI" w:cstheme="minorHAnsi"/>
          <w:color w:val="011A3C"/>
          <w:sz w:val="24"/>
          <w:szCs w:val="24"/>
          <w:lang w:val="en" w:eastAsia="en-AU"/>
        </w:rPr>
        <w:t xml:space="preserve"> funding based on enrolments or 2022 PWO funding (with indexation) (appearing under the </w:t>
      </w:r>
      <w:proofErr w:type="spellStart"/>
      <w:r w:rsidRPr="009B4DE1">
        <w:rPr>
          <w:rFonts w:eastAsia="Segoe UI" w:cstheme="minorHAnsi"/>
          <w:color w:val="011A3C"/>
          <w:sz w:val="24"/>
          <w:szCs w:val="24"/>
          <w:lang w:val="en" w:eastAsia="en-AU"/>
        </w:rPr>
        <w:t>MHiPS</w:t>
      </w:r>
      <w:proofErr w:type="spellEnd"/>
      <w:r w:rsidRPr="009B4DE1">
        <w:rPr>
          <w:rFonts w:eastAsia="Segoe UI" w:cstheme="minorHAnsi"/>
          <w:color w:val="011A3C"/>
          <w:sz w:val="24"/>
          <w:szCs w:val="24"/>
          <w:lang w:val="en" w:eastAsia="en-AU"/>
        </w:rPr>
        <w:t xml:space="preserve"> funding line in the SRP)</w:t>
      </w:r>
    </w:p>
    <w:p w14:paraId="5E7F76DF" w14:textId="670E6888" w:rsidR="00372F51" w:rsidRPr="00260C1D" w:rsidRDefault="00372F51" w:rsidP="004273D0">
      <w:pPr>
        <w:spacing w:before="120" w:after="120" w:line="360" w:lineRule="atLeast"/>
        <w:jc w:val="both"/>
        <w:rPr>
          <w:rFonts w:eastAsia="Segoe UI" w:cstheme="minorHAnsi"/>
          <w:color w:val="011A3C"/>
          <w:sz w:val="24"/>
          <w:szCs w:val="24"/>
          <w:lang w:val="en" w:eastAsia="en-AU"/>
        </w:rPr>
      </w:pPr>
      <w:r w:rsidRPr="009B4DE1">
        <w:rPr>
          <w:rFonts w:eastAsia="Segoe UI" w:cstheme="minorHAnsi"/>
          <w:color w:val="011A3C"/>
          <w:sz w:val="24"/>
          <w:szCs w:val="24"/>
          <w:lang w:val="en" w:eastAsia="en-AU"/>
        </w:rPr>
        <w:t xml:space="preserve">In 2025, former Pilot schools will receive the higher of either </w:t>
      </w:r>
      <w:proofErr w:type="spellStart"/>
      <w:r w:rsidRPr="009B4DE1">
        <w:rPr>
          <w:rFonts w:eastAsia="Segoe UI" w:cstheme="minorHAnsi"/>
          <w:color w:val="011A3C"/>
          <w:sz w:val="24"/>
          <w:szCs w:val="24"/>
          <w:lang w:val="en" w:eastAsia="en-AU"/>
        </w:rPr>
        <w:t>MHiPS</w:t>
      </w:r>
      <w:proofErr w:type="spellEnd"/>
      <w:r w:rsidRPr="009B4DE1">
        <w:rPr>
          <w:rFonts w:eastAsia="Segoe UI" w:cstheme="minorHAnsi"/>
          <w:color w:val="011A3C"/>
          <w:sz w:val="24"/>
          <w:szCs w:val="24"/>
          <w:lang w:val="en" w:eastAsia="en-AU"/>
        </w:rPr>
        <w:t xml:space="preserve"> funding based on enrolments, or 2022 Primary Welfare Officer (PWO) funding (with indexation). This will appear under the </w:t>
      </w:r>
      <w:proofErr w:type="spellStart"/>
      <w:r w:rsidRPr="009B4DE1">
        <w:rPr>
          <w:rFonts w:eastAsia="Segoe UI" w:cstheme="minorHAnsi"/>
          <w:color w:val="011A3C"/>
          <w:sz w:val="24"/>
          <w:szCs w:val="24"/>
          <w:lang w:val="en" w:eastAsia="en-AU"/>
        </w:rPr>
        <w:t>MHiPS</w:t>
      </w:r>
      <w:proofErr w:type="spellEnd"/>
      <w:r w:rsidRPr="009B4DE1">
        <w:rPr>
          <w:rFonts w:eastAsia="Segoe UI" w:cstheme="minorHAnsi"/>
          <w:color w:val="011A3C"/>
          <w:sz w:val="24"/>
          <w:szCs w:val="24"/>
          <w:lang w:val="en" w:eastAsia="en-AU"/>
        </w:rPr>
        <w:t xml:space="preserve"> funding line.</w:t>
      </w:r>
    </w:p>
    <w:p w14:paraId="7377B3B9" w14:textId="77777777" w:rsidR="00A47CA3" w:rsidRPr="00260C1D" w:rsidRDefault="00A47CA3" w:rsidP="004273D0">
      <w:pPr>
        <w:spacing w:before="360" w:after="120" w:line="360" w:lineRule="atLeast"/>
        <w:outlineLvl w:val="2"/>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Contact information</w:t>
      </w:r>
    </w:p>
    <w:p w14:paraId="5236C86D" w14:textId="77777777" w:rsidR="00A47CA3" w:rsidRPr="000B1E45" w:rsidRDefault="00A47CA3" w:rsidP="00A47CA3">
      <w:pPr>
        <w:spacing w:after="120" w:line="240" w:lineRule="auto"/>
        <w:rPr>
          <w:rFonts w:eastAsia="Arial" w:cstheme="minorHAnsi"/>
          <w:sz w:val="24"/>
          <w:szCs w:val="24"/>
          <w:lang w:val="en-US"/>
        </w:rPr>
      </w:pPr>
      <w:r w:rsidRPr="00260C1D">
        <w:rPr>
          <w:rFonts w:eastAsia="Arial" w:cstheme="minorHAnsi"/>
          <w:sz w:val="24"/>
          <w:szCs w:val="24"/>
          <w:lang w:val="en-US"/>
        </w:rPr>
        <w:t xml:space="preserve">For further information contact </w:t>
      </w:r>
      <w:hyperlink r:id="rId215" w:history="1">
        <w:r w:rsidRPr="008614E4">
          <w:rPr>
            <w:rStyle w:val="Hyperlink"/>
            <w:sz w:val="24"/>
            <w:szCs w:val="24"/>
          </w:rPr>
          <w:t>mentalhealth@education.vic.gov.au</w:t>
        </w:r>
      </w:hyperlink>
      <w:r w:rsidRPr="008614E4">
        <w:rPr>
          <w:rStyle w:val="Hyperlink"/>
          <w:sz w:val="24"/>
          <w:szCs w:val="24"/>
        </w:rPr>
        <w:t xml:space="preserve"> </w:t>
      </w:r>
    </w:p>
    <w:bookmarkEnd w:id="276"/>
    <w:p w14:paraId="087EB8A0" w14:textId="77777777" w:rsidR="003C5566" w:rsidRPr="00260C1D" w:rsidRDefault="003C5566" w:rsidP="00532A33">
      <w:pPr>
        <w:pStyle w:val="Heading2"/>
      </w:pPr>
      <w:r w:rsidRPr="00260C1D">
        <w:br w:type="page"/>
      </w:r>
    </w:p>
    <w:p w14:paraId="3B6D9411" w14:textId="7CFD6ED6" w:rsidR="004A5C17" w:rsidRPr="00260C1D" w:rsidRDefault="006F7D3A" w:rsidP="00532A33">
      <w:pPr>
        <w:pStyle w:val="Heading2"/>
      </w:pPr>
      <w:bookmarkStart w:id="277" w:name="_Toc141965298"/>
      <w:bookmarkStart w:id="278" w:name="_Toc145339625"/>
      <w:bookmarkStart w:id="279" w:name="_Toc153791948"/>
      <w:r w:rsidRPr="00260C1D">
        <w:lastRenderedPageBreak/>
        <w:t>Mental Health Practitioners in Specialist Schools (Ref</w:t>
      </w:r>
      <w:r w:rsidR="0013300F" w:rsidRPr="00260C1D">
        <w:t>erence 131</w:t>
      </w:r>
      <w:r w:rsidRPr="00260C1D">
        <w:t>)</w:t>
      </w:r>
      <w:bookmarkEnd w:id="277"/>
      <w:bookmarkEnd w:id="278"/>
      <w:bookmarkEnd w:id="279"/>
    </w:p>
    <w:p w14:paraId="63968CF5" w14:textId="3632F3D4" w:rsidR="006F7D3A" w:rsidRPr="00260C1D" w:rsidRDefault="006F7D3A" w:rsidP="004D307F">
      <w:pPr>
        <w:spacing w:before="120" w:after="120"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Mental Health Practitioners in Specialist Schools (MHP) initiative provides funding to government specialist school campuses with secondary-aged enrolments (12 years+) to employ a suitably qualified Mental Health Practitioner (i.e. a fully registered Mental Health Nurse, Occupational Therapist, Psychologist or Social Worker) for between </w:t>
      </w:r>
      <w:r w:rsidR="00ED7798" w:rsidRPr="00260C1D">
        <w:rPr>
          <w:rFonts w:eastAsia="Segoe UI" w:cstheme="minorHAnsi"/>
          <w:color w:val="011A3C"/>
          <w:sz w:val="24"/>
          <w:szCs w:val="24"/>
          <w:lang w:val="en" w:eastAsia="en-AU"/>
        </w:rPr>
        <w:t>two</w:t>
      </w:r>
      <w:r w:rsidRPr="00260C1D">
        <w:rPr>
          <w:rFonts w:eastAsia="Segoe UI" w:cstheme="minorHAnsi"/>
          <w:color w:val="011A3C"/>
          <w:sz w:val="24"/>
          <w:szCs w:val="24"/>
          <w:lang w:val="en" w:eastAsia="en-AU"/>
        </w:rPr>
        <w:t xml:space="preserve"> and four days a week.</w:t>
      </w:r>
    </w:p>
    <w:p w14:paraId="4AEF33DA" w14:textId="4A5BC8F6" w:rsidR="00E96E5D" w:rsidRPr="00260C1D" w:rsidRDefault="006F7D3A" w:rsidP="004D307F">
      <w:pPr>
        <w:spacing w:before="120" w:after="120"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Mental Health Practitioners provide direct counselling support to students, early intervention services and whole-school mental health and wellbeing promotion and prevention activities. They also coordinate supports for students with complex needs.</w:t>
      </w:r>
    </w:p>
    <w:p w14:paraId="1FBE3CF7" w14:textId="13B0CE63" w:rsidR="003F01EE" w:rsidRPr="00260C1D" w:rsidRDefault="003F01EE" w:rsidP="00833928">
      <w:pPr>
        <w:spacing w:before="100" w:beforeAutospacing="1" w:after="100" w:afterAutospacing="1" w:line="360" w:lineRule="atLeast"/>
        <w:rPr>
          <w:rFonts w:eastAsia="Segoe UI"/>
          <w:color w:val="011A3C"/>
          <w:sz w:val="24"/>
          <w:szCs w:val="24"/>
          <w:lang w:val="en" w:eastAsia="en-AU"/>
        </w:rPr>
      </w:pPr>
      <w:r w:rsidRPr="48691DDA">
        <w:rPr>
          <w:rFonts w:eastAsia="Segoe UI"/>
          <w:color w:val="011A3C"/>
          <w:sz w:val="24"/>
          <w:szCs w:val="24"/>
          <w:lang w:val="en" w:eastAsia="en-AU"/>
        </w:rPr>
        <w:t xml:space="preserve">For further information on the MHP initiative, refer to </w:t>
      </w:r>
      <w:hyperlink r:id="rId216">
        <w:r w:rsidRPr="48691DDA">
          <w:rPr>
            <w:rStyle w:val="Hyperlink"/>
            <w:rFonts w:eastAsia="Segoe UI"/>
            <w:sz w:val="24"/>
            <w:szCs w:val="24"/>
            <w:lang w:val="en" w:eastAsia="en-AU"/>
          </w:rPr>
          <w:t xml:space="preserve">Mental health practitioners in secondary </w:t>
        </w:r>
        <w:r>
          <w:rPr>
            <w:rStyle w:val="Hyperlink"/>
            <w:rFonts w:eastAsia="Segoe UI"/>
            <w:sz w:val="24"/>
            <w:szCs w:val="24"/>
            <w:lang w:val="en" w:eastAsia="en-AU"/>
          </w:rPr>
          <w:t xml:space="preserve">and specialist </w:t>
        </w:r>
        <w:r w:rsidRPr="48691DDA">
          <w:rPr>
            <w:rStyle w:val="Hyperlink"/>
            <w:rFonts w:eastAsia="Segoe UI"/>
            <w:sz w:val="24"/>
            <w:szCs w:val="24"/>
            <w:lang w:val="en" w:eastAsia="en-AU"/>
          </w:rPr>
          <w:t>schools</w:t>
        </w:r>
      </w:hyperlink>
      <w:r w:rsidRPr="48691DDA">
        <w:rPr>
          <w:rFonts w:eastAsia="Segoe UI"/>
          <w:color w:val="011A3C"/>
          <w:sz w:val="24"/>
          <w:szCs w:val="24"/>
          <w:lang w:val="en" w:eastAsia="en-AU"/>
        </w:rPr>
        <w:t xml:space="preserve"> in the department’s </w:t>
      </w:r>
      <w:hyperlink r:id="rId217">
        <w:r w:rsidRPr="48691DDA">
          <w:rPr>
            <w:rStyle w:val="Hyperlink"/>
            <w:rFonts w:eastAsia="Segoe UI"/>
            <w:sz w:val="24"/>
            <w:szCs w:val="24"/>
            <w:lang w:val="en" w:eastAsia="en-AU"/>
          </w:rPr>
          <w:t>Mental health and wellbeing toolkit</w:t>
        </w:r>
      </w:hyperlink>
      <w:r w:rsidRPr="48691DDA">
        <w:rPr>
          <w:rFonts w:eastAsia="Segoe UI"/>
          <w:color w:val="011A3C"/>
          <w:sz w:val="24"/>
          <w:szCs w:val="24"/>
          <w:lang w:val="en" w:eastAsia="en-AU"/>
        </w:rPr>
        <w:t>.</w:t>
      </w:r>
    </w:p>
    <w:p w14:paraId="1B194858" w14:textId="44F6376E" w:rsidR="006F7D3A" w:rsidRPr="00260C1D" w:rsidRDefault="000623AA" w:rsidP="004D307F">
      <w:pPr>
        <w:spacing w:before="120" w:after="120" w:line="360" w:lineRule="atLeast"/>
        <w:jc w:val="both"/>
        <w:rPr>
          <w:rFonts w:eastAsia="Segoe UI" w:cstheme="minorHAnsi"/>
          <w:color w:val="011A3C"/>
          <w:sz w:val="24"/>
          <w:szCs w:val="24"/>
          <w:lang w:val="en" w:eastAsia="en-AU"/>
        </w:rPr>
      </w:pPr>
      <w:r w:rsidRPr="00260C1D">
        <w:rPr>
          <w:rFonts w:eastAsia="Segoe UI" w:cstheme="minorHAnsi"/>
          <w:color w:val="011A3C"/>
          <w:sz w:val="24"/>
          <w:szCs w:val="24"/>
          <w:lang w:val="en" w:eastAsia="en-AU"/>
        </w:rPr>
        <w:t>Student Resource Package (</w:t>
      </w:r>
      <w:r w:rsidR="006F7D3A" w:rsidRPr="00260C1D">
        <w:rPr>
          <w:rFonts w:eastAsia="Segoe UI" w:cstheme="minorHAnsi"/>
          <w:color w:val="011A3C"/>
          <w:sz w:val="24"/>
          <w:szCs w:val="24"/>
          <w:lang w:val="en" w:eastAsia="en-AU"/>
        </w:rPr>
        <w:t>SRP</w:t>
      </w:r>
      <w:r w:rsidRPr="00260C1D">
        <w:rPr>
          <w:rFonts w:eastAsia="Segoe UI" w:cstheme="minorHAnsi"/>
          <w:color w:val="011A3C"/>
          <w:sz w:val="24"/>
          <w:szCs w:val="24"/>
          <w:lang w:val="en" w:eastAsia="en-AU"/>
        </w:rPr>
        <w:t>)</w:t>
      </w:r>
      <w:r w:rsidR="006F7D3A" w:rsidRPr="00260C1D">
        <w:rPr>
          <w:rFonts w:eastAsia="Segoe UI" w:cstheme="minorHAnsi"/>
          <w:color w:val="011A3C"/>
          <w:sz w:val="24"/>
          <w:szCs w:val="24"/>
          <w:lang w:val="en" w:eastAsia="en-AU"/>
        </w:rPr>
        <w:t xml:space="preserve"> funding is provided to cover the salary of a</w:t>
      </w:r>
      <w:r w:rsidR="008C1134" w:rsidRPr="00260C1D">
        <w:rPr>
          <w:rFonts w:eastAsia="Segoe UI" w:cstheme="minorHAnsi"/>
          <w:color w:val="011A3C"/>
          <w:sz w:val="24"/>
          <w:szCs w:val="24"/>
          <w:lang w:val="en" w:eastAsia="en-AU"/>
        </w:rPr>
        <w:t>n ongoing</w:t>
      </w:r>
      <w:r w:rsidR="006F7D3A" w:rsidRPr="00260C1D">
        <w:rPr>
          <w:rFonts w:eastAsia="Segoe UI" w:cstheme="minorHAnsi"/>
          <w:color w:val="011A3C"/>
          <w:sz w:val="24"/>
          <w:szCs w:val="24"/>
          <w:lang w:val="en" w:eastAsia="en-AU"/>
        </w:rPr>
        <w:t xml:space="preserve"> school-based Mental Health Practitioner. Participating specialist schools receive between a minimum of 0.</w:t>
      </w:r>
      <w:r w:rsidR="00B1657A" w:rsidRPr="00260C1D">
        <w:rPr>
          <w:rFonts w:eastAsia="Segoe UI" w:cstheme="minorHAnsi"/>
          <w:color w:val="011A3C"/>
          <w:sz w:val="24"/>
          <w:szCs w:val="24"/>
          <w:lang w:val="en" w:eastAsia="en-AU"/>
        </w:rPr>
        <w:t>4</w:t>
      </w:r>
      <w:r w:rsidR="006F7D3A" w:rsidRPr="00260C1D">
        <w:rPr>
          <w:rFonts w:eastAsia="Segoe UI" w:cstheme="minorHAnsi"/>
          <w:color w:val="011A3C"/>
          <w:sz w:val="24"/>
          <w:szCs w:val="24"/>
          <w:lang w:val="en" w:eastAsia="en-AU"/>
        </w:rPr>
        <w:t xml:space="preserve"> FTE and a maximum of 0.8 FTE, depending on their secondary-aged student enrolments. </w:t>
      </w:r>
    </w:p>
    <w:p w14:paraId="33F9163C" w14:textId="74C50BEC" w:rsidR="006F7D3A" w:rsidRPr="00260C1D" w:rsidRDefault="006F7D3A" w:rsidP="004D307F">
      <w:pPr>
        <w:spacing w:before="100" w:beforeAutospacing="1" w:after="100" w:afterAutospacing="1" w:line="288" w:lineRule="atLeast"/>
        <w:outlineLvl w:val="2"/>
        <w:rPr>
          <w:rFonts w:eastAsia="Segoe UI"/>
          <w:b/>
          <w:color w:val="011A3C"/>
          <w:sz w:val="27"/>
          <w:szCs w:val="27"/>
          <w:lang w:val="en" w:eastAsia="en-AU"/>
        </w:rPr>
      </w:pPr>
      <w:r w:rsidRPr="43615927">
        <w:rPr>
          <w:rFonts w:eastAsia="Segoe UI"/>
          <w:b/>
          <w:color w:val="011A3C"/>
          <w:sz w:val="27"/>
          <w:szCs w:val="27"/>
          <w:lang w:val="en" w:eastAsia="en-AU"/>
        </w:rPr>
        <w:t xml:space="preserve">MHP initiative funding eligibility for schools with combined Primary/Secondary-aged enrolments </w:t>
      </w:r>
    </w:p>
    <w:p w14:paraId="75D6D376" w14:textId="33C148B0" w:rsidR="006F7D3A" w:rsidRPr="00260C1D" w:rsidRDefault="006F7D3A" w:rsidP="004D307F">
      <w:pPr>
        <w:spacing w:before="120" w:after="120" w:line="360" w:lineRule="atLeast"/>
        <w:rPr>
          <w:rFonts w:eastAsia="Segoe UI"/>
          <w:color w:val="011A3C"/>
          <w:sz w:val="24"/>
          <w:szCs w:val="24"/>
          <w:lang w:val="en" w:eastAsia="en-AU"/>
        </w:rPr>
      </w:pPr>
      <w:r w:rsidRPr="43615927">
        <w:rPr>
          <w:rFonts w:eastAsia="Segoe UI"/>
          <w:color w:val="011A3C"/>
          <w:sz w:val="24"/>
          <w:szCs w:val="24"/>
          <w:lang w:val="en" w:eastAsia="en-AU"/>
        </w:rPr>
        <w:t xml:space="preserve">All participating specialist schools </w:t>
      </w:r>
      <w:r w:rsidR="00B843F4" w:rsidRPr="43615927">
        <w:rPr>
          <w:rFonts w:eastAsia="Segoe UI"/>
          <w:color w:val="011A3C"/>
          <w:sz w:val="24"/>
          <w:szCs w:val="24"/>
          <w:lang w:val="en" w:eastAsia="en-AU"/>
        </w:rPr>
        <w:t>with secondary</w:t>
      </w:r>
      <w:r w:rsidR="43B782F1" w:rsidRPr="43615927">
        <w:rPr>
          <w:rFonts w:eastAsia="Segoe UI"/>
          <w:color w:val="011A3C"/>
          <w:sz w:val="24"/>
          <w:szCs w:val="24"/>
          <w:lang w:val="en" w:eastAsia="en-AU"/>
        </w:rPr>
        <w:t>-aged</w:t>
      </w:r>
      <w:r w:rsidR="00B843F4" w:rsidRPr="43615927">
        <w:rPr>
          <w:rFonts w:eastAsia="Segoe UI"/>
          <w:color w:val="011A3C"/>
          <w:sz w:val="24"/>
          <w:szCs w:val="24"/>
          <w:lang w:val="en" w:eastAsia="en-AU"/>
        </w:rPr>
        <w:t xml:space="preserve"> enrolments</w:t>
      </w:r>
      <w:r w:rsidRPr="43615927">
        <w:rPr>
          <w:rFonts w:eastAsia="Segoe UI"/>
          <w:color w:val="011A3C"/>
          <w:sz w:val="24"/>
          <w:szCs w:val="24"/>
          <w:lang w:val="en" w:eastAsia="en-AU"/>
        </w:rPr>
        <w:t xml:space="preserve"> will receive funding </w:t>
      </w:r>
      <w:r w:rsidR="00B843F4" w:rsidRPr="43615927">
        <w:rPr>
          <w:rFonts w:eastAsia="Segoe UI"/>
          <w:color w:val="011A3C"/>
          <w:sz w:val="24"/>
          <w:szCs w:val="24"/>
          <w:lang w:val="en" w:eastAsia="en-AU"/>
        </w:rPr>
        <w:t xml:space="preserve">for an ongoing </w:t>
      </w:r>
      <w:r w:rsidR="00CD35B9" w:rsidRPr="43615927">
        <w:rPr>
          <w:rFonts w:eastAsia="Segoe UI"/>
          <w:color w:val="011A3C"/>
          <w:sz w:val="24"/>
          <w:szCs w:val="24"/>
          <w:lang w:val="en" w:eastAsia="en-AU"/>
        </w:rPr>
        <w:t>MHP</w:t>
      </w:r>
      <w:r w:rsidRPr="43615927">
        <w:rPr>
          <w:rFonts w:eastAsia="Segoe UI"/>
          <w:color w:val="011A3C"/>
          <w:sz w:val="24"/>
          <w:szCs w:val="24"/>
          <w:lang w:val="en" w:eastAsia="en-AU"/>
        </w:rPr>
        <w:t xml:space="preserve"> from the beginning of Term 1, 202</w:t>
      </w:r>
      <w:r w:rsidR="007A4A1B" w:rsidRPr="43615927">
        <w:rPr>
          <w:rFonts w:eastAsia="Segoe UI"/>
          <w:color w:val="011A3C"/>
          <w:sz w:val="24"/>
          <w:szCs w:val="24"/>
          <w:lang w:val="en" w:eastAsia="en-AU"/>
        </w:rPr>
        <w:t>3</w:t>
      </w:r>
      <w:r w:rsidRPr="43615927">
        <w:rPr>
          <w:rFonts w:eastAsia="Segoe UI"/>
          <w:color w:val="011A3C"/>
          <w:sz w:val="24"/>
          <w:szCs w:val="24"/>
          <w:lang w:val="en" w:eastAsia="en-AU"/>
        </w:rPr>
        <w:t>. For specialist schools with both primary and secondary-aged student enrolments, funding allocations will be determined based on secondary-aged</w:t>
      </w:r>
      <w:r w:rsidR="00006721" w:rsidRPr="43615927">
        <w:rPr>
          <w:rFonts w:eastAsia="Segoe UI"/>
          <w:color w:val="011A3C"/>
          <w:sz w:val="24"/>
          <w:szCs w:val="24"/>
          <w:lang w:val="en" w:eastAsia="en-AU"/>
        </w:rPr>
        <w:t xml:space="preserve"> (12+ years) </w:t>
      </w:r>
      <w:r w:rsidRPr="43615927">
        <w:rPr>
          <w:rFonts w:eastAsia="Segoe UI"/>
          <w:color w:val="011A3C"/>
          <w:sz w:val="24"/>
          <w:szCs w:val="24"/>
          <w:lang w:val="en" w:eastAsia="en-AU"/>
        </w:rPr>
        <w:t xml:space="preserve">enrolments only. </w:t>
      </w:r>
    </w:p>
    <w:p w14:paraId="155E1646" w14:textId="466750C3" w:rsidR="00FB032A" w:rsidRPr="00260C1D" w:rsidRDefault="00FB032A" w:rsidP="004D307F">
      <w:pPr>
        <w:spacing w:before="120" w:after="120"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FTE allocations will be fixed from the release of the Confirmed SRP (</w:t>
      </w:r>
      <w:r w:rsidR="003D62C7">
        <w:rPr>
          <w:rFonts w:eastAsia="Segoe UI" w:cstheme="minorHAnsi"/>
          <w:color w:val="011A3C"/>
          <w:sz w:val="24"/>
          <w:szCs w:val="24"/>
          <w:lang w:val="en" w:eastAsia="en-AU"/>
        </w:rPr>
        <w:t>April</w:t>
      </w:r>
      <w:r w:rsidRPr="00260C1D">
        <w:rPr>
          <w:rFonts w:eastAsia="Segoe UI" w:cstheme="minorHAnsi"/>
          <w:color w:val="011A3C"/>
          <w:sz w:val="24"/>
          <w:szCs w:val="24"/>
          <w:lang w:val="en" w:eastAsia="en-AU"/>
        </w:rPr>
        <w:t xml:space="preserve"> 2023) for two years. At the conclusion of the two-year period, FTE allocations will be reviewed and adjustments may be made.</w:t>
      </w:r>
    </w:p>
    <w:p w14:paraId="4D7B43A3" w14:textId="3AF26E4E" w:rsidR="006F7D3A" w:rsidRPr="00260C1D" w:rsidRDefault="00EB1330" w:rsidP="004D307F">
      <w:pPr>
        <w:spacing w:before="120" w:after="120"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F</w:t>
      </w:r>
      <w:r w:rsidR="006F7D3A" w:rsidRPr="00260C1D">
        <w:rPr>
          <w:rFonts w:eastAsia="Segoe UI" w:cstheme="minorHAnsi"/>
          <w:color w:val="011A3C"/>
          <w:sz w:val="24"/>
          <w:szCs w:val="24"/>
          <w:lang w:val="en" w:eastAsia="en-AU"/>
        </w:rPr>
        <w:t xml:space="preserve">unding </w:t>
      </w:r>
      <w:r>
        <w:rPr>
          <w:rFonts w:eastAsia="Segoe UI" w:cstheme="minorHAnsi"/>
          <w:color w:val="011A3C"/>
          <w:sz w:val="24"/>
          <w:szCs w:val="24"/>
          <w:lang w:val="en" w:eastAsia="en-AU"/>
        </w:rPr>
        <w:t>is</w:t>
      </w:r>
      <w:r w:rsidR="006F7D3A" w:rsidRPr="00260C1D">
        <w:rPr>
          <w:rFonts w:eastAsia="Segoe UI" w:cstheme="minorHAnsi"/>
          <w:color w:val="011A3C"/>
          <w:sz w:val="24"/>
          <w:szCs w:val="24"/>
          <w:lang w:val="en" w:eastAsia="en-AU"/>
        </w:rPr>
        <w:t xml:space="preserve"> allocated as credit and cash</w:t>
      </w:r>
      <w:r>
        <w:rPr>
          <w:rFonts w:eastAsia="Segoe UI" w:cstheme="minorHAnsi"/>
          <w:color w:val="011A3C"/>
          <w:sz w:val="24"/>
          <w:szCs w:val="24"/>
          <w:lang w:val="en" w:eastAsia="en-AU"/>
        </w:rPr>
        <w:t xml:space="preserve"> funding</w:t>
      </w:r>
      <w:r w:rsidR="006F7D3A" w:rsidRPr="00260C1D">
        <w:rPr>
          <w:rFonts w:eastAsia="Segoe UI" w:cstheme="minorHAnsi"/>
          <w:color w:val="011A3C"/>
          <w:sz w:val="24"/>
          <w:szCs w:val="24"/>
          <w:lang w:val="en" w:eastAsia="en-AU"/>
        </w:rPr>
        <w:t>.</w:t>
      </w:r>
    </w:p>
    <w:p w14:paraId="2A65E240" w14:textId="7E170426" w:rsidR="005D1399" w:rsidRPr="00260C1D" w:rsidRDefault="006361E9" w:rsidP="004D307F">
      <w:pPr>
        <w:spacing w:before="120" w:after="120" w:line="360" w:lineRule="atLeast"/>
        <w:rPr>
          <w:rFonts w:eastAsia="Segoe UI" w:cstheme="minorHAnsi"/>
          <w:color w:val="011A3C"/>
          <w:sz w:val="24"/>
          <w:szCs w:val="24"/>
          <w:lang w:val="en" w:eastAsia="en-AU"/>
        </w:rPr>
      </w:pPr>
      <w:r w:rsidRPr="006361E9">
        <w:rPr>
          <w:rFonts w:eastAsia="Segoe UI" w:cstheme="minorHAnsi"/>
          <w:color w:val="011A3C"/>
          <w:sz w:val="24"/>
          <w:szCs w:val="24"/>
          <w:lang w:val="en" w:eastAsia="en-AU"/>
        </w:rPr>
        <w:t>Spec</w:t>
      </w:r>
      <w:r w:rsidR="00106F4E">
        <w:rPr>
          <w:rFonts w:eastAsia="Segoe UI" w:cstheme="minorHAnsi"/>
          <w:color w:val="011A3C"/>
          <w:sz w:val="24"/>
          <w:szCs w:val="24"/>
          <w:lang w:val="en" w:eastAsia="en-AU"/>
        </w:rPr>
        <w:t>ial</w:t>
      </w:r>
      <w:r w:rsidRPr="006361E9">
        <w:rPr>
          <w:rFonts w:eastAsia="Segoe UI" w:cstheme="minorHAnsi"/>
          <w:color w:val="011A3C"/>
          <w:sz w:val="24"/>
          <w:szCs w:val="24"/>
          <w:lang w:val="en" w:eastAsia="en-AU"/>
        </w:rPr>
        <w:t xml:space="preserve"> dev</w:t>
      </w:r>
      <w:r w:rsidR="00106F4E">
        <w:rPr>
          <w:rFonts w:eastAsia="Segoe UI" w:cstheme="minorHAnsi"/>
          <w:color w:val="011A3C"/>
          <w:sz w:val="24"/>
          <w:szCs w:val="24"/>
          <w:lang w:val="en" w:eastAsia="en-AU"/>
        </w:rPr>
        <w:t>elopment</w:t>
      </w:r>
      <w:r w:rsidRPr="006361E9">
        <w:rPr>
          <w:rFonts w:eastAsia="Segoe UI" w:cstheme="minorHAnsi"/>
          <w:color w:val="011A3C"/>
          <w:sz w:val="24"/>
          <w:szCs w:val="24"/>
          <w:lang w:val="en" w:eastAsia="en-AU"/>
        </w:rPr>
        <w:t xml:space="preserve"> campuses of mainstream schools are funded at school level</w:t>
      </w:r>
    </w:p>
    <w:p w14:paraId="0CDEA21A" w14:textId="77777777" w:rsidR="006F7D3A" w:rsidRPr="00260C1D" w:rsidRDefault="006F7D3A" w:rsidP="006D6E02">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53FD89C6" w14:textId="77777777" w:rsidR="006F7D3A" w:rsidRPr="00260C1D" w:rsidRDefault="006F7D3A" w:rsidP="004D307F">
      <w:pPr>
        <w:spacing w:before="120" w:after="120"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School FTE Allocation (Part 1)</w:t>
      </w:r>
      <w:r w:rsidRPr="00260C1D">
        <w:rPr>
          <w:rFonts w:eastAsia="Segoe UI" w:cstheme="minorHAnsi"/>
          <w:color w:val="44546A" w:themeColor="text2"/>
          <w:sz w:val="24"/>
          <w:szCs w:val="24"/>
          <w:lang w:val="en" w:eastAsia="en-AU"/>
        </w:rPr>
        <w:t xml:space="preserve"> </w:t>
      </w:r>
      <w:r w:rsidRPr="00260C1D">
        <w:rPr>
          <w:rFonts w:cstheme="minorHAnsi"/>
          <w:color w:val="44546A" w:themeColor="text2"/>
          <w:sz w:val="24"/>
          <w:szCs w:val="24"/>
          <w:lang w:val="en-US"/>
        </w:rPr>
        <w:t xml:space="preserve">= </w:t>
      </w:r>
      <w:r w:rsidRPr="00260C1D">
        <w:rPr>
          <w:rFonts w:eastAsia="Segoe UI" w:cstheme="minorHAnsi"/>
          <w:color w:val="011A3C"/>
          <w:sz w:val="24"/>
          <w:szCs w:val="24"/>
          <w:lang w:val="en" w:eastAsia="en-AU"/>
        </w:rPr>
        <w:t>FTE allo</w:t>
      </w:r>
      <w:r w:rsidRPr="00344437">
        <w:rPr>
          <w:rFonts w:eastAsia="Segoe UI" w:cstheme="minorHAnsi"/>
          <w:color w:val="011A3C"/>
          <w:sz w:val="24"/>
          <w:szCs w:val="24"/>
          <w:lang w:val="en" w:eastAsia="en-AU"/>
        </w:rPr>
        <w:t>cated as per below ranges:</w:t>
      </w:r>
    </w:p>
    <w:p w14:paraId="21A42CD3" w14:textId="07951293" w:rsidR="006F7D3A" w:rsidRPr="00260C1D" w:rsidRDefault="00A82EF3" w:rsidP="004D307F">
      <w:pPr>
        <w:pStyle w:val="NoSpacing"/>
        <w:spacing w:before="120" w:after="120"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&lt;</w:t>
      </w:r>
      <w:r w:rsidR="006F7D3A" w:rsidRPr="00260C1D">
        <w:rPr>
          <w:rFonts w:eastAsia="Segoe UI" w:cstheme="minorHAnsi"/>
          <w:color w:val="011A3C"/>
          <w:sz w:val="24"/>
          <w:szCs w:val="24"/>
          <w:lang w:val="en" w:eastAsia="en-AU"/>
        </w:rPr>
        <w:t>100 students = 0.4 FTE</w:t>
      </w:r>
    </w:p>
    <w:p w14:paraId="3258680E" w14:textId="083E2026" w:rsidR="006F7D3A" w:rsidRPr="00260C1D" w:rsidRDefault="00E11795" w:rsidP="004D307F">
      <w:pPr>
        <w:pStyle w:val="NoSpacing"/>
        <w:spacing w:before="120" w:after="120"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&gt;</w:t>
      </w:r>
      <w:r w:rsidR="006F7D3A" w:rsidRPr="00260C1D">
        <w:rPr>
          <w:rFonts w:eastAsia="Segoe UI" w:cstheme="minorHAnsi"/>
          <w:color w:val="011A3C"/>
          <w:sz w:val="24"/>
          <w:szCs w:val="24"/>
          <w:lang w:val="en" w:eastAsia="en-AU"/>
        </w:rPr>
        <w:t>100-250 students = 0.6 FTE</w:t>
      </w:r>
    </w:p>
    <w:p w14:paraId="049CACEB" w14:textId="24A1D240" w:rsidR="006F7D3A" w:rsidRPr="00260C1D" w:rsidRDefault="006F7D3A" w:rsidP="004D307F">
      <w:pPr>
        <w:pStyle w:val="NoSpacing"/>
        <w:spacing w:before="120" w:after="120"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250+ students = 0.8 FTE</w:t>
      </w:r>
    </w:p>
    <w:p w14:paraId="09A25FF5" w14:textId="6B6742C5" w:rsidR="006F7D3A" w:rsidRPr="00260C1D" w:rsidRDefault="006F7D3A" w:rsidP="004D307F">
      <w:pPr>
        <w:spacing w:before="120" w:after="120" w:line="360" w:lineRule="atLeast"/>
        <w:rPr>
          <w:rFonts w:cstheme="minorHAnsi"/>
          <w:color w:val="44546A" w:themeColor="text2"/>
          <w:sz w:val="24"/>
          <w:szCs w:val="24"/>
          <w:lang w:val="en-US"/>
        </w:rPr>
      </w:pPr>
      <w:r w:rsidRPr="00260C1D">
        <w:rPr>
          <w:rFonts w:eastAsia="Segoe UI" w:cstheme="minorHAnsi"/>
          <w:b/>
          <w:color w:val="011A3C"/>
          <w:sz w:val="24"/>
          <w:szCs w:val="24"/>
          <w:lang w:val="en" w:eastAsia="en-AU"/>
        </w:rPr>
        <w:t>Funding Calculation (Part 2)</w:t>
      </w:r>
      <w:r w:rsidRPr="00614B09">
        <w:rPr>
          <w:rFonts w:eastAsia="Segoe UI" w:cstheme="minorHAnsi"/>
          <w:color w:val="011A3C"/>
          <w:sz w:val="24"/>
          <w:szCs w:val="24"/>
          <w:lang w:val="en" w:eastAsia="en-AU"/>
        </w:rPr>
        <w:t xml:space="preserve"> = School FTE </w:t>
      </w:r>
      <w:r w:rsidR="00344437" w:rsidRPr="00614B09">
        <w:rPr>
          <w:rFonts w:eastAsia="Segoe UI" w:cstheme="minorHAnsi"/>
          <w:color w:val="011A3C"/>
          <w:sz w:val="24"/>
          <w:szCs w:val="24"/>
          <w:lang w:val="en" w:eastAsia="en-AU"/>
        </w:rPr>
        <w:t>a</w:t>
      </w:r>
      <w:r w:rsidRPr="00614B09">
        <w:rPr>
          <w:rFonts w:eastAsia="Segoe UI" w:cstheme="minorHAnsi"/>
          <w:color w:val="011A3C"/>
          <w:sz w:val="24"/>
          <w:szCs w:val="24"/>
          <w:lang w:val="en" w:eastAsia="en-AU"/>
        </w:rPr>
        <w:t xml:space="preserve">llocation (rounded to 1 decimal) </w:t>
      </w:r>
      <w:r w:rsidR="00AE1ECA">
        <w:rPr>
          <w:rFonts w:eastAsia="Segoe UI" w:cstheme="minorHAnsi"/>
          <w:color w:val="011A3C"/>
          <w:sz w:val="24"/>
          <w:szCs w:val="24"/>
          <w:lang w:val="en" w:eastAsia="en-AU"/>
        </w:rPr>
        <w:t>×</w:t>
      </w:r>
      <w:r w:rsidRPr="00614B09">
        <w:rPr>
          <w:rFonts w:eastAsia="Segoe UI" w:cstheme="minorHAnsi"/>
          <w:color w:val="011A3C"/>
          <w:sz w:val="24"/>
          <w:szCs w:val="24"/>
          <w:lang w:val="en" w:eastAsia="en-AU"/>
        </w:rPr>
        <w:t xml:space="preserve"> Rate</w:t>
      </w:r>
    </w:p>
    <w:p w14:paraId="3547F067" w14:textId="77777777" w:rsidR="006F7D3A" w:rsidRPr="00260C1D" w:rsidRDefault="006F7D3A" w:rsidP="004D307F">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Rate</w:t>
      </w:r>
    </w:p>
    <w:p w14:paraId="662E6B63" w14:textId="049219FE" w:rsidR="005058ED" w:rsidRPr="00260C1D" w:rsidRDefault="006F7D3A" w:rsidP="004D307F">
      <w:pPr>
        <w:spacing w:before="120" w:after="120" w:line="360" w:lineRule="atLeast"/>
        <w:rPr>
          <w:rFonts w:cstheme="minorHAnsi"/>
          <w:sz w:val="24"/>
          <w:szCs w:val="24"/>
        </w:rPr>
      </w:pPr>
      <w:r w:rsidRPr="00260C1D">
        <w:rPr>
          <w:rFonts w:cstheme="minorHAnsi"/>
          <w:sz w:val="24"/>
          <w:szCs w:val="24"/>
        </w:rPr>
        <w:t>Rate =</w:t>
      </w:r>
      <w:r w:rsidR="00CC7013" w:rsidRPr="00260C1D">
        <w:rPr>
          <w:rFonts w:cstheme="minorHAnsi"/>
          <w:sz w:val="24"/>
          <w:szCs w:val="24"/>
        </w:rPr>
        <w:t xml:space="preserve"> </w:t>
      </w:r>
      <w:r w:rsidRPr="00260C1D">
        <w:rPr>
          <w:rFonts w:cstheme="minorHAnsi"/>
          <w:sz w:val="24"/>
          <w:szCs w:val="24"/>
        </w:rPr>
        <w:t xml:space="preserve">Midpoint of an Education Support, Level 1 Range </w:t>
      </w:r>
      <w:r w:rsidR="003D62C7">
        <w:rPr>
          <w:rFonts w:cstheme="minorHAnsi"/>
          <w:sz w:val="24"/>
          <w:szCs w:val="24"/>
        </w:rPr>
        <w:t>4</w:t>
      </w:r>
      <w:r w:rsidRPr="00260C1D">
        <w:rPr>
          <w:rFonts w:cstheme="minorHAnsi"/>
          <w:sz w:val="24"/>
          <w:szCs w:val="24"/>
        </w:rPr>
        <w:t>, position including school SRP on costs</w:t>
      </w:r>
    </w:p>
    <w:p w14:paraId="62F92CB8" w14:textId="3703B66C" w:rsidR="008162C5" w:rsidRPr="008162C5" w:rsidRDefault="008162C5" w:rsidP="00532A33">
      <w:pPr>
        <w:pStyle w:val="Heading2"/>
      </w:pPr>
      <w:bookmarkStart w:id="280" w:name="_Toc109807050"/>
      <w:bookmarkStart w:id="281" w:name="_Hlk113353488"/>
      <w:bookmarkStart w:id="282" w:name="_Toc141965300"/>
      <w:bookmarkStart w:id="283" w:name="_Toc145339626"/>
      <w:bookmarkStart w:id="284" w:name="_Toc153791949"/>
      <w:bookmarkStart w:id="285" w:name="_Hlk133501775"/>
      <w:r w:rsidRPr="00FF525D">
        <w:lastRenderedPageBreak/>
        <w:t>Secondary Mathematics and Science Initiative (Reference 133)</w:t>
      </w:r>
      <w:bookmarkEnd w:id="280"/>
      <w:bookmarkEnd w:id="281"/>
      <w:bookmarkEnd w:id="282"/>
      <w:bookmarkEnd w:id="283"/>
      <w:bookmarkEnd w:id="284"/>
    </w:p>
    <w:bookmarkEnd w:id="285"/>
    <w:p w14:paraId="0C3573A0" w14:textId="77777777" w:rsidR="008162C5" w:rsidRDefault="008162C5" w:rsidP="008162C5">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The Secondary Mathematics and Science Initiative (SMSI) </w:t>
      </w:r>
      <w:r w:rsidRPr="00FF525D">
        <w:rPr>
          <w:rFonts w:eastAsia="Segoe UI" w:cstheme="minorHAnsi"/>
          <w:color w:val="011A3C"/>
          <w:sz w:val="24"/>
          <w:szCs w:val="24"/>
          <w:lang w:val="en" w:eastAsia="en-AU"/>
        </w:rPr>
        <w:t xml:space="preserve">has been developed to help address current workforce challenges in the teaching of mathematics and science in secondary schools. </w:t>
      </w:r>
    </w:p>
    <w:p w14:paraId="79A1805C" w14:textId="77777777" w:rsidR="008162C5" w:rsidRDefault="008162C5" w:rsidP="008162C5">
      <w:pPr>
        <w:spacing w:before="100" w:beforeAutospacing="1" w:after="100" w:afterAutospacing="1" w:line="360" w:lineRule="atLeast"/>
        <w:rPr>
          <w:rFonts w:eastAsia="Segoe UI" w:cstheme="minorHAnsi"/>
          <w:color w:val="011A3C"/>
          <w:sz w:val="24"/>
          <w:szCs w:val="24"/>
          <w:lang w:val="en" w:eastAsia="en-AU"/>
        </w:rPr>
      </w:pPr>
      <w:r w:rsidRPr="00256106">
        <w:rPr>
          <w:rFonts w:eastAsia="Segoe UI" w:cstheme="minorHAnsi"/>
          <w:color w:val="011A3C"/>
          <w:sz w:val="24"/>
          <w:szCs w:val="24"/>
          <w:lang w:val="en" w:eastAsia="en-AU"/>
        </w:rPr>
        <w:t xml:space="preserve">As part of the 2023-24 Victorian State Budget, the Government provided $10.1 million for the Secondary Science, Technologies and Mathematics (SSTM) initiative to address out-of-field teaching in the STEM disciplines. This included funding for </w:t>
      </w:r>
      <w:r>
        <w:rPr>
          <w:rFonts w:eastAsia="Segoe UI" w:cstheme="minorHAnsi"/>
          <w:color w:val="011A3C"/>
          <w:sz w:val="24"/>
          <w:szCs w:val="24"/>
          <w:lang w:val="en" w:eastAsia="en-AU"/>
        </w:rPr>
        <w:t>a</w:t>
      </w:r>
      <w:r w:rsidRPr="00256106">
        <w:rPr>
          <w:rFonts w:eastAsia="Segoe UI" w:cstheme="minorHAnsi"/>
          <w:color w:val="011A3C"/>
          <w:sz w:val="24"/>
          <w:szCs w:val="24"/>
          <w:lang w:val="en" w:eastAsia="en-AU"/>
        </w:rPr>
        <w:t xml:space="preserve"> third intake of the Secondary Science and Mathematics Initiative (SMSI).</w:t>
      </w:r>
    </w:p>
    <w:p w14:paraId="43C65550" w14:textId="77777777" w:rsidR="008162C5" w:rsidRPr="00FF525D" w:rsidRDefault="008162C5" w:rsidP="008162C5">
      <w:p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 xml:space="preserve">Teachers who are currently teaching out‐of‐field will be supported to become </w:t>
      </w:r>
      <w:r>
        <w:rPr>
          <w:rFonts w:eastAsia="Segoe UI" w:cstheme="minorHAnsi"/>
          <w:color w:val="011A3C"/>
          <w:sz w:val="24"/>
          <w:szCs w:val="24"/>
          <w:lang w:val="en" w:eastAsia="en-AU"/>
        </w:rPr>
        <w:t>‘</w:t>
      </w:r>
      <w:r w:rsidRPr="00FF525D">
        <w:rPr>
          <w:rFonts w:eastAsia="Segoe UI" w:cstheme="minorHAnsi"/>
          <w:color w:val="011A3C"/>
          <w:sz w:val="24"/>
          <w:szCs w:val="24"/>
          <w:lang w:val="en" w:eastAsia="en-AU"/>
        </w:rPr>
        <w:t>in</w:t>
      </w:r>
      <w:r>
        <w:rPr>
          <w:rFonts w:eastAsia="Segoe UI" w:cstheme="minorHAnsi"/>
          <w:color w:val="011A3C"/>
          <w:sz w:val="24"/>
          <w:szCs w:val="24"/>
          <w:lang w:val="en" w:eastAsia="en-AU"/>
        </w:rPr>
        <w:t>-</w:t>
      </w:r>
      <w:r w:rsidRPr="00FF525D">
        <w:rPr>
          <w:rFonts w:eastAsia="Segoe UI" w:cstheme="minorHAnsi"/>
          <w:color w:val="011A3C"/>
          <w:sz w:val="24"/>
          <w:szCs w:val="24"/>
          <w:lang w:val="en" w:eastAsia="en-AU"/>
        </w:rPr>
        <w:t>field</w:t>
      </w:r>
      <w:r>
        <w:rPr>
          <w:rFonts w:eastAsia="Segoe UI" w:cstheme="minorHAnsi"/>
          <w:color w:val="011A3C"/>
          <w:sz w:val="24"/>
          <w:szCs w:val="24"/>
          <w:lang w:val="en" w:eastAsia="en-AU"/>
        </w:rPr>
        <w:t>’</w:t>
      </w:r>
      <w:r w:rsidRPr="00FF525D">
        <w:rPr>
          <w:rFonts w:eastAsia="Segoe UI" w:cstheme="minorHAnsi"/>
          <w:color w:val="011A3C"/>
          <w:sz w:val="24"/>
          <w:szCs w:val="24"/>
          <w:lang w:val="en" w:eastAsia="en-AU"/>
        </w:rPr>
        <w:t xml:space="preserve"> </w:t>
      </w:r>
      <w:r>
        <w:rPr>
          <w:rFonts w:eastAsia="Segoe UI" w:cstheme="minorHAnsi"/>
          <w:color w:val="011A3C"/>
          <w:sz w:val="24"/>
          <w:szCs w:val="24"/>
          <w:lang w:val="en" w:eastAsia="en-AU"/>
        </w:rPr>
        <w:t>by 2025 by</w:t>
      </w:r>
      <w:r w:rsidRPr="00FF525D">
        <w:rPr>
          <w:rFonts w:eastAsia="Segoe UI" w:cstheme="minorHAnsi"/>
          <w:color w:val="011A3C"/>
          <w:sz w:val="24"/>
          <w:szCs w:val="24"/>
          <w:lang w:val="en" w:eastAsia="en-AU"/>
        </w:rPr>
        <w:t xml:space="preserve"> </w:t>
      </w:r>
      <w:r>
        <w:rPr>
          <w:rFonts w:eastAsia="Segoe UI" w:cstheme="minorHAnsi"/>
          <w:color w:val="011A3C"/>
          <w:sz w:val="24"/>
          <w:szCs w:val="24"/>
          <w:lang w:val="en" w:eastAsia="en-AU"/>
        </w:rPr>
        <w:t xml:space="preserve"> undertaking</w:t>
      </w:r>
      <w:r w:rsidRPr="00FF525D">
        <w:rPr>
          <w:rFonts w:eastAsia="Segoe UI" w:cstheme="minorHAnsi"/>
          <w:color w:val="011A3C"/>
          <w:sz w:val="24"/>
          <w:szCs w:val="24"/>
          <w:lang w:val="en" w:eastAsia="en-AU"/>
        </w:rPr>
        <w:t xml:space="preserve"> a </w:t>
      </w:r>
      <w:r>
        <w:rPr>
          <w:rFonts w:eastAsia="Segoe UI" w:cstheme="minorHAnsi"/>
          <w:color w:val="011A3C"/>
          <w:sz w:val="24"/>
          <w:szCs w:val="24"/>
          <w:lang w:val="en" w:eastAsia="en-AU"/>
        </w:rPr>
        <w:t>two-year</w:t>
      </w:r>
      <w:r w:rsidRPr="00FF525D">
        <w:rPr>
          <w:rFonts w:eastAsia="Segoe UI" w:cstheme="minorHAnsi"/>
          <w:color w:val="011A3C"/>
          <w:sz w:val="24"/>
          <w:szCs w:val="24"/>
          <w:lang w:val="en" w:eastAsia="en-AU"/>
        </w:rPr>
        <w:t xml:space="preserve"> graduate certificate </w:t>
      </w:r>
      <w:r>
        <w:rPr>
          <w:rFonts w:eastAsia="Segoe UI" w:cstheme="minorHAnsi"/>
          <w:color w:val="011A3C"/>
          <w:sz w:val="24"/>
          <w:szCs w:val="24"/>
          <w:lang w:val="en" w:eastAsia="en-AU"/>
        </w:rPr>
        <w:t>over 2023 and 2024</w:t>
      </w:r>
      <w:r w:rsidRPr="00FF525D">
        <w:rPr>
          <w:rFonts w:eastAsia="Segoe UI" w:cstheme="minorHAnsi"/>
          <w:color w:val="011A3C"/>
          <w:sz w:val="24"/>
          <w:szCs w:val="24"/>
          <w:lang w:val="en" w:eastAsia="en-AU"/>
        </w:rPr>
        <w:t xml:space="preserve"> in mathematics or science education.</w:t>
      </w:r>
    </w:p>
    <w:p w14:paraId="2AC3BCB3" w14:textId="77777777" w:rsidR="008162C5" w:rsidRPr="00FF525D" w:rsidRDefault="008162C5" w:rsidP="008162C5">
      <w:pPr>
        <w:spacing w:before="100" w:beforeAutospacing="1" w:after="100" w:afterAutospacing="1" w:line="288" w:lineRule="atLeast"/>
        <w:outlineLvl w:val="2"/>
        <w:rPr>
          <w:rFonts w:eastAsia="Segoe UI" w:cstheme="minorHAnsi"/>
          <w:b/>
          <w:color w:val="011A3C"/>
          <w:sz w:val="27"/>
          <w:szCs w:val="27"/>
          <w:lang w:val="en" w:eastAsia="en-AU"/>
        </w:rPr>
      </w:pPr>
      <w:r w:rsidRPr="00FF525D">
        <w:rPr>
          <w:rFonts w:eastAsia="Segoe UI" w:cstheme="minorHAnsi"/>
          <w:b/>
          <w:color w:val="011A3C"/>
          <w:sz w:val="27"/>
          <w:szCs w:val="27"/>
          <w:lang w:val="en" w:eastAsia="en-AU"/>
        </w:rPr>
        <w:t>Eligibility</w:t>
      </w:r>
    </w:p>
    <w:p w14:paraId="322AE250" w14:textId="77777777" w:rsidR="008162C5" w:rsidRPr="00FF525D" w:rsidRDefault="008162C5" w:rsidP="008162C5">
      <w:p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Schools with the following school type are eligible for the Secondary Mathematics and Science Specialists Initiative at school level.</w:t>
      </w:r>
    </w:p>
    <w:p w14:paraId="3238F540" w14:textId="77777777" w:rsidR="008162C5" w:rsidRPr="00FF525D" w:rsidRDefault="008162C5" w:rsidP="008162C5">
      <w:pPr>
        <w:numPr>
          <w:ilvl w:val="0"/>
          <w:numId w:val="106"/>
        </w:numPr>
        <w:spacing w:before="100" w:beforeAutospacing="1" w:after="100" w:afterAutospacing="1" w:line="360" w:lineRule="atLeast"/>
        <w:rPr>
          <w:rFonts w:eastAsia="Segoe UI" w:cstheme="minorHAnsi"/>
          <w:color w:val="011A3C"/>
          <w:sz w:val="24"/>
          <w:szCs w:val="24"/>
          <w:lang w:val="en" w:eastAsia="en-AU"/>
        </w:rPr>
      </w:pPr>
      <w:r w:rsidRPr="00FF525D">
        <w:rPr>
          <w:rFonts w:eastAsia="Segoe UI" w:cstheme="minorHAnsi"/>
          <w:color w:val="011A3C"/>
          <w:sz w:val="24"/>
          <w:szCs w:val="24"/>
          <w:lang w:val="en" w:eastAsia="en-AU"/>
        </w:rPr>
        <w:t>Secondary</w:t>
      </w:r>
    </w:p>
    <w:p w14:paraId="4E255817" w14:textId="1D2F0899" w:rsidR="008162C5" w:rsidRDefault="008162C5" w:rsidP="008162C5">
      <w:pPr>
        <w:numPr>
          <w:ilvl w:val="0"/>
          <w:numId w:val="106"/>
        </w:numPr>
        <w:spacing w:before="100" w:beforeAutospacing="1" w:after="100" w:afterAutospacing="1" w:line="360" w:lineRule="atLeast"/>
        <w:rPr>
          <w:rFonts w:eastAsia="Segoe UI"/>
          <w:color w:val="011A3C"/>
          <w:sz w:val="24"/>
          <w:szCs w:val="24"/>
          <w:lang w:val="en" w:eastAsia="en-AU"/>
        </w:rPr>
      </w:pPr>
      <w:r w:rsidRPr="54961C12">
        <w:rPr>
          <w:rFonts w:eastAsia="Segoe UI"/>
          <w:color w:val="011A3C"/>
          <w:sz w:val="24"/>
          <w:szCs w:val="24"/>
          <w:lang w:val="en" w:eastAsia="en-AU"/>
        </w:rPr>
        <w:t>Primary/Secondary Combined</w:t>
      </w:r>
    </w:p>
    <w:p w14:paraId="2741312D" w14:textId="1D2F0899" w:rsidR="00E43735" w:rsidRDefault="00E43735" w:rsidP="008162C5">
      <w:pPr>
        <w:numPr>
          <w:ilvl w:val="0"/>
          <w:numId w:val="106"/>
        </w:numPr>
        <w:spacing w:before="100" w:beforeAutospacing="1" w:after="100" w:afterAutospacing="1" w:line="360" w:lineRule="atLeast"/>
        <w:rPr>
          <w:rFonts w:eastAsia="Segoe UI"/>
          <w:color w:val="011A3C"/>
          <w:sz w:val="24"/>
          <w:szCs w:val="24"/>
          <w:lang w:val="en" w:eastAsia="en-AU"/>
        </w:rPr>
      </w:pPr>
      <w:r w:rsidRPr="54961C12">
        <w:rPr>
          <w:rFonts w:eastAsia="Segoe UI"/>
          <w:color w:val="011A3C"/>
          <w:sz w:val="24"/>
          <w:szCs w:val="24"/>
          <w:lang w:val="en" w:eastAsia="en-AU"/>
        </w:rPr>
        <w:t>Language</w:t>
      </w:r>
    </w:p>
    <w:p w14:paraId="3AD1E907" w14:textId="1D2F0899" w:rsidR="00E43735" w:rsidRPr="00FF525D" w:rsidRDefault="00E43735" w:rsidP="008162C5">
      <w:pPr>
        <w:numPr>
          <w:ilvl w:val="0"/>
          <w:numId w:val="106"/>
        </w:numPr>
        <w:spacing w:before="100" w:beforeAutospacing="1" w:after="100" w:afterAutospacing="1" w:line="360" w:lineRule="atLeast"/>
        <w:rPr>
          <w:rFonts w:eastAsia="Segoe UI"/>
          <w:color w:val="011A3C"/>
          <w:sz w:val="24"/>
          <w:szCs w:val="24"/>
          <w:lang w:val="en" w:eastAsia="en-AU"/>
        </w:rPr>
      </w:pPr>
      <w:r w:rsidRPr="738305D2">
        <w:rPr>
          <w:rFonts w:eastAsia="Segoe UI"/>
          <w:color w:val="011A3C"/>
          <w:sz w:val="24"/>
          <w:szCs w:val="24"/>
          <w:lang w:val="en" w:eastAsia="en-AU"/>
        </w:rPr>
        <w:t>Special</w:t>
      </w:r>
    </w:p>
    <w:p w14:paraId="09B13AE8" w14:textId="77777777" w:rsidR="008162C5" w:rsidRPr="00FF525D" w:rsidRDefault="008162C5" w:rsidP="008162C5">
      <w:pPr>
        <w:spacing w:before="100" w:beforeAutospacing="1" w:after="100" w:afterAutospacing="1" w:line="360" w:lineRule="atLeast"/>
        <w:rPr>
          <w:rFonts w:cstheme="minorHAnsi"/>
          <w:sz w:val="21"/>
          <w:szCs w:val="21"/>
        </w:rPr>
      </w:pPr>
      <w:r w:rsidRPr="00FF525D">
        <w:rPr>
          <w:rFonts w:eastAsia="Segoe UI" w:cstheme="minorHAnsi"/>
          <w:color w:val="011A3C"/>
          <w:sz w:val="24"/>
          <w:szCs w:val="24"/>
          <w:lang w:val="en" w:eastAsia="en-AU"/>
        </w:rPr>
        <w:t>Funding is calculated at the Confirmed and Revised budget cycles and provided through credit funding.</w:t>
      </w:r>
    </w:p>
    <w:p w14:paraId="6F2D93DF" w14:textId="77777777" w:rsidR="008162C5" w:rsidRPr="00FF525D" w:rsidRDefault="008162C5" w:rsidP="008162C5">
      <w:pPr>
        <w:spacing w:before="100" w:beforeAutospacing="1" w:after="100" w:afterAutospacing="1" w:line="288" w:lineRule="atLeast"/>
        <w:outlineLvl w:val="2"/>
        <w:rPr>
          <w:rFonts w:eastAsia="Segoe UI" w:cstheme="minorHAnsi"/>
          <w:b/>
          <w:color w:val="011A3C"/>
          <w:sz w:val="27"/>
          <w:szCs w:val="27"/>
          <w:lang w:val="en" w:eastAsia="en-AU"/>
        </w:rPr>
      </w:pPr>
      <w:r w:rsidRPr="00FF525D">
        <w:rPr>
          <w:rFonts w:eastAsia="Segoe UI" w:cstheme="minorHAnsi"/>
          <w:b/>
          <w:color w:val="011A3C"/>
          <w:sz w:val="27"/>
          <w:szCs w:val="27"/>
          <w:lang w:val="en" w:eastAsia="en-AU"/>
        </w:rPr>
        <w:t xml:space="preserve">Calculation </w:t>
      </w:r>
    </w:p>
    <w:p w14:paraId="428EB7B1" w14:textId="72AB8DF8" w:rsidR="008162C5" w:rsidRPr="00FF525D" w:rsidRDefault="008162C5" w:rsidP="008162C5">
      <w:pPr>
        <w:autoSpaceDE w:val="0"/>
        <w:autoSpaceDN w:val="0"/>
        <w:rPr>
          <w:rFonts w:eastAsia="Segoe UI" w:cstheme="minorHAnsi"/>
          <w:color w:val="011A3C"/>
          <w:sz w:val="24"/>
          <w:szCs w:val="24"/>
          <w:lang w:val="en" w:eastAsia="en-AU"/>
        </w:rPr>
      </w:pPr>
      <w:r w:rsidRPr="00FF525D">
        <w:rPr>
          <w:rFonts w:eastAsia="Segoe UI" w:cstheme="minorHAnsi"/>
          <w:color w:val="011A3C"/>
          <w:sz w:val="24"/>
          <w:szCs w:val="24"/>
          <w:lang w:val="en" w:eastAsia="en-AU"/>
        </w:rPr>
        <w:t xml:space="preserve">Funding Allocation = Number of participating teachers x </w:t>
      </w:r>
      <w:r w:rsidR="00726FA4">
        <w:rPr>
          <w:rFonts w:eastAsia="Segoe UI" w:cstheme="minorHAnsi"/>
          <w:color w:val="011A3C"/>
          <w:sz w:val="24"/>
          <w:szCs w:val="24"/>
          <w:lang w:val="en" w:eastAsia="en-AU"/>
        </w:rPr>
        <w:t>(</w:t>
      </w:r>
      <w:r w:rsidRPr="00FF525D">
        <w:rPr>
          <w:rFonts w:eastAsia="Segoe UI" w:cstheme="minorHAnsi"/>
          <w:color w:val="011A3C"/>
          <w:sz w:val="24"/>
          <w:szCs w:val="24"/>
          <w:lang w:val="en" w:eastAsia="en-AU"/>
        </w:rPr>
        <w:t>0.</w:t>
      </w:r>
      <w:r>
        <w:rPr>
          <w:rFonts w:eastAsia="Segoe UI" w:cstheme="minorHAnsi"/>
          <w:color w:val="011A3C"/>
          <w:sz w:val="24"/>
          <w:szCs w:val="24"/>
          <w:lang w:val="en" w:eastAsia="en-AU"/>
        </w:rPr>
        <w:t>1</w:t>
      </w:r>
      <w:r w:rsidRPr="00FF525D">
        <w:rPr>
          <w:rFonts w:eastAsia="Segoe UI" w:cstheme="minorHAnsi"/>
          <w:color w:val="011A3C"/>
          <w:sz w:val="24"/>
          <w:szCs w:val="24"/>
          <w:lang w:val="en" w:eastAsia="en-AU"/>
        </w:rPr>
        <w:t xml:space="preserve"> x </w:t>
      </w:r>
      <w:r w:rsidR="00726FA4">
        <w:rPr>
          <w:rFonts w:eastAsia="Segoe UI" w:cstheme="minorHAnsi"/>
          <w:color w:val="011A3C"/>
          <w:sz w:val="24"/>
          <w:szCs w:val="24"/>
          <w:lang w:val="en" w:eastAsia="en-AU"/>
        </w:rPr>
        <w:t>L</w:t>
      </w:r>
      <w:r w:rsidRPr="00FF525D">
        <w:rPr>
          <w:rFonts w:eastAsia="Segoe UI" w:cstheme="minorHAnsi"/>
          <w:color w:val="011A3C"/>
          <w:sz w:val="24"/>
          <w:szCs w:val="24"/>
          <w:lang w:val="en" w:eastAsia="en-AU"/>
        </w:rPr>
        <w:t xml:space="preserve">evel 2‐6 salary + </w:t>
      </w:r>
      <w:r w:rsidR="00E776D3">
        <w:rPr>
          <w:rFonts w:eastAsia="Segoe UI" w:cstheme="minorHAnsi"/>
          <w:color w:val="011A3C"/>
          <w:sz w:val="24"/>
          <w:szCs w:val="24"/>
          <w:lang w:val="en" w:eastAsia="en-AU"/>
        </w:rPr>
        <w:t xml:space="preserve">school </w:t>
      </w:r>
      <w:r w:rsidRPr="00FF525D">
        <w:rPr>
          <w:rFonts w:eastAsia="Segoe UI" w:cstheme="minorHAnsi"/>
          <w:color w:val="011A3C"/>
          <w:sz w:val="24"/>
          <w:szCs w:val="24"/>
          <w:lang w:val="en" w:eastAsia="en-AU"/>
        </w:rPr>
        <w:t>on‐costs</w:t>
      </w:r>
      <w:r w:rsidR="00726FA4">
        <w:rPr>
          <w:rFonts w:eastAsia="Segoe UI" w:cstheme="minorHAnsi"/>
          <w:color w:val="011A3C"/>
          <w:sz w:val="24"/>
          <w:szCs w:val="24"/>
          <w:lang w:val="en" w:eastAsia="en-AU"/>
        </w:rPr>
        <w:t>)</w:t>
      </w:r>
      <w:r w:rsidRPr="00FF525D">
        <w:rPr>
          <w:rFonts w:eastAsia="Segoe UI" w:cstheme="minorHAnsi"/>
          <w:color w:val="011A3C"/>
          <w:sz w:val="24"/>
          <w:szCs w:val="24"/>
          <w:lang w:val="en" w:eastAsia="en-AU"/>
        </w:rPr>
        <w:t xml:space="preserve">. This totals </w:t>
      </w:r>
      <w:r w:rsidR="00196E09">
        <w:rPr>
          <w:rFonts w:eastAsia="Segoe UI" w:cstheme="minorHAnsi"/>
          <w:color w:val="011A3C"/>
          <w:sz w:val="24"/>
          <w:szCs w:val="24"/>
          <w:lang w:val="en" w:eastAsia="en-AU"/>
        </w:rPr>
        <w:t>to</w:t>
      </w:r>
      <w:r w:rsidRPr="008D6E97">
        <w:rPr>
          <w:rFonts w:eastAsia="Segoe UI" w:cstheme="minorHAnsi"/>
          <w:color w:val="011A3C"/>
          <w:sz w:val="24"/>
          <w:szCs w:val="24"/>
          <w:lang w:val="en" w:eastAsia="en-AU"/>
        </w:rPr>
        <w:t xml:space="preserve"> $</w:t>
      </w:r>
      <w:r w:rsidR="008F64C2" w:rsidRPr="008F64C2">
        <w:rPr>
          <w:rFonts w:eastAsia="Segoe UI" w:cstheme="minorHAnsi"/>
          <w:color w:val="011A3C"/>
          <w:sz w:val="24"/>
          <w:szCs w:val="24"/>
          <w:lang w:val="en" w:eastAsia="en-AU"/>
        </w:rPr>
        <w:t xml:space="preserve">13,598 </w:t>
      </w:r>
      <w:r w:rsidRPr="008D6E97">
        <w:rPr>
          <w:rFonts w:eastAsia="Segoe UI" w:cstheme="minorHAnsi"/>
          <w:color w:val="011A3C"/>
          <w:sz w:val="24"/>
          <w:szCs w:val="24"/>
          <w:lang w:val="en" w:eastAsia="en-AU"/>
        </w:rPr>
        <w:t xml:space="preserve"> </w:t>
      </w:r>
      <w:r w:rsidRPr="00FF525D">
        <w:rPr>
          <w:rFonts w:eastAsia="Segoe UI" w:cstheme="minorHAnsi"/>
          <w:color w:val="011A3C"/>
          <w:sz w:val="24"/>
          <w:szCs w:val="24"/>
          <w:lang w:val="en" w:eastAsia="en-AU"/>
        </w:rPr>
        <w:t xml:space="preserve">per year </w:t>
      </w:r>
      <w:r>
        <w:rPr>
          <w:rFonts w:eastAsia="Segoe UI" w:cstheme="minorHAnsi"/>
          <w:color w:val="011A3C"/>
          <w:sz w:val="24"/>
          <w:szCs w:val="24"/>
          <w:lang w:val="en" w:eastAsia="en-AU"/>
        </w:rPr>
        <w:t xml:space="preserve">in 2024 </w:t>
      </w:r>
      <w:r w:rsidRPr="00FF525D">
        <w:rPr>
          <w:rFonts w:eastAsia="Segoe UI" w:cstheme="minorHAnsi"/>
          <w:color w:val="011A3C"/>
          <w:sz w:val="24"/>
          <w:szCs w:val="24"/>
          <w:lang w:val="en" w:eastAsia="en-AU"/>
        </w:rPr>
        <w:t>for each participating teacher.</w:t>
      </w:r>
    </w:p>
    <w:p w14:paraId="7673EAC0" w14:textId="77777777" w:rsidR="00640FED" w:rsidRPr="00260C1D" w:rsidRDefault="00640FED" w:rsidP="00640FED">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Further information</w:t>
      </w:r>
    </w:p>
    <w:p w14:paraId="7829C781" w14:textId="49B4E120" w:rsidR="008162C5" w:rsidRPr="00020834" w:rsidRDefault="00640FED" w:rsidP="00640FED">
      <w:pPr>
        <w:rPr>
          <w:rFonts w:eastAsia="MS Gothic" w:cstheme="minorHAnsi"/>
          <w:b/>
          <w:color w:val="2F5496" w:themeColor="accent1" w:themeShade="BF"/>
          <w:sz w:val="36"/>
          <w:szCs w:val="26"/>
          <w:lang w:val="en" w:eastAsia="en-AU"/>
        </w:rPr>
      </w:pPr>
      <w:r>
        <w:rPr>
          <w:sz w:val="24"/>
          <w:szCs w:val="24"/>
        </w:rPr>
        <w:t xml:space="preserve">Contact: </w:t>
      </w:r>
      <w:hyperlink r:id="rId218" w:history="1">
        <w:r>
          <w:rPr>
            <w:rStyle w:val="Hyperlink"/>
          </w:rPr>
          <w:t>smsi@education.vic.gov.au</w:t>
        </w:r>
      </w:hyperlink>
      <w:r w:rsidRPr="00FF525D">
        <w:rPr>
          <w:rFonts w:cstheme="minorHAnsi"/>
        </w:rPr>
        <w:t xml:space="preserve"> </w:t>
      </w:r>
      <w:r w:rsidR="008162C5" w:rsidRPr="00FF525D">
        <w:rPr>
          <w:rFonts w:cstheme="minorHAnsi"/>
        </w:rPr>
        <w:br w:type="page"/>
      </w:r>
    </w:p>
    <w:p w14:paraId="1C3CDC4C" w14:textId="7625697B" w:rsidR="00EB7A03" w:rsidRPr="00FF525D" w:rsidRDefault="00EB7A03" w:rsidP="00532A33">
      <w:pPr>
        <w:pStyle w:val="Heading2"/>
      </w:pPr>
      <w:bookmarkStart w:id="286" w:name="_Toc141965301"/>
      <w:bookmarkStart w:id="287" w:name="_Toc145339627"/>
      <w:bookmarkStart w:id="288" w:name="_Toc153791950"/>
      <w:bookmarkStart w:id="289" w:name="_Hlk133501796"/>
      <w:r w:rsidRPr="00FF525D">
        <w:lastRenderedPageBreak/>
        <w:t>Outside School Hours Care (OSHC) Establishment Grant Initiative (Reference 134)</w:t>
      </w:r>
      <w:bookmarkEnd w:id="286"/>
      <w:bookmarkEnd w:id="287"/>
      <w:bookmarkEnd w:id="288"/>
    </w:p>
    <w:bookmarkEnd w:id="289"/>
    <w:p w14:paraId="01A3CE94" w14:textId="77777777" w:rsidR="00EB7A03" w:rsidRPr="00FF525D" w:rsidRDefault="00EB7A03" w:rsidP="00EB7A03">
      <w:pPr>
        <w:spacing w:before="100" w:beforeAutospacing="1" w:after="100" w:afterAutospacing="1" w:line="240" w:lineRule="auto"/>
        <w:rPr>
          <w:rFonts w:eastAsia="Segoe UI" w:cstheme="minorHAnsi"/>
          <w:color w:val="011A3C"/>
          <w:sz w:val="24"/>
          <w:szCs w:val="24"/>
          <w:lang w:eastAsia="en-AU"/>
        </w:rPr>
      </w:pPr>
      <w:r w:rsidRPr="00FF525D">
        <w:rPr>
          <w:rFonts w:eastAsia="Segoe UI" w:cstheme="minorHAnsi"/>
          <w:color w:val="011A3C"/>
          <w:sz w:val="24"/>
          <w:szCs w:val="24"/>
          <w:lang w:eastAsia="en-AU"/>
        </w:rPr>
        <w:t>The Outside School Hours Care Establishment Grant Initiative (the Initiative) will support schools that have not previously had outside school hours care (OSHC) to establish new OSHC services</w:t>
      </w:r>
      <w:r w:rsidRPr="00127669">
        <w:rPr>
          <w:rFonts w:cstheme="minorHAnsi"/>
          <w:color w:val="000000"/>
          <w:sz w:val="24"/>
          <w:szCs w:val="24"/>
        </w:rPr>
        <w:t>, or to expand existing OSHC services to meet community need</w:t>
      </w:r>
      <w:r w:rsidRPr="00FF525D">
        <w:rPr>
          <w:rFonts w:eastAsia="Segoe UI" w:cstheme="minorHAnsi"/>
          <w:color w:val="011A3C"/>
          <w:sz w:val="24"/>
          <w:szCs w:val="24"/>
          <w:lang w:eastAsia="en-AU"/>
        </w:rPr>
        <w:t>.</w:t>
      </w:r>
    </w:p>
    <w:p w14:paraId="0438BEBD" w14:textId="027F9858" w:rsidR="00EB7A03" w:rsidRPr="00FF525D" w:rsidRDefault="00EB7A03" w:rsidP="00EB7A03">
      <w:pPr>
        <w:spacing w:before="100" w:beforeAutospacing="1" w:after="100" w:afterAutospacing="1" w:line="240" w:lineRule="auto"/>
        <w:rPr>
          <w:rFonts w:eastAsia="Segoe UI" w:cstheme="minorHAnsi"/>
          <w:color w:val="011A3C"/>
          <w:sz w:val="24"/>
          <w:szCs w:val="24"/>
          <w:lang w:eastAsia="en-AU"/>
        </w:rPr>
      </w:pPr>
      <w:r w:rsidRPr="00FF525D">
        <w:rPr>
          <w:rFonts w:eastAsia="Segoe UI" w:cstheme="minorHAnsi"/>
          <w:color w:val="011A3C"/>
          <w:sz w:val="24"/>
          <w:szCs w:val="24"/>
          <w:lang w:eastAsia="en-AU"/>
        </w:rPr>
        <w:t xml:space="preserve">The Initiative prioritises schools which meet the following </w:t>
      </w:r>
      <w:r w:rsidR="001E3B0D">
        <w:rPr>
          <w:rFonts w:eastAsia="Segoe UI" w:cstheme="minorHAnsi"/>
          <w:color w:val="011A3C"/>
          <w:sz w:val="24"/>
          <w:szCs w:val="24"/>
          <w:lang w:eastAsia="en-AU"/>
        </w:rPr>
        <w:t>4</w:t>
      </w:r>
      <w:r w:rsidRPr="00FF525D">
        <w:rPr>
          <w:rFonts w:eastAsia="Segoe UI" w:cstheme="minorHAnsi"/>
          <w:color w:val="011A3C"/>
          <w:sz w:val="24"/>
          <w:szCs w:val="24"/>
          <w:lang w:eastAsia="en-AU"/>
        </w:rPr>
        <w:t xml:space="preserve"> priority categories:</w:t>
      </w:r>
    </w:p>
    <w:p w14:paraId="0FFA0A44" w14:textId="3A724E8B" w:rsidR="00EB7A03" w:rsidRPr="00FF525D" w:rsidRDefault="00EB7A03" w:rsidP="00EB7A03">
      <w:pPr>
        <w:pStyle w:val="ListParagraph"/>
        <w:numPr>
          <w:ilvl w:val="0"/>
          <w:numId w:val="110"/>
        </w:numPr>
        <w:spacing w:before="100" w:beforeAutospacing="1" w:after="100" w:afterAutospacing="1" w:line="240" w:lineRule="auto"/>
        <w:rPr>
          <w:rFonts w:eastAsia="Segoe UI" w:cstheme="minorHAnsi"/>
          <w:color w:val="011A3C"/>
          <w:sz w:val="24"/>
          <w:szCs w:val="24"/>
          <w:lang w:eastAsia="en-AU"/>
        </w:rPr>
      </w:pPr>
      <w:r w:rsidRPr="00FF525D">
        <w:rPr>
          <w:rFonts w:eastAsia="Segoe UI" w:cstheme="minorHAnsi"/>
          <w:color w:val="011A3C"/>
          <w:sz w:val="24"/>
          <w:szCs w:val="24"/>
          <w:lang w:eastAsia="en-AU"/>
        </w:rPr>
        <w:t xml:space="preserve">Priority 1: </w:t>
      </w:r>
      <w:r w:rsidR="00B20D19" w:rsidRPr="00B20D19">
        <w:rPr>
          <w:rFonts w:eastAsia="Segoe UI" w:cstheme="minorHAnsi"/>
          <w:color w:val="011A3C"/>
          <w:sz w:val="24"/>
          <w:szCs w:val="24"/>
          <w:lang w:eastAsia="en-AU"/>
        </w:rPr>
        <w:t>Schools in DET areas, or parts thereof, with limited or no OSHC services</w:t>
      </w:r>
      <w:r w:rsidR="00D6485F">
        <w:rPr>
          <w:rFonts w:eastAsia="Segoe UI" w:cstheme="minorHAnsi"/>
          <w:color w:val="011A3C"/>
          <w:sz w:val="24"/>
          <w:szCs w:val="24"/>
          <w:lang w:eastAsia="en-AU"/>
        </w:rPr>
        <w:t>.</w:t>
      </w:r>
    </w:p>
    <w:p w14:paraId="53A32DB8" w14:textId="42A6D283" w:rsidR="0053347B" w:rsidRPr="00FF525D" w:rsidRDefault="00EB7A03" w:rsidP="00EB7A03">
      <w:pPr>
        <w:pStyle w:val="ListParagraph"/>
        <w:numPr>
          <w:ilvl w:val="0"/>
          <w:numId w:val="110"/>
        </w:numPr>
        <w:spacing w:before="100" w:beforeAutospacing="1" w:after="100" w:afterAutospacing="1" w:line="240" w:lineRule="auto"/>
        <w:rPr>
          <w:rFonts w:eastAsia="Segoe UI" w:cstheme="minorHAnsi"/>
          <w:color w:val="011A3C"/>
          <w:sz w:val="24"/>
          <w:szCs w:val="24"/>
          <w:lang w:eastAsia="en-AU"/>
        </w:rPr>
      </w:pPr>
      <w:r w:rsidRPr="00FF525D">
        <w:rPr>
          <w:rFonts w:eastAsia="Segoe UI" w:cstheme="minorHAnsi"/>
          <w:color w:val="011A3C"/>
          <w:sz w:val="24"/>
          <w:szCs w:val="24"/>
          <w:lang w:eastAsia="en-AU"/>
        </w:rPr>
        <w:t>Priority 2:</w:t>
      </w:r>
      <w:r w:rsidRPr="00833928">
        <w:rPr>
          <w:color w:val="011A3C"/>
          <w:sz w:val="24"/>
        </w:rPr>
        <w:t xml:space="preserve"> </w:t>
      </w:r>
      <w:r w:rsidR="0053347B" w:rsidRPr="0053347B">
        <w:rPr>
          <w:rFonts w:eastAsia="Segoe UI" w:cstheme="minorHAnsi"/>
          <w:color w:val="011A3C"/>
          <w:sz w:val="24"/>
          <w:szCs w:val="24"/>
          <w:lang w:eastAsia="en-AU"/>
        </w:rPr>
        <w:t>Schools with demonstrated readiness to commence services by Term 1, 2024.</w:t>
      </w:r>
    </w:p>
    <w:p w14:paraId="06689B1F" w14:textId="14E6B47F" w:rsidR="00EB7A03" w:rsidRPr="00FF525D" w:rsidRDefault="00EB7A03" w:rsidP="00EB7A03">
      <w:pPr>
        <w:pStyle w:val="ListParagraph"/>
        <w:numPr>
          <w:ilvl w:val="0"/>
          <w:numId w:val="110"/>
        </w:numPr>
        <w:spacing w:before="100" w:beforeAutospacing="1" w:after="100" w:afterAutospacing="1" w:line="240" w:lineRule="auto"/>
        <w:rPr>
          <w:rFonts w:eastAsia="Segoe UI" w:cstheme="minorHAnsi"/>
          <w:color w:val="011A3C"/>
          <w:sz w:val="24"/>
          <w:szCs w:val="24"/>
          <w:lang w:eastAsia="en-AU"/>
        </w:rPr>
      </w:pPr>
      <w:r w:rsidRPr="00FF525D">
        <w:rPr>
          <w:rFonts w:eastAsia="Segoe UI" w:cstheme="minorHAnsi"/>
          <w:color w:val="011A3C"/>
          <w:sz w:val="24"/>
          <w:szCs w:val="24"/>
          <w:lang w:eastAsia="en-AU"/>
        </w:rPr>
        <w:t xml:space="preserve">Priority </w:t>
      </w:r>
      <w:r w:rsidR="0053347B">
        <w:rPr>
          <w:rFonts w:eastAsia="Segoe UI" w:cstheme="minorHAnsi"/>
          <w:color w:val="011A3C"/>
          <w:sz w:val="24"/>
          <w:szCs w:val="24"/>
          <w:lang w:eastAsia="en-AU"/>
        </w:rPr>
        <w:t>3</w:t>
      </w:r>
      <w:r w:rsidRPr="00FF525D">
        <w:rPr>
          <w:rFonts w:eastAsia="Segoe UI" w:cstheme="minorHAnsi"/>
          <w:color w:val="011A3C"/>
          <w:sz w:val="24"/>
          <w:szCs w:val="24"/>
          <w:lang w:eastAsia="en-AU"/>
        </w:rPr>
        <w:t>:</w:t>
      </w:r>
      <w:r w:rsidRPr="00FF525D">
        <w:rPr>
          <w:rFonts w:cstheme="minorHAnsi"/>
        </w:rPr>
        <w:t xml:space="preserve"> </w:t>
      </w:r>
      <w:r w:rsidRPr="00FF525D">
        <w:rPr>
          <w:rFonts w:eastAsia="Segoe UI" w:cstheme="minorHAnsi"/>
          <w:color w:val="011A3C"/>
          <w:sz w:val="24"/>
          <w:szCs w:val="24"/>
          <w:lang w:eastAsia="en-AU"/>
        </w:rPr>
        <w:t>Schools where services are unlikely to be viable without grant funding.</w:t>
      </w:r>
    </w:p>
    <w:p w14:paraId="6A4440CE" w14:textId="77777777" w:rsidR="00EB7A03" w:rsidRPr="00B148A2" w:rsidRDefault="00EB7A03" w:rsidP="00EB7A03">
      <w:pPr>
        <w:pStyle w:val="NormalWeb"/>
        <w:numPr>
          <w:ilvl w:val="0"/>
          <w:numId w:val="110"/>
        </w:numPr>
        <w:rPr>
          <w:rFonts w:asciiTheme="minorHAnsi" w:eastAsia="Segoe UI" w:hAnsiTheme="minorHAnsi" w:cstheme="minorHAnsi"/>
          <w:color w:val="011A3C"/>
        </w:rPr>
      </w:pPr>
      <w:r w:rsidRPr="00B148A2">
        <w:rPr>
          <w:rFonts w:asciiTheme="minorHAnsi" w:eastAsia="Segoe UI" w:hAnsiTheme="minorHAnsi" w:cstheme="minorHAnsi"/>
          <w:color w:val="011A3C"/>
        </w:rPr>
        <w:t>Priority 4: Schools with existing OSHC services that demonstrate a need to expand existing service provision.</w:t>
      </w:r>
    </w:p>
    <w:p w14:paraId="0ACFCF48" w14:textId="75F78999" w:rsidR="00EB7A03" w:rsidRPr="00FF525D" w:rsidRDefault="00EB7A03" w:rsidP="00EB7A03">
      <w:pPr>
        <w:rPr>
          <w:rFonts w:eastAsia="Segoe UI"/>
          <w:color w:val="011A3C"/>
          <w:sz w:val="24"/>
          <w:szCs w:val="24"/>
          <w:lang w:eastAsia="en-AU"/>
        </w:rPr>
      </w:pPr>
      <w:r w:rsidRPr="27919617">
        <w:rPr>
          <w:rFonts w:eastAsia="Segoe UI"/>
          <w:color w:val="011A3C"/>
          <w:sz w:val="24"/>
          <w:szCs w:val="24"/>
          <w:lang w:eastAsia="en-AU"/>
        </w:rPr>
        <w:t xml:space="preserve">The program is broken into 4 rounds over 4 financial years. </w:t>
      </w:r>
    </w:p>
    <w:p w14:paraId="614FAF95" w14:textId="77777777" w:rsidR="00EB7A03" w:rsidRPr="00FF525D" w:rsidRDefault="00EB7A03" w:rsidP="00EB7A03">
      <w:pPr>
        <w:spacing w:before="100" w:beforeAutospacing="1" w:after="100" w:afterAutospacing="1" w:line="240" w:lineRule="auto"/>
        <w:rPr>
          <w:rFonts w:eastAsia="Segoe UI" w:cstheme="minorHAnsi"/>
          <w:color w:val="011A3C"/>
          <w:sz w:val="24"/>
          <w:szCs w:val="24"/>
          <w:lang w:eastAsia="en-AU"/>
        </w:rPr>
      </w:pPr>
      <w:r w:rsidRPr="00FF525D">
        <w:rPr>
          <w:rFonts w:eastAsia="Segoe UI" w:cstheme="minorHAnsi"/>
          <w:color w:val="011A3C"/>
          <w:sz w:val="24"/>
          <w:szCs w:val="24"/>
          <w:lang w:eastAsia="en-AU"/>
        </w:rPr>
        <w:t>Schools may use the funds to cover costs associated with initially providing access to OSHC services for students and operational expenses over the lifetime of the funding. The funding will allow services that may not initially be financially viable to expand and work towards ongoing viability over the grant period.</w:t>
      </w:r>
    </w:p>
    <w:p w14:paraId="490FCA55" w14:textId="77777777" w:rsidR="00EB7A03" w:rsidRPr="00FF525D" w:rsidRDefault="00EB7A03" w:rsidP="00EB7A03">
      <w:pPr>
        <w:spacing w:before="100" w:beforeAutospacing="1" w:after="100" w:afterAutospacing="1" w:line="288" w:lineRule="atLeast"/>
        <w:outlineLvl w:val="2"/>
        <w:rPr>
          <w:rFonts w:eastAsia="Segoe UI" w:cstheme="minorHAnsi"/>
          <w:color w:val="011A3C"/>
          <w:sz w:val="27"/>
          <w:szCs w:val="27"/>
          <w:lang w:eastAsia="en-AU"/>
        </w:rPr>
      </w:pPr>
      <w:r w:rsidRPr="00FF525D">
        <w:rPr>
          <w:rFonts w:cstheme="minorHAnsi"/>
          <w:b/>
          <w:color w:val="011A3C"/>
          <w:sz w:val="27"/>
          <w:szCs w:val="27"/>
          <w:lang w:val="en" w:eastAsia="en-AU"/>
        </w:rPr>
        <w:t>Accountability</w:t>
      </w:r>
    </w:p>
    <w:p w14:paraId="7DD20B99" w14:textId="77777777" w:rsidR="00EB7A03" w:rsidRPr="00FF525D" w:rsidRDefault="00EB7A03" w:rsidP="00EB7A03">
      <w:pPr>
        <w:spacing w:before="100" w:beforeAutospacing="1" w:after="100" w:afterAutospacing="1" w:line="240" w:lineRule="auto"/>
        <w:rPr>
          <w:rFonts w:eastAsia="Segoe UI" w:cstheme="minorHAnsi"/>
          <w:color w:val="011A3C"/>
          <w:sz w:val="24"/>
          <w:szCs w:val="24"/>
          <w:lang w:eastAsia="en-AU"/>
        </w:rPr>
      </w:pPr>
      <w:r w:rsidRPr="00FF525D">
        <w:rPr>
          <w:rFonts w:eastAsia="Segoe UI" w:cstheme="minorHAnsi"/>
          <w:color w:val="011A3C"/>
          <w:sz w:val="24"/>
          <w:szCs w:val="24"/>
          <w:lang w:eastAsia="en-AU"/>
        </w:rPr>
        <w:t>Schools are responsible for using the funds within the guidelines provided by the department. School principals will be required to complete an acquittal process once per year for each year of funding received, demonstrating that the funds were used for expenditure within the Initiative’s guidelines.</w:t>
      </w:r>
    </w:p>
    <w:p w14:paraId="7E13DBEC" w14:textId="77777777" w:rsidR="00EB7A03" w:rsidRPr="00FF525D" w:rsidRDefault="00EB7A03" w:rsidP="00EB7A03">
      <w:pPr>
        <w:spacing w:before="100" w:beforeAutospacing="1" w:after="100" w:afterAutospacing="1" w:line="288" w:lineRule="atLeast"/>
        <w:outlineLvl w:val="2"/>
        <w:rPr>
          <w:rFonts w:cstheme="minorHAnsi"/>
          <w:b/>
          <w:color w:val="011A3C"/>
          <w:sz w:val="27"/>
          <w:szCs w:val="27"/>
          <w:lang w:val="en" w:eastAsia="en-AU"/>
        </w:rPr>
      </w:pPr>
      <w:r w:rsidRPr="00FF525D">
        <w:rPr>
          <w:rFonts w:cstheme="minorHAnsi"/>
          <w:b/>
          <w:color w:val="011A3C"/>
          <w:sz w:val="27"/>
          <w:szCs w:val="27"/>
          <w:lang w:val="en" w:eastAsia="en-AU"/>
        </w:rPr>
        <w:t>Eligibility</w:t>
      </w:r>
    </w:p>
    <w:p w14:paraId="5AE8E9F0" w14:textId="49C77F96" w:rsidR="00EB7A03" w:rsidRPr="00FF525D" w:rsidRDefault="00EB7A03" w:rsidP="00EB7A03">
      <w:pPr>
        <w:spacing w:before="100" w:beforeAutospacing="1" w:after="100" w:afterAutospacing="1" w:line="240" w:lineRule="auto"/>
        <w:rPr>
          <w:rFonts w:eastAsia="Segoe UI"/>
          <w:color w:val="011A3C"/>
          <w:sz w:val="24"/>
          <w:szCs w:val="24"/>
          <w:lang w:eastAsia="en-AU"/>
        </w:rPr>
      </w:pPr>
      <w:r w:rsidRPr="273EBE50">
        <w:rPr>
          <w:rFonts w:eastAsia="Segoe UI"/>
          <w:color w:val="011A3C"/>
          <w:sz w:val="24"/>
          <w:szCs w:val="24"/>
          <w:lang w:eastAsia="en-AU"/>
        </w:rPr>
        <w:t xml:space="preserve">Interested schools will apply for the funding using a form on the </w:t>
      </w:r>
      <w:proofErr w:type="spellStart"/>
      <w:r w:rsidRPr="273EBE50">
        <w:rPr>
          <w:rFonts w:eastAsia="Segoe UI"/>
          <w:color w:val="011A3C"/>
          <w:sz w:val="24"/>
          <w:szCs w:val="24"/>
          <w:lang w:eastAsia="en-AU"/>
        </w:rPr>
        <w:t>SmartyGrants</w:t>
      </w:r>
      <w:proofErr w:type="spellEnd"/>
      <w:r w:rsidRPr="273EBE50">
        <w:rPr>
          <w:rFonts w:eastAsia="Segoe UI"/>
          <w:color w:val="011A3C"/>
          <w:sz w:val="24"/>
          <w:szCs w:val="24"/>
          <w:lang w:eastAsia="en-AU"/>
        </w:rPr>
        <w:t xml:space="preserve"> online portal. Further advice will be provided closer to the launch. All Victorian government schools which provide primary aged or special education to children, </w:t>
      </w:r>
      <w:r w:rsidRPr="273EBE50">
        <w:rPr>
          <w:color w:val="000000" w:themeColor="text1"/>
          <w:sz w:val="24"/>
          <w:szCs w:val="24"/>
        </w:rPr>
        <w:t xml:space="preserve">and who either do not have an OSHC service at the time of application, or do not offer all three types of care (before school care, after school care and vacation care) </w:t>
      </w:r>
      <w:r w:rsidRPr="273EBE50">
        <w:rPr>
          <w:rFonts w:eastAsia="Segoe UI"/>
          <w:color w:val="011A3C"/>
          <w:sz w:val="24"/>
          <w:szCs w:val="24"/>
          <w:lang w:eastAsia="en-AU"/>
        </w:rPr>
        <w:t>are eligible to apply. This includes primary schools, combined primary/secondary schools, and specialist schools.</w:t>
      </w:r>
    </w:p>
    <w:p w14:paraId="34638A1C" w14:textId="77777777" w:rsidR="00EB7A03" w:rsidRPr="00FF525D" w:rsidRDefault="00EB7A03" w:rsidP="00EB7A03">
      <w:pPr>
        <w:spacing w:before="100" w:beforeAutospacing="1" w:after="100" w:afterAutospacing="1" w:line="288" w:lineRule="atLeast"/>
        <w:outlineLvl w:val="2"/>
        <w:rPr>
          <w:rFonts w:cstheme="minorHAnsi"/>
          <w:b/>
          <w:color w:val="011A3C"/>
          <w:sz w:val="27"/>
          <w:szCs w:val="27"/>
          <w:lang w:val="en" w:eastAsia="en-AU"/>
        </w:rPr>
      </w:pPr>
      <w:r w:rsidRPr="00FF525D">
        <w:rPr>
          <w:rFonts w:cstheme="minorHAnsi"/>
          <w:b/>
          <w:color w:val="011A3C"/>
          <w:sz w:val="27"/>
          <w:szCs w:val="27"/>
          <w:lang w:val="en" w:eastAsia="en-AU"/>
        </w:rPr>
        <w:t>Funding</w:t>
      </w:r>
    </w:p>
    <w:p w14:paraId="69B6198E" w14:textId="77777777" w:rsidR="00EB7A03" w:rsidRPr="00FF525D" w:rsidRDefault="00EB7A03" w:rsidP="00EB7A03">
      <w:pPr>
        <w:spacing w:before="100" w:beforeAutospacing="1" w:after="100" w:afterAutospacing="1" w:line="240" w:lineRule="auto"/>
        <w:rPr>
          <w:rFonts w:eastAsia="Segoe UI" w:cstheme="minorHAnsi"/>
          <w:color w:val="011A3C"/>
          <w:sz w:val="24"/>
          <w:szCs w:val="24"/>
          <w:lang w:eastAsia="en-AU"/>
        </w:rPr>
      </w:pPr>
      <w:r w:rsidRPr="00FF525D">
        <w:rPr>
          <w:rFonts w:eastAsia="Segoe UI" w:cstheme="minorHAnsi"/>
          <w:color w:val="011A3C"/>
          <w:sz w:val="24"/>
          <w:szCs w:val="24"/>
          <w:lang w:eastAsia="en-AU"/>
        </w:rPr>
        <w:t xml:space="preserve">The maximum amount of funding offered is $75,000 per year per applicant school, except where the school is applying on behalf of a cluster of schools, in which case the maximum is </w:t>
      </w:r>
      <w:r w:rsidRPr="00127669">
        <w:rPr>
          <w:rFonts w:cstheme="minorHAnsi"/>
          <w:color w:val="000000"/>
          <w:sz w:val="24"/>
          <w:szCs w:val="24"/>
        </w:rPr>
        <w:t>$75,000 times the number of school sites involved in the cluster</w:t>
      </w:r>
      <w:r w:rsidRPr="00FF525D">
        <w:rPr>
          <w:rFonts w:eastAsia="Segoe UI" w:cstheme="minorHAnsi"/>
          <w:color w:val="011A3C"/>
          <w:sz w:val="24"/>
          <w:szCs w:val="24"/>
          <w:lang w:eastAsia="en-AU"/>
        </w:rPr>
        <w:t xml:space="preserve">. In a cluster arrangement, one school establishes the service, with nearby schools able to access it on an equal footing. Schools or clusters may apply up to the maximum amount if they have proposed expenditure to that amount which meets the Initiative guidelines. In order to be eligible for the increased funding cap, all cluster schools must meet the grant eligibility requirements. </w:t>
      </w:r>
    </w:p>
    <w:p w14:paraId="09FF3E12" w14:textId="77777777" w:rsidR="00EB7A03" w:rsidRPr="00FF525D" w:rsidRDefault="00EB7A03" w:rsidP="00EB7A03">
      <w:pPr>
        <w:pStyle w:val="NormalWeb"/>
      </w:pPr>
      <w:r w:rsidRPr="00127669">
        <w:rPr>
          <w:rFonts w:asciiTheme="minorHAnsi" w:hAnsiTheme="minorHAnsi" w:cstheme="minorHAnsi"/>
          <w:color w:val="000000"/>
        </w:rPr>
        <w:t>Special schools are eligible for an additional $30,000. Schools in areas designated as Outer Regional or Remote are eligible for an additional $25,000.</w:t>
      </w:r>
    </w:p>
    <w:p w14:paraId="1FFCF815" w14:textId="77777777" w:rsidR="00EB7A03" w:rsidRPr="00FF525D" w:rsidRDefault="00EB7A03" w:rsidP="00EB7A03">
      <w:pPr>
        <w:spacing w:before="100" w:beforeAutospacing="1" w:after="100" w:afterAutospacing="1" w:line="240" w:lineRule="auto"/>
        <w:rPr>
          <w:rFonts w:eastAsia="Segoe UI" w:cstheme="minorHAnsi"/>
          <w:color w:val="011A3C"/>
          <w:sz w:val="24"/>
          <w:szCs w:val="24"/>
          <w:lang w:eastAsia="en-AU"/>
        </w:rPr>
      </w:pPr>
      <w:r w:rsidRPr="00FF525D">
        <w:rPr>
          <w:rFonts w:eastAsia="Segoe UI" w:cstheme="minorHAnsi"/>
          <w:color w:val="011A3C"/>
          <w:sz w:val="24"/>
          <w:szCs w:val="24"/>
          <w:lang w:eastAsia="en-AU"/>
        </w:rPr>
        <w:t>Funding allocations are 100% Cash funding.</w:t>
      </w:r>
    </w:p>
    <w:p w14:paraId="46C5F24E" w14:textId="77777777" w:rsidR="00EB7A03" w:rsidRPr="00FF525D" w:rsidRDefault="00EB7A03" w:rsidP="00EB7A03">
      <w:pPr>
        <w:spacing w:before="100" w:beforeAutospacing="1" w:after="100" w:afterAutospacing="1" w:line="288" w:lineRule="atLeast"/>
        <w:outlineLvl w:val="2"/>
        <w:rPr>
          <w:rFonts w:cstheme="minorHAnsi"/>
          <w:b/>
          <w:color w:val="011A3C"/>
          <w:sz w:val="27"/>
          <w:szCs w:val="27"/>
          <w:lang w:val="en" w:eastAsia="en-AU"/>
        </w:rPr>
      </w:pPr>
      <w:r w:rsidRPr="00FF525D">
        <w:rPr>
          <w:rFonts w:cstheme="minorHAnsi"/>
          <w:b/>
          <w:color w:val="011A3C"/>
          <w:sz w:val="27"/>
          <w:szCs w:val="27"/>
          <w:lang w:val="en" w:eastAsia="en-AU"/>
        </w:rPr>
        <w:lastRenderedPageBreak/>
        <w:t>Use of Initiative funding</w:t>
      </w:r>
    </w:p>
    <w:p w14:paraId="32ED686A" w14:textId="2D6DC24F" w:rsidR="00EB7A03" w:rsidRPr="00FF525D" w:rsidRDefault="00EB7A03" w:rsidP="00EB7A03">
      <w:pPr>
        <w:spacing w:before="100" w:beforeAutospacing="1" w:after="100" w:afterAutospacing="1" w:line="240" w:lineRule="auto"/>
        <w:rPr>
          <w:rFonts w:eastAsia="Segoe UI" w:cstheme="minorHAnsi"/>
          <w:color w:val="011A3C"/>
          <w:sz w:val="24"/>
          <w:szCs w:val="24"/>
          <w:lang w:eastAsia="en-AU"/>
        </w:rPr>
      </w:pPr>
      <w:r w:rsidRPr="00FF525D">
        <w:rPr>
          <w:rFonts w:eastAsia="Segoe UI" w:cstheme="minorHAnsi"/>
          <w:color w:val="011A3C"/>
          <w:sz w:val="24"/>
          <w:szCs w:val="24"/>
          <w:lang w:eastAsia="en-AU"/>
        </w:rPr>
        <w:t xml:space="preserve">School principals will consider the context of their school and the needs of the school community to determine the best use of the funding. A school may decide to use the funding to establish an OSHC service run by the school council, engage a </w:t>
      </w:r>
      <w:r w:rsidR="003F7171" w:rsidRPr="00FF525D">
        <w:rPr>
          <w:rFonts w:eastAsia="Segoe UI" w:cstheme="minorHAnsi"/>
          <w:color w:val="011A3C"/>
          <w:sz w:val="24"/>
          <w:szCs w:val="24"/>
          <w:lang w:eastAsia="en-AU"/>
        </w:rPr>
        <w:t>third</w:t>
      </w:r>
      <w:r w:rsidR="00D6485F">
        <w:rPr>
          <w:rFonts w:eastAsia="Segoe UI" w:cstheme="minorHAnsi"/>
          <w:color w:val="011A3C"/>
          <w:sz w:val="24"/>
          <w:szCs w:val="24"/>
          <w:lang w:eastAsia="en-AU"/>
        </w:rPr>
        <w:t xml:space="preserve"> </w:t>
      </w:r>
      <w:r w:rsidR="003F7171" w:rsidRPr="00FF525D">
        <w:rPr>
          <w:rFonts w:eastAsia="Segoe UI" w:cstheme="minorHAnsi"/>
          <w:color w:val="011A3C"/>
          <w:sz w:val="24"/>
          <w:szCs w:val="24"/>
          <w:lang w:eastAsia="en-AU"/>
        </w:rPr>
        <w:t>party</w:t>
      </w:r>
      <w:r w:rsidRPr="00FF525D">
        <w:rPr>
          <w:rFonts w:eastAsia="Segoe UI" w:cstheme="minorHAnsi"/>
          <w:color w:val="011A3C"/>
          <w:sz w:val="24"/>
          <w:szCs w:val="24"/>
          <w:lang w:eastAsia="en-AU"/>
        </w:rPr>
        <w:t xml:space="preserve"> provider to operate a new service, or provide transport to enable children to access OSHC at an already operating service. New services may be established at the school or at external premises. </w:t>
      </w:r>
    </w:p>
    <w:p w14:paraId="58CB6853" w14:textId="77777777" w:rsidR="00EB7A03" w:rsidRPr="00FF525D" w:rsidRDefault="00EB7A03" w:rsidP="00EB7A03">
      <w:pPr>
        <w:spacing w:before="100" w:beforeAutospacing="1" w:after="100" w:afterAutospacing="1" w:line="240" w:lineRule="auto"/>
        <w:rPr>
          <w:rFonts w:eastAsia="Segoe UI" w:cstheme="minorHAnsi"/>
          <w:color w:val="011A3C"/>
          <w:sz w:val="24"/>
          <w:szCs w:val="24"/>
          <w:lang w:eastAsia="en-AU"/>
        </w:rPr>
      </w:pPr>
      <w:r w:rsidRPr="00FF525D">
        <w:rPr>
          <w:rFonts w:eastAsia="Segoe UI" w:cstheme="minorHAnsi"/>
          <w:color w:val="011A3C"/>
          <w:sz w:val="24"/>
          <w:szCs w:val="24"/>
          <w:lang w:eastAsia="en-AU"/>
        </w:rPr>
        <w:t>Examples of eligible expenditure include:</w:t>
      </w:r>
    </w:p>
    <w:p w14:paraId="0E6E0C60" w14:textId="77777777" w:rsidR="00EB7A03" w:rsidRPr="00FF525D" w:rsidRDefault="00EB7A03" w:rsidP="00EB7A03">
      <w:pPr>
        <w:pStyle w:val="ListParagraph"/>
        <w:numPr>
          <w:ilvl w:val="0"/>
          <w:numId w:val="111"/>
        </w:numPr>
        <w:spacing w:before="100" w:beforeAutospacing="1" w:after="100" w:afterAutospacing="1" w:line="240" w:lineRule="auto"/>
        <w:rPr>
          <w:rFonts w:eastAsia="Segoe UI" w:cstheme="minorHAnsi"/>
          <w:color w:val="011A3C"/>
          <w:sz w:val="24"/>
          <w:szCs w:val="24"/>
          <w:lang w:eastAsia="en-AU"/>
        </w:rPr>
      </w:pPr>
      <w:r w:rsidRPr="00FF525D">
        <w:rPr>
          <w:rFonts w:eastAsia="Segoe UI" w:cstheme="minorHAnsi"/>
          <w:color w:val="011A3C"/>
          <w:sz w:val="24"/>
          <w:szCs w:val="24"/>
          <w:lang w:eastAsia="en-AU"/>
        </w:rPr>
        <w:t>staffing</w:t>
      </w:r>
    </w:p>
    <w:p w14:paraId="2EDD78A5" w14:textId="77777777" w:rsidR="00EB7A03" w:rsidRPr="00FF525D" w:rsidRDefault="00EB7A03" w:rsidP="00EB7A03">
      <w:pPr>
        <w:pStyle w:val="ListParagraph"/>
        <w:numPr>
          <w:ilvl w:val="0"/>
          <w:numId w:val="111"/>
        </w:numPr>
        <w:spacing w:before="100" w:beforeAutospacing="1" w:after="100" w:afterAutospacing="1" w:line="240" w:lineRule="auto"/>
        <w:rPr>
          <w:rFonts w:eastAsia="Segoe UI" w:cstheme="minorHAnsi"/>
          <w:color w:val="011A3C"/>
          <w:sz w:val="24"/>
          <w:szCs w:val="24"/>
          <w:lang w:eastAsia="en-AU"/>
        </w:rPr>
      </w:pPr>
      <w:r w:rsidRPr="00FF525D">
        <w:rPr>
          <w:rFonts w:eastAsia="Segoe UI" w:cstheme="minorHAnsi"/>
          <w:color w:val="011A3C"/>
          <w:sz w:val="24"/>
          <w:szCs w:val="24"/>
          <w:lang w:eastAsia="en-AU"/>
        </w:rPr>
        <w:t>training and professional development</w:t>
      </w:r>
    </w:p>
    <w:p w14:paraId="016A2D82" w14:textId="77777777" w:rsidR="00EB7A03" w:rsidRPr="00FF525D" w:rsidRDefault="00EB7A03" w:rsidP="00EB7A03">
      <w:pPr>
        <w:pStyle w:val="ListParagraph"/>
        <w:numPr>
          <w:ilvl w:val="0"/>
          <w:numId w:val="111"/>
        </w:numPr>
        <w:spacing w:before="100" w:beforeAutospacing="1" w:after="100" w:afterAutospacing="1" w:line="240" w:lineRule="auto"/>
        <w:rPr>
          <w:rFonts w:eastAsia="Segoe UI" w:cstheme="minorHAnsi"/>
          <w:color w:val="011A3C"/>
          <w:sz w:val="24"/>
          <w:szCs w:val="24"/>
          <w:lang w:eastAsia="en-AU"/>
        </w:rPr>
      </w:pPr>
      <w:r w:rsidRPr="00FF525D">
        <w:rPr>
          <w:rFonts w:eastAsia="Segoe UI" w:cstheme="minorHAnsi"/>
          <w:color w:val="011A3C"/>
          <w:sz w:val="24"/>
          <w:szCs w:val="24"/>
          <w:lang w:eastAsia="en-AU"/>
        </w:rPr>
        <w:t>program management and administration</w:t>
      </w:r>
    </w:p>
    <w:p w14:paraId="6160865A" w14:textId="77777777" w:rsidR="00EB7A03" w:rsidRPr="00FF525D" w:rsidRDefault="00EB7A03" w:rsidP="00EB7A03">
      <w:pPr>
        <w:pStyle w:val="ListParagraph"/>
        <w:numPr>
          <w:ilvl w:val="0"/>
          <w:numId w:val="111"/>
        </w:numPr>
        <w:spacing w:before="100" w:beforeAutospacing="1" w:after="100" w:afterAutospacing="1" w:line="240" w:lineRule="auto"/>
        <w:rPr>
          <w:rFonts w:eastAsia="Segoe UI" w:cstheme="minorHAnsi"/>
          <w:color w:val="011A3C"/>
          <w:sz w:val="24"/>
          <w:szCs w:val="24"/>
          <w:lang w:eastAsia="en-AU"/>
        </w:rPr>
      </w:pPr>
      <w:r w:rsidRPr="00FF525D">
        <w:rPr>
          <w:rFonts w:eastAsia="Segoe UI" w:cstheme="minorHAnsi"/>
          <w:color w:val="011A3C"/>
          <w:sz w:val="24"/>
          <w:szCs w:val="24"/>
          <w:lang w:eastAsia="en-AU"/>
        </w:rPr>
        <w:t>resources and/or equipment</w:t>
      </w:r>
    </w:p>
    <w:p w14:paraId="4F0F1864" w14:textId="77777777" w:rsidR="00EB7A03" w:rsidRPr="00FF525D" w:rsidRDefault="00EB7A03" w:rsidP="00EB7A03">
      <w:pPr>
        <w:pStyle w:val="ListParagraph"/>
        <w:numPr>
          <w:ilvl w:val="0"/>
          <w:numId w:val="111"/>
        </w:numPr>
        <w:spacing w:before="100" w:beforeAutospacing="1" w:after="100" w:afterAutospacing="1" w:line="240" w:lineRule="auto"/>
        <w:rPr>
          <w:rFonts w:eastAsia="Segoe UI" w:cstheme="minorHAnsi"/>
          <w:color w:val="011A3C"/>
          <w:sz w:val="24"/>
          <w:szCs w:val="24"/>
          <w:lang w:eastAsia="en-AU"/>
        </w:rPr>
      </w:pPr>
      <w:r w:rsidRPr="00FF525D">
        <w:rPr>
          <w:rFonts w:eastAsia="Segoe UI" w:cstheme="minorHAnsi"/>
          <w:color w:val="011A3C"/>
          <w:sz w:val="24"/>
          <w:szCs w:val="24"/>
          <w:lang w:eastAsia="en-AU"/>
        </w:rPr>
        <w:t>minor facility upgrades</w:t>
      </w:r>
    </w:p>
    <w:p w14:paraId="112796A3" w14:textId="77777777" w:rsidR="00EB7A03" w:rsidRPr="00FF525D" w:rsidRDefault="00EB7A03" w:rsidP="00EB7A03">
      <w:pPr>
        <w:pStyle w:val="ListParagraph"/>
        <w:numPr>
          <w:ilvl w:val="0"/>
          <w:numId w:val="111"/>
        </w:numPr>
        <w:spacing w:before="100" w:beforeAutospacing="1" w:after="100" w:afterAutospacing="1" w:line="240" w:lineRule="auto"/>
        <w:rPr>
          <w:rFonts w:eastAsia="Segoe UI" w:cstheme="minorHAnsi"/>
          <w:color w:val="011A3C"/>
          <w:sz w:val="24"/>
          <w:szCs w:val="24"/>
          <w:lang w:eastAsia="en-AU"/>
        </w:rPr>
      </w:pPr>
      <w:r w:rsidRPr="00FF525D">
        <w:rPr>
          <w:rFonts w:eastAsia="Segoe UI" w:cstheme="minorHAnsi"/>
          <w:color w:val="011A3C"/>
          <w:sz w:val="24"/>
          <w:szCs w:val="24"/>
          <w:lang w:eastAsia="en-AU"/>
        </w:rPr>
        <w:t>transport</w:t>
      </w:r>
    </w:p>
    <w:p w14:paraId="36CAAAAE" w14:textId="77777777" w:rsidR="00EB7A03" w:rsidRPr="00FF525D" w:rsidRDefault="00EB7A03" w:rsidP="00EB7A03">
      <w:pPr>
        <w:pStyle w:val="ListParagraph"/>
        <w:numPr>
          <w:ilvl w:val="0"/>
          <w:numId w:val="111"/>
        </w:numPr>
        <w:spacing w:before="100" w:beforeAutospacing="1" w:after="100" w:afterAutospacing="1" w:line="240" w:lineRule="auto"/>
        <w:rPr>
          <w:rFonts w:eastAsia="Segoe UI" w:cstheme="minorHAnsi"/>
          <w:color w:val="011A3C"/>
          <w:sz w:val="24"/>
          <w:szCs w:val="24"/>
          <w:lang w:eastAsia="en-AU"/>
        </w:rPr>
      </w:pPr>
      <w:r w:rsidRPr="00FF525D">
        <w:rPr>
          <w:rFonts w:eastAsia="Segoe UI" w:cstheme="minorHAnsi"/>
          <w:color w:val="011A3C"/>
          <w:sz w:val="24"/>
          <w:szCs w:val="24"/>
          <w:lang w:eastAsia="en-AU"/>
        </w:rPr>
        <w:t>food</w:t>
      </w:r>
    </w:p>
    <w:p w14:paraId="1802A949" w14:textId="77777777" w:rsidR="00EB7A03" w:rsidRPr="00FF525D" w:rsidRDefault="00EB7A03" w:rsidP="00EB7A03">
      <w:pPr>
        <w:pStyle w:val="ListParagraph"/>
        <w:numPr>
          <w:ilvl w:val="0"/>
          <w:numId w:val="111"/>
        </w:numPr>
        <w:spacing w:before="100" w:beforeAutospacing="1" w:after="100" w:afterAutospacing="1" w:line="240" w:lineRule="auto"/>
        <w:rPr>
          <w:rFonts w:cstheme="minorHAnsi"/>
        </w:rPr>
      </w:pPr>
      <w:r w:rsidRPr="00FF525D">
        <w:rPr>
          <w:rFonts w:eastAsia="Segoe UI" w:cstheme="minorHAnsi"/>
          <w:color w:val="011A3C"/>
          <w:sz w:val="24"/>
          <w:szCs w:val="24"/>
          <w:lang w:eastAsia="en-AU"/>
        </w:rPr>
        <w:t>programs/activities to attract or retain enrolments.</w:t>
      </w:r>
    </w:p>
    <w:p w14:paraId="3925015A" w14:textId="77777777" w:rsidR="00EB7A03" w:rsidRPr="00FF525D" w:rsidRDefault="00EB7A03" w:rsidP="00EB7A03">
      <w:pPr>
        <w:rPr>
          <w:rFonts w:eastAsia="MS Gothic" w:cstheme="minorHAnsi"/>
          <w:b/>
          <w:color w:val="2F5496" w:themeColor="accent1" w:themeShade="BF"/>
          <w:sz w:val="36"/>
          <w:szCs w:val="26"/>
          <w:lang w:val="en" w:eastAsia="en-AU"/>
        </w:rPr>
      </w:pPr>
    </w:p>
    <w:p w14:paraId="59BE7D9E" w14:textId="77777777" w:rsidR="00305458" w:rsidRDefault="00305458">
      <w:pPr>
        <w:rPr>
          <w:rFonts w:ascii="Calibri Light" w:eastAsia="Calibri Light" w:hAnsi="Calibri Light" w:cs="Calibri Light"/>
          <w:b/>
          <w:bCs/>
          <w:color w:val="2F5496" w:themeColor="accent1" w:themeShade="BF"/>
          <w:sz w:val="36"/>
          <w:szCs w:val="36"/>
          <w:lang w:val="en" w:eastAsia="en-AU"/>
        </w:rPr>
      </w:pPr>
      <w:r>
        <w:br w:type="page"/>
      </w:r>
    </w:p>
    <w:p w14:paraId="3A3054AD" w14:textId="7CAC1D8B" w:rsidR="00C23301" w:rsidRPr="00260C1D" w:rsidRDefault="0010652C" w:rsidP="00532A33">
      <w:pPr>
        <w:pStyle w:val="Heading2"/>
      </w:pPr>
      <w:bookmarkStart w:id="290" w:name="_Toc141965302"/>
      <w:bookmarkStart w:id="291" w:name="_Toc145339628"/>
      <w:bookmarkStart w:id="292" w:name="_Toc153791951"/>
      <w:r>
        <w:lastRenderedPageBreak/>
        <w:t>Teach Today &amp; Teach Tomorrow</w:t>
      </w:r>
      <w:r w:rsidRPr="0044361A">
        <w:t xml:space="preserve"> Program</w:t>
      </w:r>
      <w:r w:rsidR="00E73BBB" w:rsidRPr="008A14C9">
        <w:t>s</w:t>
      </w:r>
      <w:r w:rsidR="00213558" w:rsidRPr="008A14C9">
        <w:t xml:space="preserve"> </w:t>
      </w:r>
      <w:r w:rsidR="00C23301" w:rsidRPr="00260C1D">
        <w:t>(Reference 135)</w:t>
      </w:r>
      <w:bookmarkEnd w:id="290"/>
      <w:bookmarkEnd w:id="291"/>
      <w:bookmarkEnd w:id="292"/>
      <w:r w:rsidR="00C23301" w:rsidRPr="00260C1D">
        <w:t xml:space="preserve"> </w:t>
      </w:r>
    </w:p>
    <w:p w14:paraId="6B2D4032" w14:textId="0CECBF83" w:rsidR="0073086D" w:rsidRDefault="00E73BBB" w:rsidP="0073086D">
      <w:pPr>
        <w:spacing w:before="240" w:after="120"/>
        <w:jc w:val="both"/>
        <w:rPr>
          <w:rFonts w:cstheme="minorHAnsi"/>
          <w:sz w:val="24"/>
          <w:szCs w:val="24"/>
        </w:rPr>
      </w:pPr>
      <w:r w:rsidRPr="00E73BBB">
        <w:rPr>
          <w:rFonts w:cstheme="minorHAnsi"/>
          <w:sz w:val="24"/>
          <w:szCs w:val="24"/>
        </w:rPr>
        <w:t>Teach Today and Teach Tomorrow</w:t>
      </w:r>
      <w:r w:rsidR="00B47D70">
        <w:rPr>
          <w:rFonts w:cstheme="minorHAnsi"/>
          <w:sz w:val="24"/>
          <w:szCs w:val="24"/>
        </w:rPr>
        <w:t xml:space="preserve"> (TTTT)</w:t>
      </w:r>
      <w:r w:rsidRPr="00E73BBB">
        <w:rPr>
          <w:rFonts w:cstheme="minorHAnsi"/>
          <w:sz w:val="24"/>
          <w:szCs w:val="24"/>
        </w:rPr>
        <w:t xml:space="preserve"> programs seek to boost the supply of teachers in Victorian government schools, particularly in outer-metropolitan, rural and remote locations and in priority subject areas. The </w:t>
      </w:r>
      <w:r w:rsidR="00B47D70">
        <w:rPr>
          <w:rFonts w:cstheme="minorHAnsi"/>
          <w:sz w:val="24"/>
          <w:szCs w:val="24"/>
        </w:rPr>
        <w:t>d</w:t>
      </w:r>
      <w:r w:rsidRPr="00E73BBB">
        <w:rPr>
          <w:rFonts w:cstheme="minorHAnsi"/>
          <w:sz w:val="24"/>
          <w:szCs w:val="24"/>
        </w:rPr>
        <w:t xml:space="preserve">epartment is working in partnership with </w:t>
      </w:r>
      <w:r w:rsidR="0073086D">
        <w:rPr>
          <w:rFonts w:cstheme="minorHAnsi"/>
          <w:sz w:val="24"/>
          <w:szCs w:val="24"/>
        </w:rPr>
        <w:t xml:space="preserve">the following </w:t>
      </w:r>
      <w:r w:rsidR="006375B5">
        <w:rPr>
          <w:rFonts w:cstheme="minorHAnsi"/>
          <w:sz w:val="24"/>
          <w:szCs w:val="24"/>
        </w:rPr>
        <w:t>Initial Teach</w:t>
      </w:r>
      <w:r w:rsidR="00000347">
        <w:rPr>
          <w:rFonts w:cstheme="minorHAnsi"/>
          <w:sz w:val="24"/>
          <w:szCs w:val="24"/>
        </w:rPr>
        <w:t>er</w:t>
      </w:r>
      <w:r w:rsidR="006375B5">
        <w:rPr>
          <w:rFonts w:cstheme="minorHAnsi"/>
          <w:sz w:val="24"/>
          <w:szCs w:val="24"/>
        </w:rPr>
        <w:t xml:space="preserve"> Education (</w:t>
      </w:r>
      <w:r w:rsidRPr="00E73BBB">
        <w:rPr>
          <w:rFonts w:cstheme="minorHAnsi"/>
          <w:sz w:val="24"/>
          <w:szCs w:val="24"/>
        </w:rPr>
        <w:t>ITE</w:t>
      </w:r>
      <w:r w:rsidR="006375B5">
        <w:rPr>
          <w:rFonts w:cstheme="minorHAnsi"/>
          <w:sz w:val="24"/>
          <w:szCs w:val="24"/>
        </w:rPr>
        <w:t>)</w:t>
      </w:r>
      <w:r w:rsidRPr="00E73BBB">
        <w:rPr>
          <w:rFonts w:cstheme="minorHAnsi"/>
          <w:sz w:val="24"/>
          <w:szCs w:val="24"/>
        </w:rPr>
        <w:t xml:space="preserve"> providers to attract and train local teachers</w:t>
      </w:r>
      <w:r w:rsidR="0073086D" w:rsidRPr="00E73BBB">
        <w:rPr>
          <w:rFonts w:cstheme="minorHAnsi"/>
          <w:sz w:val="24"/>
          <w:szCs w:val="24"/>
        </w:rPr>
        <w:t xml:space="preserve">: </w:t>
      </w:r>
    </w:p>
    <w:p w14:paraId="4204A5B7" w14:textId="77777777" w:rsidR="0073086D" w:rsidRDefault="00E73BBB" w:rsidP="0073086D">
      <w:pPr>
        <w:pStyle w:val="ListParagraph"/>
        <w:numPr>
          <w:ilvl w:val="0"/>
          <w:numId w:val="120"/>
        </w:numPr>
        <w:spacing w:before="240" w:after="120"/>
        <w:jc w:val="both"/>
        <w:rPr>
          <w:rFonts w:cstheme="minorHAnsi"/>
          <w:sz w:val="24"/>
          <w:szCs w:val="24"/>
        </w:rPr>
      </w:pPr>
      <w:r w:rsidRPr="00E73BBB">
        <w:rPr>
          <w:rFonts w:cstheme="minorHAnsi"/>
          <w:sz w:val="24"/>
          <w:szCs w:val="24"/>
        </w:rPr>
        <w:t>Australian Catholic University (ACU</w:t>
      </w:r>
      <w:r w:rsidR="0073086D" w:rsidRPr="002D6958">
        <w:rPr>
          <w:rFonts w:cstheme="minorHAnsi"/>
          <w:sz w:val="24"/>
          <w:szCs w:val="24"/>
        </w:rPr>
        <w:t>)</w:t>
      </w:r>
    </w:p>
    <w:p w14:paraId="47563885" w14:textId="77777777" w:rsidR="0073086D" w:rsidRDefault="00E73BBB" w:rsidP="0073086D">
      <w:pPr>
        <w:pStyle w:val="ListParagraph"/>
        <w:numPr>
          <w:ilvl w:val="0"/>
          <w:numId w:val="120"/>
        </w:numPr>
        <w:spacing w:before="240" w:after="120"/>
        <w:jc w:val="both"/>
        <w:rPr>
          <w:rFonts w:cstheme="minorHAnsi"/>
          <w:sz w:val="24"/>
          <w:szCs w:val="24"/>
        </w:rPr>
      </w:pPr>
      <w:r w:rsidRPr="00E73BBB">
        <w:rPr>
          <w:rFonts w:cstheme="minorHAnsi"/>
          <w:sz w:val="24"/>
          <w:szCs w:val="24"/>
        </w:rPr>
        <w:t>Deakin University</w:t>
      </w:r>
    </w:p>
    <w:p w14:paraId="51C31464" w14:textId="77777777" w:rsidR="0073086D" w:rsidRDefault="00E73BBB" w:rsidP="0073086D">
      <w:pPr>
        <w:pStyle w:val="ListParagraph"/>
        <w:numPr>
          <w:ilvl w:val="0"/>
          <w:numId w:val="120"/>
        </w:numPr>
        <w:spacing w:before="240" w:after="120"/>
        <w:jc w:val="both"/>
        <w:rPr>
          <w:rFonts w:cstheme="minorHAnsi"/>
          <w:sz w:val="24"/>
          <w:szCs w:val="24"/>
        </w:rPr>
      </w:pPr>
      <w:r w:rsidRPr="00E73BBB">
        <w:rPr>
          <w:rFonts w:cstheme="minorHAnsi"/>
          <w:sz w:val="24"/>
          <w:szCs w:val="24"/>
        </w:rPr>
        <w:t>Federation University</w:t>
      </w:r>
    </w:p>
    <w:p w14:paraId="43F22482" w14:textId="717BB8E3" w:rsidR="0073086D" w:rsidRDefault="00E73BBB" w:rsidP="0073086D">
      <w:pPr>
        <w:pStyle w:val="ListParagraph"/>
        <w:numPr>
          <w:ilvl w:val="0"/>
          <w:numId w:val="120"/>
        </w:numPr>
        <w:spacing w:before="240" w:after="120"/>
        <w:jc w:val="both"/>
        <w:rPr>
          <w:rFonts w:cstheme="minorHAnsi"/>
          <w:sz w:val="24"/>
          <w:szCs w:val="24"/>
        </w:rPr>
      </w:pPr>
      <w:r w:rsidRPr="00E73BBB">
        <w:rPr>
          <w:rFonts w:cstheme="minorHAnsi"/>
          <w:sz w:val="24"/>
          <w:szCs w:val="24"/>
        </w:rPr>
        <w:t>La Trobe University</w:t>
      </w:r>
      <w:r w:rsidR="003942BC">
        <w:rPr>
          <w:rFonts w:cstheme="minorHAnsi"/>
          <w:sz w:val="24"/>
          <w:szCs w:val="24"/>
        </w:rPr>
        <w:t xml:space="preserve"> (Nexus</w:t>
      </w:r>
      <w:r w:rsidR="0073086D" w:rsidRPr="002D6958">
        <w:rPr>
          <w:rFonts w:cstheme="minorHAnsi"/>
          <w:sz w:val="24"/>
          <w:szCs w:val="24"/>
        </w:rPr>
        <w:t>)</w:t>
      </w:r>
    </w:p>
    <w:p w14:paraId="3B6F6372" w14:textId="77777777" w:rsidR="0073086D" w:rsidRDefault="00E73BBB" w:rsidP="0073086D">
      <w:pPr>
        <w:pStyle w:val="ListParagraph"/>
        <w:numPr>
          <w:ilvl w:val="0"/>
          <w:numId w:val="120"/>
        </w:numPr>
        <w:spacing w:before="240" w:after="120"/>
        <w:jc w:val="both"/>
        <w:rPr>
          <w:rFonts w:cstheme="minorHAnsi"/>
          <w:sz w:val="24"/>
          <w:szCs w:val="24"/>
        </w:rPr>
      </w:pPr>
      <w:r w:rsidRPr="00E73BBB">
        <w:rPr>
          <w:rFonts w:cstheme="minorHAnsi"/>
          <w:sz w:val="24"/>
          <w:szCs w:val="24"/>
        </w:rPr>
        <w:t>RMIT</w:t>
      </w:r>
    </w:p>
    <w:p w14:paraId="3B46EC8C" w14:textId="77777777" w:rsidR="0073086D" w:rsidRDefault="00E73BBB" w:rsidP="0073086D">
      <w:pPr>
        <w:pStyle w:val="ListParagraph"/>
        <w:numPr>
          <w:ilvl w:val="0"/>
          <w:numId w:val="120"/>
        </w:numPr>
        <w:spacing w:before="240" w:after="120"/>
        <w:jc w:val="both"/>
        <w:rPr>
          <w:rFonts w:cstheme="minorHAnsi"/>
          <w:sz w:val="24"/>
          <w:szCs w:val="24"/>
        </w:rPr>
      </w:pPr>
      <w:r w:rsidRPr="00E73BBB">
        <w:rPr>
          <w:rFonts w:cstheme="minorHAnsi"/>
          <w:sz w:val="24"/>
          <w:szCs w:val="24"/>
        </w:rPr>
        <w:t>Teach For Australia (ACU</w:t>
      </w:r>
      <w:r w:rsidR="0073086D" w:rsidRPr="002D6958">
        <w:rPr>
          <w:rFonts w:cstheme="minorHAnsi"/>
          <w:sz w:val="24"/>
          <w:szCs w:val="24"/>
        </w:rPr>
        <w:t>)</w:t>
      </w:r>
    </w:p>
    <w:p w14:paraId="2AED926C" w14:textId="77777777" w:rsidR="0073086D" w:rsidRDefault="00E73BBB" w:rsidP="0073086D">
      <w:pPr>
        <w:pStyle w:val="ListParagraph"/>
        <w:numPr>
          <w:ilvl w:val="0"/>
          <w:numId w:val="120"/>
        </w:numPr>
        <w:spacing w:before="240" w:after="120"/>
        <w:jc w:val="both"/>
        <w:rPr>
          <w:rFonts w:cstheme="minorHAnsi"/>
          <w:sz w:val="24"/>
          <w:szCs w:val="24"/>
        </w:rPr>
      </w:pPr>
      <w:r w:rsidRPr="00E73BBB">
        <w:rPr>
          <w:rFonts w:cstheme="minorHAnsi"/>
          <w:sz w:val="24"/>
          <w:szCs w:val="24"/>
        </w:rPr>
        <w:t>Victoria University</w:t>
      </w:r>
    </w:p>
    <w:p w14:paraId="771711B9" w14:textId="3270D46D" w:rsidR="0073086D" w:rsidRPr="002D6958" w:rsidRDefault="0073086D" w:rsidP="24C832D9">
      <w:pPr>
        <w:pStyle w:val="ListParagraph"/>
        <w:numPr>
          <w:ilvl w:val="0"/>
          <w:numId w:val="120"/>
        </w:numPr>
        <w:spacing w:before="240" w:after="120"/>
        <w:jc w:val="both"/>
        <w:rPr>
          <w:sz w:val="24"/>
          <w:szCs w:val="24"/>
        </w:rPr>
      </w:pPr>
      <w:r w:rsidRPr="24C832D9">
        <w:rPr>
          <w:sz w:val="24"/>
          <w:szCs w:val="24"/>
        </w:rPr>
        <w:t>the University of Melbourne</w:t>
      </w:r>
    </w:p>
    <w:p w14:paraId="4B0FD3E7" w14:textId="67341686" w:rsidR="0073086D" w:rsidRPr="0094470C" w:rsidRDefault="0073086D" w:rsidP="0073086D">
      <w:pPr>
        <w:spacing w:before="240" w:after="120"/>
        <w:jc w:val="both"/>
        <w:rPr>
          <w:rFonts w:cstheme="minorHAnsi"/>
          <w:sz w:val="24"/>
          <w:szCs w:val="24"/>
        </w:rPr>
      </w:pPr>
      <w:r w:rsidRPr="0094470C">
        <w:rPr>
          <w:rFonts w:cstheme="minorHAnsi"/>
          <w:sz w:val="24"/>
          <w:szCs w:val="24"/>
        </w:rPr>
        <w:t xml:space="preserve">The </w:t>
      </w:r>
      <w:r w:rsidR="00B47D70">
        <w:rPr>
          <w:rFonts w:cstheme="minorHAnsi"/>
          <w:sz w:val="24"/>
          <w:szCs w:val="24"/>
        </w:rPr>
        <w:t xml:space="preserve">TTTT </w:t>
      </w:r>
      <w:r w:rsidRPr="0094470C">
        <w:rPr>
          <w:rFonts w:cstheme="minorHAnsi"/>
          <w:sz w:val="24"/>
          <w:szCs w:val="24"/>
        </w:rPr>
        <w:t>programs provide teaching students with paid employment in Victorian government schools as</w:t>
      </w:r>
      <w:r>
        <w:rPr>
          <w:rFonts w:cstheme="minorHAnsi"/>
          <w:sz w:val="24"/>
          <w:szCs w:val="24"/>
        </w:rPr>
        <w:t xml:space="preserve"> education support staff or </w:t>
      </w:r>
      <w:r w:rsidRPr="0094470C">
        <w:rPr>
          <w:rFonts w:cstheme="minorHAnsi"/>
          <w:sz w:val="24"/>
          <w:szCs w:val="24"/>
        </w:rPr>
        <w:t xml:space="preserve">teaching paraprofessionals while they complete </w:t>
      </w:r>
      <w:r w:rsidR="003942BC">
        <w:rPr>
          <w:rFonts w:cstheme="minorHAnsi"/>
          <w:sz w:val="24"/>
          <w:szCs w:val="24"/>
        </w:rPr>
        <w:t>an undergraduate or</w:t>
      </w:r>
      <w:r w:rsidR="003942BC" w:rsidRPr="0094470C">
        <w:rPr>
          <w:rFonts w:cstheme="minorHAnsi"/>
          <w:sz w:val="24"/>
          <w:szCs w:val="24"/>
        </w:rPr>
        <w:t xml:space="preserve"> </w:t>
      </w:r>
      <w:r w:rsidRPr="0094470C">
        <w:rPr>
          <w:rFonts w:cstheme="minorHAnsi"/>
          <w:sz w:val="24"/>
          <w:szCs w:val="24"/>
        </w:rPr>
        <w:t xml:space="preserve">postgraduate teaching degree. </w:t>
      </w:r>
    </w:p>
    <w:p w14:paraId="39411BC3" w14:textId="6623826C" w:rsidR="0073086D" w:rsidRPr="0094470C" w:rsidRDefault="0073086D" w:rsidP="24C832D9">
      <w:pPr>
        <w:spacing w:before="240" w:after="120"/>
        <w:jc w:val="both"/>
        <w:rPr>
          <w:sz w:val="24"/>
          <w:szCs w:val="24"/>
        </w:rPr>
      </w:pPr>
      <w:r w:rsidRPr="24C832D9">
        <w:rPr>
          <w:sz w:val="24"/>
          <w:szCs w:val="24"/>
        </w:rPr>
        <w:t>Teach Today students receive a $2,400 department scholarship for the initial intensive study period</w:t>
      </w:r>
      <w:r w:rsidR="003942BC" w:rsidRPr="24C832D9">
        <w:rPr>
          <w:sz w:val="24"/>
          <w:szCs w:val="24"/>
        </w:rPr>
        <w:t xml:space="preserve"> prior to working in a classroom as a pre-serv</w:t>
      </w:r>
      <w:r w:rsidR="00CB4168" w:rsidRPr="24C832D9">
        <w:rPr>
          <w:sz w:val="24"/>
          <w:szCs w:val="24"/>
        </w:rPr>
        <w:t>i</w:t>
      </w:r>
      <w:r w:rsidR="003942BC" w:rsidRPr="24C832D9">
        <w:rPr>
          <w:sz w:val="24"/>
          <w:szCs w:val="24"/>
        </w:rPr>
        <w:t>ce teacher</w:t>
      </w:r>
      <w:r w:rsidR="003F4311" w:rsidRPr="24C832D9">
        <w:rPr>
          <w:sz w:val="24"/>
          <w:szCs w:val="24"/>
        </w:rPr>
        <w:t xml:space="preserve"> for 18-24 months.</w:t>
      </w:r>
    </w:p>
    <w:p w14:paraId="11D2CF53" w14:textId="20CDC322" w:rsidR="0073086D" w:rsidRPr="0094470C" w:rsidRDefault="0073086D" w:rsidP="0073086D">
      <w:pPr>
        <w:spacing w:before="240" w:after="120"/>
        <w:jc w:val="both"/>
        <w:rPr>
          <w:sz w:val="24"/>
          <w:szCs w:val="24"/>
        </w:rPr>
      </w:pPr>
      <w:r w:rsidRPr="694F7FDA">
        <w:rPr>
          <w:sz w:val="24"/>
          <w:szCs w:val="24"/>
        </w:rPr>
        <w:t>Teach Tomorrow students receive a $15,000 department scholarship while they study for the first 6-12 months</w:t>
      </w:r>
      <w:r w:rsidR="003F4311" w:rsidRPr="694F7FDA">
        <w:rPr>
          <w:sz w:val="24"/>
          <w:szCs w:val="24"/>
        </w:rPr>
        <w:t xml:space="preserve"> prior to being employed as education support staff or pre-service teachers for the remainder of their studies</w:t>
      </w:r>
      <w:r w:rsidRPr="694F7FDA">
        <w:rPr>
          <w:sz w:val="24"/>
          <w:szCs w:val="24"/>
        </w:rPr>
        <w:t>.</w:t>
      </w:r>
    </w:p>
    <w:p w14:paraId="5F686191" w14:textId="3CB7ABC6" w:rsidR="0073086D" w:rsidRPr="0094470C" w:rsidRDefault="00081EDD" w:rsidP="0073086D">
      <w:pPr>
        <w:spacing w:before="240" w:after="120"/>
        <w:jc w:val="both"/>
        <w:rPr>
          <w:rFonts w:cstheme="minorHAnsi"/>
          <w:sz w:val="24"/>
          <w:szCs w:val="24"/>
        </w:rPr>
      </w:pPr>
      <w:r>
        <w:rPr>
          <w:rFonts w:cstheme="minorHAnsi"/>
          <w:sz w:val="24"/>
          <w:szCs w:val="24"/>
        </w:rPr>
        <w:t>All s</w:t>
      </w:r>
      <w:r w:rsidR="0073086D" w:rsidRPr="0094470C">
        <w:rPr>
          <w:rFonts w:cstheme="minorHAnsi"/>
          <w:sz w:val="24"/>
          <w:szCs w:val="24"/>
        </w:rPr>
        <w:t>tudents who identify as Aboriginal and/or Torres Strait Islander will also receive an additional $15,000 department scholarship to support them during the program.</w:t>
      </w:r>
    </w:p>
    <w:p w14:paraId="4273DD47" w14:textId="6D45A12B" w:rsidR="0073086D" w:rsidRDefault="003F4311" w:rsidP="0073086D">
      <w:pPr>
        <w:spacing w:before="240" w:after="120"/>
        <w:jc w:val="both"/>
        <w:rPr>
          <w:rFonts w:cstheme="minorHAnsi"/>
          <w:sz w:val="24"/>
          <w:szCs w:val="24"/>
        </w:rPr>
      </w:pPr>
      <w:r>
        <w:rPr>
          <w:rFonts w:cstheme="minorHAnsi"/>
          <w:sz w:val="24"/>
          <w:szCs w:val="24"/>
        </w:rPr>
        <w:t>All</w:t>
      </w:r>
      <w:r w:rsidR="0073086D" w:rsidRPr="0094470C">
        <w:rPr>
          <w:rFonts w:cstheme="minorHAnsi"/>
          <w:sz w:val="24"/>
          <w:szCs w:val="24"/>
        </w:rPr>
        <w:t xml:space="preserve"> students who relocate to a rural or regional school for the employment element of the program may also be eligible for a $2,000 relocation incentive to assist with relocation costs.</w:t>
      </w:r>
      <w:r w:rsidR="0073086D" w:rsidRPr="0094470C" w:rsidDel="0094470C">
        <w:rPr>
          <w:rFonts w:cstheme="minorHAnsi"/>
          <w:sz w:val="24"/>
          <w:szCs w:val="24"/>
        </w:rPr>
        <w:t xml:space="preserve"> </w:t>
      </w:r>
    </w:p>
    <w:p w14:paraId="71FCD251" w14:textId="77777777" w:rsidR="0073086D" w:rsidRDefault="0073086D" w:rsidP="0073086D">
      <w:pPr>
        <w:spacing w:before="240" w:after="120"/>
        <w:jc w:val="both"/>
      </w:pPr>
      <w:r w:rsidRPr="00E73BBB">
        <w:rPr>
          <w:rFonts w:cstheme="minorHAnsi"/>
          <w:sz w:val="24"/>
          <w:szCs w:val="24"/>
        </w:rPr>
        <w:t xml:space="preserve">CRT payments will be allocated directly to participating schools at a rate of 6 CRT days per participating student teacher </w:t>
      </w:r>
      <w:r>
        <w:rPr>
          <w:rFonts w:cstheme="minorHAnsi"/>
          <w:sz w:val="24"/>
          <w:szCs w:val="24"/>
        </w:rPr>
        <w:t xml:space="preserve">to support the host school in releasing the </w:t>
      </w:r>
      <w:r w:rsidRPr="00E73BBB">
        <w:rPr>
          <w:rFonts w:cstheme="minorHAnsi"/>
          <w:sz w:val="24"/>
          <w:szCs w:val="24"/>
        </w:rPr>
        <w:t xml:space="preserve">mentor teacher </w:t>
      </w:r>
      <w:r>
        <w:rPr>
          <w:rFonts w:cstheme="minorHAnsi"/>
          <w:sz w:val="24"/>
          <w:szCs w:val="24"/>
        </w:rPr>
        <w:t xml:space="preserve">from the classroom </w:t>
      </w:r>
      <w:r w:rsidRPr="00E73BBB">
        <w:rPr>
          <w:rFonts w:cstheme="minorHAnsi"/>
          <w:sz w:val="24"/>
          <w:szCs w:val="24"/>
        </w:rPr>
        <w:t>to spend time mentoring the participating student</w:t>
      </w:r>
      <w:r>
        <w:rPr>
          <w:rFonts w:cstheme="minorHAnsi"/>
          <w:sz w:val="24"/>
          <w:szCs w:val="24"/>
        </w:rPr>
        <w:t xml:space="preserve"> during their employment</w:t>
      </w:r>
      <w:r w:rsidRPr="00E73BBB">
        <w:rPr>
          <w:rFonts w:cstheme="minorHAnsi"/>
          <w:sz w:val="24"/>
          <w:szCs w:val="24"/>
        </w:rPr>
        <w:t>.</w:t>
      </w:r>
      <w:r w:rsidRPr="00BC70C0">
        <w:t xml:space="preserve"> </w:t>
      </w:r>
    </w:p>
    <w:p w14:paraId="0B1D725A" w14:textId="77777777" w:rsidR="0073086D" w:rsidRPr="00BF3B10" w:rsidRDefault="0073086D" w:rsidP="0073086D">
      <w:pPr>
        <w:spacing w:before="240" w:after="120"/>
        <w:jc w:val="both"/>
        <w:rPr>
          <w:rFonts w:cstheme="minorHAnsi"/>
          <w:sz w:val="24"/>
          <w:szCs w:val="24"/>
        </w:rPr>
      </w:pPr>
      <w:r w:rsidRPr="00BF3B10">
        <w:rPr>
          <w:rFonts w:cstheme="minorHAnsi"/>
          <w:sz w:val="24"/>
          <w:szCs w:val="24"/>
        </w:rPr>
        <w:t>Targeted school support funding is available to eligible schools interested in hosting a student to mitigate financial barriers.</w:t>
      </w:r>
      <w:r>
        <w:rPr>
          <w:rFonts w:cstheme="minorHAnsi"/>
          <w:sz w:val="24"/>
          <w:szCs w:val="24"/>
        </w:rPr>
        <w:t xml:space="preserve"> Approximately $31,000 will be provided to eligible schools facing budget constraints, level of hard-to-staff and consultation with the relevant regional office. </w:t>
      </w:r>
    </w:p>
    <w:p w14:paraId="03B8A32B" w14:textId="77777777" w:rsidR="0073086D" w:rsidRPr="00E73BBB" w:rsidRDefault="0073086D" w:rsidP="0073086D">
      <w:pPr>
        <w:spacing w:before="240" w:after="120"/>
        <w:jc w:val="both"/>
        <w:rPr>
          <w:rFonts w:cstheme="minorHAnsi"/>
          <w:sz w:val="24"/>
          <w:szCs w:val="24"/>
        </w:rPr>
      </w:pPr>
      <w:r w:rsidRPr="002D6958">
        <w:rPr>
          <w:sz w:val="24"/>
          <w:szCs w:val="24"/>
        </w:rPr>
        <w:t xml:space="preserve">Refer to: </w:t>
      </w:r>
      <w:hyperlink r:id="rId219" w:history="1">
        <w:r w:rsidRPr="002D6958">
          <w:rPr>
            <w:rStyle w:val="Hyperlink"/>
            <w:sz w:val="24"/>
            <w:szCs w:val="24"/>
          </w:rPr>
          <w:t>Employment-Based Degrees: Teach Today and Teach Tomorrow Programs</w:t>
        </w:r>
      </w:hyperlink>
      <w:r w:rsidRPr="002D6958">
        <w:rPr>
          <w:sz w:val="24"/>
          <w:szCs w:val="24"/>
        </w:rPr>
        <w:t>.</w:t>
      </w:r>
    </w:p>
    <w:p w14:paraId="71FCD34D" w14:textId="77777777" w:rsidR="00F86BA5" w:rsidRPr="00E73BBB" w:rsidRDefault="00F86BA5" w:rsidP="0073086D">
      <w:pPr>
        <w:spacing w:before="240" w:after="120"/>
        <w:jc w:val="both"/>
        <w:rPr>
          <w:rFonts w:cstheme="minorHAnsi"/>
          <w:sz w:val="24"/>
          <w:szCs w:val="24"/>
        </w:rPr>
      </w:pPr>
    </w:p>
    <w:p w14:paraId="0B433201" w14:textId="77777777" w:rsidR="0073086D" w:rsidRPr="00260C1D" w:rsidRDefault="0073086D" w:rsidP="0073086D">
      <w:pPr>
        <w:spacing w:before="100" w:beforeAutospacing="1" w:after="100" w:afterAutospacing="1" w:line="288" w:lineRule="atLeast"/>
        <w:outlineLvl w:val="2"/>
        <w:rPr>
          <w:rFonts w:cstheme="minorHAnsi"/>
          <w:b/>
          <w:color w:val="011A3C"/>
          <w:sz w:val="27"/>
          <w:szCs w:val="27"/>
          <w:lang w:val="en" w:eastAsia="en-AU"/>
        </w:rPr>
      </w:pPr>
      <w:r w:rsidRPr="00260C1D">
        <w:rPr>
          <w:rFonts w:cstheme="minorHAnsi"/>
          <w:b/>
          <w:color w:val="011A3C"/>
          <w:sz w:val="27"/>
          <w:szCs w:val="27"/>
          <w:lang w:val="en" w:eastAsia="en-AU"/>
        </w:rPr>
        <w:t>Eligibility</w:t>
      </w:r>
    </w:p>
    <w:p w14:paraId="10B1E1C4" w14:textId="2AE27546" w:rsidR="003F4311" w:rsidRDefault="003F4311" w:rsidP="0073086D">
      <w:pPr>
        <w:pStyle w:val="ListParagraph"/>
        <w:numPr>
          <w:ilvl w:val="0"/>
          <w:numId w:val="94"/>
        </w:numPr>
        <w:spacing w:before="240" w:after="120"/>
        <w:jc w:val="both"/>
        <w:rPr>
          <w:rFonts w:cstheme="minorHAnsi"/>
          <w:sz w:val="24"/>
          <w:szCs w:val="24"/>
        </w:rPr>
      </w:pPr>
      <w:r>
        <w:rPr>
          <w:rFonts w:cstheme="minorHAnsi"/>
          <w:sz w:val="24"/>
          <w:szCs w:val="24"/>
        </w:rPr>
        <w:t>Primary Schools</w:t>
      </w:r>
    </w:p>
    <w:p w14:paraId="2BE1FBC0" w14:textId="5BD18A42" w:rsidR="0073086D" w:rsidRPr="005B57A2" w:rsidRDefault="0073086D" w:rsidP="0073086D">
      <w:pPr>
        <w:pStyle w:val="ListParagraph"/>
        <w:numPr>
          <w:ilvl w:val="0"/>
          <w:numId w:val="94"/>
        </w:numPr>
        <w:spacing w:before="240" w:after="120"/>
        <w:jc w:val="both"/>
        <w:rPr>
          <w:rFonts w:cstheme="minorHAnsi"/>
          <w:sz w:val="24"/>
          <w:szCs w:val="24"/>
        </w:rPr>
      </w:pPr>
      <w:r w:rsidRPr="005B57A2">
        <w:rPr>
          <w:rFonts w:cstheme="minorHAnsi"/>
          <w:sz w:val="24"/>
          <w:szCs w:val="24"/>
        </w:rPr>
        <w:lastRenderedPageBreak/>
        <w:t>Secondary Schools</w:t>
      </w:r>
    </w:p>
    <w:p w14:paraId="1783AEBF" w14:textId="2344F173" w:rsidR="0073086D" w:rsidRPr="005B57A2" w:rsidRDefault="0073086D" w:rsidP="0073086D">
      <w:pPr>
        <w:pStyle w:val="ListParagraph"/>
        <w:numPr>
          <w:ilvl w:val="0"/>
          <w:numId w:val="94"/>
        </w:numPr>
        <w:spacing w:before="240" w:after="120"/>
        <w:jc w:val="both"/>
        <w:rPr>
          <w:rFonts w:cstheme="minorHAnsi"/>
          <w:sz w:val="24"/>
          <w:szCs w:val="24"/>
        </w:rPr>
      </w:pPr>
      <w:r w:rsidRPr="005B57A2">
        <w:rPr>
          <w:rFonts w:cstheme="minorHAnsi"/>
          <w:sz w:val="24"/>
          <w:szCs w:val="24"/>
        </w:rPr>
        <w:t xml:space="preserve">P-12 Schools </w:t>
      </w:r>
    </w:p>
    <w:p w14:paraId="31D39F7E" w14:textId="77777777" w:rsidR="0073086D" w:rsidRPr="005B57A2" w:rsidRDefault="0073086D" w:rsidP="0073086D">
      <w:pPr>
        <w:pStyle w:val="ListParagraph"/>
        <w:numPr>
          <w:ilvl w:val="0"/>
          <w:numId w:val="94"/>
        </w:numPr>
        <w:spacing w:before="240" w:after="120"/>
        <w:jc w:val="both"/>
        <w:rPr>
          <w:rFonts w:eastAsia="Segoe UI" w:cstheme="minorHAnsi"/>
          <w:color w:val="011A3C"/>
          <w:sz w:val="24"/>
          <w:szCs w:val="24"/>
          <w:lang w:eastAsia="en-AU"/>
        </w:rPr>
      </w:pPr>
      <w:r w:rsidRPr="005B57A2">
        <w:rPr>
          <w:rFonts w:cstheme="minorHAnsi"/>
          <w:sz w:val="24"/>
          <w:szCs w:val="24"/>
        </w:rPr>
        <w:t xml:space="preserve">Specialist Schools </w:t>
      </w:r>
    </w:p>
    <w:p w14:paraId="1E9A70E7" w14:textId="77777777" w:rsidR="0073086D" w:rsidRDefault="0073086D" w:rsidP="0073086D">
      <w:pPr>
        <w:spacing w:before="240" w:after="120"/>
        <w:jc w:val="both"/>
        <w:rPr>
          <w:rFonts w:cstheme="minorHAnsi"/>
          <w:sz w:val="24"/>
          <w:szCs w:val="24"/>
        </w:rPr>
      </w:pPr>
      <w:r w:rsidRPr="005B57A2">
        <w:rPr>
          <w:rFonts w:cstheme="minorHAnsi"/>
          <w:sz w:val="24"/>
          <w:szCs w:val="24"/>
        </w:rPr>
        <w:t>Specifically, schools must be hosting students as part of this program to be eligible for this allocation.</w:t>
      </w:r>
    </w:p>
    <w:p w14:paraId="25EA1660" w14:textId="6CFF8899" w:rsidR="0073086D" w:rsidRDefault="003F4311" w:rsidP="0073086D">
      <w:pPr>
        <w:spacing w:before="240" w:after="120"/>
        <w:jc w:val="both"/>
        <w:rPr>
          <w:rFonts w:cstheme="minorHAnsi"/>
          <w:sz w:val="24"/>
          <w:szCs w:val="24"/>
        </w:rPr>
      </w:pPr>
      <w:r>
        <w:rPr>
          <w:rFonts w:cstheme="minorHAnsi"/>
          <w:sz w:val="24"/>
          <w:szCs w:val="24"/>
        </w:rPr>
        <w:t>Students enrolled in an employment-based program with the</w:t>
      </w:r>
      <w:r w:rsidR="0073086D" w:rsidRPr="00EA266A">
        <w:rPr>
          <w:rFonts w:cstheme="minorHAnsi"/>
          <w:sz w:val="24"/>
          <w:szCs w:val="24"/>
        </w:rPr>
        <w:t xml:space="preserve"> Australian Catholic University (ACU), Deakin University, Federation University, </w:t>
      </w:r>
      <w:r>
        <w:rPr>
          <w:rFonts w:cstheme="minorHAnsi"/>
          <w:sz w:val="24"/>
          <w:szCs w:val="24"/>
        </w:rPr>
        <w:t>La Trobe University (Nexus)</w:t>
      </w:r>
      <w:r w:rsidR="0073086D" w:rsidRPr="00EA266A">
        <w:rPr>
          <w:rFonts w:cstheme="minorHAnsi"/>
          <w:sz w:val="24"/>
          <w:szCs w:val="24"/>
        </w:rPr>
        <w:t xml:space="preserve">, RMIT, Teach For Australia, Victoria University, and the University of Melbourne </w:t>
      </w:r>
      <w:r>
        <w:rPr>
          <w:rFonts w:cstheme="minorHAnsi"/>
          <w:sz w:val="24"/>
          <w:szCs w:val="24"/>
        </w:rPr>
        <w:t>are completing a Master of Teaching Secondary while being hosted by a s</w:t>
      </w:r>
      <w:r w:rsidRPr="00EA266A">
        <w:rPr>
          <w:rFonts w:cstheme="minorHAnsi"/>
          <w:sz w:val="24"/>
          <w:szCs w:val="24"/>
        </w:rPr>
        <w:t xml:space="preserve">econdary </w:t>
      </w:r>
      <w:r>
        <w:rPr>
          <w:rFonts w:cstheme="minorHAnsi"/>
          <w:sz w:val="24"/>
          <w:szCs w:val="24"/>
        </w:rPr>
        <w:t>or</w:t>
      </w:r>
      <w:r w:rsidRPr="00EA266A">
        <w:rPr>
          <w:rFonts w:cstheme="minorHAnsi"/>
          <w:sz w:val="24"/>
          <w:szCs w:val="24"/>
        </w:rPr>
        <w:t xml:space="preserve"> specialist school</w:t>
      </w:r>
      <w:r>
        <w:rPr>
          <w:rFonts w:cstheme="minorHAnsi"/>
          <w:sz w:val="24"/>
          <w:szCs w:val="24"/>
        </w:rPr>
        <w:t xml:space="preserve"> through</w:t>
      </w:r>
      <w:r w:rsidR="0073086D" w:rsidRPr="00EA266A">
        <w:rPr>
          <w:rFonts w:cstheme="minorHAnsi"/>
          <w:sz w:val="24"/>
          <w:szCs w:val="24"/>
        </w:rPr>
        <w:t xml:space="preserve"> Teach Today and Teach Tomorrow programs.</w:t>
      </w:r>
    </w:p>
    <w:p w14:paraId="20692D27" w14:textId="7D36D6CE" w:rsidR="0073086D" w:rsidRDefault="003F4311" w:rsidP="0073086D">
      <w:pPr>
        <w:spacing w:before="240" w:after="120"/>
        <w:jc w:val="both"/>
        <w:rPr>
          <w:rFonts w:cstheme="minorHAnsi"/>
          <w:sz w:val="24"/>
          <w:szCs w:val="24"/>
        </w:rPr>
      </w:pPr>
      <w:r>
        <w:rPr>
          <w:rFonts w:cstheme="minorHAnsi"/>
          <w:sz w:val="24"/>
          <w:szCs w:val="24"/>
        </w:rPr>
        <w:t>Students enrolled in the employment-based program with</w:t>
      </w:r>
      <w:r w:rsidRPr="00EA266A">
        <w:rPr>
          <w:rFonts w:cstheme="minorHAnsi"/>
          <w:sz w:val="24"/>
          <w:szCs w:val="24"/>
        </w:rPr>
        <w:t xml:space="preserve"> </w:t>
      </w:r>
      <w:r>
        <w:rPr>
          <w:rFonts w:cstheme="minorHAnsi"/>
          <w:sz w:val="24"/>
          <w:szCs w:val="24"/>
        </w:rPr>
        <w:t>La Trobe University (Nexus</w:t>
      </w:r>
      <w:r w:rsidRPr="00EA266A">
        <w:rPr>
          <w:rFonts w:cstheme="minorHAnsi"/>
          <w:sz w:val="24"/>
          <w:szCs w:val="24"/>
        </w:rPr>
        <w:t xml:space="preserve"> </w:t>
      </w:r>
      <w:r>
        <w:rPr>
          <w:rFonts w:cstheme="minorHAnsi"/>
          <w:sz w:val="24"/>
          <w:szCs w:val="24"/>
        </w:rPr>
        <w:t>are completing a Master of Teaching Primary while being hosted by a Primary</w:t>
      </w:r>
      <w:r w:rsidR="00187849">
        <w:rPr>
          <w:rFonts w:cstheme="minorHAnsi"/>
          <w:sz w:val="24"/>
          <w:szCs w:val="24"/>
        </w:rPr>
        <w:t xml:space="preserve"> or </w:t>
      </w:r>
      <w:r w:rsidR="00DA7A4C">
        <w:rPr>
          <w:rFonts w:cstheme="minorHAnsi"/>
          <w:sz w:val="24"/>
          <w:szCs w:val="24"/>
        </w:rPr>
        <w:t>specialist</w:t>
      </w:r>
      <w:r>
        <w:rPr>
          <w:rFonts w:cstheme="minorHAnsi"/>
          <w:sz w:val="24"/>
          <w:szCs w:val="24"/>
        </w:rPr>
        <w:t xml:space="preserve"> </w:t>
      </w:r>
      <w:r w:rsidRPr="00EA266A">
        <w:rPr>
          <w:rFonts w:cstheme="minorHAnsi"/>
          <w:sz w:val="24"/>
          <w:szCs w:val="24"/>
        </w:rPr>
        <w:t>school</w:t>
      </w:r>
      <w:r>
        <w:rPr>
          <w:rFonts w:cstheme="minorHAnsi"/>
          <w:sz w:val="24"/>
          <w:szCs w:val="24"/>
        </w:rPr>
        <w:t xml:space="preserve"> through</w:t>
      </w:r>
      <w:r w:rsidRPr="00EA266A">
        <w:rPr>
          <w:rFonts w:cstheme="minorHAnsi"/>
          <w:sz w:val="24"/>
          <w:szCs w:val="24"/>
        </w:rPr>
        <w:t xml:space="preserve"> Teach Today and Teach Tomorrow programs.</w:t>
      </w:r>
      <w:r w:rsidR="006B20FF">
        <w:rPr>
          <w:rFonts w:cstheme="minorHAnsi"/>
          <w:sz w:val="24"/>
          <w:szCs w:val="24"/>
        </w:rPr>
        <w:t xml:space="preserve"> </w:t>
      </w:r>
      <w:r w:rsidR="0073086D" w:rsidRPr="00EA266A">
        <w:rPr>
          <w:rFonts w:cstheme="minorHAnsi"/>
          <w:sz w:val="24"/>
          <w:szCs w:val="24"/>
        </w:rPr>
        <w:t xml:space="preserve">Funding will be allocated in instalments in March (confirmed) and August (indicative cycle) through credit </w:t>
      </w:r>
      <w:r w:rsidR="0073086D">
        <w:rPr>
          <w:rFonts w:cstheme="minorHAnsi"/>
          <w:sz w:val="24"/>
          <w:szCs w:val="24"/>
        </w:rPr>
        <w:t xml:space="preserve">and cash </w:t>
      </w:r>
      <w:r w:rsidR="0073086D" w:rsidRPr="00EA266A">
        <w:rPr>
          <w:rFonts w:cstheme="minorHAnsi"/>
          <w:sz w:val="24"/>
          <w:szCs w:val="24"/>
        </w:rPr>
        <w:t xml:space="preserve">funding and is calculated </w:t>
      </w:r>
      <w:r w:rsidR="0073086D">
        <w:rPr>
          <w:rFonts w:cstheme="minorHAnsi"/>
          <w:sz w:val="24"/>
          <w:szCs w:val="24"/>
        </w:rPr>
        <w:t>by the program area.</w:t>
      </w:r>
    </w:p>
    <w:p w14:paraId="617B26BC" w14:textId="77777777" w:rsidR="00A16D0D" w:rsidRPr="005B57A2" w:rsidRDefault="00A16D0D" w:rsidP="0073086D">
      <w:pPr>
        <w:spacing w:before="240" w:after="120"/>
        <w:jc w:val="both"/>
        <w:rPr>
          <w:rFonts w:cstheme="minorHAnsi"/>
          <w:sz w:val="24"/>
          <w:szCs w:val="24"/>
        </w:rPr>
      </w:pPr>
    </w:p>
    <w:p w14:paraId="7DF6078F" w14:textId="77777777" w:rsidR="0073086D" w:rsidRPr="00950CBB" w:rsidRDefault="0073086D" w:rsidP="0073086D">
      <w:pPr>
        <w:spacing w:before="100" w:beforeAutospacing="1" w:after="100" w:afterAutospacing="1" w:line="288" w:lineRule="atLeast"/>
        <w:outlineLvl w:val="2"/>
        <w:rPr>
          <w:sz w:val="24"/>
        </w:rPr>
      </w:pPr>
      <w:r w:rsidRPr="00260C1D">
        <w:rPr>
          <w:rFonts w:cstheme="minorHAnsi"/>
          <w:b/>
          <w:color w:val="011A3C"/>
          <w:sz w:val="27"/>
          <w:szCs w:val="27"/>
          <w:lang w:val="en" w:eastAsia="en-AU"/>
        </w:rPr>
        <w:t>Rates</w:t>
      </w:r>
    </w:p>
    <w:p w14:paraId="628CE358" w14:textId="77777777" w:rsidR="0073086D" w:rsidRPr="002D6958" w:rsidRDefault="0073086D" w:rsidP="0073086D">
      <w:pPr>
        <w:pStyle w:val="Heading3"/>
        <w:rPr>
          <w:color w:val="auto"/>
          <w:sz w:val="24"/>
          <w:szCs w:val="24"/>
        </w:rPr>
      </w:pPr>
      <w:r w:rsidRPr="002D6958">
        <w:rPr>
          <w:color w:val="auto"/>
          <w:sz w:val="24"/>
          <w:szCs w:val="24"/>
        </w:rPr>
        <w:t>Scholarship</w:t>
      </w:r>
      <w:r w:rsidRPr="002D6958">
        <w:rPr>
          <w:color w:val="auto"/>
          <w:spacing w:val="-8"/>
          <w:sz w:val="24"/>
          <w:szCs w:val="24"/>
        </w:rPr>
        <w:t xml:space="preserve"> </w:t>
      </w:r>
      <w:r w:rsidRPr="002D6958">
        <w:rPr>
          <w:color w:val="auto"/>
          <w:spacing w:val="-4"/>
          <w:sz w:val="24"/>
          <w:szCs w:val="24"/>
        </w:rPr>
        <w:t>rates</w:t>
      </w:r>
    </w:p>
    <w:p w14:paraId="51FAA479" w14:textId="77777777" w:rsidR="0073086D" w:rsidRPr="00BF3B10" w:rsidRDefault="0073086D" w:rsidP="0073086D">
      <w:pPr>
        <w:pStyle w:val="ListParagraph"/>
        <w:numPr>
          <w:ilvl w:val="0"/>
          <w:numId w:val="120"/>
        </w:numPr>
        <w:spacing w:before="240" w:after="120"/>
        <w:jc w:val="both"/>
        <w:rPr>
          <w:rFonts w:cstheme="minorHAnsi"/>
          <w:sz w:val="24"/>
          <w:szCs w:val="24"/>
        </w:rPr>
      </w:pPr>
      <w:r w:rsidRPr="00BF3B10">
        <w:rPr>
          <w:rFonts w:eastAsiaTheme="majorEastAsia"/>
          <w:sz w:val="24"/>
          <w:szCs w:val="24"/>
        </w:rPr>
        <w:t>T</w:t>
      </w:r>
      <w:r w:rsidRPr="00BF3B10">
        <w:rPr>
          <w:rFonts w:cstheme="minorHAnsi"/>
          <w:sz w:val="24"/>
          <w:szCs w:val="24"/>
        </w:rPr>
        <w:t>each Today program students receive a $2,400 department scholarship</w:t>
      </w:r>
      <w:r>
        <w:rPr>
          <w:rFonts w:cstheme="minorHAnsi"/>
          <w:sz w:val="24"/>
          <w:szCs w:val="24"/>
        </w:rPr>
        <w:t>.</w:t>
      </w:r>
    </w:p>
    <w:p w14:paraId="17849951" w14:textId="77777777" w:rsidR="0073086D" w:rsidRDefault="0073086D" w:rsidP="0073086D">
      <w:pPr>
        <w:pStyle w:val="ListParagraph"/>
        <w:numPr>
          <w:ilvl w:val="0"/>
          <w:numId w:val="120"/>
        </w:numPr>
        <w:spacing w:before="240" w:after="120"/>
        <w:jc w:val="both"/>
        <w:rPr>
          <w:rFonts w:cstheme="minorHAnsi"/>
          <w:sz w:val="24"/>
          <w:szCs w:val="24"/>
        </w:rPr>
      </w:pPr>
      <w:r w:rsidRPr="00BF3B10">
        <w:rPr>
          <w:rFonts w:cstheme="minorHAnsi"/>
          <w:sz w:val="24"/>
          <w:szCs w:val="24"/>
        </w:rPr>
        <w:t>Teach Tomorrow program students receive a $15,000 department scholarship</w:t>
      </w:r>
      <w:r>
        <w:rPr>
          <w:rFonts w:cstheme="minorHAnsi"/>
          <w:sz w:val="24"/>
          <w:szCs w:val="24"/>
        </w:rPr>
        <w:t>.</w:t>
      </w:r>
    </w:p>
    <w:p w14:paraId="54FA665B" w14:textId="7219067B" w:rsidR="0073086D" w:rsidRPr="00BF3B10" w:rsidRDefault="002D07EE" w:rsidP="0073086D">
      <w:pPr>
        <w:pStyle w:val="ListParagraph"/>
        <w:numPr>
          <w:ilvl w:val="0"/>
          <w:numId w:val="120"/>
        </w:numPr>
        <w:spacing w:before="240" w:after="120"/>
        <w:jc w:val="both"/>
        <w:rPr>
          <w:rFonts w:cstheme="minorHAnsi"/>
          <w:sz w:val="24"/>
          <w:szCs w:val="24"/>
        </w:rPr>
      </w:pPr>
      <w:r>
        <w:rPr>
          <w:rFonts w:cstheme="minorHAnsi"/>
          <w:sz w:val="24"/>
          <w:szCs w:val="24"/>
        </w:rPr>
        <w:t>All</w:t>
      </w:r>
      <w:r w:rsidR="0073086D" w:rsidRPr="00BF3B10">
        <w:rPr>
          <w:rFonts w:cstheme="minorHAnsi"/>
          <w:sz w:val="24"/>
          <w:szCs w:val="24"/>
        </w:rPr>
        <w:t xml:space="preserve"> students who identify as Aboriginal and/or Torres Strait Islander will also receive an additional $15,000 department scholarship</w:t>
      </w:r>
      <w:r w:rsidR="0073086D">
        <w:rPr>
          <w:rFonts w:cstheme="minorHAnsi"/>
          <w:sz w:val="24"/>
          <w:szCs w:val="24"/>
        </w:rPr>
        <w:t>.</w:t>
      </w:r>
    </w:p>
    <w:p w14:paraId="25359829" w14:textId="77777777" w:rsidR="0073086D" w:rsidRPr="002D6958" w:rsidRDefault="0073086D" w:rsidP="0073086D">
      <w:pPr>
        <w:pStyle w:val="Heading3"/>
        <w:rPr>
          <w:color w:val="auto"/>
          <w:sz w:val="24"/>
          <w:szCs w:val="24"/>
        </w:rPr>
      </w:pPr>
      <w:r w:rsidRPr="002D6958">
        <w:rPr>
          <w:color w:val="auto"/>
          <w:sz w:val="24"/>
          <w:szCs w:val="24"/>
        </w:rPr>
        <w:t>CRT rates</w:t>
      </w:r>
    </w:p>
    <w:p w14:paraId="141B3457" w14:textId="77777777" w:rsidR="0073086D" w:rsidRPr="002D6958" w:rsidRDefault="0073086D" w:rsidP="00950CBB">
      <w:pPr>
        <w:spacing w:before="17"/>
        <w:rPr>
          <w:rFonts w:cstheme="minorHAnsi"/>
          <w:sz w:val="24"/>
          <w:szCs w:val="24"/>
        </w:rPr>
      </w:pPr>
      <w:r w:rsidRPr="00BF3B10">
        <w:rPr>
          <w:rFonts w:cstheme="minorHAnsi"/>
          <w:sz w:val="24"/>
          <w:szCs w:val="24"/>
        </w:rPr>
        <w:t xml:space="preserve">CRT payments will be allocated directly to participating schools at a rate of 6 CRT days per participating student teacher to support the host school in releasing the mentor teacher from the classroom to spend time mentoring the participating student during their employment. </w:t>
      </w:r>
      <w:r w:rsidRPr="002D6958">
        <w:rPr>
          <w:rFonts w:cstheme="minorHAnsi"/>
          <w:sz w:val="24"/>
          <w:szCs w:val="24"/>
        </w:rPr>
        <w:t>CRT rate will be the ministerial rate.</w:t>
      </w:r>
    </w:p>
    <w:p w14:paraId="72B3A01B" w14:textId="77777777" w:rsidR="0073086D" w:rsidRPr="002D6958" w:rsidRDefault="0073086D" w:rsidP="0073086D">
      <w:pPr>
        <w:pStyle w:val="Heading3"/>
        <w:spacing w:before="110"/>
        <w:rPr>
          <w:color w:val="auto"/>
          <w:sz w:val="24"/>
          <w:szCs w:val="24"/>
        </w:rPr>
      </w:pPr>
      <w:r w:rsidRPr="002D6958">
        <w:rPr>
          <w:color w:val="auto"/>
          <w:sz w:val="24"/>
          <w:szCs w:val="24"/>
        </w:rPr>
        <w:t>Targeted</w:t>
      </w:r>
      <w:r w:rsidRPr="002D6958">
        <w:rPr>
          <w:color w:val="auto"/>
          <w:spacing w:val="-6"/>
          <w:sz w:val="24"/>
          <w:szCs w:val="24"/>
        </w:rPr>
        <w:t xml:space="preserve"> </w:t>
      </w:r>
      <w:r w:rsidRPr="002D6958">
        <w:rPr>
          <w:color w:val="auto"/>
          <w:sz w:val="24"/>
          <w:szCs w:val="24"/>
        </w:rPr>
        <w:t>Support</w:t>
      </w:r>
      <w:r w:rsidRPr="002D6958">
        <w:rPr>
          <w:color w:val="auto"/>
          <w:spacing w:val="-3"/>
          <w:sz w:val="24"/>
          <w:szCs w:val="24"/>
        </w:rPr>
        <w:t xml:space="preserve"> </w:t>
      </w:r>
      <w:r w:rsidRPr="002D6958">
        <w:rPr>
          <w:color w:val="auto"/>
          <w:spacing w:val="-2"/>
          <w:sz w:val="24"/>
          <w:szCs w:val="24"/>
        </w:rPr>
        <w:t>Payments</w:t>
      </w:r>
    </w:p>
    <w:p w14:paraId="701215FB" w14:textId="77777777" w:rsidR="0073086D" w:rsidRPr="00833928" w:rsidRDefault="0073086D" w:rsidP="00833928">
      <w:pPr>
        <w:spacing w:before="240" w:after="120"/>
        <w:jc w:val="both"/>
        <w:rPr>
          <w:b/>
          <w:sz w:val="24"/>
          <w:lang w:val="en"/>
        </w:rPr>
      </w:pPr>
      <w:r w:rsidRPr="00833928">
        <w:rPr>
          <w:sz w:val="24"/>
          <w:lang w:val="en"/>
        </w:rPr>
        <w:t xml:space="preserve">Targeted school support funding is available to eligible schools interested in hosting a student to mitigate financial barriers. Approximately $31,000 will be provided to eligible schools facing budget constraints, level of hard-to-staff and consultation with the relevant regional office. </w:t>
      </w:r>
    </w:p>
    <w:p w14:paraId="00E226DD" w14:textId="77777777" w:rsidR="0073086D" w:rsidRPr="002D6958" w:rsidRDefault="0073086D" w:rsidP="0073086D">
      <w:pPr>
        <w:pStyle w:val="Heading3"/>
        <w:spacing w:before="110"/>
        <w:rPr>
          <w:color w:val="auto"/>
          <w:sz w:val="24"/>
          <w:szCs w:val="24"/>
        </w:rPr>
      </w:pPr>
      <w:r w:rsidRPr="002D6958">
        <w:rPr>
          <w:color w:val="auto"/>
          <w:sz w:val="24"/>
          <w:szCs w:val="24"/>
        </w:rPr>
        <w:t>Relocation Expenses</w:t>
      </w:r>
    </w:p>
    <w:p w14:paraId="7EF99651" w14:textId="451A83A3" w:rsidR="0073086D" w:rsidRPr="00950CBB" w:rsidRDefault="002D07EE" w:rsidP="0073086D">
      <w:pPr>
        <w:spacing w:before="240" w:after="120"/>
        <w:jc w:val="both"/>
        <w:rPr>
          <w:sz w:val="24"/>
          <w:lang w:val="en"/>
        </w:rPr>
      </w:pPr>
      <w:r>
        <w:rPr>
          <w:rFonts w:eastAsia="Segoe UI" w:cstheme="minorHAnsi"/>
          <w:sz w:val="24"/>
          <w:szCs w:val="24"/>
          <w:lang w:val="en" w:eastAsia="en-AU"/>
        </w:rPr>
        <w:t>All</w:t>
      </w:r>
      <w:r w:rsidR="0073086D" w:rsidRPr="00BB084A">
        <w:rPr>
          <w:rFonts w:eastAsia="Segoe UI" w:cstheme="minorHAnsi"/>
          <w:sz w:val="24"/>
          <w:szCs w:val="24"/>
          <w:lang w:val="en" w:eastAsia="en-AU"/>
        </w:rPr>
        <w:t xml:space="preserve"> students who relocate to a rural or regional</w:t>
      </w:r>
      <w:r w:rsidR="0073086D" w:rsidRPr="00950CBB">
        <w:rPr>
          <w:sz w:val="24"/>
          <w:lang w:val="en"/>
        </w:rPr>
        <w:t xml:space="preserve"> school for the </w:t>
      </w:r>
      <w:r w:rsidR="0073086D" w:rsidRPr="00BB084A">
        <w:rPr>
          <w:rFonts w:eastAsia="Segoe UI" w:cstheme="minorHAnsi"/>
          <w:sz w:val="24"/>
          <w:szCs w:val="24"/>
          <w:lang w:val="en" w:eastAsia="en-AU"/>
        </w:rPr>
        <w:t>employment element of the program may also be eligible</w:t>
      </w:r>
      <w:r w:rsidR="0073086D" w:rsidRPr="00950CBB">
        <w:rPr>
          <w:sz w:val="24"/>
          <w:lang w:val="en"/>
        </w:rPr>
        <w:t xml:space="preserve"> for </w:t>
      </w:r>
      <w:r w:rsidR="0073086D" w:rsidRPr="00BB084A">
        <w:rPr>
          <w:rFonts w:eastAsia="Segoe UI" w:cstheme="minorHAnsi"/>
          <w:sz w:val="24"/>
          <w:szCs w:val="24"/>
          <w:lang w:val="en" w:eastAsia="en-AU"/>
        </w:rPr>
        <w:t xml:space="preserve">a $2,000 relocation incentive to assist with relocation costs. </w:t>
      </w:r>
    </w:p>
    <w:p w14:paraId="3776FDBF" w14:textId="77777777" w:rsidR="0073086D" w:rsidRPr="00A65360" w:rsidRDefault="0073086D" w:rsidP="0073086D">
      <w:pPr>
        <w:spacing w:before="240" w:after="120"/>
        <w:jc w:val="both"/>
        <w:rPr>
          <w:rFonts w:cstheme="minorHAnsi"/>
          <w:sz w:val="24"/>
          <w:szCs w:val="24"/>
        </w:rPr>
      </w:pPr>
      <w:r w:rsidRPr="00A65360">
        <w:rPr>
          <w:rFonts w:cstheme="minorHAnsi"/>
          <w:sz w:val="24"/>
          <w:szCs w:val="24"/>
        </w:rPr>
        <w:t>Please note the allocations do not include payroll tax and superannuation and will not attract these charges in the SRP Budget Management report.</w:t>
      </w:r>
    </w:p>
    <w:p w14:paraId="6AF148BF" w14:textId="77777777" w:rsidR="0073086D" w:rsidRPr="00A65360" w:rsidRDefault="0073086D" w:rsidP="0073086D">
      <w:pPr>
        <w:rPr>
          <w:rFonts w:ascii="Arial"/>
          <w:b/>
          <w:sz w:val="20"/>
        </w:rPr>
      </w:pPr>
    </w:p>
    <w:p w14:paraId="4580C8B7" w14:textId="77777777" w:rsidR="0073086D" w:rsidRPr="002D6958" w:rsidRDefault="0073086D" w:rsidP="0073086D">
      <w:pPr>
        <w:rPr>
          <w:rFonts w:eastAsia="Segoe UI" w:cstheme="minorHAnsi"/>
          <w:b/>
          <w:sz w:val="24"/>
          <w:szCs w:val="24"/>
          <w:lang w:val="en" w:eastAsia="en-AU"/>
        </w:rPr>
      </w:pPr>
      <w:r w:rsidRPr="002D6958">
        <w:rPr>
          <w:rFonts w:eastAsia="Segoe UI" w:cstheme="minorHAnsi"/>
          <w:b/>
          <w:sz w:val="24"/>
          <w:szCs w:val="24"/>
          <w:lang w:val="en" w:eastAsia="en-AU"/>
        </w:rPr>
        <w:lastRenderedPageBreak/>
        <w:t>Further Information</w:t>
      </w:r>
    </w:p>
    <w:p w14:paraId="78A0DBBC" w14:textId="2538CDDF" w:rsidR="0073086D" w:rsidRPr="002D6958" w:rsidRDefault="0073086D" w:rsidP="0073086D">
      <w:pPr>
        <w:spacing w:before="1"/>
        <w:rPr>
          <w:rFonts w:cstheme="minorHAnsi"/>
          <w:sz w:val="24"/>
          <w:szCs w:val="24"/>
        </w:rPr>
      </w:pPr>
      <w:r w:rsidRPr="002D6958">
        <w:rPr>
          <w:rFonts w:eastAsia="Segoe UI" w:cstheme="minorHAnsi"/>
          <w:sz w:val="24"/>
          <w:szCs w:val="24"/>
          <w:lang w:val="en" w:eastAsia="en-AU"/>
        </w:rPr>
        <w:t>Teach the Future website</w:t>
      </w:r>
      <w:r w:rsidRPr="002D6958">
        <w:rPr>
          <w:rFonts w:eastAsia="Segoe UI" w:cstheme="minorHAnsi"/>
          <w:color w:val="011A3C"/>
          <w:sz w:val="24"/>
          <w:szCs w:val="24"/>
          <w:lang w:val="en" w:eastAsia="en-AU"/>
        </w:rPr>
        <w:t>:</w:t>
      </w:r>
      <w:r w:rsidRPr="002D6958">
        <w:rPr>
          <w:rFonts w:cstheme="minorHAnsi"/>
          <w:spacing w:val="19"/>
          <w:sz w:val="24"/>
          <w:szCs w:val="24"/>
        </w:rPr>
        <w:t xml:space="preserve"> </w:t>
      </w:r>
      <w:hyperlink r:id="rId220" w:history="1">
        <w:r w:rsidR="00C9304F" w:rsidRPr="004E56F2">
          <w:rPr>
            <w:rStyle w:val="Hyperlink"/>
            <w:rFonts w:cstheme="minorHAnsi"/>
            <w:spacing w:val="19"/>
            <w:sz w:val="24"/>
            <w:szCs w:val="24"/>
          </w:rPr>
          <w:t>https://www.vic.gov.au/paid-employment-based-teaching-degrees</w:t>
        </w:r>
      </w:hyperlink>
      <w:r w:rsidR="00C9304F">
        <w:rPr>
          <w:rFonts w:cstheme="minorHAnsi"/>
          <w:spacing w:val="19"/>
          <w:sz w:val="24"/>
          <w:szCs w:val="24"/>
        </w:rPr>
        <w:t xml:space="preserve"> </w:t>
      </w:r>
    </w:p>
    <w:p w14:paraId="4E1AB188" w14:textId="77777777" w:rsidR="0073086D" w:rsidRDefault="0073086D" w:rsidP="0073086D">
      <w:r w:rsidRPr="002D6958">
        <w:rPr>
          <w:rFonts w:cstheme="minorHAnsi"/>
          <w:sz w:val="24"/>
          <w:szCs w:val="24"/>
        </w:rPr>
        <w:t>The</w:t>
      </w:r>
      <w:r w:rsidRPr="002D6958">
        <w:rPr>
          <w:rFonts w:cstheme="minorHAnsi"/>
          <w:spacing w:val="-8"/>
          <w:sz w:val="24"/>
          <w:szCs w:val="24"/>
        </w:rPr>
        <w:t xml:space="preserve"> </w:t>
      </w:r>
      <w:r w:rsidRPr="002D6958">
        <w:rPr>
          <w:rFonts w:cstheme="minorHAnsi"/>
          <w:sz w:val="24"/>
          <w:szCs w:val="24"/>
        </w:rPr>
        <w:t>Program</w:t>
      </w:r>
      <w:r w:rsidRPr="002D6958">
        <w:rPr>
          <w:rFonts w:cstheme="minorHAnsi"/>
          <w:spacing w:val="-4"/>
          <w:sz w:val="24"/>
          <w:szCs w:val="24"/>
        </w:rPr>
        <w:t xml:space="preserve"> </w:t>
      </w:r>
      <w:r w:rsidRPr="002D6958">
        <w:rPr>
          <w:rFonts w:cstheme="minorHAnsi"/>
          <w:sz w:val="24"/>
          <w:szCs w:val="24"/>
        </w:rPr>
        <w:t>team:</w:t>
      </w:r>
      <w:r w:rsidRPr="002D6958">
        <w:rPr>
          <w:rFonts w:cstheme="minorHAnsi"/>
          <w:spacing w:val="-8"/>
          <w:sz w:val="24"/>
          <w:szCs w:val="24"/>
        </w:rPr>
        <w:t xml:space="preserve"> </w:t>
      </w:r>
      <w:hyperlink r:id="rId221">
        <w:r w:rsidRPr="002D6958">
          <w:rPr>
            <w:rFonts w:cstheme="minorHAnsi"/>
            <w:color w:val="004B95"/>
            <w:spacing w:val="-2"/>
            <w:sz w:val="24"/>
            <w:szCs w:val="24"/>
          </w:rPr>
          <w:t>teach.today.teach.tomorrow@education.vic.gov.au</w:t>
        </w:r>
      </w:hyperlink>
    </w:p>
    <w:p w14:paraId="7119A085" w14:textId="77777777" w:rsidR="00852A82" w:rsidRDefault="00852A82" w:rsidP="00532A33">
      <w:pPr>
        <w:pStyle w:val="Heading2"/>
      </w:pPr>
      <w:r>
        <w:br w:type="page"/>
      </w:r>
    </w:p>
    <w:p w14:paraId="7B354C44" w14:textId="7FBE0782" w:rsidR="008A6CE0" w:rsidRPr="00260C1D" w:rsidRDefault="00BA2190" w:rsidP="00532A33">
      <w:pPr>
        <w:pStyle w:val="Heading2"/>
      </w:pPr>
      <w:bookmarkStart w:id="293" w:name="_Toc141965303"/>
      <w:bookmarkStart w:id="294" w:name="_Toc145339629"/>
      <w:bookmarkStart w:id="295" w:name="_Toc153791952"/>
      <w:r w:rsidRPr="00260C1D">
        <w:lastRenderedPageBreak/>
        <w:t>I</w:t>
      </w:r>
      <w:r w:rsidR="00517905" w:rsidRPr="00260C1D">
        <w:t xml:space="preserve">nclusion Outreach Coaching (IOC) </w:t>
      </w:r>
      <w:r w:rsidR="009A7865">
        <w:t>I</w:t>
      </w:r>
      <w:r w:rsidR="00517905" w:rsidRPr="00260C1D">
        <w:t>nitiative (Reference 136)</w:t>
      </w:r>
      <w:bookmarkEnd w:id="293"/>
      <w:bookmarkEnd w:id="294"/>
      <w:bookmarkEnd w:id="295"/>
    </w:p>
    <w:p w14:paraId="1037A1C0" w14:textId="2786ACA5" w:rsidR="000B0DCA" w:rsidRDefault="000B0DCA" w:rsidP="008E728C">
      <w:pPr>
        <w:spacing w:after="0" w:line="240" w:lineRule="auto"/>
        <w:jc w:val="both"/>
        <w:rPr>
          <w:rFonts w:cstheme="minorHAnsi"/>
          <w:b/>
          <w:bCs/>
          <w:sz w:val="24"/>
          <w:szCs w:val="24"/>
        </w:rPr>
      </w:pPr>
    </w:p>
    <w:p w14:paraId="4D1C18C6" w14:textId="77777777" w:rsidR="000F7682" w:rsidRPr="00B148A2" w:rsidRDefault="000F7682" w:rsidP="00B148A2">
      <w:pPr>
        <w:spacing w:before="100" w:beforeAutospacing="1" w:after="100" w:afterAutospacing="1" w:line="288" w:lineRule="atLeast"/>
        <w:outlineLvl w:val="2"/>
        <w:rPr>
          <w:rFonts w:cstheme="minorHAnsi"/>
          <w:b/>
          <w:sz w:val="27"/>
          <w:szCs w:val="27"/>
          <w:lang w:val="en" w:eastAsia="en-AU"/>
        </w:rPr>
      </w:pPr>
      <w:r w:rsidRPr="00B148A2">
        <w:rPr>
          <w:rFonts w:cstheme="minorHAnsi"/>
          <w:b/>
          <w:sz w:val="27"/>
          <w:szCs w:val="27"/>
          <w:lang w:val="en" w:eastAsia="en-AU"/>
        </w:rPr>
        <w:t xml:space="preserve">Background and context </w:t>
      </w:r>
    </w:p>
    <w:p w14:paraId="49EF4DE1" w14:textId="2A7DA228" w:rsidR="000F7682" w:rsidRPr="00B148A2" w:rsidRDefault="000F7682" w:rsidP="000F7682">
      <w:pPr>
        <w:spacing w:after="0" w:line="240" w:lineRule="auto"/>
        <w:jc w:val="both"/>
        <w:rPr>
          <w:rFonts w:cstheme="minorHAnsi"/>
          <w:sz w:val="24"/>
          <w:szCs w:val="24"/>
        </w:rPr>
      </w:pPr>
      <w:r w:rsidRPr="00B148A2">
        <w:rPr>
          <w:rFonts w:cstheme="minorHAnsi"/>
          <w:sz w:val="24"/>
          <w:szCs w:val="24"/>
        </w:rPr>
        <w:t>In 2021 the Department of Education (the department) announced a number of initiatives including the</w:t>
      </w:r>
      <w:r w:rsidRPr="00B148A2">
        <w:rPr>
          <w:sz w:val="24"/>
          <w:szCs w:val="24"/>
        </w:rPr>
        <w:t xml:space="preserve"> Inclusion </w:t>
      </w:r>
      <w:bookmarkStart w:id="296" w:name="_Hlk72146554"/>
      <w:r w:rsidRPr="00B148A2">
        <w:rPr>
          <w:sz w:val="24"/>
          <w:szCs w:val="24"/>
        </w:rPr>
        <w:t>Outreach Coaching (IOC) initiative</w:t>
      </w:r>
      <w:bookmarkEnd w:id="296"/>
      <w:r w:rsidR="00590275" w:rsidRPr="00B148A2">
        <w:rPr>
          <w:rFonts w:cstheme="minorHAnsi"/>
          <w:sz w:val="24"/>
          <w:szCs w:val="24"/>
        </w:rPr>
        <w:t>,</w:t>
      </w:r>
      <w:r w:rsidRPr="00B148A2">
        <w:rPr>
          <w:rFonts w:cstheme="minorHAnsi"/>
          <w:sz w:val="24"/>
          <w:szCs w:val="24"/>
        </w:rPr>
        <w:t xml:space="preserve"> to support school and department workforces to build their capabilities in inclusive practices.  These initiatives were part of a state wide Disability </w:t>
      </w:r>
      <w:r w:rsidRPr="00B148A2">
        <w:rPr>
          <w:sz w:val="24"/>
          <w:szCs w:val="24"/>
        </w:rPr>
        <w:t xml:space="preserve">Inclusion </w:t>
      </w:r>
      <w:r w:rsidRPr="00B148A2">
        <w:rPr>
          <w:rFonts w:cstheme="minorHAnsi"/>
          <w:sz w:val="24"/>
          <w:szCs w:val="24"/>
        </w:rPr>
        <w:t xml:space="preserve">Reform to support schools to ensure that students of all need feel welcomed and thrive. </w:t>
      </w:r>
    </w:p>
    <w:p w14:paraId="7C8B846E" w14:textId="77777777" w:rsidR="000F7682" w:rsidRPr="00B148A2" w:rsidRDefault="000F7682" w:rsidP="000F7682">
      <w:pPr>
        <w:spacing w:after="0" w:line="240" w:lineRule="auto"/>
        <w:jc w:val="both"/>
        <w:rPr>
          <w:rFonts w:cstheme="minorHAnsi"/>
          <w:sz w:val="24"/>
          <w:szCs w:val="24"/>
        </w:rPr>
      </w:pPr>
    </w:p>
    <w:p w14:paraId="0F646C0C" w14:textId="02225E9D" w:rsidR="000F7682" w:rsidRPr="00B148A2" w:rsidRDefault="000F7682" w:rsidP="00950CBB">
      <w:pPr>
        <w:spacing w:after="0" w:line="240" w:lineRule="auto"/>
        <w:jc w:val="both"/>
        <w:rPr>
          <w:sz w:val="24"/>
          <w:szCs w:val="24"/>
        </w:rPr>
      </w:pPr>
      <w:r w:rsidRPr="00B148A2">
        <w:rPr>
          <w:rFonts w:cstheme="minorHAnsi"/>
          <w:sz w:val="24"/>
          <w:szCs w:val="24"/>
        </w:rPr>
        <w:t>The IOC initiative will roll out by area from 2021 to 2025 (</w:t>
      </w:r>
      <w:r w:rsidR="00A6711C" w:rsidRPr="00B148A2">
        <w:rPr>
          <w:rFonts w:cstheme="minorHAnsi"/>
          <w:sz w:val="24"/>
          <w:szCs w:val="24"/>
        </w:rPr>
        <w:t xml:space="preserve">refer to </w:t>
      </w:r>
      <w:r w:rsidRPr="00B148A2">
        <w:rPr>
          <w:rFonts w:cstheme="minorHAnsi"/>
          <w:sz w:val="24"/>
          <w:szCs w:val="24"/>
        </w:rPr>
        <w:t xml:space="preserve"> </w:t>
      </w:r>
      <w:hyperlink r:id="rId222" w:history="1">
        <w:r w:rsidRPr="00B148A2">
          <w:rPr>
            <w:color w:val="0000FF"/>
            <w:sz w:val="24"/>
            <w:szCs w:val="24"/>
            <w:u w:val="single"/>
          </w:rPr>
          <w:t>Disability Inclusion Funding and Support: Policy | education.vic.gov.au</w:t>
        </w:r>
      </w:hyperlink>
      <w:r w:rsidRPr="00B148A2">
        <w:rPr>
          <w:sz w:val="24"/>
          <w:szCs w:val="24"/>
        </w:rPr>
        <w:t xml:space="preserve"> for further information)</w:t>
      </w:r>
      <w:r w:rsidRPr="00B148A2">
        <w:rPr>
          <w:rFonts w:cstheme="minorHAnsi"/>
          <w:sz w:val="24"/>
          <w:szCs w:val="24"/>
        </w:rPr>
        <w:t xml:space="preserve"> with a full time IOC</w:t>
      </w:r>
      <w:r w:rsidRPr="00B148A2">
        <w:rPr>
          <w:sz w:val="24"/>
          <w:szCs w:val="24"/>
        </w:rPr>
        <w:t xml:space="preserve"> </w:t>
      </w:r>
      <w:r w:rsidR="00590275" w:rsidRPr="00B148A2">
        <w:rPr>
          <w:sz w:val="24"/>
          <w:szCs w:val="24"/>
        </w:rPr>
        <w:t>c</w:t>
      </w:r>
      <w:r w:rsidRPr="00B148A2">
        <w:rPr>
          <w:sz w:val="24"/>
          <w:szCs w:val="24"/>
        </w:rPr>
        <w:t xml:space="preserve">oach </w:t>
      </w:r>
      <w:r w:rsidRPr="00B148A2">
        <w:rPr>
          <w:rFonts w:cstheme="minorHAnsi"/>
          <w:sz w:val="24"/>
          <w:szCs w:val="24"/>
        </w:rPr>
        <w:t xml:space="preserve">being employed in every ‘base’ registered specialist school (base school) and ‘partnering’ with mainstream schools (partner school).  IOC </w:t>
      </w:r>
      <w:r w:rsidR="00590275" w:rsidRPr="00B148A2">
        <w:rPr>
          <w:rFonts w:cstheme="minorHAnsi"/>
          <w:sz w:val="24"/>
          <w:szCs w:val="24"/>
        </w:rPr>
        <w:t>c</w:t>
      </w:r>
      <w:r w:rsidRPr="00B148A2">
        <w:rPr>
          <w:rFonts w:cstheme="minorHAnsi"/>
          <w:sz w:val="24"/>
          <w:szCs w:val="24"/>
        </w:rPr>
        <w:t xml:space="preserve">oaches are employed at a Learning Specialist classification (please see </w:t>
      </w:r>
      <w:hyperlink r:id="rId223" w:history="1">
        <w:r w:rsidRPr="00B148A2">
          <w:rPr>
            <w:color w:val="0000FF"/>
            <w:sz w:val="24"/>
            <w:szCs w:val="24"/>
            <w:u w:val="single"/>
          </w:rPr>
          <w:t>Leading Teachers and Learning Specialists: Overview | education.vic.gov.au</w:t>
        </w:r>
      </w:hyperlink>
      <w:r w:rsidRPr="00B148A2">
        <w:rPr>
          <w:sz w:val="24"/>
          <w:szCs w:val="24"/>
        </w:rPr>
        <w:t xml:space="preserve"> for further information) </w:t>
      </w:r>
      <w:r w:rsidRPr="00B148A2">
        <w:rPr>
          <w:rFonts w:cstheme="minorHAnsi"/>
          <w:sz w:val="24"/>
          <w:szCs w:val="24"/>
        </w:rPr>
        <w:t>to ensure they have the leadership experience and contextual understanding of schools to</w:t>
      </w:r>
      <w:r w:rsidRPr="00B148A2">
        <w:rPr>
          <w:sz w:val="24"/>
          <w:szCs w:val="24"/>
        </w:rPr>
        <w:t xml:space="preserve"> provide strategically coordinated capability building opportunities to mainstream schools, including whole-of-school training, in-class coaching and individual teacher support to build inclusive school cultures. </w:t>
      </w:r>
      <w:r w:rsidRPr="00B148A2">
        <w:rPr>
          <w:rFonts w:cstheme="minorHAnsi"/>
          <w:sz w:val="24"/>
          <w:szCs w:val="24"/>
        </w:rPr>
        <w:t xml:space="preserve">  </w:t>
      </w:r>
    </w:p>
    <w:p w14:paraId="1A91B40C" w14:textId="77777777" w:rsidR="000F7682" w:rsidRPr="00B148A2" w:rsidRDefault="000F7682" w:rsidP="000F7682">
      <w:pPr>
        <w:spacing w:after="0" w:line="240" w:lineRule="auto"/>
        <w:jc w:val="both"/>
        <w:rPr>
          <w:rFonts w:cstheme="minorHAnsi"/>
          <w:sz w:val="24"/>
          <w:szCs w:val="24"/>
        </w:rPr>
      </w:pPr>
    </w:p>
    <w:p w14:paraId="62B4DFDD" w14:textId="66E099F2" w:rsidR="000F7682" w:rsidRPr="00B148A2" w:rsidRDefault="000F7682" w:rsidP="000F7682">
      <w:pPr>
        <w:spacing w:after="0" w:line="240" w:lineRule="auto"/>
        <w:jc w:val="both"/>
        <w:rPr>
          <w:rFonts w:cstheme="minorHAnsi"/>
          <w:sz w:val="24"/>
          <w:szCs w:val="24"/>
        </w:rPr>
      </w:pPr>
      <w:r w:rsidRPr="00B148A2">
        <w:rPr>
          <w:rFonts w:cstheme="minorHAnsi"/>
          <w:sz w:val="24"/>
          <w:szCs w:val="24"/>
        </w:rPr>
        <w:t xml:space="preserve">A regional workforce provides each </w:t>
      </w:r>
      <w:r w:rsidR="00590275" w:rsidRPr="00B148A2">
        <w:rPr>
          <w:rFonts w:cstheme="minorHAnsi"/>
          <w:sz w:val="24"/>
          <w:szCs w:val="24"/>
        </w:rPr>
        <w:t>c</w:t>
      </w:r>
      <w:r w:rsidRPr="00B148A2">
        <w:rPr>
          <w:rFonts w:cstheme="minorHAnsi"/>
          <w:sz w:val="24"/>
          <w:szCs w:val="24"/>
        </w:rPr>
        <w:t xml:space="preserve">oach with operational and strategic support and acts as the conduit between the </w:t>
      </w:r>
      <w:r w:rsidR="00590275" w:rsidRPr="00B148A2">
        <w:rPr>
          <w:rFonts w:cstheme="minorHAnsi"/>
          <w:sz w:val="24"/>
          <w:szCs w:val="24"/>
        </w:rPr>
        <w:t>c</w:t>
      </w:r>
      <w:r w:rsidRPr="00B148A2">
        <w:rPr>
          <w:rFonts w:cstheme="minorHAnsi"/>
          <w:sz w:val="24"/>
          <w:szCs w:val="24"/>
        </w:rPr>
        <w:t xml:space="preserve">oach and the base and partner schools; particularly in the recruitment of </w:t>
      </w:r>
      <w:r w:rsidR="00590275" w:rsidRPr="00B148A2">
        <w:rPr>
          <w:rFonts w:cstheme="minorHAnsi"/>
          <w:sz w:val="24"/>
          <w:szCs w:val="24"/>
        </w:rPr>
        <w:t>c</w:t>
      </w:r>
      <w:r w:rsidRPr="00B148A2">
        <w:rPr>
          <w:rFonts w:cstheme="minorHAnsi"/>
          <w:sz w:val="24"/>
          <w:szCs w:val="24"/>
        </w:rPr>
        <w:t xml:space="preserve">oaches in base schools and the facilitation of the </w:t>
      </w:r>
      <w:r w:rsidR="00590275" w:rsidRPr="00B148A2">
        <w:rPr>
          <w:rFonts w:cstheme="minorHAnsi"/>
          <w:sz w:val="24"/>
          <w:szCs w:val="24"/>
        </w:rPr>
        <w:t>c</w:t>
      </w:r>
      <w:r w:rsidRPr="00B148A2">
        <w:rPr>
          <w:rFonts w:cstheme="minorHAnsi"/>
          <w:sz w:val="24"/>
          <w:szCs w:val="24"/>
        </w:rPr>
        <w:t xml:space="preserve">oaches’ engagement with partner schools.  A </w:t>
      </w:r>
      <w:r w:rsidR="00590275" w:rsidRPr="00B148A2">
        <w:rPr>
          <w:rFonts w:cstheme="minorHAnsi"/>
          <w:sz w:val="24"/>
          <w:szCs w:val="24"/>
        </w:rPr>
        <w:t>m</w:t>
      </w:r>
      <w:r w:rsidRPr="00B148A2">
        <w:rPr>
          <w:rFonts w:cstheme="minorHAnsi"/>
          <w:sz w:val="24"/>
          <w:szCs w:val="24"/>
        </w:rPr>
        <w:t xml:space="preserve">entor can also be appointed by the base school principal to support the </w:t>
      </w:r>
      <w:r w:rsidR="00590275" w:rsidRPr="00B148A2">
        <w:rPr>
          <w:rFonts w:cstheme="minorHAnsi"/>
          <w:sz w:val="24"/>
          <w:szCs w:val="24"/>
        </w:rPr>
        <w:t>c</w:t>
      </w:r>
      <w:r w:rsidRPr="00B148A2">
        <w:rPr>
          <w:rFonts w:cstheme="minorHAnsi"/>
          <w:sz w:val="24"/>
          <w:szCs w:val="24"/>
        </w:rPr>
        <w:t>oach in their connections and linkages between and amongst schools and to support an aligned build of inclusive practices in the area.</w:t>
      </w:r>
    </w:p>
    <w:p w14:paraId="4FFD0145" w14:textId="77777777" w:rsidR="000F7682" w:rsidRPr="00B148A2" w:rsidRDefault="000F7682" w:rsidP="000F7682">
      <w:pPr>
        <w:spacing w:after="0" w:line="240" w:lineRule="auto"/>
        <w:jc w:val="both"/>
        <w:rPr>
          <w:rFonts w:cstheme="minorHAnsi"/>
          <w:sz w:val="24"/>
          <w:szCs w:val="24"/>
        </w:rPr>
      </w:pPr>
    </w:p>
    <w:p w14:paraId="382681B1" w14:textId="77777777" w:rsidR="000F7682" w:rsidRPr="00B148A2" w:rsidRDefault="000F7682" w:rsidP="000F7682">
      <w:pPr>
        <w:spacing w:after="0" w:line="240" w:lineRule="auto"/>
        <w:rPr>
          <w:rFonts w:eastAsia="Times New Roman" w:cstheme="minorHAnsi"/>
          <w:sz w:val="24"/>
          <w:szCs w:val="24"/>
          <w:lang w:eastAsia="en-AU"/>
        </w:rPr>
      </w:pPr>
      <w:r w:rsidRPr="00B148A2">
        <w:rPr>
          <w:rFonts w:eastAsia="Times New Roman" w:cstheme="minorHAnsi"/>
          <w:sz w:val="24"/>
          <w:szCs w:val="24"/>
          <w:lang w:eastAsia="en-AU"/>
        </w:rPr>
        <w:t xml:space="preserve">A team of implementation specialists from Inclusive Education support the school and regional workforces to effectively deliver best practice approaches to inclusive education and wellbeing and to lead effective policy and program implementation which enables access to high quality education services. </w:t>
      </w:r>
    </w:p>
    <w:p w14:paraId="384A4409" w14:textId="20153DF8" w:rsidR="000F7682" w:rsidRPr="00B148A2" w:rsidRDefault="000F7682" w:rsidP="00B148A2">
      <w:pPr>
        <w:spacing w:before="100" w:beforeAutospacing="1" w:after="100" w:afterAutospacing="1" w:line="288" w:lineRule="atLeast"/>
        <w:outlineLvl w:val="2"/>
        <w:rPr>
          <w:rFonts w:cstheme="minorHAnsi"/>
          <w:b/>
          <w:sz w:val="27"/>
          <w:szCs w:val="27"/>
          <w:lang w:val="en" w:eastAsia="en-AU"/>
        </w:rPr>
      </w:pPr>
      <w:r w:rsidRPr="00B148A2">
        <w:rPr>
          <w:rFonts w:cstheme="minorHAnsi"/>
          <w:b/>
          <w:sz w:val="27"/>
          <w:szCs w:val="27"/>
          <w:lang w:val="en" w:eastAsia="en-AU"/>
        </w:rPr>
        <w:t xml:space="preserve">SRP funding allocation </w:t>
      </w:r>
    </w:p>
    <w:p w14:paraId="1420D3DB" w14:textId="07E3C207" w:rsidR="000F7682" w:rsidRPr="00B148A2" w:rsidRDefault="000F7682" w:rsidP="000F7682">
      <w:pPr>
        <w:spacing w:after="0" w:line="240" w:lineRule="auto"/>
        <w:jc w:val="both"/>
        <w:rPr>
          <w:rFonts w:cstheme="minorHAnsi"/>
          <w:sz w:val="24"/>
          <w:szCs w:val="24"/>
          <w:u w:val="single"/>
        </w:rPr>
      </w:pPr>
      <w:r w:rsidRPr="00B148A2">
        <w:rPr>
          <w:rFonts w:cstheme="minorHAnsi"/>
          <w:sz w:val="24"/>
          <w:szCs w:val="24"/>
          <w:u w:val="single"/>
        </w:rPr>
        <w:t xml:space="preserve">Credit allocation to recruit an IOC </w:t>
      </w:r>
      <w:r w:rsidR="00590275" w:rsidRPr="00B148A2">
        <w:rPr>
          <w:rFonts w:cstheme="minorHAnsi"/>
          <w:sz w:val="24"/>
          <w:szCs w:val="24"/>
          <w:u w:val="single"/>
        </w:rPr>
        <w:t>c</w:t>
      </w:r>
      <w:r w:rsidRPr="00B148A2">
        <w:rPr>
          <w:rFonts w:cstheme="minorHAnsi"/>
          <w:sz w:val="24"/>
          <w:szCs w:val="24"/>
          <w:u w:val="single"/>
        </w:rPr>
        <w:t xml:space="preserve">oach </w:t>
      </w:r>
    </w:p>
    <w:p w14:paraId="545547FB" w14:textId="0D6BFC95" w:rsidR="00AD5DD9" w:rsidRPr="00B148A2" w:rsidRDefault="000F7682" w:rsidP="00950CBB">
      <w:pPr>
        <w:spacing w:after="0" w:line="240" w:lineRule="auto"/>
        <w:jc w:val="both"/>
        <w:rPr>
          <w:color w:val="000000"/>
          <w:sz w:val="24"/>
          <w:szCs w:val="24"/>
        </w:rPr>
      </w:pPr>
      <w:r w:rsidRPr="00B148A2">
        <w:rPr>
          <w:rFonts w:cstheme="minorHAnsi"/>
          <w:sz w:val="24"/>
          <w:szCs w:val="24"/>
        </w:rPr>
        <w:t>Base</w:t>
      </w:r>
      <w:r w:rsidRPr="00B148A2">
        <w:rPr>
          <w:sz w:val="24"/>
          <w:szCs w:val="24"/>
        </w:rPr>
        <w:t xml:space="preserve"> schools </w:t>
      </w:r>
      <w:r w:rsidRPr="00B148A2">
        <w:rPr>
          <w:rFonts w:cstheme="minorHAnsi"/>
          <w:sz w:val="24"/>
          <w:szCs w:val="24"/>
        </w:rPr>
        <w:t xml:space="preserve">about to enter a rollout year </w:t>
      </w:r>
      <w:r w:rsidRPr="00B148A2">
        <w:rPr>
          <w:sz w:val="24"/>
          <w:szCs w:val="24"/>
        </w:rPr>
        <w:t xml:space="preserve">will </w:t>
      </w:r>
      <w:r w:rsidRPr="00B148A2">
        <w:rPr>
          <w:rFonts w:cstheme="minorHAnsi"/>
          <w:sz w:val="24"/>
          <w:szCs w:val="24"/>
        </w:rPr>
        <w:t xml:space="preserve">automatically be provided SRP credits as part of their indicative funding to support the recruitment of a full- time ongoing IOC </w:t>
      </w:r>
      <w:r w:rsidR="00590275" w:rsidRPr="00B148A2">
        <w:rPr>
          <w:rFonts w:cstheme="minorHAnsi"/>
          <w:sz w:val="24"/>
          <w:szCs w:val="24"/>
        </w:rPr>
        <w:t>c</w:t>
      </w:r>
      <w:r w:rsidRPr="00B148A2">
        <w:rPr>
          <w:rFonts w:cstheme="minorHAnsi"/>
          <w:sz w:val="24"/>
          <w:szCs w:val="24"/>
        </w:rPr>
        <w:t xml:space="preserve">oach.  The </w:t>
      </w:r>
      <w:r w:rsidRPr="00B148A2">
        <w:rPr>
          <w:sz w:val="24"/>
          <w:szCs w:val="24"/>
        </w:rPr>
        <w:t xml:space="preserve">credit allocation is </w:t>
      </w:r>
      <w:r w:rsidRPr="00B148A2">
        <w:rPr>
          <w:rFonts w:cstheme="minorHAnsi"/>
          <w:sz w:val="24"/>
          <w:szCs w:val="24"/>
        </w:rPr>
        <w:t>calculated at</w:t>
      </w:r>
      <w:r w:rsidRPr="00B148A2">
        <w:rPr>
          <w:sz w:val="24"/>
          <w:szCs w:val="24"/>
        </w:rPr>
        <w:t xml:space="preserve"> the annualised </w:t>
      </w:r>
      <w:r w:rsidRPr="00B148A2">
        <w:rPr>
          <w:color w:val="000000"/>
          <w:sz w:val="24"/>
          <w:szCs w:val="24"/>
        </w:rPr>
        <w:t>mid-point of a Learning Specialist Level 3-</w:t>
      </w:r>
      <w:r w:rsidR="00B964C6" w:rsidRPr="00B148A2">
        <w:rPr>
          <w:rFonts w:eastAsia="Segoe UI" w:cstheme="minorHAnsi"/>
          <w:color w:val="000000"/>
          <w:sz w:val="24"/>
          <w:szCs w:val="24"/>
          <w:lang w:eastAsia="en-AU"/>
        </w:rPr>
        <w:t>1 and</w:t>
      </w:r>
      <w:r w:rsidRPr="00B148A2">
        <w:rPr>
          <w:rFonts w:eastAsia="Segoe UI" w:cstheme="minorHAnsi"/>
          <w:color w:val="000000"/>
          <w:sz w:val="24"/>
          <w:szCs w:val="24"/>
          <w:lang w:eastAsia="en-AU"/>
        </w:rPr>
        <w:t xml:space="preserve"> 3-2</w:t>
      </w:r>
      <w:r w:rsidR="00530E7F" w:rsidRPr="00B148A2">
        <w:rPr>
          <w:rFonts w:eastAsia="Segoe UI" w:cstheme="minorHAnsi"/>
          <w:color w:val="000000"/>
          <w:sz w:val="24"/>
          <w:szCs w:val="24"/>
          <w:lang w:eastAsia="en-AU"/>
        </w:rPr>
        <w:t xml:space="preserve"> (plus school oncosts</w:t>
      </w:r>
      <w:r w:rsidR="0028303C" w:rsidRPr="00B148A2">
        <w:rPr>
          <w:rFonts w:eastAsia="Segoe UI" w:cstheme="minorHAnsi"/>
          <w:color w:val="000000"/>
          <w:sz w:val="24"/>
          <w:szCs w:val="24"/>
          <w:lang w:eastAsia="en-AU"/>
        </w:rPr>
        <w:t xml:space="preserve"> </w:t>
      </w:r>
      <w:r w:rsidR="001225C4" w:rsidRPr="00B148A2">
        <w:rPr>
          <w:rFonts w:eastAsia="Segoe UI" w:cstheme="minorHAnsi"/>
          <w:color w:val="000000"/>
          <w:sz w:val="24"/>
          <w:szCs w:val="24"/>
          <w:lang w:eastAsia="en-AU"/>
        </w:rPr>
        <w:t xml:space="preserve">which cover a school’s liability for </w:t>
      </w:r>
      <w:r w:rsidR="0028303C" w:rsidRPr="00B148A2">
        <w:rPr>
          <w:rFonts w:eastAsia="Segoe UI" w:cstheme="minorHAnsi"/>
          <w:color w:val="000000"/>
          <w:sz w:val="24"/>
          <w:szCs w:val="24"/>
          <w:lang w:eastAsia="en-AU"/>
        </w:rPr>
        <w:t>payroll tax and superannuation</w:t>
      </w:r>
      <w:r w:rsidR="00530E7F" w:rsidRPr="00B148A2">
        <w:rPr>
          <w:rFonts w:eastAsia="Segoe UI" w:cstheme="minorHAnsi"/>
          <w:color w:val="000000"/>
          <w:sz w:val="24"/>
          <w:szCs w:val="24"/>
          <w:lang w:eastAsia="en-AU"/>
        </w:rPr>
        <w:t>)</w:t>
      </w:r>
      <w:r w:rsidRPr="00B148A2">
        <w:rPr>
          <w:color w:val="000000"/>
          <w:sz w:val="24"/>
          <w:szCs w:val="24"/>
        </w:rPr>
        <w:t xml:space="preserve"> as per the VGSA 2022 Agreement</w:t>
      </w:r>
      <w:r w:rsidR="00372DAD" w:rsidRPr="00B148A2">
        <w:rPr>
          <w:rFonts w:eastAsia="Segoe UI" w:cstheme="minorHAnsi"/>
          <w:color w:val="000000"/>
          <w:sz w:val="24"/>
          <w:szCs w:val="24"/>
          <w:lang w:eastAsia="en-AU"/>
        </w:rPr>
        <w:t>.</w:t>
      </w:r>
      <w:r w:rsidR="00372DAD" w:rsidRPr="00B148A2">
        <w:rPr>
          <w:color w:val="000000"/>
          <w:sz w:val="24"/>
          <w:szCs w:val="24"/>
        </w:rPr>
        <w:t xml:space="preserve"> </w:t>
      </w:r>
    </w:p>
    <w:p w14:paraId="1A7D395E" w14:textId="754AAE26" w:rsidR="00AD5DD9" w:rsidRPr="00B148A2" w:rsidRDefault="00AD5DD9" w:rsidP="000F7682">
      <w:pPr>
        <w:spacing w:after="0" w:line="240" w:lineRule="auto"/>
        <w:jc w:val="both"/>
        <w:rPr>
          <w:rFonts w:eastAsia="Segoe UI" w:cstheme="minorHAnsi"/>
          <w:color w:val="000000"/>
          <w:sz w:val="24"/>
          <w:szCs w:val="24"/>
          <w:lang w:eastAsia="en-AU"/>
        </w:rPr>
      </w:pPr>
    </w:p>
    <w:p w14:paraId="49B0D587" w14:textId="0E78839E" w:rsidR="00D54AE3" w:rsidRPr="00B148A2" w:rsidRDefault="00AD5DD9" w:rsidP="000F7682">
      <w:pPr>
        <w:spacing w:after="0" w:line="240" w:lineRule="auto"/>
        <w:jc w:val="both"/>
        <w:rPr>
          <w:rFonts w:eastAsia="Segoe UI" w:cstheme="minorHAnsi"/>
          <w:color w:val="000000"/>
          <w:sz w:val="24"/>
          <w:szCs w:val="24"/>
          <w:lang w:eastAsia="en-AU"/>
        </w:rPr>
      </w:pPr>
      <w:r w:rsidRPr="00B148A2">
        <w:rPr>
          <w:rFonts w:eastAsia="Segoe UI" w:cstheme="minorHAnsi"/>
          <w:color w:val="000000"/>
          <w:sz w:val="24"/>
          <w:szCs w:val="24"/>
          <w:lang w:eastAsia="en-AU"/>
        </w:rPr>
        <w:t>For</w:t>
      </w:r>
      <w:r w:rsidRPr="00B148A2">
        <w:rPr>
          <w:color w:val="000000"/>
          <w:sz w:val="24"/>
          <w:szCs w:val="24"/>
        </w:rPr>
        <w:t xml:space="preserve"> the </w:t>
      </w:r>
      <w:r w:rsidRPr="00B148A2">
        <w:rPr>
          <w:rFonts w:eastAsia="Segoe UI" w:cstheme="minorHAnsi"/>
          <w:color w:val="000000"/>
          <w:sz w:val="24"/>
          <w:szCs w:val="24"/>
          <w:lang w:eastAsia="en-AU"/>
        </w:rPr>
        <w:t>202</w:t>
      </w:r>
      <w:r w:rsidR="006A20E3">
        <w:rPr>
          <w:rFonts w:eastAsia="Segoe UI" w:cstheme="minorHAnsi"/>
          <w:color w:val="000000"/>
          <w:sz w:val="24"/>
          <w:szCs w:val="24"/>
          <w:lang w:eastAsia="en-AU"/>
        </w:rPr>
        <w:t>4</w:t>
      </w:r>
      <w:r w:rsidRPr="00B148A2">
        <w:rPr>
          <w:rFonts w:eastAsia="Segoe UI" w:cstheme="minorHAnsi"/>
          <w:color w:val="000000"/>
          <w:sz w:val="24"/>
          <w:szCs w:val="24"/>
          <w:lang w:eastAsia="en-AU"/>
        </w:rPr>
        <w:t xml:space="preserve"> calendar year</w:t>
      </w:r>
      <w:r w:rsidR="00D54AE3" w:rsidRPr="00B148A2">
        <w:rPr>
          <w:rFonts w:eastAsia="Segoe UI" w:cstheme="minorHAnsi"/>
          <w:color w:val="000000"/>
          <w:sz w:val="24"/>
          <w:szCs w:val="24"/>
          <w:lang w:eastAsia="en-AU"/>
        </w:rPr>
        <w:t>:</w:t>
      </w:r>
    </w:p>
    <w:p w14:paraId="5FF24168" w14:textId="405E0AC2" w:rsidR="001225C4" w:rsidRPr="00B148A2" w:rsidRDefault="001225C4" w:rsidP="00AB7A20">
      <w:pPr>
        <w:pStyle w:val="ListParagraph"/>
        <w:numPr>
          <w:ilvl w:val="0"/>
          <w:numId w:val="121"/>
        </w:numPr>
        <w:spacing w:after="0" w:line="240" w:lineRule="auto"/>
        <w:jc w:val="both"/>
        <w:rPr>
          <w:rFonts w:eastAsia="Segoe UI" w:cstheme="minorHAnsi"/>
          <w:color w:val="000000"/>
          <w:sz w:val="24"/>
          <w:szCs w:val="24"/>
          <w:lang w:eastAsia="en-AU"/>
        </w:rPr>
      </w:pPr>
      <w:r w:rsidRPr="00B148A2">
        <w:rPr>
          <w:rFonts w:eastAsia="Segoe UI" w:cstheme="minorHAnsi"/>
          <w:color w:val="000000"/>
          <w:sz w:val="24"/>
          <w:szCs w:val="24"/>
          <w:lang w:eastAsia="en-AU"/>
        </w:rPr>
        <w:t xml:space="preserve">Each school will receive </w:t>
      </w:r>
      <w:r w:rsidR="0057478B" w:rsidRPr="00B148A2">
        <w:rPr>
          <w:rFonts w:eastAsia="Segoe UI" w:cstheme="minorHAnsi"/>
          <w:color w:val="000000"/>
          <w:sz w:val="24"/>
          <w:szCs w:val="24"/>
          <w:lang w:eastAsia="en-AU"/>
        </w:rPr>
        <w:t>$14</w:t>
      </w:r>
      <w:r w:rsidR="006A20E3">
        <w:rPr>
          <w:rFonts w:eastAsia="Segoe UI" w:cstheme="minorHAnsi"/>
          <w:color w:val="000000"/>
          <w:sz w:val="24"/>
          <w:szCs w:val="24"/>
          <w:lang w:eastAsia="en-AU"/>
        </w:rPr>
        <w:t>5</w:t>
      </w:r>
      <w:r w:rsidR="0057478B" w:rsidRPr="00B148A2">
        <w:rPr>
          <w:rFonts w:eastAsia="Segoe UI" w:cstheme="minorHAnsi"/>
          <w:color w:val="000000"/>
          <w:sz w:val="24"/>
          <w:szCs w:val="24"/>
          <w:lang w:eastAsia="en-AU"/>
        </w:rPr>
        <w:t>,</w:t>
      </w:r>
      <w:r w:rsidR="006A20E3">
        <w:rPr>
          <w:rFonts w:eastAsia="Segoe UI" w:cstheme="minorHAnsi"/>
          <w:color w:val="000000"/>
          <w:sz w:val="24"/>
          <w:szCs w:val="24"/>
          <w:lang w:eastAsia="en-AU"/>
        </w:rPr>
        <w:t>778</w:t>
      </w:r>
      <w:r w:rsidR="006A20E3" w:rsidRPr="00B148A2">
        <w:rPr>
          <w:rFonts w:eastAsia="Segoe UI" w:cstheme="minorHAnsi"/>
          <w:color w:val="000000"/>
          <w:sz w:val="24"/>
          <w:szCs w:val="24"/>
          <w:lang w:eastAsia="en-AU"/>
        </w:rPr>
        <w:t xml:space="preserve"> </w:t>
      </w:r>
      <w:r w:rsidR="0057478B" w:rsidRPr="00B148A2">
        <w:rPr>
          <w:rFonts w:eastAsia="Segoe UI" w:cstheme="minorHAnsi"/>
          <w:color w:val="000000"/>
          <w:sz w:val="24"/>
          <w:szCs w:val="24"/>
          <w:lang w:eastAsia="en-AU"/>
        </w:rPr>
        <w:t>(</w:t>
      </w:r>
      <w:r w:rsidR="00D54AE3" w:rsidRPr="00B148A2">
        <w:rPr>
          <w:rFonts w:eastAsia="Segoe UI" w:cstheme="minorHAnsi"/>
          <w:color w:val="000000"/>
          <w:sz w:val="24"/>
          <w:szCs w:val="24"/>
          <w:lang w:eastAsia="en-AU"/>
        </w:rPr>
        <w:t>FTE)</w:t>
      </w:r>
      <w:r w:rsidRPr="00B148A2">
        <w:rPr>
          <w:rFonts w:eastAsia="Segoe UI" w:cstheme="minorHAnsi"/>
          <w:color w:val="000000"/>
          <w:sz w:val="24"/>
          <w:szCs w:val="24"/>
          <w:lang w:eastAsia="en-AU"/>
        </w:rPr>
        <w:t xml:space="preserve"> </w:t>
      </w:r>
    </w:p>
    <w:p w14:paraId="155DE414" w14:textId="77777777" w:rsidR="00AD5DD9" w:rsidRPr="00B148A2" w:rsidRDefault="00AD5DD9" w:rsidP="00AB7A20">
      <w:pPr>
        <w:pStyle w:val="ListParagraph"/>
        <w:spacing w:after="0" w:line="240" w:lineRule="auto"/>
        <w:jc w:val="both"/>
        <w:rPr>
          <w:rFonts w:eastAsia="Segoe UI" w:cstheme="minorHAnsi"/>
          <w:color w:val="000000"/>
          <w:sz w:val="24"/>
          <w:szCs w:val="24"/>
          <w:lang w:eastAsia="en-AU"/>
        </w:rPr>
      </w:pPr>
    </w:p>
    <w:p w14:paraId="4A6C3015" w14:textId="13FBC445" w:rsidR="000F7682" w:rsidRPr="00B148A2" w:rsidRDefault="00372DAD" w:rsidP="00950CBB">
      <w:pPr>
        <w:spacing w:after="0" w:line="240" w:lineRule="auto"/>
        <w:jc w:val="both"/>
        <w:rPr>
          <w:sz w:val="24"/>
          <w:szCs w:val="24"/>
        </w:rPr>
      </w:pPr>
      <w:r w:rsidRPr="00B148A2">
        <w:rPr>
          <w:rFonts w:eastAsia="Segoe UI" w:cstheme="minorHAnsi"/>
          <w:color w:val="000000"/>
          <w:sz w:val="24"/>
          <w:szCs w:val="24"/>
          <w:lang w:eastAsia="en-AU"/>
        </w:rPr>
        <w:t xml:space="preserve">(please see </w:t>
      </w:r>
      <w:hyperlink r:id="rId224" w:history="1">
        <w:r w:rsidRPr="00B148A2">
          <w:rPr>
            <w:color w:val="0000FF"/>
            <w:sz w:val="24"/>
            <w:szCs w:val="24"/>
            <w:u w:val="single"/>
          </w:rPr>
          <w:t>Student Resource Package — Targeted Initiatives: Inclusion Outreach Coaching (IOC) initiative (Reference 136) | education.vic.gov.au</w:t>
        </w:r>
      </w:hyperlink>
      <w:r w:rsidRPr="00B148A2">
        <w:rPr>
          <w:sz w:val="24"/>
          <w:szCs w:val="24"/>
        </w:rPr>
        <w:t xml:space="preserve"> and </w:t>
      </w:r>
      <w:hyperlink r:id="rId225" w:history="1">
        <w:r w:rsidR="000F7682" w:rsidRPr="00B148A2">
          <w:rPr>
            <w:color w:val="0000FF"/>
            <w:sz w:val="24"/>
            <w:szCs w:val="24"/>
            <w:u w:val="single"/>
          </w:rPr>
          <w:t>Victorian Gover</w:t>
        </w:r>
        <w:bookmarkStart w:id="297" w:name="_Hlt142907149"/>
        <w:bookmarkStart w:id="298" w:name="_Hlt142907150"/>
        <w:r w:rsidR="000F7682" w:rsidRPr="00B148A2">
          <w:rPr>
            <w:color w:val="0000FF"/>
            <w:sz w:val="24"/>
            <w:szCs w:val="24"/>
            <w:u w:val="single"/>
          </w:rPr>
          <w:t>n</w:t>
        </w:r>
        <w:bookmarkEnd w:id="297"/>
        <w:bookmarkEnd w:id="298"/>
        <w:r w:rsidR="000F7682" w:rsidRPr="00B148A2">
          <w:rPr>
            <w:color w:val="0000FF"/>
            <w:sz w:val="24"/>
            <w:szCs w:val="24"/>
            <w:u w:val="single"/>
          </w:rPr>
          <w:t>ment Schools Agreement 2022 (education.vic.gov.au)</w:t>
        </w:r>
      </w:hyperlink>
      <w:r w:rsidRPr="00B148A2">
        <w:rPr>
          <w:color w:val="000000"/>
          <w:sz w:val="24"/>
          <w:szCs w:val="24"/>
        </w:rPr>
        <w:t xml:space="preserve"> for further information.</w:t>
      </w:r>
      <w:r w:rsidRPr="00B148A2">
        <w:rPr>
          <w:rFonts w:eastAsia="Segoe UI" w:cstheme="minorHAnsi"/>
          <w:color w:val="000000"/>
          <w:sz w:val="24"/>
          <w:szCs w:val="24"/>
          <w:lang w:eastAsia="en-AU"/>
        </w:rPr>
        <w:t xml:space="preserve"> </w:t>
      </w:r>
    </w:p>
    <w:p w14:paraId="308D3207" w14:textId="77777777" w:rsidR="000F7682" w:rsidRPr="00B148A2" w:rsidRDefault="000F7682" w:rsidP="000F7682">
      <w:pPr>
        <w:spacing w:after="0" w:line="240" w:lineRule="auto"/>
        <w:jc w:val="both"/>
        <w:rPr>
          <w:rFonts w:eastAsia="Segoe UI" w:cstheme="minorHAnsi"/>
          <w:color w:val="000000"/>
          <w:sz w:val="24"/>
          <w:szCs w:val="24"/>
          <w:lang w:eastAsia="en-AU"/>
        </w:rPr>
      </w:pPr>
    </w:p>
    <w:p w14:paraId="183535E8" w14:textId="104F6C2C" w:rsidR="000F7682" w:rsidRPr="00B148A2" w:rsidRDefault="000F7682" w:rsidP="000F7682">
      <w:pPr>
        <w:spacing w:after="0" w:line="240" w:lineRule="auto"/>
        <w:jc w:val="both"/>
        <w:rPr>
          <w:rFonts w:eastAsia="Segoe UI" w:cstheme="minorHAnsi"/>
          <w:color w:val="000000"/>
          <w:sz w:val="24"/>
          <w:szCs w:val="24"/>
          <w:lang w:eastAsia="en-AU"/>
        </w:rPr>
      </w:pPr>
      <w:r w:rsidRPr="00B148A2">
        <w:rPr>
          <w:rFonts w:eastAsia="Segoe UI" w:cstheme="minorHAnsi"/>
          <w:color w:val="000000"/>
          <w:sz w:val="24"/>
          <w:szCs w:val="24"/>
          <w:lang w:eastAsia="en-AU"/>
        </w:rPr>
        <w:t xml:space="preserve">If circumstances require the recruitment of a new </w:t>
      </w:r>
      <w:r w:rsidR="00590275" w:rsidRPr="00B148A2">
        <w:rPr>
          <w:rFonts w:eastAsia="Segoe UI" w:cstheme="minorHAnsi"/>
          <w:color w:val="000000"/>
          <w:sz w:val="24"/>
          <w:szCs w:val="24"/>
          <w:lang w:eastAsia="en-AU"/>
        </w:rPr>
        <w:t>c</w:t>
      </w:r>
      <w:r w:rsidRPr="00B148A2">
        <w:rPr>
          <w:rFonts w:eastAsia="Segoe UI" w:cstheme="minorHAnsi"/>
          <w:color w:val="000000"/>
          <w:sz w:val="24"/>
          <w:szCs w:val="24"/>
          <w:lang w:eastAsia="en-AU"/>
        </w:rPr>
        <w:t xml:space="preserve">oach part way through the year and an SRP allocation was not provided as part of a base school’s indicative SRP budget, then this will be indexed on a pro rata basis depending on what time of year the </w:t>
      </w:r>
      <w:r w:rsidR="00590275" w:rsidRPr="00B148A2">
        <w:rPr>
          <w:rFonts w:eastAsia="Segoe UI" w:cstheme="minorHAnsi"/>
          <w:color w:val="000000"/>
          <w:sz w:val="24"/>
          <w:szCs w:val="24"/>
          <w:lang w:eastAsia="en-AU"/>
        </w:rPr>
        <w:t>c</w:t>
      </w:r>
      <w:r w:rsidRPr="00B148A2">
        <w:rPr>
          <w:rFonts w:eastAsia="Segoe UI" w:cstheme="minorHAnsi"/>
          <w:color w:val="000000"/>
          <w:sz w:val="24"/>
          <w:szCs w:val="24"/>
          <w:lang w:eastAsia="en-AU"/>
        </w:rPr>
        <w:t xml:space="preserve">oach commences employment.  For example, if a </w:t>
      </w:r>
      <w:r w:rsidR="00590275" w:rsidRPr="00B148A2">
        <w:rPr>
          <w:rFonts w:eastAsia="Segoe UI" w:cstheme="minorHAnsi"/>
          <w:color w:val="000000"/>
          <w:sz w:val="24"/>
          <w:szCs w:val="24"/>
          <w:lang w:eastAsia="en-AU"/>
        </w:rPr>
        <w:t>c</w:t>
      </w:r>
      <w:r w:rsidRPr="00B148A2">
        <w:rPr>
          <w:rFonts w:eastAsia="Segoe UI" w:cstheme="minorHAnsi"/>
          <w:color w:val="000000"/>
          <w:sz w:val="24"/>
          <w:szCs w:val="24"/>
          <w:lang w:eastAsia="en-AU"/>
        </w:rPr>
        <w:t xml:space="preserve">oach commences in Term 2, then an SRP allocation of 50% of the full allocation will be provided.  </w:t>
      </w:r>
    </w:p>
    <w:p w14:paraId="4C61D48E" w14:textId="77777777" w:rsidR="000F7682" w:rsidRPr="00B148A2" w:rsidRDefault="000F7682" w:rsidP="000F7682">
      <w:pPr>
        <w:spacing w:after="0" w:line="240" w:lineRule="auto"/>
        <w:jc w:val="both"/>
        <w:rPr>
          <w:rFonts w:eastAsia="Segoe UI" w:cstheme="minorHAnsi"/>
          <w:color w:val="000000"/>
          <w:sz w:val="24"/>
          <w:szCs w:val="24"/>
          <w:u w:val="single"/>
          <w:lang w:eastAsia="en-AU"/>
        </w:rPr>
      </w:pPr>
    </w:p>
    <w:p w14:paraId="60242C2B" w14:textId="52B0F32B" w:rsidR="000F7682" w:rsidRPr="00B148A2" w:rsidRDefault="000F7682" w:rsidP="000F7682">
      <w:pPr>
        <w:spacing w:after="0" w:line="240" w:lineRule="auto"/>
        <w:jc w:val="both"/>
        <w:rPr>
          <w:rFonts w:eastAsia="Segoe UI" w:cstheme="minorHAnsi"/>
          <w:color w:val="000000"/>
          <w:sz w:val="24"/>
          <w:szCs w:val="24"/>
          <w:u w:val="single"/>
          <w:lang w:eastAsia="en-AU"/>
        </w:rPr>
      </w:pPr>
      <w:r w:rsidRPr="00B148A2">
        <w:rPr>
          <w:rFonts w:eastAsia="Segoe UI" w:cstheme="minorHAnsi"/>
          <w:color w:val="000000"/>
          <w:sz w:val="24"/>
          <w:szCs w:val="24"/>
          <w:u w:val="single"/>
          <w:lang w:eastAsia="en-AU"/>
        </w:rPr>
        <w:t xml:space="preserve">Cash allocations to support the travel allowance requirements of an IOC </w:t>
      </w:r>
      <w:r w:rsidR="00590275" w:rsidRPr="00B148A2">
        <w:rPr>
          <w:rFonts w:eastAsia="Segoe UI" w:cstheme="minorHAnsi"/>
          <w:color w:val="000000"/>
          <w:sz w:val="24"/>
          <w:szCs w:val="24"/>
          <w:u w:val="single"/>
          <w:lang w:eastAsia="en-AU"/>
        </w:rPr>
        <w:t>c</w:t>
      </w:r>
      <w:r w:rsidRPr="00B148A2">
        <w:rPr>
          <w:rFonts w:eastAsia="Segoe UI" w:cstheme="minorHAnsi"/>
          <w:color w:val="000000"/>
          <w:sz w:val="24"/>
          <w:szCs w:val="24"/>
          <w:u w:val="single"/>
          <w:lang w:eastAsia="en-AU"/>
        </w:rPr>
        <w:t xml:space="preserve">oach </w:t>
      </w:r>
    </w:p>
    <w:p w14:paraId="7A363659" w14:textId="65C799C4" w:rsidR="00555A83" w:rsidRPr="00B148A2" w:rsidRDefault="000F7682" w:rsidP="000F7682">
      <w:pPr>
        <w:spacing w:after="0" w:line="240" w:lineRule="auto"/>
        <w:jc w:val="both"/>
        <w:rPr>
          <w:rFonts w:eastAsia="Segoe UI" w:cstheme="minorHAnsi"/>
          <w:color w:val="000000"/>
          <w:sz w:val="24"/>
          <w:szCs w:val="24"/>
          <w:lang w:eastAsia="en-AU"/>
        </w:rPr>
      </w:pPr>
      <w:r w:rsidRPr="00B148A2">
        <w:rPr>
          <w:rFonts w:eastAsia="Segoe UI" w:cstheme="minorHAnsi"/>
          <w:color w:val="000000"/>
          <w:sz w:val="24"/>
          <w:szCs w:val="24"/>
          <w:lang w:eastAsia="en-AU"/>
        </w:rPr>
        <w:t xml:space="preserve">IOC </w:t>
      </w:r>
      <w:r w:rsidR="00590275" w:rsidRPr="00B148A2">
        <w:rPr>
          <w:rFonts w:eastAsia="Segoe UI" w:cstheme="minorHAnsi"/>
          <w:color w:val="000000"/>
          <w:sz w:val="24"/>
          <w:szCs w:val="24"/>
          <w:lang w:eastAsia="en-AU"/>
        </w:rPr>
        <w:t>c</w:t>
      </w:r>
      <w:r w:rsidRPr="00B148A2">
        <w:rPr>
          <w:rFonts w:eastAsia="Segoe UI" w:cstheme="minorHAnsi"/>
          <w:color w:val="000000"/>
          <w:sz w:val="24"/>
          <w:szCs w:val="24"/>
          <w:lang w:eastAsia="en-AU"/>
        </w:rPr>
        <w:t xml:space="preserve">oaches are required to travel from their base specialist school to partner non-specialist schools, regional offices, and other department locations and workplaces to support their </w:t>
      </w:r>
      <w:r w:rsidR="00590275" w:rsidRPr="00B148A2">
        <w:rPr>
          <w:rFonts w:eastAsia="Segoe UI" w:cstheme="minorHAnsi"/>
          <w:color w:val="000000"/>
          <w:sz w:val="24"/>
          <w:szCs w:val="24"/>
          <w:lang w:eastAsia="en-AU"/>
        </w:rPr>
        <w:t>c</w:t>
      </w:r>
      <w:r w:rsidRPr="00B148A2">
        <w:rPr>
          <w:rFonts w:eastAsia="Segoe UI" w:cstheme="minorHAnsi"/>
          <w:color w:val="000000"/>
          <w:sz w:val="24"/>
          <w:szCs w:val="24"/>
          <w:lang w:eastAsia="en-AU"/>
        </w:rPr>
        <w:t xml:space="preserve">oaching role.  To </w:t>
      </w:r>
      <w:r w:rsidR="00B03B27" w:rsidRPr="00B148A2">
        <w:rPr>
          <w:rFonts w:eastAsia="Segoe UI" w:cstheme="minorHAnsi"/>
          <w:color w:val="000000"/>
          <w:sz w:val="24"/>
          <w:szCs w:val="24"/>
          <w:lang w:eastAsia="en-AU"/>
        </w:rPr>
        <w:t>contribute to</w:t>
      </w:r>
      <w:r w:rsidRPr="00B148A2">
        <w:rPr>
          <w:rFonts w:eastAsia="Segoe UI" w:cstheme="minorHAnsi"/>
          <w:color w:val="000000"/>
          <w:sz w:val="24"/>
          <w:szCs w:val="24"/>
          <w:lang w:eastAsia="en-AU"/>
        </w:rPr>
        <w:t xml:space="preserve"> the costs associated with this, the department will provide each base school with cash SRP allocations</w:t>
      </w:r>
      <w:r w:rsidR="00555A83" w:rsidRPr="00B148A2">
        <w:rPr>
          <w:rFonts w:eastAsia="Segoe UI" w:cstheme="minorHAnsi"/>
          <w:color w:val="000000"/>
          <w:sz w:val="24"/>
          <w:szCs w:val="24"/>
          <w:lang w:eastAsia="en-AU"/>
        </w:rPr>
        <w:t>.</w:t>
      </w:r>
      <w:r w:rsidRPr="00B148A2">
        <w:rPr>
          <w:rFonts w:eastAsia="Segoe UI" w:cstheme="minorHAnsi"/>
          <w:color w:val="000000"/>
          <w:sz w:val="24"/>
          <w:szCs w:val="24"/>
          <w:lang w:eastAsia="en-AU"/>
        </w:rPr>
        <w:t xml:space="preserve"> </w:t>
      </w:r>
    </w:p>
    <w:p w14:paraId="43C79395" w14:textId="77777777" w:rsidR="00555A83" w:rsidRPr="00B148A2" w:rsidRDefault="00555A83" w:rsidP="00555A83">
      <w:pPr>
        <w:spacing w:after="0" w:line="240" w:lineRule="auto"/>
        <w:jc w:val="both"/>
        <w:rPr>
          <w:rFonts w:cstheme="minorHAnsi"/>
          <w:sz w:val="24"/>
          <w:szCs w:val="24"/>
        </w:rPr>
      </w:pPr>
    </w:p>
    <w:p w14:paraId="4B4F9882" w14:textId="72CF7D74" w:rsidR="00555A83" w:rsidRPr="00B148A2" w:rsidRDefault="00555A83" w:rsidP="00555A83">
      <w:pPr>
        <w:spacing w:after="0" w:line="240" w:lineRule="auto"/>
        <w:jc w:val="both"/>
        <w:rPr>
          <w:rFonts w:cstheme="minorHAnsi"/>
          <w:sz w:val="24"/>
          <w:szCs w:val="24"/>
        </w:rPr>
      </w:pPr>
      <w:r w:rsidRPr="00B148A2">
        <w:rPr>
          <w:rFonts w:cstheme="minorHAnsi"/>
          <w:sz w:val="24"/>
          <w:szCs w:val="24"/>
        </w:rPr>
        <w:t>For the 202</w:t>
      </w:r>
      <w:r w:rsidR="00D17231">
        <w:rPr>
          <w:rFonts w:cstheme="minorHAnsi"/>
          <w:sz w:val="24"/>
          <w:szCs w:val="24"/>
        </w:rPr>
        <w:t>4</w:t>
      </w:r>
      <w:r w:rsidRPr="00B148A2">
        <w:rPr>
          <w:rFonts w:cstheme="minorHAnsi"/>
          <w:sz w:val="24"/>
          <w:szCs w:val="24"/>
        </w:rPr>
        <w:t xml:space="preserve"> calendar year:</w:t>
      </w:r>
    </w:p>
    <w:p w14:paraId="479A9036" w14:textId="77777777" w:rsidR="00555A83" w:rsidRPr="00B148A2" w:rsidRDefault="00555A83" w:rsidP="00555A83">
      <w:pPr>
        <w:spacing w:after="0" w:line="240" w:lineRule="auto"/>
        <w:jc w:val="both"/>
        <w:rPr>
          <w:rFonts w:cstheme="minorHAnsi"/>
          <w:sz w:val="24"/>
          <w:szCs w:val="24"/>
        </w:rPr>
      </w:pPr>
    </w:p>
    <w:p w14:paraId="0F9B516B" w14:textId="1D0CC833" w:rsidR="00555A83" w:rsidRPr="00B148A2" w:rsidRDefault="00615025" w:rsidP="00950CBB">
      <w:pPr>
        <w:numPr>
          <w:ilvl w:val="0"/>
          <w:numId w:val="89"/>
        </w:numPr>
        <w:spacing w:after="0" w:line="240" w:lineRule="auto"/>
        <w:contextualSpacing/>
        <w:rPr>
          <w:sz w:val="24"/>
          <w:szCs w:val="24"/>
        </w:rPr>
      </w:pPr>
      <w:r w:rsidRPr="00B148A2">
        <w:rPr>
          <w:sz w:val="24"/>
          <w:szCs w:val="24"/>
        </w:rPr>
        <w:t>r</w:t>
      </w:r>
      <w:r w:rsidR="00555A83" w:rsidRPr="00B148A2">
        <w:rPr>
          <w:sz w:val="24"/>
          <w:szCs w:val="24"/>
        </w:rPr>
        <w:t>ural schools will receive $</w:t>
      </w:r>
      <w:r w:rsidR="002F7D5A">
        <w:rPr>
          <w:sz w:val="24"/>
          <w:szCs w:val="24"/>
        </w:rPr>
        <w:t>4</w:t>
      </w:r>
      <w:r w:rsidR="00555A83" w:rsidRPr="00B148A2">
        <w:rPr>
          <w:sz w:val="24"/>
          <w:szCs w:val="24"/>
        </w:rPr>
        <w:t>,</w:t>
      </w:r>
      <w:r w:rsidR="002F7D5A">
        <w:rPr>
          <w:sz w:val="24"/>
          <w:szCs w:val="24"/>
        </w:rPr>
        <w:t>25</w:t>
      </w:r>
      <w:r w:rsidR="00555A83" w:rsidRPr="00B148A2">
        <w:rPr>
          <w:sz w:val="24"/>
          <w:szCs w:val="24"/>
        </w:rPr>
        <w:t xml:space="preserve">0 </w:t>
      </w:r>
      <w:r w:rsidR="00555A83" w:rsidRPr="00B148A2">
        <w:rPr>
          <w:rFonts w:cstheme="minorHAnsi"/>
          <w:sz w:val="24"/>
          <w:szCs w:val="24"/>
        </w:rPr>
        <w:t>(</w:t>
      </w:r>
      <w:r w:rsidR="00711AE8" w:rsidRPr="00B148A2">
        <w:rPr>
          <w:rFonts w:cstheme="minorHAnsi"/>
          <w:sz w:val="24"/>
          <w:szCs w:val="24"/>
        </w:rPr>
        <w:t xml:space="preserve">which equates to </w:t>
      </w:r>
      <w:r w:rsidR="00555A83" w:rsidRPr="00B148A2">
        <w:rPr>
          <w:sz w:val="24"/>
          <w:szCs w:val="24"/>
        </w:rPr>
        <w:t>5,000</w:t>
      </w:r>
      <w:r w:rsidRPr="00B148A2">
        <w:rPr>
          <w:sz w:val="24"/>
          <w:szCs w:val="24"/>
        </w:rPr>
        <w:t xml:space="preserve"> </w:t>
      </w:r>
      <w:r w:rsidR="00555A83" w:rsidRPr="00B148A2">
        <w:rPr>
          <w:sz w:val="24"/>
          <w:szCs w:val="24"/>
        </w:rPr>
        <w:t>km</w:t>
      </w:r>
      <w:r w:rsidR="00711AE8" w:rsidRPr="00B148A2">
        <w:rPr>
          <w:rFonts w:cstheme="minorHAnsi"/>
          <w:sz w:val="24"/>
          <w:szCs w:val="24"/>
        </w:rPr>
        <w:t xml:space="preserve"> of travel per </w:t>
      </w:r>
      <w:r w:rsidR="00590275" w:rsidRPr="00B148A2">
        <w:rPr>
          <w:rFonts w:cstheme="minorHAnsi"/>
          <w:sz w:val="24"/>
          <w:szCs w:val="24"/>
        </w:rPr>
        <w:t>c</w:t>
      </w:r>
      <w:r w:rsidR="00711AE8" w:rsidRPr="00B148A2">
        <w:rPr>
          <w:rFonts w:cstheme="minorHAnsi"/>
          <w:sz w:val="24"/>
          <w:szCs w:val="24"/>
        </w:rPr>
        <w:t>oach</w:t>
      </w:r>
      <w:r w:rsidR="00555A83" w:rsidRPr="00B148A2">
        <w:rPr>
          <w:sz w:val="24"/>
          <w:szCs w:val="24"/>
        </w:rPr>
        <w:t xml:space="preserve">) </w:t>
      </w:r>
    </w:p>
    <w:p w14:paraId="548F3BA1" w14:textId="0E690627" w:rsidR="00555A83" w:rsidRPr="00B148A2" w:rsidRDefault="00615025" w:rsidP="00950CBB">
      <w:pPr>
        <w:numPr>
          <w:ilvl w:val="0"/>
          <w:numId w:val="89"/>
        </w:numPr>
        <w:spacing w:after="0" w:line="240" w:lineRule="auto"/>
        <w:contextualSpacing/>
        <w:rPr>
          <w:sz w:val="24"/>
          <w:szCs w:val="24"/>
        </w:rPr>
      </w:pPr>
      <w:r w:rsidRPr="00B148A2">
        <w:rPr>
          <w:sz w:val="24"/>
          <w:szCs w:val="24"/>
        </w:rPr>
        <w:t>m</w:t>
      </w:r>
      <w:r w:rsidR="00555A83" w:rsidRPr="00B148A2">
        <w:rPr>
          <w:sz w:val="24"/>
          <w:szCs w:val="24"/>
        </w:rPr>
        <w:t>etropolitan schools will receive $2,</w:t>
      </w:r>
      <w:r w:rsidR="001F7E2B">
        <w:rPr>
          <w:sz w:val="24"/>
          <w:szCs w:val="24"/>
        </w:rPr>
        <w:t>55</w:t>
      </w:r>
      <w:r w:rsidR="00555A83" w:rsidRPr="00B148A2">
        <w:rPr>
          <w:sz w:val="24"/>
          <w:szCs w:val="24"/>
        </w:rPr>
        <w:t xml:space="preserve">0 </w:t>
      </w:r>
      <w:r w:rsidR="00555A83" w:rsidRPr="00B148A2">
        <w:rPr>
          <w:rFonts w:cstheme="minorHAnsi"/>
          <w:sz w:val="24"/>
          <w:szCs w:val="24"/>
        </w:rPr>
        <w:t>(</w:t>
      </w:r>
      <w:r w:rsidR="00711AE8" w:rsidRPr="00B148A2">
        <w:rPr>
          <w:rFonts w:cstheme="minorHAnsi"/>
          <w:sz w:val="24"/>
          <w:szCs w:val="24"/>
        </w:rPr>
        <w:t xml:space="preserve">which equates to </w:t>
      </w:r>
      <w:r w:rsidR="00555A83" w:rsidRPr="00B148A2">
        <w:rPr>
          <w:sz w:val="24"/>
          <w:szCs w:val="24"/>
        </w:rPr>
        <w:t>3,000</w:t>
      </w:r>
      <w:r w:rsidRPr="00B148A2">
        <w:rPr>
          <w:sz w:val="24"/>
          <w:szCs w:val="24"/>
        </w:rPr>
        <w:t xml:space="preserve"> </w:t>
      </w:r>
      <w:r w:rsidR="00555A83" w:rsidRPr="00B148A2">
        <w:rPr>
          <w:sz w:val="24"/>
          <w:szCs w:val="24"/>
        </w:rPr>
        <w:t>km</w:t>
      </w:r>
      <w:r w:rsidR="00711AE8" w:rsidRPr="00B148A2">
        <w:rPr>
          <w:rFonts w:cstheme="minorHAnsi"/>
          <w:sz w:val="24"/>
          <w:szCs w:val="24"/>
        </w:rPr>
        <w:t xml:space="preserve"> of travel per </w:t>
      </w:r>
      <w:r w:rsidR="00590275" w:rsidRPr="00B148A2">
        <w:rPr>
          <w:rFonts w:cstheme="minorHAnsi"/>
          <w:sz w:val="24"/>
          <w:szCs w:val="24"/>
        </w:rPr>
        <w:t>c</w:t>
      </w:r>
      <w:r w:rsidR="00711AE8" w:rsidRPr="00B148A2">
        <w:rPr>
          <w:rFonts w:cstheme="minorHAnsi"/>
          <w:sz w:val="24"/>
          <w:szCs w:val="24"/>
        </w:rPr>
        <w:t>oach</w:t>
      </w:r>
      <w:r w:rsidR="00555A83" w:rsidRPr="00B148A2">
        <w:rPr>
          <w:sz w:val="24"/>
          <w:szCs w:val="24"/>
        </w:rPr>
        <w:t>).</w:t>
      </w:r>
    </w:p>
    <w:p w14:paraId="15EF6D74" w14:textId="77777777" w:rsidR="00555A83" w:rsidRPr="00B148A2" w:rsidRDefault="00555A83" w:rsidP="00950CBB">
      <w:pPr>
        <w:spacing w:after="0" w:line="240" w:lineRule="auto"/>
        <w:rPr>
          <w:sz w:val="24"/>
          <w:szCs w:val="24"/>
        </w:rPr>
      </w:pPr>
    </w:p>
    <w:p w14:paraId="1D46A614" w14:textId="7880C234" w:rsidR="00555A83" w:rsidRPr="00B148A2" w:rsidRDefault="001225C4" w:rsidP="00555A83">
      <w:pPr>
        <w:spacing w:after="0" w:line="240" w:lineRule="auto"/>
        <w:rPr>
          <w:rFonts w:eastAsia="Segoe UI" w:cstheme="minorHAnsi"/>
          <w:color w:val="000000"/>
          <w:sz w:val="24"/>
          <w:szCs w:val="24"/>
          <w:lang w:eastAsia="en-AU"/>
        </w:rPr>
      </w:pPr>
      <w:r w:rsidRPr="00B148A2">
        <w:rPr>
          <w:rFonts w:cstheme="minorHAnsi"/>
          <w:sz w:val="24"/>
          <w:szCs w:val="24"/>
        </w:rPr>
        <w:t>These</w:t>
      </w:r>
      <w:r w:rsidR="00555A83" w:rsidRPr="00B148A2">
        <w:rPr>
          <w:rFonts w:cstheme="minorHAnsi"/>
          <w:sz w:val="24"/>
          <w:szCs w:val="24"/>
        </w:rPr>
        <w:t xml:space="preserve"> allocations will be rolled out </w:t>
      </w:r>
      <w:r w:rsidR="0050477A" w:rsidRPr="00B148A2">
        <w:rPr>
          <w:rFonts w:cstheme="minorHAnsi"/>
          <w:sz w:val="24"/>
          <w:szCs w:val="24"/>
        </w:rPr>
        <w:t xml:space="preserve">in </w:t>
      </w:r>
      <w:r w:rsidR="00555A83" w:rsidRPr="00B148A2">
        <w:rPr>
          <w:rFonts w:cstheme="minorHAnsi"/>
          <w:sz w:val="24"/>
          <w:szCs w:val="24"/>
        </w:rPr>
        <w:t>quarterly</w:t>
      </w:r>
      <w:r w:rsidR="0050477A" w:rsidRPr="00B148A2">
        <w:rPr>
          <w:rFonts w:cstheme="minorHAnsi"/>
          <w:sz w:val="24"/>
          <w:szCs w:val="24"/>
        </w:rPr>
        <w:t xml:space="preserve"> allotments</w:t>
      </w:r>
      <w:r w:rsidR="00555A83" w:rsidRPr="00B148A2">
        <w:rPr>
          <w:rFonts w:cstheme="minorHAnsi"/>
          <w:sz w:val="24"/>
          <w:szCs w:val="24"/>
        </w:rPr>
        <w:t xml:space="preserve">, at the start of each Term. </w:t>
      </w:r>
    </w:p>
    <w:p w14:paraId="295D129E" w14:textId="77777777" w:rsidR="00555A83" w:rsidRPr="00B148A2" w:rsidRDefault="00555A83" w:rsidP="000F7682">
      <w:pPr>
        <w:spacing w:after="0" w:line="240" w:lineRule="auto"/>
        <w:jc w:val="both"/>
        <w:rPr>
          <w:rFonts w:eastAsia="Segoe UI" w:cstheme="minorHAnsi"/>
          <w:color w:val="000000"/>
          <w:sz w:val="24"/>
          <w:szCs w:val="24"/>
          <w:lang w:eastAsia="en-AU"/>
        </w:rPr>
      </w:pPr>
    </w:p>
    <w:p w14:paraId="66BF4CA1" w14:textId="039335B3" w:rsidR="000F7682" w:rsidRPr="00B148A2" w:rsidRDefault="00EB265B" w:rsidP="000F7682">
      <w:pPr>
        <w:spacing w:after="0" w:line="240" w:lineRule="auto"/>
        <w:jc w:val="both"/>
        <w:rPr>
          <w:rFonts w:eastAsia="Segoe UI" w:cstheme="minorHAnsi"/>
          <w:color w:val="000000"/>
          <w:sz w:val="24"/>
          <w:szCs w:val="24"/>
          <w:lang w:eastAsia="en-AU"/>
        </w:rPr>
      </w:pPr>
      <w:r w:rsidRPr="00B148A2">
        <w:rPr>
          <w:rFonts w:cstheme="minorHAnsi"/>
          <w:sz w:val="24"/>
          <w:szCs w:val="24"/>
        </w:rPr>
        <w:t xml:space="preserve">These figures are based on the </w:t>
      </w:r>
      <w:r w:rsidR="007755C7" w:rsidRPr="00B148A2">
        <w:rPr>
          <w:rFonts w:cstheme="minorHAnsi"/>
          <w:sz w:val="24"/>
          <w:szCs w:val="24"/>
        </w:rPr>
        <w:t>current</w:t>
      </w:r>
      <w:r w:rsidR="00C13626" w:rsidRPr="00B148A2">
        <w:rPr>
          <w:rFonts w:cstheme="minorHAnsi"/>
          <w:sz w:val="24"/>
          <w:szCs w:val="24"/>
        </w:rPr>
        <w:t xml:space="preserve"> </w:t>
      </w:r>
      <w:r w:rsidR="000F7682" w:rsidRPr="00B148A2">
        <w:rPr>
          <w:rFonts w:cstheme="minorHAnsi"/>
          <w:sz w:val="24"/>
          <w:szCs w:val="24"/>
        </w:rPr>
        <w:t xml:space="preserve">maximum </w:t>
      </w:r>
      <w:r w:rsidRPr="00B148A2">
        <w:rPr>
          <w:rFonts w:cstheme="minorHAnsi"/>
          <w:sz w:val="24"/>
          <w:szCs w:val="24"/>
        </w:rPr>
        <w:t xml:space="preserve">Australian Tax Office allowable </w:t>
      </w:r>
      <w:r w:rsidR="000F7682" w:rsidRPr="00B148A2">
        <w:rPr>
          <w:rFonts w:cstheme="minorHAnsi"/>
          <w:sz w:val="24"/>
          <w:szCs w:val="24"/>
        </w:rPr>
        <w:t xml:space="preserve">claim of </w:t>
      </w:r>
      <w:r w:rsidRPr="00B148A2">
        <w:rPr>
          <w:rFonts w:cstheme="minorHAnsi"/>
          <w:sz w:val="24"/>
          <w:szCs w:val="24"/>
        </w:rPr>
        <w:t>5000</w:t>
      </w:r>
      <w:r w:rsidR="00C13626" w:rsidRPr="00B148A2">
        <w:rPr>
          <w:rFonts w:cstheme="minorHAnsi"/>
          <w:sz w:val="24"/>
          <w:szCs w:val="24"/>
        </w:rPr>
        <w:t xml:space="preserve">km </w:t>
      </w:r>
      <w:r w:rsidR="007755C7" w:rsidRPr="00B148A2">
        <w:rPr>
          <w:rFonts w:cstheme="minorHAnsi"/>
          <w:sz w:val="24"/>
          <w:szCs w:val="24"/>
        </w:rPr>
        <w:t xml:space="preserve">per year </w:t>
      </w:r>
      <w:r w:rsidR="00C13626" w:rsidRPr="00B148A2">
        <w:rPr>
          <w:rFonts w:cstheme="minorHAnsi"/>
          <w:sz w:val="24"/>
          <w:szCs w:val="24"/>
        </w:rPr>
        <w:t xml:space="preserve">at a </w:t>
      </w:r>
      <w:r w:rsidR="000F7682" w:rsidRPr="00B148A2">
        <w:rPr>
          <w:rFonts w:cstheme="minorHAnsi"/>
          <w:sz w:val="24"/>
          <w:szCs w:val="24"/>
        </w:rPr>
        <w:t>rate of $0.8</w:t>
      </w:r>
      <w:r w:rsidR="00AC68B3">
        <w:rPr>
          <w:rFonts w:cstheme="minorHAnsi"/>
          <w:sz w:val="24"/>
          <w:szCs w:val="24"/>
        </w:rPr>
        <w:t>5</w:t>
      </w:r>
      <w:r w:rsidR="000F7682" w:rsidRPr="00B148A2">
        <w:rPr>
          <w:rFonts w:cstheme="minorHAnsi"/>
          <w:sz w:val="24"/>
          <w:szCs w:val="24"/>
        </w:rPr>
        <w:t xml:space="preserve"> per kilometre.  </w:t>
      </w:r>
      <w:r w:rsidR="000F7682" w:rsidRPr="00B148A2">
        <w:rPr>
          <w:rFonts w:eastAsia="Segoe UI" w:cstheme="minorHAnsi"/>
          <w:color w:val="000000"/>
          <w:sz w:val="24"/>
          <w:szCs w:val="24"/>
          <w:lang w:eastAsia="en-AU"/>
        </w:rPr>
        <w:t xml:space="preserve">(Please see </w:t>
      </w:r>
      <w:hyperlink r:id="rId226" w:history="1">
        <w:r w:rsidR="000F7682" w:rsidRPr="00B148A2">
          <w:rPr>
            <w:color w:val="0000FF"/>
            <w:sz w:val="24"/>
            <w:szCs w:val="24"/>
            <w:u w:val="single"/>
          </w:rPr>
          <w:t>Travel and Personal Expenses — Teaching Service: Introduction | education.vic.gov.au</w:t>
        </w:r>
      </w:hyperlink>
      <w:r w:rsidR="000F7682" w:rsidRPr="00B148A2">
        <w:rPr>
          <w:sz w:val="24"/>
          <w:szCs w:val="24"/>
        </w:rPr>
        <w:t xml:space="preserve">  and </w:t>
      </w:r>
      <w:r w:rsidR="00790D5F" w:rsidRPr="009B4DE1">
        <w:t>Expenses for a car you own or lease | Australian Taxation Office (ato.gov.au)</w:t>
      </w:r>
      <w:r w:rsidR="00215517">
        <w:t>4</w:t>
      </w:r>
      <w:r w:rsidR="000F7682" w:rsidRPr="00B148A2" w:rsidDel="001E7581">
        <w:rPr>
          <w:rFonts w:cstheme="minorHAnsi"/>
          <w:sz w:val="24"/>
          <w:szCs w:val="24"/>
        </w:rPr>
        <w:t xml:space="preserve"> </w:t>
      </w:r>
      <w:r w:rsidR="000F7682" w:rsidRPr="00B148A2">
        <w:rPr>
          <w:sz w:val="24"/>
          <w:szCs w:val="24"/>
        </w:rPr>
        <w:t>for further information)</w:t>
      </w:r>
    </w:p>
    <w:p w14:paraId="53EBA29D" w14:textId="77777777" w:rsidR="000F7682" w:rsidRPr="00B148A2" w:rsidRDefault="000F7682" w:rsidP="000F7682">
      <w:pPr>
        <w:spacing w:after="0" w:line="240" w:lineRule="auto"/>
        <w:jc w:val="both"/>
        <w:rPr>
          <w:rFonts w:cstheme="minorHAnsi"/>
          <w:sz w:val="24"/>
          <w:szCs w:val="24"/>
        </w:rPr>
      </w:pPr>
    </w:p>
    <w:p w14:paraId="11F8AB1E" w14:textId="77777777" w:rsidR="000F7682" w:rsidRPr="00B148A2" w:rsidRDefault="000F7682" w:rsidP="000F7682">
      <w:pPr>
        <w:spacing w:after="0" w:line="240" w:lineRule="auto"/>
        <w:rPr>
          <w:rFonts w:cstheme="minorHAnsi"/>
          <w:sz w:val="24"/>
          <w:szCs w:val="24"/>
        </w:rPr>
      </w:pPr>
    </w:p>
    <w:p w14:paraId="0BC96263" w14:textId="77777777" w:rsidR="000F7682" w:rsidRPr="00B148A2" w:rsidRDefault="000F7682" w:rsidP="00B148A2">
      <w:pPr>
        <w:spacing w:before="100" w:beforeAutospacing="1" w:after="100" w:afterAutospacing="1" w:line="288" w:lineRule="atLeast"/>
        <w:outlineLvl w:val="2"/>
        <w:rPr>
          <w:rFonts w:cstheme="minorHAnsi"/>
          <w:b/>
          <w:sz w:val="27"/>
          <w:szCs w:val="27"/>
          <w:lang w:val="en" w:eastAsia="en-AU"/>
        </w:rPr>
      </w:pPr>
      <w:r w:rsidRPr="00B148A2">
        <w:rPr>
          <w:rFonts w:cstheme="minorHAnsi"/>
          <w:b/>
          <w:sz w:val="27"/>
          <w:szCs w:val="27"/>
          <w:lang w:val="en" w:eastAsia="en-AU"/>
        </w:rPr>
        <w:t>Questions, comments, feedback?</w:t>
      </w:r>
    </w:p>
    <w:p w14:paraId="47D02431" w14:textId="7F3000A7" w:rsidR="000F7682" w:rsidRPr="000F7682" w:rsidRDefault="000F7682" w:rsidP="000F7682">
      <w:pPr>
        <w:spacing w:after="0" w:line="240" w:lineRule="auto"/>
        <w:rPr>
          <w:rFonts w:cstheme="minorHAnsi"/>
          <w:color w:val="0066FF"/>
        </w:rPr>
      </w:pPr>
      <w:r w:rsidRPr="00B148A2">
        <w:rPr>
          <w:rFonts w:cstheme="minorHAnsi"/>
          <w:sz w:val="24"/>
          <w:szCs w:val="24"/>
        </w:rPr>
        <w:t xml:space="preserve">Please contact </w:t>
      </w:r>
      <w:hyperlink r:id="rId227" w:history="1">
        <w:r w:rsidRPr="00B148A2">
          <w:rPr>
            <w:rFonts w:cstheme="minorHAnsi"/>
            <w:color w:val="0066FF"/>
            <w:sz w:val="24"/>
            <w:szCs w:val="24"/>
            <w:u w:val="single"/>
          </w:rPr>
          <w:t>inclusion.outreach.coaching@education.vic.gov.au</w:t>
        </w:r>
      </w:hyperlink>
      <w:r w:rsidRPr="00B148A2">
        <w:rPr>
          <w:rFonts w:cstheme="minorHAnsi"/>
          <w:color w:val="0066FF"/>
          <w:sz w:val="24"/>
          <w:szCs w:val="24"/>
        </w:rPr>
        <w:t xml:space="preserve"> </w:t>
      </w:r>
      <w:r w:rsidRPr="00B148A2">
        <w:rPr>
          <w:rFonts w:cstheme="minorHAnsi"/>
          <w:sz w:val="24"/>
          <w:szCs w:val="24"/>
        </w:rPr>
        <w:t>if you have any further questions</w:t>
      </w:r>
      <w:r w:rsidR="005362A3" w:rsidRPr="000F7682">
        <w:rPr>
          <w:rFonts w:cstheme="minorHAnsi"/>
        </w:rPr>
        <w:t>.</w:t>
      </w:r>
      <w:r w:rsidRPr="000F7682">
        <w:rPr>
          <w:rFonts w:cstheme="minorHAnsi"/>
        </w:rPr>
        <w:t xml:space="preserve"> </w:t>
      </w:r>
    </w:p>
    <w:p w14:paraId="6F960E10" w14:textId="77777777" w:rsidR="00852A82" w:rsidRDefault="00852A82" w:rsidP="00852A82">
      <w:pPr>
        <w:spacing w:after="0" w:line="240" w:lineRule="auto"/>
        <w:rPr>
          <w:rFonts w:cstheme="minorHAnsi"/>
          <w:color w:val="0066FF"/>
        </w:rPr>
      </w:pPr>
    </w:p>
    <w:p w14:paraId="6AA65E57" w14:textId="77777777" w:rsidR="00852A82" w:rsidRPr="003853EC" w:rsidRDefault="00852A82" w:rsidP="003853EC">
      <w:pPr>
        <w:rPr>
          <w:rFonts w:cstheme="minorHAnsi"/>
        </w:rPr>
      </w:pPr>
    </w:p>
    <w:p w14:paraId="33B92421" w14:textId="77777777" w:rsidR="00852A82" w:rsidRDefault="00852A82" w:rsidP="00833928"/>
    <w:p w14:paraId="60ABE2AC" w14:textId="77777777" w:rsidR="00852A82" w:rsidRDefault="00852A82" w:rsidP="00833928"/>
    <w:p w14:paraId="3D23D4C6" w14:textId="77777777" w:rsidR="00852A82" w:rsidRDefault="00852A82" w:rsidP="00833928"/>
    <w:p w14:paraId="22A6862D" w14:textId="77777777" w:rsidR="00852A82" w:rsidRDefault="00852A82" w:rsidP="00833928"/>
    <w:p w14:paraId="69762272" w14:textId="77777777" w:rsidR="00852A82" w:rsidRDefault="00852A82" w:rsidP="00833928"/>
    <w:p w14:paraId="74144ECC" w14:textId="77777777" w:rsidR="00852A82" w:rsidRDefault="00852A82" w:rsidP="00833928"/>
    <w:p w14:paraId="4A1FCAB7" w14:textId="77777777" w:rsidR="00852A82" w:rsidRDefault="00852A82" w:rsidP="00833928"/>
    <w:p w14:paraId="40B0A9D1" w14:textId="77777777" w:rsidR="00852A82" w:rsidRDefault="00852A82" w:rsidP="00833928"/>
    <w:p w14:paraId="4F279C81" w14:textId="77777777" w:rsidR="00987B7C" w:rsidRDefault="00987B7C" w:rsidP="00532A33">
      <w:pPr>
        <w:pStyle w:val="Heading2"/>
      </w:pPr>
      <w:r>
        <w:br w:type="page"/>
      </w:r>
    </w:p>
    <w:p w14:paraId="2471DF4F" w14:textId="1E5BC01B" w:rsidR="005D692C" w:rsidRPr="00260C1D" w:rsidRDefault="005D692C" w:rsidP="00532A33">
      <w:pPr>
        <w:pStyle w:val="Heading2"/>
      </w:pPr>
      <w:bookmarkStart w:id="299" w:name="_Toc141965304"/>
      <w:bookmarkStart w:id="300" w:name="_Toc145339630"/>
      <w:bookmarkStart w:id="301" w:name="_Toc153791953"/>
      <w:r w:rsidRPr="00260C1D">
        <w:lastRenderedPageBreak/>
        <w:t>School Mental Health Fund (Reference 139)</w:t>
      </w:r>
      <w:bookmarkEnd w:id="299"/>
      <w:bookmarkEnd w:id="300"/>
      <w:bookmarkEnd w:id="301"/>
    </w:p>
    <w:p w14:paraId="406A3745" w14:textId="703C28B5" w:rsidR="007815A9" w:rsidRPr="006C1424" w:rsidRDefault="007815A9" w:rsidP="006C1424">
      <w:pPr>
        <w:spacing w:before="240" w:after="120"/>
        <w:jc w:val="both"/>
        <w:rPr>
          <w:rFonts w:cstheme="minorHAnsi"/>
          <w:sz w:val="24"/>
          <w:szCs w:val="24"/>
        </w:rPr>
      </w:pPr>
      <w:r w:rsidRPr="006C1424">
        <w:rPr>
          <w:rFonts w:cstheme="minorHAnsi"/>
          <w:sz w:val="24"/>
          <w:szCs w:val="24"/>
        </w:rPr>
        <w:t xml:space="preserve">In response to the Royal Commission into Victoria’s </w:t>
      </w:r>
      <w:r w:rsidR="0012683B">
        <w:rPr>
          <w:rFonts w:cstheme="minorHAnsi"/>
          <w:sz w:val="24"/>
          <w:szCs w:val="24"/>
        </w:rPr>
        <w:t>M</w:t>
      </w:r>
      <w:r w:rsidRPr="006C1424">
        <w:rPr>
          <w:rFonts w:cstheme="minorHAnsi"/>
          <w:sz w:val="24"/>
          <w:szCs w:val="24"/>
        </w:rPr>
        <w:t xml:space="preserve">ental </w:t>
      </w:r>
      <w:r w:rsidR="0012683B">
        <w:rPr>
          <w:rFonts w:cstheme="minorHAnsi"/>
          <w:sz w:val="24"/>
          <w:szCs w:val="24"/>
        </w:rPr>
        <w:t>H</w:t>
      </w:r>
      <w:r w:rsidRPr="006C1424">
        <w:rPr>
          <w:rFonts w:cstheme="minorHAnsi"/>
          <w:sz w:val="24"/>
          <w:szCs w:val="24"/>
        </w:rPr>
        <w:t xml:space="preserve">ealth </w:t>
      </w:r>
      <w:r w:rsidR="0012683B">
        <w:rPr>
          <w:rFonts w:cstheme="minorHAnsi"/>
          <w:sz w:val="24"/>
          <w:szCs w:val="24"/>
        </w:rPr>
        <w:t>S</w:t>
      </w:r>
      <w:r w:rsidRPr="006C1424">
        <w:rPr>
          <w:rFonts w:cstheme="minorHAnsi"/>
          <w:sz w:val="24"/>
          <w:szCs w:val="24"/>
        </w:rPr>
        <w:t xml:space="preserve">ystem (Royal Commission), the 2021-22 Victorian State Budget provided $200 million over 4 years and $86.85 million ongoing to create a new Schools Mental Health Fund (Fund). The Fund provides additional resources to government schools to support and further promote student mental health and wellbeing. </w:t>
      </w:r>
    </w:p>
    <w:p w14:paraId="6AC1F4B1" w14:textId="77777777" w:rsidR="007815A9" w:rsidRPr="006C1424" w:rsidRDefault="007815A9" w:rsidP="006C1424">
      <w:pPr>
        <w:spacing w:before="240" w:after="120"/>
        <w:jc w:val="both"/>
        <w:rPr>
          <w:rFonts w:cstheme="minorHAnsi"/>
          <w:sz w:val="24"/>
          <w:szCs w:val="24"/>
        </w:rPr>
      </w:pPr>
      <w:r w:rsidRPr="006C1424">
        <w:rPr>
          <w:rFonts w:cstheme="minorHAnsi"/>
          <w:sz w:val="24"/>
          <w:szCs w:val="24"/>
        </w:rPr>
        <w:t>The Fund provides schools with funding to strengthen school-wide capacity and capability to improve students’ mental health and wellbeing.  An evidence-based Menu underpins the Fund to give schools confidence in purchasing programs and interventions that will meet their students’ needs. Schools are required to spend their Fund allocation on items listed on the Menu.</w:t>
      </w:r>
    </w:p>
    <w:p w14:paraId="647EF789" w14:textId="363E2A2C" w:rsidR="007815A9" w:rsidRPr="006C1424" w:rsidRDefault="007815A9" w:rsidP="006C1424">
      <w:pPr>
        <w:spacing w:before="240" w:after="120"/>
        <w:jc w:val="both"/>
        <w:rPr>
          <w:rFonts w:cstheme="minorHAnsi"/>
          <w:sz w:val="24"/>
          <w:szCs w:val="24"/>
        </w:rPr>
      </w:pPr>
      <w:r w:rsidRPr="006C1424">
        <w:rPr>
          <w:rFonts w:cstheme="minorHAnsi"/>
          <w:sz w:val="24"/>
          <w:szCs w:val="24"/>
        </w:rPr>
        <w:t xml:space="preserve">The Fund </w:t>
      </w:r>
      <w:r w:rsidR="009925D2" w:rsidRPr="006C1424">
        <w:rPr>
          <w:rFonts w:cstheme="minorHAnsi"/>
          <w:sz w:val="24"/>
          <w:szCs w:val="24"/>
        </w:rPr>
        <w:t>was</w:t>
      </w:r>
      <w:r w:rsidRPr="006C1424">
        <w:rPr>
          <w:rFonts w:cstheme="minorHAnsi"/>
          <w:sz w:val="24"/>
          <w:szCs w:val="24"/>
        </w:rPr>
        <w:t xml:space="preserve"> rolled out to all government regional and rural schools from Term 3 2022, and </w:t>
      </w:r>
      <w:r w:rsidR="003D7FAB" w:rsidRPr="006C1424">
        <w:rPr>
          <w:rFonts w:cstheme="minorHAnsi"/>
          <w:sz w:val="24"/>
          <w:szCs w:val="24"/>
        </w:rPr>
        <w:t xml:space="preserve">will reach </w:t>
      </w:r>
      <w:r w:rsidRPr="006C1424">
        <w:rPr>
          <w:rFonts w:cstheme="minorHAnsi"/>
          <w:sz w:val="24"/>
          <w:szCs w:val="24"/>
        </w:rPr>
        <w:t>all government metropolitan schools by 2024.</w:t>
      </w:r>
    </w:p>
    <w:p w14:paraId="5A4A8099" w14:textId="40E59DDB" w:rsidR="007815A9" w:rsidRPr="006C1424" w:rsidRDefault="007815A9" w:rsidP="006C1424">
      <w:pPr>
        <w:spacing w:before="240" w:after="120"/>
        <w:jc w:val="both"/>
        <w:rPr>
          <w:rFonts w:cstheme="minorHAnsi"/>
          <w:sz w:val="24"/>
          <w:szCs w:val="24"/>
        </w:rPr>
      </w:pPr>
      <w:r w:rsidRPr="006C1424">
        <w:rPr>
          <w:rFonts w:cstheme="minorHAnsi"/>
          <w:sz w:val="24"/>
          <w:szCs w:val="24"/>
        </w:rPr>
        <w:t>For further information on the School Mental Health Fund see:</w:t>
      </w:r>
      <w:r w:rsidRPr="008614E4">
        <w:rPr>
          <w:rFonts w:cstheme="minorHAnsi"/>
          <w:sz w:val="28"/>
          <w:szCs w:val="28"/>
        </w:rPr>
        <w:t xml:space="preserve"> </w:t>
      </w:r>
      <w:hyperlink r:id="rId228" w:history="1">
        <w:r w:rsidRPr="008614E4">
          <w:rPr>
            <w:rStyle w:val="Hyperlink"/>
            <w:rFonts w:cstheme="minorHAnsi"/>
            <w:sz w:val="24"/>
            <w:szCs w:val="24"/>
          </w:rPr>
          <w:t xml:space="preserve">Mental </w:t>
        </w:r>
        <w:bookmarkStart w:id="302" w:name="_Hlt143521705"/>
        <w:r w:rsidRPr="008614E4">
          <w:rPr>
            <w:rStyle w:val="Hyperlink"/>
            <w:rFonts w:cstheme="minorHAnsi"/>
            <w:sz w:val="24"/>
            <w:szCs w:val="24"/>
          </w:rPr>
          <w:t>H</w:t>
        </w:r>
        <w:bookmarkEnd w:id="302"/>
        <w:r w:rsidRPr="008614E4">
          <w:rPr>
            <w:rStyle w:val="Hyperlink"/>
            <w:rFonts w:cstheme="minorHAnsi"/>
            <w:sz w:val="24"/>
            <w:szCs w:val="24"/>
          </w:rPr>
          <w:t>ealth Fund and Menu</w:t>
        </w:r>
      </w:hyperlink>
    </w:p>
    <w:p w14:paraId="020184BE" w14:textId="77777777" w:rsidR="005D692C" w:rsidRPr="005B57A2" w:rsidRDefault="005D692C" w:rsidP="00992D99">
      <w:pPr>
        <w:spacing w:before="100" w:beforeAutospacing="1" w:after="100" w:afterAutospacing="1" w:line="288" w:lineRule="atLeast"/>
        <w:outlineLvl w:val="2"/>
        <w:rPr>
          <w:rFonts w:cstheme="minorHAnsi"/>
          <w:b/>
          <w:sz w:val="21"/>
          <w:szCs w:val="21"/>
          <w:highlight w:val="yellow"/>
          <w:lang w:val="en-US"/>
        </w:rPr>
      </w:pPr>
      <w:bookmarkStart w:id="303" w:name="_Hlk104370985"/>
      <w:r w:rsidRPr="005B57A2">
        <w:rPr>
          <w:rFonts w:cstheme="minorHAnsi"/>
          <w:b/>
          <w:sz w:val="27"/>
          <w:szCs w:val="27"/>
          <w:lang w:val="en" w:eastAsia="en-AU"/>
        </w:rPr>
        <w:t>Eligibility</w:t>
      </w:r>
    </w:p>
    <w:p w14:paraId="1FC493E3" w14:textId="554CB0D8" w:rsidR="00A70B19" w:rsidRDefault="00A773C6" w:rsidP="00A773C6">
      <w:pPr>
        <w:spacing w:after="0"/>
        <w:contextualSpacing/>
        <w:jc w:val="both"/>
        <w:rPr>
          <w:rFonts w:cstheme="minorHAnsi"/>
          <w:sz w:val="24"/>
          <w:szCs w:val="24"/>
          <w:lang w:val="en-US"/>
        </w:rPr>
      </w:pPr>
      <w:r w:rsidRPr="00614B09">
        <w:rPr>
          <w:rFonts w:cstheme="minorHAnsi"/>
          <w:sz w:val="24"/>
          <w:szCs w:val="24"/>
          <w:lang w:val="en-US"/>
        </w:rPr>
        <w:t xml:space="preserve">The Fund will be rolled out to government schools based on </w:t>
      </w:r>
      <w:r w:rsidR="00B622EA">
        <w:rPr>
          <w:rFonts w:cstheme="minorHAnsi"/>
          <w:sz w:val="24"/>
          <w:szCs w:val="24"/>
          <w:lang w:val="en-US"/>
        </w:rPr>
        <w:t>a</w:t>
      </w:r>
      <w:r w:rsidRPr="00614B09">
        <w:rPr>
          <w:rFonts w:cstheme="minorHAnsi"/>
          <w:sz w:val="24"/>
          <w:szCs w:val="24"/>
          <w:lang w:val="en-US"/>
        </w:rPr>
        <w:t xml:space="preserve">rea between 2022 and 2024, with rural and regional schools </w:t>
      </w:r>
      <w:proofErr w:type="spellStart"/>
      <w:r w:rsidRPr="00614B09">
        <w:rPr>
          <w:rFonts w:cstheme="minorHAnsi"/>
          <w:sz w:val="24"/>
          <w:szCs w:val="24"/>
          <w:lang w:val="en-US"/>
        </w:rPr>
        <w:t>prioritised</w:t>
      </w:r>
      <w:proofErr w:type="spellEnd"/>
      <w:r w:rsidRPr="00614B09">
        <w:rPr>
          <w:rFonts w:cstheme="minorHAnsi"/>
          <w:sz w:val="24"/>
          <w:szCs w:val="24"/>
          <w:lang w:val="en-US"/>
        </w:rPr>
        <w:t xml:space="preserve">, in line with the Royal Commission’s findings. </w:t>
      </w:r>
    </w:p>
    <w:p w14:paraId="5F38F762" w14:textId="77777777" w:rsidR="00020C10" w:rsidRPr="00950CBB" w:rsidRDefault="00020C10" w:rsidP="00020C10">
      <w:pPr>
        <w:spacing w:after="0"/>
        <w:contextualSpacing/>
        <w:jc w:val="both"/>
        <w:rPr>
          <w:sz w:val="24"/>
          <w:lang w:val="en-US"/>
        </w:rPr>
      </w:pPr>
    </w:p>
    <w:p w14:paraId="60896122" w14:textId="7A29369E" w:rsidR="00020C10" w:rsidRPr="00020C10" w:rsidRDefault="00020C10" w:rsidP="00950CBB">
      <w:pPr>
        <w:spacing w:after="0"/>
        <w:contextualSpacing/>
        <w:jc w:val="both"/>
        <w:rPr>
          <w:rFonts w:cstheme="minorHAnsi"/>
          <w:sz w:val="24"/>
          <w:szCs w:val="24"/>
          <w:lang w:val="en-US"/>
        </w:rPr>
      </w:pPr>
      <w:r w:rsidRPr="00020C10">
        <w:rPr>
          <w:rFonts w:cstheme="minorHAnsi"/>
          <w:sz w:val="24"/>
          <w:szCs w:val="24"/>
          <w:lang w:val="en-US"/>
        </w:rPr>
        <w:t xml:space="preserve">In Term 3, 2022, schools in Barwon, Central Highlands, Goulburn, Inner Gippsland, Loddon Campaspe, Mallee, Outer Gippsland, Ovens Murray, Wimmera South West </w:t>
      </w:r>
      <w:r w:rsidR="00530F1B">
        <w:rPr>
          <w:rFonts w:cstheme="minorHAnsi"/>
          <w:sz w:val="24"/>
          <w:szCs w:val="24"/>
          <w:lang w:val="en-US"/>
        </w:rPr>
        <w:t xml:space="preserve">started receiving their </w:t>
      </w:r>
      <w:r w:rsidR="00937EFF">
        <w:rPr>
          <w:rFonts w:cstheme="minorHAnsi"/>
          <w:sz w:val="24"/>
          <w:szCs w:val="24"/>
          <w:lang w:val="en-US"/>
        </w:rPr>
        <w:t>Fund allocation</w:t>
      </w:r>
      <w:r w:rsidRPr="00020C10">
        <w:rPr>
          <w:rFonts w:cstheme="minorHAnsi"/>
          <w:sz w:val="24"/>
          <w:szCs w:val="24"/>
          <w:lang w:val="en-US"/>
        </w:rPr>
        <w:t>.</w:t>
      </w:r>
    </w:p>
    <w:p w14:paraId="78D8FEC0" w14:textId="77777777" w:rsidR="008E6C7C" w:rsidRDefault="008E6C7C" w:rsidP="00020C10">
      <w:pPr>
        <w:spacing w:after="0"/>
        <w:contextualSpacing/>
        <w:jc w:val="both"/>
        <w:rPr>
          <w:rFonts w:cstheme="minorHAnsi"/>
          <w:sz w:val="24"/>
          <w:szCs w:val="24"/>
          <w:lang w:val="en-US"/>
        </w:rPr>
      </w:pPr>
    </w:p>
    <w:p w14:paraId="740AB487" w14:textId="1A2137AC" w:rsidR="008E6C7C" w:rsidRDefault="008E6C7C" w:rsidP="00950CBB">
      <w:pPr>
        <w:spacing w:after="0"/>
        <w:contextualSpacing/>
        <w:jc w:val="both"/>
        <w:rPr>
          <w:rFonts w:cstheme="minorHAnsi"/>
          <w:sz w:val="24"/>
          <w:szCs w:val="24"/>
          <w:lang w:val="en-US"/>
        </w:rPr>
      </w:pPr>
      <w:r>
        <w:rPr>
          <w:rFonts w:cstheme="minorHAnsi"/>
          <w:sz w:val="24"/>
          <w:szCs w:val="24"/>
          <w:lang w:val="en-US"/>
        </w:rPr>
        <w:t xml:space="preserve">In Term 1, 2023, schools in </w:t>
      </w:r>
      <w:proofErr w:type="spellStart"/>
      <w:r w:rsidRPr="008E6C7C">
        <w:rPr>
          <w:rFonts w:cstheme="minorHAnsi"/>
          <w:sz w:val="24"/>
          <w:szCs w:val="24"/>
          <w:lang w:val="en-US"/>
        </w:rPr>
        <w:t>Brimbank</w:t>
      </w:r>
      <w:proofErr w:type="spellEnd"/>
      <w:r w:rsidRPr="008E6C7C">
        <w:rPr>
          <w:rFonts w:cstheme="minorHAnsi"/>
          <w:sz w:val="24"/>
          <w:szCs w:val="24"/>
          <w:lang w:val="en-US"/>
        </w:rPr>
        <w:t xml:space="preserve"> Melton, North Eastern Melbourne, Outer Eastern Melbourne, Southern Melbourne</w:t>
      </w:r>
      <w:r>
        <w:rPr>
          <w:rFonts w:cstheme="minorHAnsi"/>
          <w:sz w:val="24"/>
          <w:szCs w:val="24"/>
          <w:lang w:val="en-US"/>
        </w:rPr>
        <w:t xml:space="preserve"> started receiving their Fund allocation.</w:t>
      </w:r>
    </w:p>
    <w:p w14:paraId="0613E111" w14:textId="07618719" w:rsidR="008E6C7C" w:rsidRDefault="008E6C7C" w:rsidP="00020C10">
      <w:pPr>
        <w:spacing w:after="0"/>
        <w:contextualSpacing/>
        <w:jc w:val="both"/>
        <w:rPr>
          <w:rFonts w:cstheme="minorHAnsi"/>
          <w:sz w:val="24"/>
          <w:szCs w:val="24"/>
          <w:lang w:val="en-US"/>
        </w:rPr>
      </w:pPr>
    </w:p>
    <w:p w14:paraId="1F8FDA38" w14:textId="64CD1990" w:rsidR="008E6C7C" w:rsidRPr="00020C10" w:rsidRDefault="008E6C7C" w:rsidP="00020C10">
      <w:pPr>
        <w:spacing w:after="0"/>
        <w:contextualSpacing/>
        <w:jc w:val="both"/>
        <w:rPr>
          <w:rFonts w:cstheme="minorHAnsi"/>
          <w:sz w:val="24"/>
          <w:szCs w:val="24"/>
          <w:lang w:val="en-US"/>
        </w:rPr>
      </w:pPr>
      <w:r>
        <w:rPr>
          <w:rFonts w:cstheme="minorHAnsi"/>
          <w:sz w:val="24"/>
          <w:szCs w:val="24"/>
          <w:lang w:val="en-US"/>
        </w:rPr>
        <w:t xml:space="preserve">Schools in </w:t>
      </w:r>
      <w:r w:rsidRPr="008E6C7C">
        <w:rPr>
          <w:rFonts w:cstheme="minorHAnsi"/>
          <w:sz w:val="24"/>
          <w:szCs w:val="24"/>
          <w:lang w:val="en-US"/>
        </w:rPr>
        <w:t>Bayside Peninsula, Hume Merri-bek, Inner Eastern Melbourne, Western Melbourne</w:t>
      </w:r>
      <w:r>
        <w:rPr>
          <w:rFonts w:cstheme="minorHAnsi"/>
          <w:sz w:val="24"/>
          <w:szCs w:val="24"/>
          <w:lang w:val="en-US"/>
        </w:rPr>
        <w:t xml:space="preserve"> will start receiving their Fund allocation in Term 1, 2024.</w:t>
      </w:r>
    </w:p>
    <w:p w14:paraId="116045BF" w14:textId="77777777" w:rsidR="00020C10" w:rsidRPr="00020C10" w:rsidRDefault="00020C10" w:rsidP="00950CBB">
      <w:pPr>
        <w:spacing w:after="0"/>
        <w:contextualSpacing/>
        <w:jc w:val="both"/>
        <w:rPr>
          <w:rFonts w:cstheme="minorHAnsi"/>
          <w:sz w:val="24"/>
          <w:szCs w:val="24"/>
          <w:lang w:val="en-US"/>
        </w:rPr>
      </w:pPr>
    </w:p>
    <w:p w14:paraId="2C1818F7" w14:textId="18679EE2" w:rsidR="00A2293A" w:rsidRPr="006C1424" w:rsidRDefault="009E3DAD" w:rsidP="006C1424">
      <w:pPr>
        <w:spacing w:before="240" w:after="120"/>
        <w:jc w:val="both"/>
        <w:rPr>
          <w:rFonts w:cstheme="minorHAnsi"/>
          <w:sz w:val="24"/>
          <w:szCs w:val="24"/>
        </w:rPr>
      </w:pPr>
      <w:r w:rsidRPr="006C1424">
        <w:rPr>
          <w:rFonts w:cstheme="minorHAnsi"/>
          <w:sz w:val="24"/>
          <w:szCs w:val="24"/>
        </w:rPr>
        <w:t xml:space="preserve">NOTE: </w:t>
      </w:r>
      <w:r w:rsidR="00A023EE" w:rsidRPr="006C1424">
        <w:rPr>
          <w:rFonts w:cstheme="minorHAnsi"/>
          <w:sz w:val="24"/>
          <w:szCs w:val="24"/>
        </w:rPr>
        <w:t>Camp</w:t>
      </w:r>
      <w:r w:rsidRPr="006C1424">
        <w:rPr>
          <w:rFonts w:cstheme="minorHAnsi"/>
          <w:sz w:val="24"/>
          <w:szCs w:val="24"/>
        </w:rPr>
        <w:t>/outdoor</w:t>
      </w:r>
      <w:r w:rsidR="00A023EE" w:rsidRPr="006C1424">
        <w:rPr>
          <w:rFonts w:cstheme="minorHAnsi"/>
          <w:sz w:val="24"/>
          <w:szCs w:val="24"/>
        </w:rPr>
        <w:t xml:space="preserve"> schools and Parkville College </w:t>
      </w:r>
      <w:r w:rsidR="00C52B32" w:rsidRPr="006C1424">
        <w:rPr>
          <w:rFonts w:cstheme="minorHAnsi"/>
          <w:sz w:val="24"/>
          <w:szCs w:val="24"/>
        </w:rPr>
        <w:t>are</w:t>
      </w:r>
      <w:r w:rsidRPr="006C1424">
        <w:rPr>
          <w:rFonts w:cstheme="minorHAnsi"/>
          <w:sz w:val="24"/>
          <w:szCs w:val="24"/>
        </w:rPr>
        <w:t xml:space="preserve"> not eligible to</w:t>
      </w:r>
      <w:r w:rsidR="0055479C" w:rsidRPr="006C1424">
        <w:rPr>
          <w:rFonts w:cstheme="minorHAnsi"/>
          <w:sz w:val="24"/>
          <w:szCs w:val="24"/>
        </w:rPr>
        <w:t xml:space="preserve"> receive th</w:t>
      </w:r>
      <w:r w:rsidRPr="006C1424">
        <w:rPr>
          <w:rFonts w:cstheme="minorHAnsi"/>
          <w:sz w:val="24"/>
          <w:szCs w:val="24"/>
        </w:rPr>
        <w:t>e</w:t>
      </w:r>
      <w:r w:rsidR="0055479C" w:rsidRPr="006C1424">
        <w:rPr>
          <w:rFonts w:cstheme="minorHAnsi"/>
          <w:sz w:val="24"/>
          <w:szCs w:val="24"/>
        </w:rPr>
        <w:t xml:space="preserve"> Fund.</w:t>
      </w:r>
      <w:r w:rsidR="00A023EE" w:rsidRPr="006C1424">
        <w:rPr>
          <w:rFonts w:cstheme="minorHAnsi"/>
          <w:sz w:val="24"/>
          <w:szCs w:val="24"/>
        </w:rPr>
        <w:t xml:space="preserve"> </w:t>
      </w:r>
      <w:r w:rsidR="00776B17" w:rsidRPr="006C1424">
        <w:rPr>
          <w:rFonts w:cstheme="minorHAnsi"/>
          <w:sz w:val="24"/>
          <w:szCs w:val="24"/>
        </w:rPr>
        <w:t xml:space="preserve"> </w:t>
      </w:r>
    </w:p>
    <w:p w14:paraId="40046021" w14:textId="215EE6B3" w:rsidR="005D692C" w:rsidRPr="005B57A2" w:rsidRDefault="005D692C" w:rsidP="00992D99">
      <w:pPr>
        <w:spacing w:before="100" w:beforeAutospacing="1" w:after="100" w:afterAutospacing="1" w:line="288" w:lineRule="atLeast"/>
        <w:outlineLvl w:val="2"/>
        <w:rPr>
          <w:rFonts w:cstheme="minorHAnsi"/>
          <w:b/>
          <w:sz w:val="27"/>
          <w:szCs w:val="27"/>
          <w:lang w:val="en" w:eastAsia="en-AU"/>
        </w:rPr>
      </w:pPr>
      <w:r w:rsidRPr="005B57A2">
        <w:rPr>
          <w:rFonts w:cstheme="minorHAnsi"/>
          <w:b/>
          <w:sz w:val="27"/>
          <w:szCs w:val="27"/>
          <w:lang w:val="en" w:eastAsia="en-AU"/>
        </w:rPr>
        <w:t>Calculation</w:t>
      </w:r>
    </w:p>
    <w:p w14:paraId="55210159" w14:textId="25544C24" w:rsidR="00DA642A" w:rsidRPr="005B57A2" w:rsidRDefault="00DA642A" w:rsidP="00DA642A">
      <w:pPr>
        <w:spacing w:after="0"/>
        <w:contextualSpacing/>
        <w:jc w:val="both"/>
        <w:rPr>
          <w:rFonts w:eastAsia="Segoe UI" w:cstheme="minorHAnsi"/>
          <w:sz w:val="24"/>
          <w:szCs w:val="24"/>
          <w:lang w:eastAsia="en-AU"/>
        </w:rPr>
      </w:pPr>
      <w:r w:rsidRPr="005B57A2">
        <w:rPr>
          <w:rFonts w:eastAsia="Segoe UI" w:cstheme="minorHAnsi"/>
          <w:sz w:val="24"/>
          <w:szCs w:val="24"/>
          <w:lang w:eastAsia="en-AU"/>
        </w:rPr>
        <w:t>Funding will be allocated as credit (70%) and cash (30%).</w:t>
      </w:r>
      <w:r w:rsidR="00AA64F6">
        <w:rPr>
          <w:rFonts w:eastAsia="Segoe UI" w:cstheme="minorHAnsi"/>
          <w:sz w:val="24"/>
          <w:szCs w:val="24"/>
          <w:lang w:eastAsia="en-AU"/>
        </w:rPr>
        <w:t xml:space="preserve"> School on-cost rates (superannuation and payroll tax) are applied to the credit proportion.</w:t>
      </w:r>
    </w:p>
    <w:p w14:paraId="2793333A" w14:textId="77777777" w:rsidR="00DA642A" w:rsidRPr="005B57A2" w:rsidRDefault="00DA642A" w:rsidP="005D692C">
      <w:pPr>
        <w:spacing w:after="0"/>
        <w:contextualSpacing/>
        <w:jc w:val="both"/>
        <w:rPr>
          <w:rFonts w:eastAsia="Segoe UI" w:cstheme="minorHAnsi"/>
          <w:sz w:val="24"/>
          <w:szCs w:val="24"/>
          <w:lang w:eastAsia="en-AU"/>
        </w:rPr>
      </w:pPr>
    </w:p>
    <w:p w14:paraId="02E8B439" w14:textId="3E679A32" w:rsidR="005D692C" w:rsidRPr="005B57A2" w:rsidRDefault="005D692C" w:rsidP="005D692C">
      <w:pPr>
        <w:spacing w:after="0"/>
        <w:contextualSpacing/>
        <w:jc w:val="both"/>
        <w:rPr>
          <w:rFonts w:eastAsia="Segoe UI" w:cstheme="minorHAnsi"/>
          <w:sz w:val="24"/>
          <w:szCs w:val="24"/>
          <w:lang w:eastAsia="en-AU"/>
        </w:rPr>
      </w:pPr>
      <w:r w:rsidRPr="005B57A2">
        <w:rPr>
          <w:rFonts w:eastAsia="Segoe UI" w:cstheme="minorHAnsi"/>
          <w:sz w:val="24"/>
          <w:szCs w:val="24"/>
          <w:lang w:eastAsia="en-AU"/>
        </w:rPr>
        <w:t>All schools start with a base allocation amount of $25,000</w:t>
      </w:r>
      <w:r w:rsidR="008B57D1" w:rsidRPr="005B57A2">
        <w:rPr>
          <w:rFonts w:eastAsia="Segoe UI" w:cstheme="minorHAnsi"/>
          <w:sz w:val="24"/>
          <w:szCs w:val="24"/>
          <w:lang w:eastAsia="en-AU"/>
        </w:rPr>
        <w:t>.</w:t>
      </w:r>
    </w:p>
    <w:p w14:paraId="7B594E15" w14:textId="7CFC1082" w:rsidR="005D692C" w:rsidRPr="006C1424" w:rsidRDefault="005D692C" w:rsidP="006C1424">
      <w:pPr>
        <w:spacing w:before="100" w:beforeAutospacing="1" w:after="100" w:afterAutospacing="1" w:line="360" w:lineRule="atLeast"/>
        <w:rPr>
          <w:rFonts w:eastAsia="Segoe UI" w:cstheme="minorHAnsi"/>
          <w:b/>
          <w:color w:val="011A3C"/>
          <w:sz w:val="24"/>
          <w:szCs w:val="24"/>
          <w:lang w:val="en" w:eastAsia="en-AU"/>
        </w:rPr>
      </w:pPr>
      <w:r w:rsidRPr="006C1424">
        <w:rPr>
          <w:rFonts w:eastAsia="Segoe UI" w:cstheme="minorHAnsi"/>
          <w:b/>
          <w:color w:val="011A3C"/>
          <w:sz w:val="24"/>
          <w:szCs w:val="24"/>
          <w:lang w:val="en" w:eastAsia="en-AU"/>
        </w:rPr>
        <w:t xml:space="preserve">Regional and </w:t>
      </w:r>
      <w:r w:rsidR="00430F89" w:rsidRPr="006C1424">
        <w:rPr>
          <w:rFonts w:eastAsia="Segoe UI" w:cstheme="minorHAnsi"/>
          <w:b/>
          <w:color w:val="011A3C"/>
          <w:sz w:val="24"/>
          <w:szCs w:val="24"/>
          <w:lang w:val="en" w:eastAsia="en-AU"/>
        </w:rPr>
        <w:t>r</w:t>
      </w:r>
      <w:r w:rsidRPr="006C1424">
        <w:rPr>
          <w:rFonts w:eastAsia="Segoe UI" w:cstheme="minorHAnsi"/>
          <w:b/>
          <w:color w:val="011A3C"/>
          <w:sz w:val="24"/>
          <w:szCs w:val="24"/>
          <w:lang w:val="en" w:eastAsia="en-AU"/>
        </w:rPr>
        <w:t xml:space="preserve">ural loading </w:t>
      </w:r>
    </w:p>
    <w:p w14:paraId="4BBB947A" w14:textId="6A4DCF57" w:rsidR="005D692C" w:rsidRPr="006C1424" w:rsidRDefault="005D692C" w:rsidP="006C1424">
      <w:pPr>
        <w:spacing w:after="0"/>
        <w:jc w:val="both"/>
        <w:rPr>
          <w:rFonts w:eastAsia="Segoe UI" w:cstheme="minorHAnsi"/>
          <w:sz w:val="24"/>
          <w:szCs w:val="24"/>
          <w:lang w:eastAsia="en-AU"/>
        </w:rPr>
      </w:pPr>
      <w:r w:rsidRPr="005B57A2">
        <w:rPr>
          <w:rFonts w:eastAsia="Segoe UI" w:cstheme="minorHAnsi"/>
          <w:sz w:val="24"/>
          <w:szCs w:val="24"/>
          <w:lang w:eastAsia="en-AU"/>
        </w:rPr>
        <w:t>All regional and rural schools receive an extra loading (10%)</w:t>
      </w:r>
      <w:r w:rsidR="00F733D4" w:rsidRPr="005B57A2">
        <w:rPr>
          <w:rFonts w:eastAsia="Segoe UI" w:cstheme="minorHAnsi"/>
          <w:sz w:val="24"/>
          <w:szCs w:val="24"/>
          <w:lang w:eastAsia="en-AU"/>
        </w:rPr>
        <w:t>.</w:t>
      </w:r>
    </w:p>
    <w:p w14:paraId="763BDA18" w14:textId="77777777" w:rsidR="005D692C" w:rsidRPr="006C1424" w:rsidRDefault="005D692C" w:rsidP="006C1424">
      <w:pPr>
        <w:spacing w:before="100" w:beforeAutospacing="1" w:after="100" w:afterAutospacing="1" w:line="360" w:lineRule="atLeast"/>
        <w:rPr>
          <w:rFonts w:eastAsia="Segoe UI" w:cstheme="minorHAnsi"/>
          <w:b/>
          <w:color w:val="011A3C"/>
          <w:sz w:val="24"/>
          <w:szCs w:val="24"/>
          <w:lang w:val="en" w:eastAsia="en-AU"/>
        </w:rPr>
      </w:pPr>
      <w:r w:rsidRPr="006C1424">
        <w:rPr>
          <w:rFonts w:eastAsia="Segoe UI" w:cstheme="minorHAnsi"/>
          <w:b/>
          <w:color w:val="011A3C"/>
          <w:sz w:val="24"/>
          <w:szCs w:val="24"/>
          <w:lang w:val="en" w:eastAsia="en-AU"/>
        </w:rPr>
        <w:t xml:space="preserve">Small school threshold </w:t>
      </w:r>
    </w:p>
    <w:p w14:paraId="712AB963" w14:textId="77777777" w:rsidR="005D692C" w:rsidRPr="005B57A2" w:rsidRDefault="005D692C" w:rsidP="00F56244">
      <w:pPr>
        <w:pStyle w:val="ListParagraph"/>
        <w:numPr>
          <w:ilvl w:val="0"/>
          <w:numId w:val="91"/>
        </w:numPr>
        <w:spacing w:after="0"/>
        <w:jc w:val="both"/>
        <w:rPr>
          <w:rFonts w:eastAsia="Segoe UI" w:cstheme="minorHAnsi"/>
          <w:sz w:val="24"/>
          <w:szCs w:val="24"/>
          <w:lang w:eastAsia="en-AU"/>
        </w:rPr>
      </w:pPr>
      <w:r w:rsidRPr="005B57A2">
        <w:rPr>
          <w:rFonts w:eastAsia="Segoe UI" w:cstheme="minorHAnsi"/>
          <w:sz w:val="24"/>
          <w:szCs w:val="24"/>
          <w:lang w:eastAsia="en-AU"/>
        </w:rPr>
        <w:lastRenderedPageBreak/>
        <w:t>All schools with 200 students or less will get the base allocation</w:t>
      </w:r>
    </w:p>
    <w:p w14:paraId="0F16EFBF" w14:textId="77777777" w:rsidR="005D692C" w:rsidRPr="005B57A2" w:rsidRDefault="005D692C" w:rsidP="00F56244">
      <w:pPr>
        <w:pStyle w:val="ListParagraph"/>
        <w:numPr>
          <w:ilvl w:val="0"/>
          <w:numId w:val="91"/>
        </w:numPr>
        <w:spacing w:after="0"/>
        <w:jc w:val="both"/>
        <w:rPr>
          <w:rFonts w:eastAsia="Segoe UI" w:cstheme="minorHAnsi"/>
          <w:sz w:val="24"/>
          <w:szCs w:val="24"/>
          <w:lang w:eastAsia="en-AU"/>
        </w:rPr>
      </w:pPr>
      <w:r w:rsidRPr="005B57A2">
        <w:rPr>
          <w:rFonts w:eastAsia="Segoe UI" w:cstheme="minorHAnsi"/>
          <w:sz w:val="24"/>
          <w:szCs w:val="24"/>
          <w:lang w:eastAsia="en-AU"/>
        </w:rPr>
        <w:t xml:space="preserve">A per student rate will apply above 200 students </w:t>
      </w:r>
    </w:p>
    <w:p w14:paraId="7DF831B3" w14:textId="77777777" w:rsidR="005D692C" w:rsidRPr="005B57A2" w:rsidRDefault="005D692C" w:rsidP="005D692C">
      <w:pPr>
        <w:spacing w:after="0"/>
        <w:contextualSpacing/>
        <w:jc w:val="both"/>
        <w:rPr>
          <w:rFonts w:eastAsia="Segoe UI" w:cstheme="minorHAnsi"/>
          <w:sz w:val="24"/>
          <w:szCs w:val="24"/>
          <w:lang w:eastAsia="en-AU"/>
        </w:rPr>
      </w:pPr>
    </w:p>
    <w:p w14:paraId="35978C86" w14:textId="15F80A65" w:rsidR="005D692C" w:rsidRPr="005B57A2" w:rsidRDefault="00F733D4" w:rsidP="005D692C">
      <w:pPr>
        <w:rPr>
          <w:rFonts w:eastAsia="Segoe UI" w:cstheme="minorHAnsi"/>
          <w:sz w:val="24"/>
          <w:szCs w:val="24"/>
          <w:lang w:eastAsia="en-AU"/>
        </w:rPr>
      </w:pPr>
      <w:r w:rsidRPr="005B57A2">
        <w:rPr>
          <w:rFonts w:eastAsia="Segoe UI" w:cstheme="minorHAnsi"/>
          <w:sz w:val="24"/>
          <w:szCs w:val="24"/>
          <w:lang w:eastAsia="en-AU"/>
        </w:rPr>
        <w:t>Enrolments used to calculate the Fund will be updated at each SRP cycle (</w:t>
      </w:r>
      <w:r w:rsidR="000266AD">
        <w:rPr>
          <w:rFonts w:eastAsia="Segoe UI" w:cstheme="minorHAnsi"/>
          <w:sz w:val="24"/>
          <w:szCs w:val="24"/>
          <w:lang w:eastAsia="en-AU"/>
        </w:rPr>
        <w:t>I</w:t>
      </w:r>
      <w:r w:rsidRPr="005B57A2">
        <w:rPr>
          <w:rFonts w:eastAsia="Segoe UI" w:cstheme="minorHAnsi"/>
          <w:sz w:val="24"/>
          <w:szCs w:val="24"/>
          <w:lang w:eastAsia="en-AU"/>
        </w:rPr>
        <w:t xml:space="preserve">ndicative to reflect </w:t>
      </w:r>
      <w:r w:rsidR="000266AD">
        <w:rPr>
          <w:rFonts w:eastAsia="Segoe UI" w:cstheme="minorHAnsi"/>
          <w:sz w:val="24"/>
          <w:szCs w:val="24"/>
          <w:lang w:eastAsia="en-AU"/>
        </w:rPr>
        <w:t>p</w:t>
      </w:r>
      <w:r w:rsidRPr="005B57A2">
        <w:rPr>
          <w:rFonts w:eastAsia="Segoe UI" w:cstheme="minorHAnsi"/>
          <w:sz w:val="24"/>
          <w:szCs w:val="24"/>
          <w:lang w:eastAsia="en-AU"/>
        </w:rPr>
        <w:t xml:space="preserve">rincipal enrolment projections, </w:t>
      </w:r>
      <w:r w:rsidR="000266AD">
        <w:rPr>
          <w:rFonts w:eastAsia="Segoe UI" w:cstheme="minorHAnsi"/>
          <w:sz w:val="24"/>
          <w:szCs w:val="24"/>
          <w:lang w:eastAsia="en-AU"/>
        </w:rPr>
        <w:t>C</w:t>
      </w:r>
      <w:r w:rsidRPr="005B57A2">
        <w:rPr>
          <w:rFonts w:eastAsia="Segoe UI" w:cstheme="minorHAnsi"/>
          <w:sz w:val="24"/>
          <w:szCs w:val="24"/>
          <w:lang w:eastAsia="en-AU"/>
        </w:rPr>
        <w:t xml:space="preserve">onfirmed to reflect February census enrolment and </w:t>
      </w:r>
      <w:r w:rsidR="000266AD">
        <w:rPr>
          <w:rFonts w:eastAsia="Segoe UI" w:cstheme="minorHAnsi"/>
          <w:sz w:val="24"/>
          <w:szCs w:val="24"/>
          <w:lang w:eastAsia="en-AU"/>
        </w:rPr>
        <w:t>R</w:t>
      </w:r>
      <w:r w:rsidRPr="005B57A2">
        <w:rPr>
          <w:rFonts w:eastAsia="Segoe UI" w:cstheme="minorHAnsi"/>
          <w:sz w:val="24"/>
          <w:szCs w:val="24"/>
          <w:lang w:eastAsia="en-AU"/>
        </w:rPr>
        <w:t>evised to reflect audited enrolments)</w:t>
      </w:r>
      <w:r w:rsidR="00C62D75">
        <w:rPr>
          <w:rFonts w:eastAsia="Segoe UI" w:cstheme="minorHAnsi"/>
          <w:sz w:val="24"/>
          <w:szCs w:val="24"/>
          <w:lang w:eastAsia="en-AU"/>
        </w:rPr>
        <w:t>.</w:t>
      </w:r>
    </w:p>
    <w:p w14:paraId="43DB20F4" w14:textId="77777777" w:rsidR="005D692C" w:rsidRPr="006C1424" w:rsidRDefault="005D692C" w:rsidP="006C1424">
      <w:pPr>
        <w:spacing w:before="100" w:beforeAutospacing="1" w:after="100" w:afterAutospacing="1" w:line="360" w:lineRule="atLeast"/>
        <w:rPr>
          <w:rFonts w:eastAsia="Segoe UI" w:cstheme="minorHAnsi"/>
          <w:b/>
          <w:color w:val="011A3C"/>
          <w:sz w:val="24"/>
          <w:szCs w:val="24"/>
          <w:lang w:val="en" w:eastAsia="en-AU"/>
        </w:rPr>
      </w:pPr>
      <w:r w:rsidRPr="006C1424">
        <w:rPr>
          <w:rFonts w:eastAsia="Segoe UI" w:cstheme="minorHAnsi"/>
          <w:b/>
          <w:color w:val="011A3C"/>
          <w:sz w:val="24"/>
          <w:szCs w:val="24"/>
          <w:lang w:val="en" w:eastAsia="en-AU"/>
        </w:rPr>
        <w:t xml:space="preserve">Large school threshold </w:t>
      </w:r>
    </w:p>
    <w:p w14:paraId="488C0F6D" w14:textId="77777777" w:rsidR="005D692C" w:rsidRPr="005B57A2" w:rsidRDefault="005D692C" w:rsidP="00F56244">
      <w:pPr>
        <w:pStyle w:val="ListParagraph"/>
        <w:numPr>
          <w:ilvl w:val="0"/>
          <w:numId w:val="92"/>
        </w:numPr>
        <w:spacing w:after="0"/>
        <w:jc w:val="both"/>
        <w:rPr>
          <w:rFonts w:eastAsia="Segoe UI" w:cstheme="minorHAnsi"/>
          <w:sz w:val="24"/>
          <w:szCs w:val="24"/>
          <w:lang w:eastAsia="en-AU"/>
        </w:rPr>
      </w:pPr>
      <w:r w:rsidRPr="005B57A2">
        <w:rPr>
          <w:rFonts w:eastAsia="Segoe UI" w:cstheme="minorHAnsi"/>
          <w:sz w:val="24"/>
          <w:szCs w:val="24"/>
          <w:lang w:eastAsia="en-AU"/>
        </w:rPr>
        <w:t>A slightly lower per student rate will apply above the large school threshold number of students</w:t>
      </w:r>
    </w:p>
    <w:p w14:paraId="403899D2" w14:textId="77777777" w:rsidR="005D692C" w:rsidRPr="005B57A2" w:rsidRDefault="005D692C" w:rsidP="00F56244">
      <w:pPr>
        <w:pStyle w:val="ListParagraph"/>
        <w:numPr>
          <w:ilvl w:val="1"/>
          <w:numId w:val="92"/>
        </w:numPr>
        <w:spacing w:after="0"/>
        <w:jc w:val="both"/>
        <w:rPr>
          <w:rFonts w:eastAsia="Segoe UI" w:cstheme="minorHAnsi"/>
          <w:sz w:val="24"/>
          <w:szCs w:val="24"/>
          <w:lang w:eastAsia="en-AU"/>
        </w:rPr>
      </w:pPr>
      <w:r w:rsidRPr="005B57A2">
        <w:rPr>
          <w:rFonts w:eastAsia="Segoe UI" w:cstheme="minorHAnsi"/>
          <w:sz w:val="24"/>
          <w:szCs w:val="24"/>
          <w:lang w:eastAsia="en-AU"/>
        </w:rPr>
        <w:t>Primary: 600 students</w:t>
      </w:r>
    </w:p>
    <w:p w14:paraId="5671E33B" w14:textId="52FEC63A" w:rsidR="005D692C" w:rsidRPr="005B57A2" w:rsidRDefault="005D692C" w:rsidP="00F56244">
      <w:pPr>
        <w:pStyle w:val="ListParagraph"/>
        <w:numPr>
          <w:ilvl w:val="1"/>
          <w:numId w:val="92"/>
        </w:numPr>
        <w:spacing w:after="0"/>
        <w:jc w:val="both"/>
        <w:rPr>
          <w:rFonts w:eastAsia="Segoe UI" w:cstheme="minorHAnsi"/>
          <w:sz w:val="24"/>
          <w:szCs w:val="24"/>
          <w:lang w:eastAsia="en-AU"/>
        </w:rPr>
      </w:pPr>
      <w:r w:rsidRPr="005B57A2">
        <w:rPr>
          <w:rFonts w:eastAsia="Segoe UI" w:cstheme="minorHAnsi"/>
          <w:sz w:val="24"/>
          <w:szCs w:val="24"/>
          <w:lang w:eastAsia="en-AU"/>
        </w:rPr>
        <w:t>Secondary: 1</w:t>
      </w:r>
      <w:r w:rsidR="000519A4">
        <w:rPr>
          <w:rFonts w:eastAsia="Segoe UI" w:cstheme="minorHAnsi"/>
          <w:sz w:val="24"/>
          <w:szCs w:val="24"/>
          <w:lang w:eastAsia="en-AU"/>
        </w:rPr>
        <w:t>,</w:t>
      </w:r>
      <w:r w:rsidRPr="005B57A2">
        <w:rPr>
          <w:rFonts w:eastAsia="Segoe UI" w:cstheme="minorHAnsi"/>
          <w:sz w:val="24"/>
          <w:szCs w:val="24"/>
          <w:lang w:eastAsia="en-AU"/>
        </w:rPr>
        <w:t xml:space="preserve">200 students </w:t>
      </w:r>
    </w:p>
    <w:p w14:paraId="6A273562" w14:textId="40101C3C" w:rsidR="005D692C" w:rsidRPr="005B57A2" w:rsidRDefault="005D692C" w:rsidP="00F56244">
      <w:pPr>
        <w:pStyle w:val="ListParagraph"/>
        <w:numPr>
          <w:ilvl w:val="1"/>
          <w:numId w:val="92"/>
        </w:numPr>
        <w:spacing w:after="0"/>
        <w:jc w:val="both"/>
        <w:rPr>
          <w:rFonts w:eastAsia="Segoe UI" w:cstheme="minorHAnsi"/>
          <w:sz w:val="24"/>
          <w:szCs w:val="24"/>
          <w:lang w:eastAsia="en-AU"/>
        </w:rPr>
      </w:pPr>
      <w:r w:rsidRPr="005B57A2">
        <w:rPr>
          <w:rFonts w:eastAsia="Segoe UI" w:cstheme="minorHAnsi"/>
          <w:sz w:val="24"/>
          <w:szCs w:val="24"/>
          <w:lang w:eastAsia="en-AU"/>
        </w:rPr>
        <w:t>Pri</w:t>
      </w:r>
      <w:r w:rsidR="00B27693" w:rsidRPr="005B57A2">
        <w:rPr>
          <w:rFonts w:eastAsia="Segoe UI" w:cstheme="minorHAnsi"/>
          <w:sz w:val="24"/>
          <w:szCs w:val="24"/>
          <w:lang w:eastAsia="en-AU"/>
        </w:rPr>
        <w:t>mary</w:t>
      </w:r>
      <w:r w:rsidRPr="005B57A2">
        <w:rPr>
          <w:rFonts w:eastAsia="Segoe UI" w:cstheme="minorHAnsi"/>
          <w:sz w:val="24"/>
          <w:szCs w:val="24"/>
          <w:lang w:eastAsia="en-AU"/>
        </w:rPr>
        <w:t>/Sec</w:t>
      </w:r>
      <w:r w:rsidR="00B27693" w:rsidRPr="005B57A2">
        <w:rPr>
          <w:rFonts w:eastAsia="Segoe UI" w:cstheme="minorHAnsi"/>
          <w:sz w:val="24"/>
          <w:szCs w:val="24"/>
          <w:lang w:eastAsia="en-AU"/>
        </w:rPr>
        <w:t>ondary</w:t>
      </w:r>
      <w:r w:rsidRPr="005B57A2">
        <w:rPr>
          <w:rFonts w:eastAsia="Segoe UI" w:cstheme="minorHAnsi"/>
          <w:sz w:val="24"/>
          <w:szCs w:val="24"/>
          <w:lang w:eastAsia="en-AU"/>
        </w:rPr>
        <w:t>: 900 students</w:t>
      </w:r>
    </w:p>
    <w:p w14:paraId="63AB3CB3" w14:textId="4BF9E017" w:rsidR="005D692C" w:rsidRPr="006C1424" w:rsidRDefault="005D692C" w:rsidP="00F56244">
      <w:pPr>
        <w:pStyle w:val="ListParagraph"/>
        <w:numPr>
          <w:ilvl w:val="1"/>
          <w:numId w:val="92"/>
        </w:numPr>
        <w:spacing w:after="0"/>
        <w:jc w:val="both"/>
        <w:rPr>
          <w:rFonts w:eastAsia="Segoe UI" w:cstheme="minorHAnsi"/>
          <w:sz w:val="24"/>
          <w:szCs w:val="24"/>
          <w:lang w:eastAsia="en-AU"/>
        </w:rPr>
      </w:pPr>
      <w:r w:rsidRPr="005B57A2">
        <w:rPr>
          <w:rFonts w:eastAsia="Segoe UI" w:cstheme="minorHAnsi"/>
          <w:sz w:val="24"/>
          <w:szCs w:val="24"/>
          <w:lang w:eastAsia="en-AU"/>
        </w:rPr>
        <w:t>Other^: 600 students</w:t>
      </w:r>
    </w:p>
    <w:p w14:paraId="3B448874" w14:textId="77777777" w:rsidR="005D692C" w:rsidRPr="005B57A2" w:rsidRDefault="005D692C" w:rsidP="00992D99">
      <w:pPr>
        <w:spacing w:before="100" w:beforeAutospacing="1" w:after="100" w:afterAutospacing="1" w:line="288" w:lineRule="atLeast"/>
        <w:outlineLvl w:val="2"/>
        <w:rPr>
          <w:rFonts w:cstheme="minorHAnsi"/>
          <w:b/>
          <w:sz w:val="27"/>
          <w:szCs w:val="27"/>
          <w:lang w:val="en" w:eastAsia="en-AU"/>
        </w:rPr>
      </w:pPr>
      <w:r w:rsidRPr="005B57A2">
        <w:rPr>
          <w:rFonts w:cstheme="minorHAnsi"/>
          <w:b/>
          <w:sz w:val="27"/>
          <w:szCs w:val="27"/>
          <w:lang w:val="en" w:eastAsia="en-AU"/>
        </w:rPr>
        <w:t>Rate</w:t>
      </w:r>
    </w:p>
    <w:p w14:paraId="4F33936B" w14:textId="77777777" w:rsidR="005D692C" w:rsidRPr="005B57A2" w:rsidRDefault="005D692C" w:rsidP="00F56244">
      <w:pPr>
        <w:pStyle w:val="ListParagraph"/>
        <w:numPr>
          <w:ilvl w:val="0"/>
          <w:numId w:val="93"/>
        </w:numPr>
        <w:spacing w:after="0" w:line="240" w:lineRule="auto"/>
        <w:jc w:val="both"/>
        <w:rPr>
          <w:rFonts w:eastAsia="Segoe UI" w:cstheme="minorHAnsi"/>
          <w:sz w:val="24"/>
          <w:szCs w:val="24"/>
          <w:lang w:eastAsia="en-AU"/>
        </w:rPr>
      </w:pPr>
      <w:r w:rsidRPr="005B57A2">
        <w:rPr>
          <w:rFonts w:eastAsia="Segoe UI" w:cstheme="minorHAnsi"/>
          <w:sz w:val="24"/>
          <w:szCs w:val="24"/>
          <w:lang w:eastAsia="en-AU"/>
        </w:rPr>
        <w:t xml:space="preserve">Per student rate starts to apply above 200 students </w:t>
      </w:r>
    </w:p>
    <w:p w14:paraId="08AB6271" w14:textId="67B382CE" w:rsidR="005D692C" w:rsidRPr="005B57A2" w:rsidRDefault="000519A4" w:rsidP="00F56244">
      <w:pPr>
        <w:pStyle w:val="ListParagraph"/>
        <w:numPr>
          <w:ilvl w:val="0"/>
          <w:numId w:val="93"/>
        </w:numPr>
        <w:spacing w:after="0" w:line="240" w:lineRule="auto"/>
        <w:jc w:val="both"/>
        <w:rPr>
          <w:rFonts w:eastAsia="Segoe UI" w:cstheme="minorHAnsi"/>
          <w:sz w:val="24"/>
          <w:szCs w:val="24"/>
          <w:lang w:eastAsia="en-AU"/>
        </w:rPr>
      </w:pPr>
      <w:r>
        <w:rPr>
          <w:rFonts w:eastAsia="Segoe UI" w:cstheme="minorHAnsi"/>
          <w:sz w:val="24"/>
          <w:szCs w:val="24"/>
          <w:lang w:eastAsia="en-AU"/>
        </w:rPr>
        <w:t>The m</w:t>
      </w:r>
      <w:r w:rsidR="005D692C" w:rsidRPr="005B57A2">
        <w:rPr>
          <w:rFonts w:eastAsia="Segoe UI" w:cstheme="minorHAnsi"/>
          <w:sz w:val="24"/>
          <w:szCs w:val="24"/>
          <w:lang w:eastAsia="en-AU"/>
        </w:rPr>
        <w:t>odel has tailored rates for primary and secondary, responding to the Royal Commission’s call for more primary support</w:t>
      </w:r>
    </w:p>
    <w:p w14:paraId="7F7D496D" w14:textId="77777777" w:rsidR="005B57A2" w:rsidRPr="005B57A2" w:rsidRDefault="005B57A2" w:rsidP="005B57A2">
      <w:pPr>
        <w:pStyle w:val="ListParagraph"/>
        <w:spacing w:after="0" w:line="240" w:lineRule="auto"/>
        <w:jc w:val="both"/>
        <w:rPr>
          <w:rFonts w:eastAsia="Segoe UI" w:cstheme="minorHAnsi"/>
          <w:sz w:val="24"/>
          <w:szCs w:val="24"/>
          <w:lang w:eastAsia="en-AU"/>
        </w:rPr>
      </w:pPr>
    </w:p>
    <w:tbl>
      <w:tblPr>
        <w:tblStyle w:val="TableGrid11"/>
        <w:tblW w:w="6915" w:type="dxa"/>
        <w:tblInd w:w="-5" w:type="dxa"/>
        <w:tblLook w:val="04A0" w:firstRow="1" w:lastRow="0" w:firstColumn="1" w:lastColumn="0" w:noHBand="0" w:noVBand="1"/>
      </w:tblPr>
      <w:tblGrid>
        <w:gridCol w:w="2921"/>
        <w:gridCol w:w="1997"/>
        <w:gridCol w:w="1997"/>
      </w:tblGrid>
      <w:tr w:rsidR="00601C8B" w:rsidRPr="00260C1D" w14:paraId="6AC43827" w14:textId="77777777" w:rsidTr="005B57A2">
        <w:trPr>
          <w:trHeight w:val="126"/>
        </w:trPr>
        <w:tc>
          <w:tcPr>
            <w:tcW w:w="2921" w:type="dxa"/>
            <w:hideMark/>
          </w:tcPr>
          <w:p w14:paraId="2F2DC991" w14:textId="417FB452" w:rsidR="00601C8B" w:rsidRPr="00260C1D" w:rsidRDefault="00601C8B" w:rsidP="00601C8B">
            <w:pPr>
              <w:rPr>
                <w:rFonts w:asciiTheme="minorHAnsi" w:hAnsiTheme="minorHAnsi" w:cstheme="minorHAnsi"/>
                <w:b/>
                <w:bCs/>
                <w:sz w:val="24"/>
                <w:szCs w:val="24"/>
                <w:lang w:val="en-GB" w:eastAsia="en-AU"/>
              </w:rPr>
            </w:pPr>
            <w:r w:rsidRPr="00260C1D">
              <w:rPr>
                <w:rFonts w:asciiTheme="minorHAnsi" w:hAnsiTheme="minorHAnsi" w:cstheme="minorHAnsi"/>
                <w:b/>
                <w:bCs/>
                <w:sz w:val="24"/>
                <w:szCs w:val="24"/>
                <w:lang w:val="en-US" w:eastAsia="en-AU"/>
              </w:rPr>
              <w:t>Per student rates (202</w:t>
            </w:r>
            <w:r w:rsidR="00BE64CB">
              <w:rPr>
                <w:rFonts w:asciiTheme="minorHAnsi" w:hAnsiTheme="minorHAnsi" w:cstheme="minorHAnsi"/>
                <w:b/>
                <w:bCs/>
                <w:sz w:val="24"/>
                <w:szCs w:val="24"/>
                <w:lang w:val="en-US" w:eastAsia="en-AU"/>
              </w:rPr>
              <w:t>4</w:t>
            </w:r>
            <w:r w:rsidRPr="00260C1D">
              <w:rPr>
                <w:rFonts w:asciiTheme="minorHAnsi" w:hAnsiTheme="minorHAnsi" w:cstheme="minorHAnsi"/>
                <w:b/>
                <w:bCs/>
                <w:sz w:val="24"/>
                <w:szCs w:val="24"/>
                <w:lang w:val="en-US" w:eastAsia="en-AU"/>
              </w:rPr>
              <w:t>)</w:t>
            </w:r>
          </w:p>
        </w:tc>
        <w:tc>
          <w:tcPr>
            <w:tcW w:w="1997" w:type="dxa"/>
            <w:hideMark/>
          </w:tcPr>
          <w:p w14:paraId="0A9A7C4C" w14:textId="6CAE08ED" w:rsidR="00601C8B" w:rsidRPr="00260C1D" w:rsidRDefault="00976524" w:rsidP="00614B09">
            <w:pPr>
              <w:jc w:val="right"/>
              <w:rPr>
                <w:rFonts w:asciiTheme="minorHAnsi" w:hAnsiTheme="minorHAnsi" w:cstheme="minorHAnsi"/>
                <w:b/>
                <w:sz w:val="24"/>
                <w:szCs w:val="24"/>
                <w:lang w:val="en-GB" w:eastAsia="en-AU"/>
              </w:rPr>
            </w:pPr>
            <w:r>
              <w:rPr>
                <w:rFonts w:asciiTheme="minorHAnsi" w:hAnsiTheme="minorHAnsi" w:cstheme="minorHAnsi"/>
                <w:b/>
                <w:bCs/>
                <w:sz w:val="24"/>
                <w:szCs w:val="24"/>
                <w:lang w:val="en-US" w:eastAsia="en-AU"/>
              </w:rPr>
              <w:t>S</w:t>
            </w:r>
            <w:r w:rsidR="00601C8B" w:rsidRPr="00260C1D">
              <w:rPr>
                <w:rFonts w:asciiTheme="minorHAnsi" w:hAnsiTheme="minorHAnsi" w:cstheme="minorHAnsi"/>
                <w:b/>
                <w:bCs/>
                <w:sz w:val="24"/>
                <w:szCs w:val="24"/>
                <w:lang w:val="en-US" w:eastAsia="en-AU"/>
              </w:rPr>
              <w:t>mall</w:t>
            </w:r>
          </w:p>
        </w:tc>
        <w:tc>
          <w:tcPr>
            <w:tcW w:w="1997" w:type="dxa"/>
            <w:hideMark/>
          </w:tcPr>
          <w:p w14:paraId="639F210F" w14:textId="6B99621B" w:rsidR="00601C8B" w:rsidRPr="00260C1D" w:rsidRDefault="00976524" w:rsidP="00614B09">
            <w:pPr>
              <w:jc w:val="right"/>
              <w:rPr>
                <w:rFonts w:asciiTheme="minorHAnsi" w:hAnsiTheme="minorHAnsi" w:cstheme="minorHAnsi"/>
                <w:b/>
                <w:bCs/>
                <w:sz w:val="24"/>
                <w:szCs w:val="24"/>
                <w:lang w:val="en-GB" w:eastAsia="en-AU"/>
              </w:rPr>
            </w:pPr>
            <w:r>
              <w:rPr>
                <w:rFonts w:asciiTheme="minorHAnsi" w:hAnsiTheme="minorHAnsi" w:cstheme="minorHAnsi"/>
                <w:b/>
                <w:bCs/>
                <w:sz w:val="24"/>
                <w:szCs w:val="24"/>
                <w:lang w:val="en-US" w:eastAsia="en-AU"/>
              </w:rPr>
              <w:t>L</w:t>
            </w:r>
            <w:r w:rsidR="00601C8B" w:rsidRPr="00260C1D">
              <w:rPr>
                <w:rFonts w:asciiTheme="minorHAnsi" w:hAnsiTheme="minorHAnsi" w:cstheme="minorHAnsi"/>
                <w:b/>
                <w:bCs/>
                <w:sz w:val="24"/>
                <w:szCs w:val="24"/>
                <w:lang w:val="en-US" w:eastAsia="en-AU"/>
              </w:rPr>
              <w:t>arge</w:t>
            </w:r>
          </w:p>
        </w:tc>
      </w:tr>
      <w:tr w:rsidR="00601C8B" w:rsidRPr="00260C1D" w14:paraId="419E89E6" w14:textId="77777777" w:rsidTr="005B57A2">
        <w:trPr>
          <w:trHeight w:val="126"/>
        </w:trPr>
        <w:tc>
          <w:tcPr>
            <w:tcW w:w="2921" w:type="dxa"/>
            <w:hideMark/>
          </w:tcPr>
          <w:p w14:paraId="04AB2C1A" w14:textId="77777777" w:rsidR="00601C8B" w:rsidRPr="00260C1D" w:rsidRDefault="00601C8B" w:rsidP="00601C8B">
            <w:pPr>
              <w:rPr>
                <w:rFonts w:asciiTheme="minorHAnsi" w:hAnsiTheme="minorHAnsi" w:cstheme="minorHAnsi"/>
                <w:sz w:val="24"/>
                <w:szCs w:val="24"/>
                <w:lang w:val="en-GB" w:eastAsia="en-AU"/>
              </w:rPr>
            </w:pPr>
            <w:r w:rsidRPr="00260C1D">
              <w:rPr>
                <w:rFonts w:asciiTheme="minorHAnsi" w:hAnsiTheme="minorHAnsi" w:cstheme="minorHAnsi"/>
                <w:sz w:val="24"/>
                <w:szCs w:val="24"/>
                <w:lang w:val="en-US" w:eastAsia="en-AU"/>
              </w:rPr>
              <w:t>Primary</w:t>
            </w:r>
          </w:p>
        </w:tc>
        <w:tc>
          <w:tcPr>
            <w:tcW w:w="1997" w:type="dxa"/>
            <w:hideMark/>
          </w:tcPr>
          <w:p w14:paraId="35C7A58E" w14:textId="5B3592A4" w:rsidR="00601C8B" w:rsidRPr="00260C1D" w:rsidRDefault="00601C8B" w:rsidP="00614B09">
            <w:pPr>
              <w:jc w:val="right"/>
              <w:rPr>
                <w:rFonts w:asciiTheme="minorHAnsi" w:hAnsiTheme="minorHAnsi" w:cstheme="minorHAnsi"/>
                <w:sz w:val="24"/>
                <w:szCs w:val="24"/>
                <w:lang w:val="en-GB" w:eastAsia="en-AU"/>
              </w:rPr>
            </w:pPr>
            <w:r w:rsidRPr="00260C1D">
              <w:rPr>
                <w:rFonts w:asciiTheme="minorHAnsi" w:hAnsiTheme="minorHAnsi" w:cstheme="minorHAnsi"/>
                <w:sz w:val="24"/>
                <w:szCs w:val="24"/>
                <w:lang w:val="en-US" w:eastAsia="en-AU"/>
              </w:rPr>
              <w:t>$</w:t>
            </w:r>
            <w:r w:rsidR="00130FE0">
              <w:rPr>
                <w:rFonts w:asciiTheme="minorHAnsi" w:hAnsiTheme="minorHAnsi" w:cstheme="minorHAnsi"/>
                <w:sz w:val="24"/>
                <w:szCs w:val="24"/>
                <w:lang w:val="en-US" w:eastAsia="en-AU"/>
              </w:rPr>
              <w:t>97</w:t>
            </w:r>
            <w:r w:rsidRPr="00260C1D">
              <w:rPr>
                <w:rFonts w:asciiTheme="minorHAnsi" w:hAnsiTheme="minorHAnsi" w:cstheme="minorHAnsi"/>
                <w:sz w:val="24"/>
                <w:szCs w:val="24"/>
                <w:lang w:val="en-US" w:eastAsia="en-AU"/>
              </w:rPr>
              <w:t>.00</w:t>
            </w:r>
          </w:p>
        </w:tc>
        <w:tc>
          <w:tcPr>
            <w:tcW w:w="1997" w:type="dxa"/>
            <w:hideMark/>
          </w:tcPr>
          <w:p w14:paraId="472716B2" w14:textId="31478A27" w:rsidR="00601C8B" w:rsidRPr="00260C1D" w:rsidRDefault="00601C8B" w:rsidP="00614B09">
            <w:pPr>
              <w:jc w:val="right"/>
              <w:rPr>
                <w:rFonts w:asciiTheme="minorHAnsi" w:hAnsiTheme="minorHAnsi" w:cstheme="minorHAnsi"/>
                <w:sz w:val="24"/>
                <w:szCs w:val="24"/>
                <w:lang w:val="en-GB" w:eastAsia="en-AU"/>
              </w:rPr>
            </w:pPr>
            <w:r w:rsidRPr="00260C1D">
              <w:rPr>
                <w:rFonts w:asciiTheme="minorHAnsi" w:hAnsiTheme="minorHAnsi" w:cstheme="minorHAnsi"/>
                <w:sz w:val="24"/>
                <w:szCs w:val="24"/>
                <w:lang w:val="en-US" w:eastAsia="en-AU"/>
              </w:rPr>
              <w:t>$</w:t>
            </w:r>
            <w:r w:rsidR="0090559C">
              <w:rPr>
                <w:rFonts w:asciiTheme="minorHAnsi" w:hAnsiTheme="minorHAnsi" w:cstheme="minorHAnsi"/>
                <w:sz w:val="24"/>
                <w:szCs w:val="24"/>
                <w:lang w:val="en-US" w:eastAsia="en-AU"/>
              </w:rPr>
              <w:t>80</w:t>
            </w:r>
            <w:r w:rsidRPr="00260C1D">
              <w:rPr>
                <w:rFonts w:asciiTheme="minorHAnsi" w:hAnsiTheme="minorHAnsi" w:cstheme="minorHAnsi"/>
                <w:sz w:val="24"/>
                <w:szCs w:val="24"/>
                <w:lang w:val="en-US" w:eastAsia="en-AU"/>
              </w:rPr>
              <w:t>.00</w:t>
            </w:r>
          </w:p>
        </w:tc>
      </w:tr>
      <w:tr w:rsidR="00601C8B" w:rsidRPr="00260C1D" w14:paraId="3FEDD574" w14:textId="77777777" w:rsidTr="005B57A2">
        <w:trPr>
          <w:trHeight w:val="126"/>
        </w:trPr>
        <w:tc>
          <w:tcPr>
            <w:tcW w:w="2921" w:type="dxa"/>
            <w:hideMark/>
          </w:tcPr>
          <w:p w14:paraId="7A1D1138" w14:textId="77777777" w:rsidR="00601C8B" w:rsidRPr="00260C1D" w:rsidRDefault="00601C8B" w:rsidP="00601C8B">
            <w:pPr>
              <w:rPr>
                <w:rFonts w:asciiTheme="minorHAnsi" w:hAnsiTheme="minorHAnsi" w:cstheme="minorHAnsi"/>
                <w:sz w:val="24"/>
                <w:szCs w:val="24"/>
                <w:lang w:val="en-GB" w:eastAsia="en-AU"/>
              </w:rPr>
            </w:pPr>
            <w:r w:rsidRPr="00260C1D">
              <w:rPr>
                <w:rFonts w:asciiTheme="minorHAnsi" w:hAnsiTheme="minorHAnsi" w:cstheme="minorHAnsi"/>
                <w:sz w:val="24"/>
                <w:szCs w:val="24"/>
                <w:lang w:val="en-US" w:eastAsia="en-AU"/>
              </w:rPr>
              <w:t>Secondary</w:t>
            </w:r>
          </w:p>
        </w:tc>
        <w:tc>
          <w:tcPr>
            <w:tcW w:w="1997" w:type="dxa"/>
            <w:hideMark/>
          </w:tcPr>
          <w:p w14:paraId="482A9B49" w14:textId="208BB537" w:rsidR="00601C8B" w:rsidRPr="00260C1D" w:rsidRDefault="00601C8B" w:rsidP="00614B09">
            <w:pPr>
              <w:jc w:val="right"/>
              <w:rPr>
                <w:rFonts w:asciiTheme="minorHAnsi" w:hAnsiTheme="minorHAnsi" w:cstheme="minorHAnsi"/>
                <w:sz w:val="24"/>
                <w:szCs w:val="24"/>
                <w:lang w:val="en-GB" w:eastAsia="en-AU"/>
              </w:rPr>
            </w:pPr>
            <w:r w:rsidRPr="00260C1D">
              <w:rPr>
                <w:rFonts w:asciiTheme="minorHAnsi" w:hAnsiTheme="minorHAnsi" w:cstheme="minorHAnsi"/>
                <w:sz w:val="24"/>
                <w:szCs w:val="24"/>
                <w:lang w:val="en-US" w:eastAsia="en-AU"/>
              </w:rPr>
              <w:t>$</w:t>
            </w:r>
            <w:r w:rsidR="00130FE0">
              <w:rPr>
                <w:rFonts w:asciiTheme="minorHAnsi" w:hAnsiTheme="minorHAnsi" w:cstheme="minorHAnsi"/>
                <w:sz w:val="24"/>
                <w:szCs w:val="24"/>
                <w:lang w:val="en-US" w:eastAsia="en-AU"/>
              </w:rPr>
              <w:t>87</w:t>
            </w:r>
            <w:r w:rsidRPr="00260C1D">
              <w:rPr>
                <w:rFonts w:asciiTheme="minorHAnsi" w:hAnsiTheme="minorHAnsi" w:cstheme="minorHAnsi"/>
                <w:sz w:val="24"/>
                <w:szCs w:val="24"/>
                <w:lang w:val="en-US" w:eastAsia="en-AU"/>
              </w:rPr>
              <w:t>.00</w:t>
            </w:r>
          </w:p>
        </w:tc>
        <w:tc>
          <w:tcPr>
            <w:tcW w:w="1997" w:type="dxa"/>
            <w:hideMark/>
          </w:tcPr>
          <w:p w14:paraId="259428CC" w14:textId="2AB3B78E" w:rsidR="00601C8B" w:rsidRPr="00260C1D" w:rsidRDefault="00601C8B" w:rsidP="00614B09">
            <w:pPr>
              <w:jc w:val="right"/>
              <w:rPr>
                <w:rFonts w:asciiTheme="minorHAnsi" w:hAnsiTheme="minorHAnsi" w:cstheme="minorHAnsi"/>
                <w:sz w:val="24"/>
                <w:szCs w:val="24"/>
                <w:lang w:val="en-GB" w:eastAsia="en-AU"/>
              </w:rPr>
            </w:pPr>
            <w:r w:rsidRPr="00260C1D">
              <w:rPr>
                <w:rFonts w:asciiTheme="minorHAnsi" w:hAnsiTheme="minorHAnsi" w:cstheme="minorHAnsi"/>
                <w:sz w:val="24"/>
                <w:szCs w:val="24"/>
                <w:lang w:val="en-US" w:eastAsia="en-AU"/>
              </w:rPr>
              <w:t>$</w:t>
            </w:r>
            <w:r w:rsidR="00E56F25">
              <w:rPr>
                <w:rFonts w:asciiTheme="minorHAnsi" w:hAnsiTheme="minorHAnsi" w:cstheme="minorHAnsi"/>
                <w:sz w:val="24"/>
                <w:szCs w:val="24"/>
                <w:lang w:val="en-US" w:eastAsia="en-AU"/>
              </w:rPr>
              <w:t>70</w:t>
            </w:r>
            <w:r w:rsidRPr="00260C1D">
              <w:rPr>
                <w:rFonts w:asciiTheme="minorHAnsi" w:hAnsiTheme="minorHAnsi" w:cstheme="minorHAnsi"/>
                <w:sz w:val="24"/>
                <w:szCs w:val="24"/>
                <w:lang w:val="en-US" w:eastAsia="en-AU"/>
              </w:rPr>
              <w:t>.00</w:t>
            </w:r>
          </w:p>
        </w:tc>
      </w:tr>
      <w:tr w:rsidR="00601C8B" w:rsidRPr="00260C1D" w14:paraId="44E8D5E7" w14:textId="77777777" w:rsidTr="005B57A2">
        <w:trPr>
          <w:trHeight w:val="126"/>
        </w:trPr>
        <w:tc>
          <w:tcPr>
            <w:tcW w:w="2921" w:type="dxa"/>
            <w:hideMark/>
          </w:tcPr>
          <w:p w14:paraId="22229796" w14:textId="6F4EB4C7" w:rsidR="00601C8B" w:rsidRPr="00260C1D" w:rsidRDefault="00601C8B" w:rsidP="00601C8B">
            <w:pPr>
              <w:rPr>
                <w:rFonts w:asciiTheme="minorHAnsi" w:hAnsiTheme="minorHAnsi" w:cstheme="minorHAnsi"/>
                <w:sz w:val="24"/>
                <w:szCs w:val="24"/>
                <w:lang w:val="en-GB" w:eastAsia="en-AU"/>
              </w:rPr>
            </w:pPr>
            <w:r w:rsidRPr="00260C1D">
              <w:rPr>
                <w:rFonts w:asciiTheme="minorHAnsi" w:hAnsiTheme="minorHAnsi" w:cstheme="minorHAnsi"/>
                <w:sz w:val="24"/>
                <w:szCs w:val="24"/>
                <w:lang w:val="en-US" w:eastAsia="en-AU"/>
              </w:rPr>
              <w:t>Pri</w:t>
            </w:r>
            <w:r w:rsidR="00284551">
              <w:rPr>
                <w:rFonts w:asciiTheme="minorHAnsi" w:hAnsiTheme="minorHAnsi" w:cstheme="minorHAnsi"/>
                <w:sz w:val="24"/>
                <w:szCs w:val="24"/>
                <w:lang w:val="en-US" w:eastAsia="en-AU"/>
              </w:rPr>
              <w:t>mary</w:t>
            </w:r>
            <w:r w:rsidRPr="00260C1D">
              <w:rPr>
                <w:rFonts w:asciiTheme="minorHAnsi" w:hAnsiTheme="minorHAnsi" w:cstheme="minorHAnsi"/>
                <w:sz w:val="24"/>
                <w:szCs w:val="24"/>
                <w:lang w:val="en-US" w:eastAsia="en-AU"/>
              </w:rPr>
              <w:t>/Sec</w:t>
            </w:r>
            <w:r w:rsidR="00284551">
              <w:rPr>
                <w:rFonts w:asciiTheme="minorHAnsi" w:hAnsiTheme="minorHAnsi" w:cstheme="minorHAnsi"/>
                <w:sz w:val="24"/>
                <w:szCs w:val="24"/>
                <w:lang w:val="en-US" w:eastAsia="en-AU"/>
              </w:rPr>
              <w:t>ondary</w:t>
            </w:r>
          </w:p>
        </w:tc>
        <w:tc>
          <w:tcPr>
            <w:tcW w:w="1997" w:type="dxa"/>
            <w:hideMark/>
          </w:tcPr>
          <w:p w14:paraId="241E242B" w14:textId="40AB2C4D" w:rsidR="00601C8B" w:rsidRPr="00260C1D" w:rsidRDefault="00601C8B" w:rsidP="00614B09">
            <w:pPr>
              <w:jc w:val="right"/>
              <w:rPr>
                <w:rFonts w:asciiTheme="minorHAnsi" w:hAnsiTheme="minorHAnsi" w:cstheme="minorHAnsi"/>
                <w:sz w:val="24"/>
                <w:szCs w:val="24"/>
                <w:lang w:val="en-GB" w:eastAsia="en-AU"/>
              </w:rPr>
            </w:pPr>
            <w:r w:rsidRPr="00260C1D">
              <w:rPr>
                <w:rFonts w:asciiTheme="minorHAnsi" w:hAnsiTheme="minorHAnsi" w:cstheme="minorHAnsi"/>
                <w:sz w:val="24"/>
                <w:szCs w:val="24"/>
                <w:lang w:val="en-US" w:eastAsia="en-AU"/>
              </w:rPr>
              <w:t>$</w:t>
            </w:r>
            <w:r w:rsidR="00130FE0">
              <w:rPr>
                <w:rFonts w:asciiTheme="minorHAnsi" w:hAnsiTheme="minorHAnsi" w:cstheme="minorHAnsi"/>
                <w:sz w:val="24"/>
                <w:szCs w:val="24"/>
                <w:lang w:val="en-US" w:eastAsia="en-AU"/>
              </w:rPr>
              <w:t>92</w:t>
            </w:r>
            <w:r w:rsidRPr="00260C1D">
              <w:rPr>
                <w:rFonts w:asciiTheme="minorHAnsi" w:hAnsiTheme="minorHAnsi" w:cstheme="minorHAnsi"/>
                <w:sz w:val="24"/>
                <w:szCs w:val="24"/>
                <w:lang w:val="en-US" w:eastAsia="en-AU"/>
              </w:rPr>
              <w:t>.00</w:t>
            </w:r>
          </w:p>
        </w:tc>
        <w:tc>
          <w:tcPr>
            <w:tcW w:w="1997" w:type="dxa"/>
            <w:hideMark/>
          </w:tcPr>
          <w:p w14:paraId="335E54D2" w14:textId="01CF6DAD" w:rsidR="00601C8B" w:rsidRPr="00260C1D" w:rsidRDefault="00601C8B" w:rsidP="00614B09">
            <w:pPr>
              <w:jc w:val="right"/>
              <w:rPr>
                <w:rFonts w:asciiTheme="minorHAnsi" w:hAnsiTheme="minorHAnsi" w:cstheme="minorHAnsi"/>
                <w:sz w:val="24"/>
                <w:szCs w:val="24"/>
                <w:lang w:val="en-GB" w:eastAsia="en-AU"/>
              </w:rPr>
            </w:pPr>
            <w:r w:rsidRPr="00260C1D">
              <w:rPr>
                <w:rFonts w:asciiTheme="minorHAnsi" w:hAnsiTheme="minorHAnsi" w:cstheme="minorHAnsi"/>
                <w:sz w:val="24"/>
                <w:szCs w:val="24"/>
                <w:lang w:val="en-US" w:eastAsia="en-AU"/>
              </w:rPr>
              <w:t>$</w:t>
            </w:r>
            <w:r w:rsidR="00E56F25">
              <w:rPr>
                <w:rFonts w:asciiTheme="minorHAnsi" w:hAnsiTheme="minorHAnsi" w:cstheme="minorHAnsi"/>
                <w:sz w:val="24"/>
                <w:szCs w:val="24"/>
                <w:lang w:val="en-US" w:eastAsia="en-AU"/>
              </w:rPr>
              <w:t>75</w:t>
            </w:r>
            <w:r w:rsidRPr="00260C1D">
              <w:rPr>
                <w:rFonts w:asciiTheme="minorHAnsi" w:hAnsiTheme="minorHAnsi" w:cstheme="minorHAnsi"/>
                <w:sz w:val="24"/>
                <w:szCs w:val="24"/>
                <w:lang w:val="en-US" w:eastAsia="en-AU"/>
              </w:rPr>
              <w:t>.00</w:t>
            </w:r>
          </w:p>
        </w:tc>
      </w:tr>
      <w:tr w:rsidR="00601C8B" w:rsidRPr="00260C1D" w14:paraId="694FE09B" w14:textId="77777777" w:rsidTr="005B57A2">
        <w:trPr>
          <w:trHeight w:val="95"/>
        </w:trPr>
        <w:tc>
          <w:tcPr>
            <w:tcW w:w="2921" w:type="dxa"/>
            <w:hideMark/>
          </w:tcPr>
          <w:p w14:paraId="3362E20D" w14:textId="77777777" w:rsidR="00601C8B" w:rsidRPr="00260C1D" w:rsidRDefault="00601C8B" w:rsidP="00601C8B">
            <w:pPr>
              <w:rPr>
                <w:rFonts w:asciiTheme="minorHAnsi" w:hAnsiTheme="minorHAnsi" w:cstheme="minorHAnsi"/>
                <w:sz w:val="24"/>
                <w:szCs w:val="24"/>
                <w:lang w:val="en-GB" w:eastAsia="en-AU"/>
              </w:rPr>
            </w:pPr>
            <w:r w:rsidRPr="00260C1D">
              <w:rPr>
                <w:rFonts w:asciiTheme="minorHAnsi" w:hAnsiTheme="minorHAnsi" w:cstheme="minorHAnsi"/>
                <w:sz w:val="24"/>
                <w:szCs w:val="24"/>
                <w:lang w:val="en-US" w:eastAsia="en-AU"/>
              </w:rPr>
              <w:t>Other</w:t>
            </w:r>
          </w:p>
        </w:tc>
        <w:tc>
          <w:tcPr>
            <w:tcW w:w="1997" w:type="dxa"/>
            <w:hideMark/>
          </w:tcPr>
          <w:p w14:paraId="7386CC1C" w14:textId="1875DCF7" w:rsidR="00601C8B" w:rsidRPr="00260C1D" w:rsidRDefault="00601C8B" w:rsidP="00614B09">
            <w:pPr>
              <w:jc w:val="right"/>
              <w:rPr>
                <w:rFonts w:asciiTheme="minorHAnsi" w:hAnsiTheme="minorHAnsi" w:cstheme="minorHAnsi"/>
                <w:sz w:val="24"/>
                <w:szCs w:val="24"/>
                <w:lang w:val="en-GB" w:eastAsia="en-AU"/>
              </w:rPr>
            </w:pPr>
            <w:r w:rsidRPr="00260C1D">
              <w:rPr>
                <w:rFonts w:asciiTheme="minorHAnsi" w:hAnsiTheme="minorHAnsi" w:cstheme="minorHAnsi"/>
                <w:sz w:val="24"/>
                <w:szCs w:val="24"/>
                <w:lang w:val="en-US" w:eastAsia="en-AU"/>
              </w:rPr>
              <w:t>$</w:t>
            </w:r>
            <w:r w:rsidR="00130FE0">
              <w:rPr>
                <w:rFonts w:asciiTheme="minorHAnsi" w:hAnsiTheme="minorHAnsi" w:cstheme="minorHAnsi"/>
                <w:sz w:val="24"/>
                <w:szCs w:val="24"/>
                <w:lang w:val="en-US" w:eastAsia="en-AU"/>
              </w:rPr>
              <w:t>92</w:t>
            </w:r>
            <w:r w:rsidRPr="00260C1D">
              <w:rPr>
                <w:rFonts w:asciiTheme="minorHAnsi" w:hAnsiTheme="minorHAnsi" w:cstheme="minorHAnsi"/>
                <w:sz w:val="24"/>
                <w:szCs w:val="24"/>
                <w:lang w:val="en-US" w:eastAsia="en-AU"/>
              </w:rPr>
              <w:t>.00</w:t>
            </w:r>
          </w:p>
        </w:tc>
        <w:tc>
          <w:tcPr>
            <w:tcW w:w="1997" w:type="dxa"/>
            <w:hideMark/>
          </w:tcPr>
          <w:p w14:paraId="155141A4" w14:textId="7CAAA72D" w:rsidR="00601C8B" w:rsidRPr="00260C1D" w:rsidRDefault="00601C8B" w:rsidP="00614B09">
            <w:pPr>
              <w:jc w:val="right"/>
              <w:rPr>
                <w:rFonts w:asciiTheme="minorHAnsi" w:hAnsiTheme="minorHAnsi" w:cstheme="minorHAnsi"/>
                <w:sz w:val="24"/>
                <w:szCs w:val="24"/>
                <w:lang w:val="en-GB" w:eastAsia="en-AU"/>
              </w:rPr>
            </w:pPr>
            <w:r w:rsidRPr="00260C1D">
              <w:rPr>
                <w:rFonts w:asciiTheme="minorHAnsi" w:hAnsiTheme="minorHAnsi" w:cstheme="minorHAnsi"/>
                <w:sz w:val="24"/>
                <w:szCs w:val="24"/>
                <w:lang w:val="en-US" w:eastAsia="en-AU"/>
              </w:rPr>
              <w:t>$</w:t>
            </w:r>
            <w:r w:rsidR="00E56F25">
              <w:rPr>
                <w:rFonts w:asciiTheme="minorHAnsi" w:hAnsiTheme="minorHAnsi" w:cstheme="minorHAnsi"/>
                <w:sz w:val="24"/>
                <w:szCs w:val="24"/>
                <w:lang w:val="en-US" w:eastAsia="en-AU"/>
              </w:rPr>
              <w:t>75</w:t>
            </w:r>
            <w:r w:rsidRPr="00260C1D">
              <w:rPr>
                <w:rFonts w:asciiTheme="minorHAnsi" w:hAnsiTheme="minorHAnsi" w:cstheme="minorHAnsi"/>
                <w:sz w:val="24"/>
                <w:szCs w:val="24"/>
                <w:lang w:val="en-US" w:eastAsia="en-AU"/>
              </w:rPr>
              <w:t>.00</w:t>
            </w:r>
          </w:p>
        </w:tc>
      </w:tr>
    </w:tbl>
    <w:p w14:paraId="2788367E" w14:textId="77777777" w:rsidR="005D692C" w:rsidRPr="00260C1D" w:rsidRDefault="005D692C" w:rsidP="005D692C">
      <w:pPr>
        <w:spacing w:after="0"/>
        <w:contextualSpacing/>
        <w:jc w:val="both"/>
        <w:rPr>
          <w:rFonts w:cstheme="minorHAnsi"/>
          <w:sz w:val="21"/>
          <w:szCs w:val="21"/>
          <w:lang w:val="en-US"/>
        </w:rPr>
      </w:pPr>
    </w:p>
    <w:bookmarkEnd w:id="303"/>
    <w:p w14:paraId="64ED70B0" w14:textId="2E9925B0" w:rsidR="00117C15" w:rsidRPr="00260C1D" w:rsidRDefault="00117C15" w:rsidP="00517905">
      <w:pPr>
        <w:rPr>
          <w:rFonts w:cstheme="minorHAnsi"/>
        </w:rPr>
      </w:pPr>
    </w:p>
    <w:p w14:paraId="244F3C29" w14:textId="77777777" w:rsidR="00FA5388" w:rsidRPr="00260C1D" w:rsidRDefault="00FA5388" w:rsidP="00532A33">
      <w:pPr>
        <w:pStyle w:val="Heading2"/>
      </w:pPr>
      <w:r w:rsidRPr="00260C1D">
        <w:br w:type="page"/>
      </w:r>
    </w:p>
    <w:p w14:paraId="6C26355F" w14:textId="2D9E5933" w:rsidR="00A33B68" w:rsidRPr="00260C1D" w:rsidRDefault="00CA56DE" w:rsidP="00532A33">
      <w:pPr>
        <w:pStyle w:val="Heading2"/>
      </w:pPr>
      <w:bookmarkStart w:id="304" w:name="_Toc141965305"/>
      <w:bookmarkStart w:id="305" w:name="_Toc145339631"/>
      <w:bookmarkStart w:id="306" w:name="_Toc153791954"/>
      <w:r>
        <w:lastRenderedPageBreak/>
        <w:t>Casual Relief Teacher (</w:t>
      </w:r>
      <w:r w:rsidR="00A33B68" w:rsidRPr="00260C1D">
        <w:t>CRT</w:t>
      </w:r>
      <w:r>
        <w:t>)</w:t>
      </w:r>
      <w:r w:rsidR="00A33B68" w:rsidRPr="00260C1D">
        <w:t xml:space="preserve"> Travel Fund (Reference 141)</w:t>
      </w:r>
      <w:bookmarkEnd w:id="304"/>
      <w:bookmarkEnd w:id="305"/>
      <w:bookmarkEnd w:id="306"/>
    </w:p>
    <w:p w14:paraId="10545B76" w14:textId="52D62AB6" w:rsidR="00A33B68" w:rsidRPr="006C1424" w:rsidRDefault="00A33B68" w:rsidP="002A49E7">
      <w:pPr>
        <w:spacing w:before="240" w:after="120"/>
        <w:jc w:val="both"/>
        <w:rPr>
          <w:rFonts w:cstheme="minorHAnsi"/>
          <w:sz w:val="24"/>
          <w:szCs w:val="24"/>
        </w:rPr>
      </w:pPr>
      <w:r w:rsidRPr="006C1424">
        <w:rPr>
          <w:rFonts w:cstheme="minorHAnsi"/>
          <w:sz w:val="24"/>
          <w:szCs w:val="24"/>
        </w:rPr>
        <w:t xml:space="preserve">The </w:t>
      </w:r>
      <w:r w:rsidR="00CA56DE">
        <w:rPr>
          <w:rFonts w:cstheme="minorHAnsi"/>
          <w:sz w:val="24"/>
          <w:szCs w:val="24"/>
        </w:rPr>
        <w:t>Casual Relief Teacher (</w:t>
      </w:r>
      <w:r w:rsidRPr="006C1424">
        <w:rPr>
          <w:rFonts w:cstheme="minorHAnsi"/>
          <w:sz w:val="24"/>
          <w:szCs w:val="24"/>
        </w:rPr>
        <w:t>CRT</w:t>
      </w:r>
      <w:r w:rsidR="00CA56DE">
        <w:rPr>
          <w:rFonts w:cstheme="minorHAnsi"/>
          <w:sz w:val="24"/>
          <w:szCs w:val="24"/>
        </w:rPr>
        <w:t>)</w:t>
      </w:r>
      <w:r w:rsidRPr="006C1424">
        <w:rPr>
          <w:rFonts w:cstheme="minorHAnsi"/>
          <w:sz w:val="24"/>
          <w:szCs w:val="24"/>
        </w:rPr>
        <w:t xml:space="preserve"> Travel Fund </w:t>
      </w:r>
      <w:r w:rsidR="002A49E7" w:rsidRPr="002A49E7">
        <w:rPr>
          <w:rFonts w:cstheme="minorHAnsi"/>
          <w:sz w:val="24"/>
          <w:szCs w:val="24"/>
        </w:rPr>
        <w:t xml:space="preserve">has been implemented to attract more CRTs to rural and regional schools. Funding is being allocated to identified schools experiencing difficulty attracting CRTs in 2023 and 2024. Eligible schools can use this funding as an incentive to attract CRTs to their school for extended periods, paid as a </w:t>
      </w:r>
      <w:hyperlink r:id="rId229" w:history="1">
        <w:r w:rsidR="002A49E7" w:rsidRPr="001C330E">
          <w:rPr>
            <w:rStyle w:val="Hyperlink"/>
            <w:rFonts w:cstheme="minorHAnsi"/>
            <w:sz w:val="24"/>
            <w:szCs w:val="24"/>
          </w:rPr>
          <w:t>Special Payment</w:t>
        </w:r>
      </w:hyperlink>
      <w:r w:rsidR="002A49E7" w:rsidRPr="002A49E7">
        <w:rPr>
          <w:rFonts w:cstheme="minorHAnsi"/>
          <w:sz w:val="24"/>
          <w:szCs w:val="24"/>
        </w:rPr>
        <w:t xml:space="preserve">. Schools considering offering a special payment to attract CRTs will be able to pay a lump sum of a minimum of $925 to a maximum of $10,000 per annum. </w:t>
      </w:r>
      <w:r w:rsidR="002A49E7">
        <w:rPr>
          <w:rFonts w:cstheme="minorHAnsi"/>
          <w:sz w:val="24"/>
          <w:szCs w:val="24"/>
        </w:rPr>
        <w:t xml:space="preserve"> </w:t>
      </w:r>
    </w:p>
    <w:p w14:paraId="7437245D" w14:textId="638E0CEA" w:rsidR="00A33B68" w:rsidRPr="006C1424" w:rsidRDefault="00A33B68" w:rsidP="006C1424">
      <w:pPr>
        <w:spacing w:before="100" w:beforeAutospacing="1" w:after="100" w:afterAutospacing="1" w:line="288" w:lineRule="atLeast"/>
        <w:outlineLvl w:val="2"/>
        <w:rPr>
          <w:rFonts w:cstheme="minorHAnsi"/>
          <w:b/>
          <w:color w:val="011A3C"/>
          <w:sz w:val="27"/>
          <w:szCs w:val="27"/>
          <w:lang w:val="en" w:eastAsia="en-AU"/>
        </w:rPr>
      </w:pPr>
      <w:r w:rsidRPr="00260C1D">
        <w:rPr>
          <w:rFonts w:cstheme="minorHAnsi"/>
          <w:b/>
          <w:color w:val="011A3C"/>
          <w:sz w:val="27"/>
          <w:szCs w:val="27"/>
          <w:lang w:val="en" w:eastAsia="en-AU"/>
        </w:rPr>
        <w:t>Eligibility Criteria for recipients of the funding</w:t>
      </w:r>
    </w:p>
    <w:p w14:paraId="027B0557" w14:textId="6D78E3CA" w:rsidR="00A33B68" w:rsidRPr="006C1424" w:rsidRDefault="00413F7E" w:rsidP="006C1424">
      <w:pPr>
        <w:spacing w:before="240" w:after="120"/>
        <w:jc w:val="both"/>
        <w:rPr>
          <w:rFonts w:cstheme="minorHAnsi"/>
          <w:sz w:val="24"/>
          <w:szCs w:val="24"/>
        </w:rPr>
      </w:pPr>
      <w:r w:rsidRPr="00413F7E">
        <w:rPr>
          <w:rFonts w:cstheme="minorHAnsi"/>
          <w:sz w:val="24"/>
          <w:szCs w:val="24"/>
        </w:rPr>
        <w:t>An analysis was completed by the Department that measures workforce challenges, including remoteness, Student Family Occupation and Education (SFOE), low application rate, no appointment rate and school climate which is the basis of the allocated funding to the identified schools. The funding amount distributed to individual schools is calculated by the number of students in each school and the average class size.</w:t>
      </w:r>
      <w:r>
        <w:rPr>
          <w:rFonts w:cstheme="minorHAnsi"/>
          <w:sz w:val="24"/>
          <w:szCs w:val="24"/>
        </w:rPr>
        <w:t xml:space="preserve"> </w:t>
      </w:r>
    </w:p>
    <w:p w14:paraId="44889054" w14:textId="77777777" w:rsidR="00A33B68" w:rsidRPr="006C1424" w:rsidRDefault="00A33B68" w:rsidP="006C1424">
      <w:pPr>
        <w:spacing w:before="240" w:after="120"/>
        <w:jc w:val="both"/>
        <w:rPr>
          <w:rFonts w:cstheme="minorHAnsi"/>
          <w:sz w:val="24"/>
          <w:szCs w:val="24"/>
        </w:rPr>
      </w:pPr>
      <w:r w:rsidRPr="006C1424">
        <w:rPr>
          <w:rFonts w:cstheme="minorHAnsi"/>
          <w:sz w:val="24"/>
          <w:szCs w:val="24"/>
        </w:rPr>
        <w:t>The listed schools include:</w:t>
      </w:r>
    </w:p>
    <w:p w14:paraId="4615C96C" w14:textId="77777777" w:rsidR="00A33B68" w:rsidRPr="00260C1D" w:rsidRDefault="00A33B68" w:rsidP="00A33B68">
      <w:pPr>
        <w:spacing w:after="0" w:line="276" w:lineRule="auto"/>
        <w:contextualSpacing/>
        <w:jc w:val="both"/>
        <w:rPr>
          <w:rFonts w:cstheme="minorHAnsi"/>
          <w:sz w:val="21"/>
          <w:szCs w:val="21"/>
        </w:rPr>
      </w:pPr>
    </w:p>
    <w:p w14:paraId="4CDD1C16" w14:textId="0895556D" w:rsidR="00A33B68" w:rsidRPr="00614B09" w:rsidRDefault="00A33B68" w:rsidP="00F56244">
      <w:pPr>
        <w:pStyle w:val="ListParagraph"/>
        <w:numPr>
          <w:ilvl w:val="0"/>
          <w:numId w:val="48"/>
        </w:numPr>
        <w:spacing w:after="0" w:line="276" w:lineRule="auto"/>
        <w:jc w:val="both"/>
        <w:rPr>
          <w:rFonts w:cstheme="minorHAnsi"/>
          <w:sz w:val="24"/>
          <w:szCs w:val="24"/>
        </w:rPr>
      </w:pPr>
      <w:r w:rsidRPr="00614B09">
        <w:rPr>
          <w:rFonts w:cstheme="minorHAnsi"/>
          <w:sz w:val="24"/>
          <w:szCs w:val="24"/>
        </w:rPr>
        <w:t>Primary school</w:t>
      </w:r>
      <w:r w:rsidR="002559D4">
        <w:rPr>
          <w:rFonts w:cstheme="minorHAnsi"/>
          <w:sz w:val="24"/>
          <w:szCs w:val="24"/>
        </w:rPr>
        <w:t>s</w:t>
      </w:r>
    </w:p>
    <w:p w14:paraId="598B4864" w14:textId="70FA39E6" w:rsidR="00A33B68" w:rsidRDefault="00A33B68" w:rsidP="00F56244">
      <w:pPr>
        <w:pStyle w:val="ListParagraph"/>
        <w:numPr>
          <w:ilvl w:val="0"/>
          <w:numId w:val="48"/>
        </w:numPr>
        <w:spacing w:after="0" w:line="276" w:lineRule="auto"/>
        <w:jc w:val="both"/>
        <w:rPr>
          <w:rFonts w:cstheme="minorHAnsi"/>
          <w:sz w:val="24"/>
          <w:szCs w:val="24"/>
        </w:rPr>
      </w:pPr>
      <w:r w:rsidRPr="00614B09">
        <w:rPr>
          <w:rFonts w:cstheme="minorHAnsi"/>
          <w:sz w:val="24"/>
          <w:szCs w:val="24"/>
        </w:rPr>
        <w:t>Secondary school</w:t>
      </w:r>
      <w:r w:rsidR="002559D4">
        <w:rPr>
          <w:rFonts w:cstheme="minorHAnsi"/>
          <w:sz w:val="24"/>
          <w:szCs w:val="24"/>
        </w:rPr>
        <w:t>s</w:t>
      </w:r>
    </w:p>
    <w:p w14:paraId="4A8C2317" w14:textId="532C94C9" w:rsidR="002559D4" w:rsidRPr="00614B09" w:rsidRDefault="002559D4" w:rsidP="00F56244">
      <w:pPr>
        <w:pStyle w:val="ListParagraph"/>
        <w:numPr>
          <w:ilvl w:val="0"/>
          <w:numId w:val="48"/>
        </w:numPr>
        <w:spacing w:after="0" w:line="276" w:lineRule="auto"/>
        <w:jc w:val="both"/>
        <w:rPr>
          <w:rFonts w:cstheme="minorHAnsi"/>
          <w:sz w:val="24"/>
          <w:szCs w:val="24"/>
        </w:rPr>
      </w:pPr>
      <w:r>
        <w:rPr>
          <w:rFonts w:cstheme="minorHAnsi"/>
          <w:sz w:val="24"/>
          <w:szCs w:val="24"/>
        </w:rPr>
        <w:t>Primary/Secondary schools</w:t>
      </w:r>
    </w:p>
    <w:p w14:paraId="4F64FA58" w14:textId="6DAB003C" w:rsidR="00A33B68" w:rsidRPr="00614B09" w:rsidRDefault="00A33B68" w:rsidP="00F56244">
      <w:pPr>
        <w:pStyle w:val="ListParagraph"/>
        <w:numPr>
          <w:ilvl w:val="0"/>
          <w:numId w:val="48"/>
        </w:numPr>
        <w:spacing w:after="0" w:line="276" w:lineRule="auto"/>
        <w:jc w:val="both"/>
        <w:rPr>
          <w:rFonts w:cstheme="minorHAnsi"/>
          <w:sz w:val="24"/>
          <w:szCs w:val="24"/>
        </w:rPr>
      </w:pPr>
      <w:r w:rsidRPr="00614B09">
        <w:rPr>
          <w:rFonts w:cstheme="minorHAnsi"/>
          <w:sz w:val="24"/>
          <w:szCs w:val="24"/>
        </w:rPr>
        <w:t>Special school</w:t>
      </w:r>
      <w:r w:rsidR="002559D4">
        <w:rPr>
          <w:rFonts w:cstheme="minorHAnsi"/>
          <w:sz w:val="24"/>
          <w:szCs w:val="24"/>
        </w:rPr>
        <w:t>s</w:t>
      </w:r>
    </w:p>
    <w:p w14:paraId="2E396245" w14:textId="77777777" w:rsidR="00413F7E" w:rsidRDefault="00413F7E">
      <w:pPr>
        <w:rPr>
          <w:rFonts w:cstheme="minorHAnsi"/>
        </w:rPr>
      </w:pPr>
    </w:p>
    <w:p w14:paraId="48D2F5E3" w14:textId="75B4A295" w:rsidR="00413F7E" w:rsidRPr="006C1424" w:rsidRDefault="00413F7E" w:rsidP="00413F7E">
      <w:pPr>
        <w:spacing w:before="100" w:beforeAutospacing="1" w:after="100" w:afterAutospacing="1" w:line="288" w:lineRule="atLeast"/>
        <w:outlineLvl w:val="2"/>
        <w:rPr>
          <w:rFonts w:cstheme="minorHAnsi"/>
          <w:b/>
          <w:color w:val="011A3C"/>
          <w:sz w:val="27"/>
          <w:szCs w:val="27"/>
          <w:lang w:val="en" w:eastAsia="en-AU"/>
        </w:rPr>
      </w:pPr>
      <w:r>
        <w:rPr>
          <w:rFonts w:cstheme="minorHAnsi"/>
          <w:b/>
          <w:color w:val="011A3C"/>
          <w:sz w:val="27"/>
          <w:szCs w:val="27"/>
          <w:lang w:val="en" w:eastAsia="en-AU"/>
        </w:rPr>
        <w:t>F</w:t>
      </w:r>
      <w:r w:rsidRPr="00260C1D">
        <w:rPr>
          <w:rFonts w:cstheme="minorHAnsi"/>
          <w:b/>
          <w:color w:val="011A3C"/>
          <w:sz w:val="27"/>
          <w:szCs w:val="27"/>
          <w:lang w:val="en" w:eastAsia="en-AU"/>
        </w:rPr>
        <w:t>undin</w:t>
      </w:r>
      <w:r w:rsidR="00483EC8">
        <w:rPr>
          <w:rFonts w:cstheme="minorHAnsi"/>
          <w:b/>
          <w:color w:val="011A3C"/>
          <w:sz w:val="27"/>
          <w:szCs w:val="27"/>
          <w:lang w:val="en" w:eastAsia="en-AU"/>
        </w:rPr>
        <w:t>g</w:t>
      </w:r>
    </w:p>
    <w:p w14:paraId="410F2EB8" w14:textId="77777777" w:rsidR="00C31992" w:rsidRDefault="00747A1A">
      <w:pPr>
        <w:rPr>
          <w:rFonts w:cstheme="minorHAnsi"/>
        </w:rPr>
      </w:pPr>
      <w:r w:rsidRPr="00747A1A">
        <w:rPr>
          <w:rFonts w:cstheme="minorHAnsi"/>
        </w:rPr>
        <w:t>The funding is given to schools through the SRP’s targeted initiatives funding stream and is allocated as cash funding. The CRT Travel Fund payment will be:</w:t>
      </w:r>
    </w:p>
    <w:p w14:paraId="7A8977A9" w14:textId="67703319" w:rsidR="00C31992" w:rsidRPr="00C31992" w:rsidRDefault="00033B16" w:rsidP="00B148A2">
      <w:pPr>
        <w:pStyle w:val="ListParagraph"/>
        <w:numPr>
          <w:ilvl w:val="0"/>
          <w:numId w:val="154"/>
        </w:numPr>
        <w:rPr>
          <w:rFonts w:cstheme="minorHAnsi"/>
        </w:rPr>
      </w:pPr>
      <w:r>
        <w:rPr>
          <w:rFonts w:cstheme="minorHAnsi"/>
        </w:rPr>
        <w:t>d</w:t>
      </w:r>
      <w:r w:rsidR="00C31992" w:rsidRPr="00C31992">
        <w:rPr>
          <w:rFonts w:cstheme="minorHAnsi"/>
        </w:rPr>
        <w:t>irectly paid to the Agency that has supplied the CRT; or</w:t>
      </w:r>
    </w:p>
    <w:p w14:paraId="4ACACB76" w14:textId="7B0AF363" w:rsidR="009A7430" w:rsidRPr="009A7430" w:rsidRDefault="00033B16" w:rsidP="009A7430">
      <w:pPr>
        <w:pStyle w:val="ListParagraph"/>
        <w:numPr>
          <w:ilvl w:val="0"/>
          <w:numId w:val="154"/>
        </w:numPr>
        <w:rPr>
          <w:rFonts w:cstheme="minorHAnsi"/>
        </w:rPr>
      </w:pPr>
      <w:r>
        <w:rPr>
          <w:rFonts w:cstheme="minorHAnsi"/>
        </w:rPr>
        <w:t>paid t</w:t>
      </w:r>
      <w:r w:rsidR="009A7430" w:rsidRPr="009A7430">
        <w:rPr>
          <w:rFonts w:cstheme="minorHAnsi"/>
        </w:rPr>
        <w:t xml:space="preserve">hrough a special payment directly via </w:t>
      </w:r>
      <w:proofErr w:type="spellStart"/>
      <w:r w:rsidR="009A7430" w:rsidRPr="009A7430">
        <w:rPr>
          <w:rFonts w:cstheme="minorHAnsi"/>
        </w:rPr>
        <w:t>eduPay</w:t>
      </w:r>
      <w:proofErr w:type="spellEnd"/>
      <w:r w:rsidR="009A7430" w:rsidRPr="009A7430">
        <w:rPr>
          <w:rFonts w:cstheme="minorHAnsi"/>
        </w:rPr>
        <w:t xml:space="preserve"> to the CRT employed by school council as a one-off lump sum.</w:t>
      </w:r>
    </w:p>
    <w:p w14:paraId="780CD4F4" w14:textId="77777777" w:rsidR="00960BCD" w:rsidRDefault="001B54B0" w:rsidP="001B54B0">
      <w:pPr>
        <w:rPr>
          <w:rFonts w:cstheme="minorHAnsi"/>
          <w:b/>
          <w:color w:val="011A3C"/>
          <w:sz w:val="27"/>
          <w:szCs w:val="27"/>
          <w:lang w:val="en" w:eastAsia="en-AU"/>
        </w:rPr>
      </w:pPr>
      <w:r>
        <w:rPr>
          <w:rFonts w:cstheme="minorHAnsi"/>
          <w:b/>
          <w:color w:val="011A3C"/>
          <w:sz w:val="27"/>
          <w:szCs w:val="27"/>
          <w:lang w:val="en" w:eastAsia="en-AU"/>
        </w:rPr>
        <w:t>Contact</w:t>
      </w:r>
    </w:p>
    <w:p w14:paraId="24985D8D" w14:textId="3C636086" w:rsidR="00A33B68" w:rsidRPr="00B148A2" w:rsidRDefault="00960BCD" w:rsidP="001B54B0">
      <w:pPr>
        <w:rPr>
          <w:rFonts w:eastAsia="Calibri" w:cstheme="minorHAnsi"/>
          <w:b/>
          <w:color w:val="2F5496" w:themeColor="accent1" w:themeShade="BF"/>
          <w:sz w:val="36"/>
          <w:szCs w:val="26"/>
          <w:lang w:val="en" w:eastAsia="en-AU"/>
        </w:rPr>
      </w:pPr>
      <w:r w:rsidRPr="00960BCD">
        <w:rPr>
          <w:rFonts w:cstheme="minorHAnsi"/>
        </w:rPr>
        <w:t xml:space="preserve">Enquiries relating to the CRT Travel Fund should be directed to: swg_policy.initiatives@education.vic.gov.au </w:t>
      </w:r>
      <w:r w:rsidR="00A33B68" w:rsidRPr="001B54B0">
        <w:rPr>
          <w:rFonts w:cstheme="minorHAnsi"/>
        </w:rPr>
        <w:br w:type="page"/>
      </w:r>
    </w:p>
    <w:p w14:paraId="72526D81" w14:textId="30128F27" w:rsidR="007638C6" w:rsidRPr="00260C1D" w:rsidRDefault="007638C6" w:rsidP="00532A33">
      <w:pPr>
        <w:pStyle w:val="Heading2"/>
      </w:pPr>
      <w:bookmarkStart w:id="307" w:name="_Toc141965306"/>
      <w:bookmarkStart w:id="308" w:name="_Toc145339632"/>
      <w:bookmarkStart w:id="309" w:name="_Toc153791955"/>
      <w:r w:rsidRPr="00260C1D">
        <w:lastRenderedPageBreak/>
        <w:t xml:space="preserve">Active Schools (Reference </w:t>
      </w:r>
      <w:r w:rsidR="001211BF" w:rsidRPr="00260C1D">
        <w:t>142</w:t>
      </w:r>
      <w:r w:rsidRPr="00260C1D">
        <w:t>)</w:t>
      </w:r>
      <w:bookmarkEnd w:id="307"/>
      <w:bookmarkEnd w:id="308"/>
      <w:bookmarkEnd w:id="309"/>
    </w:p>
    <w:p w14:paraId="2CCD3275" w14:textId="755BE039" w:rsidR="006B6253" w:rsidRPr="005B57A2" w:rsidRDefault="00D865F5" w:rsidP="00B53B9D">
      <w:pPr>
        <w:spacing w:before="240" w:after="120"/>
        <w:jc w:val="both"/>
        <w:rPr>
          <w:rFonts w:cstheme="minorHAnsi"/>
          <w:sz w:val="24"/>
          <w:szCs w:val="24"/>
          <w:lang w:val="en-US"/>
        </w:rPr>
      </w:pPr>
      <w:r w:rsidRPr="006C1424">
        <w:rPr>
          <w:rFonts w:cstheme="minorHAnsi"/>
          <w:sz w:val="24"/>
          <w:szCs w:val="24"/>
        </w:rPr>
        <w:t>The</w:t>
      </w:r>
      <w:r w:rsidRPr="005B57A2">
        <w:rPr>
          <w:rFonts w:cstheme="minorHAnsi"/>
          <w:sz w:val="24"/>
          <w:szCs w:val="24"/>
          <w:lang w:val="en-US"/>
        </w:rPr>
        <w:t xml:space="preserve"> </w:t>
      </w:r>
      <w:hyperlink r:id="rId230" w:history="1">
        <w:r w:rsidRPr="005B57A2">
          <w:rPr>
            <w:rStyle w:val="Hyperlink"/>
            <w:rFonts w:cstheme="minorHAnsi"/>
            <w:sz w:val="24"/>
            <w:szCs w:val="24"/>
            <w:lang w:val="en-US"/>
          </w:rPr>
          <w:t>Active Schools</w:t>
        </w:r>
      </w:hyperlink>
      <w:r w:rsidRPr="005B57A2">
        <w:rPr>
          <w:rFonts w:cstheme="minorHAnsi"/>
          <w:sz w:val="24"/>
          <w:szCs w:val="24"/>
          <w:lang w:val="en-US"/>
        </w:rPr>
        <w:t xml:space="preserve"> initiative aims to ensure that all Victorian students have the skills, confidence and motivation to be active in life.</w:t>
      </w:r>
    </w:p>
    <w:p w14:paraId="4180D1E5" w14:textId="2C352D2B" w:rsidR="00D865F5" w:rsidRPr="006C1424" w:rsidRDefault="00D865F5" w:rsidP="006C1424">
      <w:pPr>
        <w:spacing w:before="240" w:after="120"/>
        <w:jc w:val="both"/>
        <w:rPr>
          <w:sz w:val="24"/>
          <w:szCs w:val="24"/>
        </w:rPr>
      </w:pPr>
      <w:r w:rsidRPr="1E4DCA2F">
        <w:rPr>
          <w:sz w:val="24"/>
          <w:szCs w:val="24"/>
        </w:rPr>
        <w:t xml:space="preserve">Active Schools Grants </w:t>
      </w:r>
      <w:r w:rsidR="45A23189" w:rsidRPr="6B04CBE3">
        <w:rPr>
          <w:sz w:val="24"/>
          <w:szCs w:val="24"/>
        </w:rPr>
        <w:t>($30,000</w:t>
      </w:r>
      <w:r w:rsidR="45A23189" w:rsidRPr="7758FC66">
        <w:rPr>
          <w:sz w:val="24"/>
          <w:szCs w:val="24"/>
        </w:rPr>
        <w:t>)</w:t>
      </w:r>
      <w:r w:rsidR="45A23189" w:rsidRPr="6B04CBE3">
        <w:rPr>
          <w:sz w:val="24"/>
          <w:szCs w:val="24"/>
        </w:rPr>
        <w:t xml:space="preserve"> </w:t>
      </w:r>
      <w:r w:rsidRPr="1E4DCA2F">
        <w:rPr>
          <w:sz w:val="24"/>
          <w:szCs w:val="24"/>
        </w:rPr>
        <w:t xml:space="preserve">aim to help implement a whole-school approach to improving physical activity and supporting students to </w:t>
      </w:r>
      <w:r w:rsidR="00AF40E3" w:rsidRPr="1E4DCA2F">
        <w:rPr>
          <w:sz w:val="24"/>
          <w:szCs w:val="24"/>
        </w:rPr>
        <w:t>be more active</w:t>
      </w:r>
      <w:r w:rsidRPr="1E4DCA2F">
        <w:rPr>
          <w:sz w:val="24"/>
          <w:szCs w:val="24"/>
        </w:rPr>
        <w:t>. Grant funds may be used for infrastructure or equipment, staff professional development, or engagement with physical activity programs and providers.</w:t>
      </w:r>
      <w:r w:rsidR="00932435" w:rsidRPr="1E4DCA2F">
        <w:rPr>
          <w:sz w:val="24"/>
          <w:szCs w:val="24"/>
        </w:rPr>
        <w:t xml:space="preserve"> </w:t>
      </w:r>
    </w:p>
    <w:p w14:paraId="0601090C" w14:textId="24621EBC" w:rsidR="00D865F5" w:rsidRPr="006C1424" w:rsidRDefault="00D865F5" w:rsidP="006C1424">
      <w:pPr>
        <w:spacing w:before="240" w:after="120"/>
        <w:jc w:val="both"/>
        <w:rPr>
          <w:sz w:val="24"/>
          <w:szCs w:val="24"/>
        </w:rPr>
      </w:pPr>
      <w:r w:rsidRPr="320E3A7B">
        <w:rPr>
          <w:sz w:val="24"/>
          <w:szCs w:val="24"/>
        </w:rPr>
        <w:t xml:space="preserve">Active Schools Physical Education (PE) and Sport Funding Boosts </w:t>
      </w:r>
      <w:r w:rsidR="11E0FF2A" w:rsidRPr="320E3A7B">
        <w:rPr>
          <w:sz w:val="24"/>
          <w:szCs w:val="24"/>
        </w:rPr>
        <w:t>($</w:t>
      </w:r>
      <w:r w:rsidR="3BD864D6" w:rsidRPr="2AF556F7">
        <w:rPr>
          <w:sz w:val="24"/>
          <w:szCs w:val="24"/>
        </w:rPr>
        <w:t>3</w:t>
      </w:r>
      <w:r w:rsidR="11E0FF2A" w:rsidRPr="320E3A7B">
        <w:rPr>
          <w:sz w:val="24"/>
          <w:szCs w:val="24"/>
        </w:rPr>
        <w:t>,000)</w:t>
      </w:r>
      <w:r w:rsidR="6746656C" w:rsidRPr="320E3A7B">
        <w:rPr>
          <w:sz w:val="24"/>
          <w:szCs w:val="24"/>
        </w:rPr>
        <w:t xml:space="preserve"> </w:t>
      </w:r>
      <w:r w:rsidRPr="320E3A7B">
        <w:rPr>
          <w:sz w:val="24"/>
          <w:szCs w:val="24"/>
        </w:rPr>
        <w:t>aim to support schools with the costs of physical education, sport and outdoor education. Schools are encouraged to consider innovative ways this funding can be used to encourage an increased uptake of physical activity in their school. Schools may elect to use this funding to boost their physical education or sports budget or spend the funding on items such as outdoor education, bike storage or playground improvements.</w:t>
      </w:r>
      <w:r w:rsidR="002C7257" w:rsidRPr="320E3A7B">
        <w:rPr>
          <w:sz w:val="24"/>
          <w:szCs w:val="24"/>
        </w:rPr>
        <w:t xml:space="preserve"> </w:t>
      </w:r>
    </w:p>
    <w:p w14:paraId="30BB589E" w14:textId="0E40E0EA" w:rsidR="006C1424" w:rsidRDefault="00D865F5" w:rsidP="006C1424">
      <w:pPr>
        <w:spacing w:before="240" w:after="120"/>
        <w:jc w:val="both"/>
        <w:rPr>
          <w:sz w:val="24"/>
          <w:szCs w:val="24"/>
        </w:rPr>
      </w:pPr>
      <w:r w:rsidRPr="2AF556F7">
        <w:rPr>
          <w:sz w:val="24"/>
          <w:szCs w:val="24"/>
        </w:rPr>
        <w:t xml:space="preserve">Active Schools Extracurricular Boosts </w:t>
      </w:r>
      <w:r w:rsidR="3B22800C" w:rsidRPr="2AF556F7">
        <w:rPr>
          <w:sz w:val="24"/>
          <w:szCs w:val="24"/>
        </w:rPr>
        <w:t>($14,</w:t>
      </w:r>
      <w:r w:rsidR="3B22800C" w:rsidRPr="481E5159">
        <w:rPr>
          <w:sz w:val="24"/>
          <w:szCs w:val="24"/>
        </w:rPr>
        <w:t xml:space="preserve">000) </w:t>
      </w:r>
      <w:r w:rsidRPr="2AF556F7">
        <w:rPr>
          <w:sz w:val="24"/>
          <w:szCs w:val="24"/>
        </w:rPr>
        <w:t xml:space="preserve">aim to support </w:t>
      </w:r>
      <w:r w:rsidR="002815DD" w:rsidRPr="2AF556F7">
        <w:rPr>
          <w:sz w:val="24"/>
          <w:szCs w:val="24"/>
        </w:rPr>
        <w:t xml:space="preserve">secondary </w:t>
      </w:r>
      <w:r w:rsidRPr="2AF556F7">
        <w:rPr>
          <w:sz w:val="24"/>
          <w:szCs w:val="24"/>
        </w:rPr>
        <w:t>schools with the costs of providing extracurricular physical activity opportunities. Funding may be spent on the cost of running sporting, recreational or physical activity programs either before or after school or during break times. This may include engaging the community or private providers to run programs or paying for casual relief teachers to enable the school to run programs.</w:t>
      </w:r>
      <w:r w:rsidR="009F4DB0" w:rsidRPr="2AF556F7">
        <w:rPr>
          <w:sz w:val="24"/>
          <w:szCs w:val="24"/>
        </w:rPr>
        <w:t xml:space="preserve"> </w:t>
      </w:r>
    </w:p>
    <w:p w14:paraId="111444E6" w14:textId="38CAF9A6" w:rsidR="006C1424" w:rsidRDefault="00D865F5" w:rsidP="006C1424">
      <w:pPr>
        <w:spacing w:before="240" w:after="120"/>
        <w:jc w:val="both"/>
        <w:rPr>
          <w:sz w:val="24"/>
          <w:szCs w:val="24"/>
        </w:rPr>
      </w:pPr>
      <w:r w:rsidRPr="15305E26">
        <w:rPr>
          <w:sz w:val="24"/>
          <w:szCs w:val="24"/>
        </w:rPr>
        <w:t>Further detail on what funds can be used for is detailed</w:t>
      </w:r>
      <w:r w:rsidRPr="15305E26">
        <w:rPr>
          <w:sz w:val="24"/>
          <w:szCs w:val="24"/>
          <w:lang w:val="en-US"/>
        </w:rPr>
        <w:t xml:space="preserve"> on </w:t>
      </w:r>
      <w:hyperlink r:id="rId231">
        <w:r w:rsidRPr="15305E26">
          <w:rPr>
            <w:rStyle w:val="Hyperlink"/>
            <w:sz w:val="24"/>
            <w:szCs w:val="24"/>
            <w:lang w:val="en-US"/>
          </w:rPr>
          <w:t>Active Schools</w:t>
        </w:r>
      </w:hyperlink>
      <w:r w:rsidRPr="15305E26">
        <w:rPr>
          <w:sz w:val="24"/>
          <w:szCs w:val="24"/>
          <w:lang w:val="en-US"/>
        </w:rPr>
        <w:t>.</w:t>
      </w:r>
    </w:p>
    <w:p w14:paraId="0F3EC34E" w14:textId="1F440F86" w:rsidR="00D865F5" w:rsidRPr="006C1424" w:rsidRDefault="00D865F5" w:rsidP="006C1424">
      <w:pPr>
        <w:spacing w:before="240" w:after="120"/>
        <w:jc w:val="both"/>
        <w:rPr>
          <w:rFonts w:cstheme="minorHAnsi"/>
          <w:sz w:val="24"/>
          <w:szCs w:val="24"/>
        </w:rPr>
      </w:pPr>
      <w:r w:rsidRPr="005B57A2">
        <w:rPr>
          <w:rFonts w:cstheme="minorHAnsi"/>
          <w:sz w:val="24"/>
          <w:szCs w:val="24"/>
          <w:lang w:val="en-US"/>
        </w:rPr>
        <w:t>Funds cannot be used for:</w:t>
      </w:r>
    </w:p>
    <w:p w14:paraId="5CB31256" w14:textId="5036A577" w:rsidR="00D865F5" w:rsidRPr="005B57A2" w:rsidRDefault="00D86276" w:rsidP="00F56244">
      <w:pPr>
        <w:numPr>
          <w:ilvl w:val="0"/>
          <w:numId w:val="24"/>
        </w:numPr>
        <w:spacing w:before="100" w:beforeAutospacing="1" w:after="100" w:afterAutospacing="1" w:line="360" w:lineRule="atLeast"/>
        <w:rPr>
          <w:rFonts w:eastAsia="Times New Roman" w:cstheme="minorHAnsi"/>
          <w:color w:val="000000" w:themeColor="text1"/>
          <w:sz w:val="24"/>
          <w:szCs w:val="24"/>
          <w:lang w:eastAsia="en-AU"/>
        </w:rPr>
      </w:pPr>
      <w:r>
        <w:rPr>
          <w:rFonts w:eastAsia="Times New Roman" w:cstheme="minorHAnsi"/>
          <w:color w:val="000000" w:themeColor="text1"/>
          <w:sz w:val="24"/>
          <w:szCs w:val="24"/>
          <w:lang w:eastAsia="en-AU"/>
        </w:rPr>
        <w:t>P</w:t>
      </w:r>
      <w:r w:rsidR="00D865F5" w:rsidRPr="005B57A2">
        <w:rPr>
          <w:rFonts w:eastAsia="Times New Roman" w:cstheme="minorHAnsi"/>
          <w:color w:val="000000" w:themeColor="text1"/>
          <w:sz w:val="24"/>
          <w:szCs w:val="24"/>
          <w:lang w:eastAsia="en-AU"/>
        </w:rPr>
        <w:t>urchase of IT equipment</w:t>
      </w:r>
    </w:p>
    <w:p w14:paraId="5CD35CF5" w14:textId="5B76AD8E" w:rsidR="00D865F5" w:rsidRPr="005B57A2" w:rsidRDefault="00D86276" w:rsidP="00F56244">
      <w:pPr>
        <w:numPr>
          <w:ilvl w:val="0"/>
          <w:numId w:val="24"/>
        </w:numPr>
        <w:spacing w:before="100" w:beforeAutospacing="1" w:after="100" w:afterAutospacing="1" w:line="360" w:lineRule="atLeast"/>
        <w:rPr>
          <w:rFonts w:eastAsia="Times New Roman" w:cstheme="minorHAnsi"/>
          <w:color w:val="000000" w:themeColor="text1"/>
          <w:sz w:val="24"/>
          <w:szCs w:val="24"/>
          <w:lang w:eastAsia="en-AU"/>
        </w:rPr>
      </w:pPr>
      <w:r>
        <w:rPr>
          <w:rFonts w:eastAsia="Times New Roman" w:cstheme="minorHAnsi"/>
          <w:color w:val="000000" w:themeColor="text1"/>
          <w:sz w:val="24"/>
          <w:szCs w:val="24"/>
          <w:lang w:eastAsia="en-AU"/>
        </w:rPr>
        <w:t>S</w:t>
      </w:r>
      <w:r w:rsidR="00D865F5" w:rsidRPr="005B57A2">
        <w:rPr>
          <w:rFonts w:eastAsia="Times New Roman" w:cstheme="minorHAnsi"/>
          <w:color w:val="000000" w:themeColor="text1"/>
          <w:sz w:val="24"/>
          <w:szCs w:val="24"/>
          <w:lang w:eastAsia="en-AU"/>
        </w:rPr>
        <w:t>chool staff salaries</w:t>
      </w:r>
    </w:p>
    <w:p w14:paraId="33A21C8A" w14:textId="72ED0CEE" w:rsidR="00D865F5" w:rsidRPr="005B57A2" w:rsidRDefault="00D86276" w:rsidP="00F56244">
      <w:pPr>
        <w:numPr>
          <w:ilvl w:val="0"/>
          <w:numId w:val="24"/>
        </w:numPr>
        <w:spacing w:before="100" w:beforeAutospacing="1" w:after="100" w:afterAutospacing="1" w:line="360" w:lineRule="atLeast"/>
        <w:rPr>
          <w:rFonts w:eastAsia="Times New Roman" w:cstheme="minorHAnsi"/>
          <w:color w:val="000000" w:themeColor="text1"/>
          <w:sz w:val="24"/>
          <w:szCs w:val="24"/>
          <w:lang w:eastAsia="en-AU"/>
        </w:rPr>
      </w:pPr>
      <w:r>
        <w:rPr>
          <w:rFonts w:eastAsia="Times New Roman" w:cstheme="minorHAnsi"/>
          <w:color w:val="000000" w:themeColor="text1"/>
          <w:sz w:val="24"/>
          <w:szCs w:val="24"/>
          <w:lang w:eastAsia="en-AU"/>
        </w:rPr>
        <w:t>I</w:t>
      </w:r>
      <w:r w:rsidR="00D865F5" w:rsidRPr="005B57A2">
        <w:rPr>
          <w:rFonts w:eastAsia="Times New Roman" w:cstheme="minorHAnsi"/>
          <w:color w:val="000000" w:themeColor="text1"/>
          <w:sz w:val="24"/>
          <w:szCs w:val="24"/>
          <w:lang w:eastAsia="en-AU"/>
        </w:rPr>
        <w:t>tems not related to improving physical activity outcomes.</w:t>
      </w:r>
    </w:p>
    <w:p w14:paraId="5F007196" w14:textId="0D0BE476" w:rsidR="00D865F5" w:rsidRPr="005B57A2" w:rsidRDefault="00D865F5" w:rsidP="005B57A2">
      <w:pPr>
        <w:pStyle w:val="NormalWeb"/>
        <w:rPr>
          <w:rFonts w:asciiTheme="minorHAnsi" w:eastAsiaTheme="minorHAnsi" w:hAnsiTheme="minorHAnsi" w:cstheme="minorHAnsi"/>
          <w:lang w:val="en-US" w:eastAsia="en-US"/>
        </w:rPr>
      </w:pPr>
      <w:r w:rsidRPr="005B57A2">
        <w:rPr>
          <w:rFonts w:asciiTheme="minorHAnsi" w:eastAsiaTheme="minorHAnsi" w:hAnsiTheme="minorHAnsi" w:cstheme="minorHAnsi"/>
          <w:lang w:val="en-US" w:eastAsia="en-US"/>
        </w:rPr>
        <w:t>Funding will be distributed through the Student Resource Package.</w:t>
      </w:r>
    </w:p>
    <w:p w14:paraId="2F128021" w14:textId="77777777" w:rsidR="00D865F5" w:rsidRPr="00260C1D" w:rsidRDefault="00D865F5" w:rsidP="002558B6">
      <w:pPr>
        <w:spacing w:before="100" w:beforeAutospacing="1" w:after="100" w:afterAutospacing="1" w:line="288" w:lineRule="atLeast"/>
        <w:outlineLvl w:val="2"/>
        <w:rPr>
          <w:rFonts w:cstheme="minorHAnsi"/>
          <w:b/>
          <w:color w:val="011A3C"/>
          <w:sz w:val="27"/>
          <w:szCs w:val="27"/>
          <w:lang w:val="en" w:eastAsia="en-AU"/>
        </w:rPr>
      </w:pPr>
      <w:r w:rsidRPr="00260C1D">
        <w:rPr>
          <w:rFonts w:cstheme="minorHAnsi"/>
          <w:b/>
          <w:color w:val="011A3C"/>
          <w:sz w:val="27"/>
          <w:szCs w:val="27"/>
          <w:lang w:val="en" w:eastAsia="en-AU"/>
        </w:rPr>
        <w:t>Eligibility</w:t>
      </w:r>
    </w:p>
    <w:p w14:paraId="73CA3665" w14:textId="5BD82E9A" w:rsidR="00D865F5" w:rsidRPr="00260C1D" w:rsidRDefault="00D865F5" w:rsidP="00F56244">
      <w:pPr>
        <w:numPr>
          <w:ilvl w:val="0"/>
          <w:numId w:val="24"/>
        </w:numPr>
        <w:spacing w:before="100" w:beforeAutospacing="1" w:after="100" w:afterAutospacing="1" w:line="360" w:lineRule="atLeast"/>
        <w:rPr>
          <w:rFonts w:eastAsia="Times New Roman" w:cstheme="minorHAnsi"/>
          <w:color w:val="000000" w:themeColor="text1"/>
          <w:sz w:val="24"/>
          <w:lang w:eastAsia="en-AU"/>
        </w:rPr>
      </w:pPr>
      <w:r w:rsidRPr="00260C1D">
        <w:rPr>
          <w:rFonts w:cstheme="minorHAnsi"/>
          <w:b/>
          <w:sz w:val="24"/>
          <w:lang w:val="en-US"/>
        </w:rPr>
        <w:t xml:space="preserve">Active Schools grants: </w:t>
      </w:r>
      <w:r w:rsidRPr="00260C1D">
        <w:rPr>
          <w:rFonts w:cstheme="minorHAnsi"/>
          <w:sz w:val="24"/>
          <w:szCs w:val="24"/>
        </w:rPr>
        <w:t>$</w:t>
      </w:r>
      <w:r w:rsidRPr="00260C1D">
        <w:rPr>
          <w:rFonts w:eastAsia="Times New Roman" w:cstheme="minorHAnsi"/>
          <w:color w:val="000000" w:themeColor="text1"/>
          <w:sz w:val="24"/>
          <w:lang w:eastAsia="en-AU"/>
        </w:rPr>
        <w:t>30,000 will be awarded to 100 primary, secondary and special</w:t>
      </w:r>
      <w:r w:rsidR="007767E4" w:rsidRPr="00260C1D">
        <w:rPr>
          <w:rFonts w:eastAsia="Times New Roman" w:cstheme="minorHAnsi"/>
          <w:color w:val="000000" w:themeColor="text1"/>
          <w:sz w:val="24"/>
          <w:lang w:eastAsia="en-AU"/>
        </w:rPr>
        <w:t>ist</w:t>
      </w:r>
      <w:r w:rsidRPr="00260C1D">
        <w:rPr>
          <w:rFonts w:eastAsia="Times New Roman" w:cstheme="minorHAnsi"/>
          <w:color w:val="000000" w:themeColor="text1"/>
          <w:sz w:val="24"/>
          <w:lang w:eastAsia="en-AU"/>
        </w:rPr>
        <w:t xml:space="preserve"> schools in 2023 and 2024 following a competitive grant process open for each year to eligible schools</w:t>
      </w:r>
      <w:r w:rsidRPr="00260C1D">
        <w:rPr>
          <w:rFonts w:cstheme="minorHAnsi"/>
          <w:sz w:val="24"/>
          <w:szCs w:val="24"/>
        </w:rPr>
        <w:t xml:space="preserve"> </w:t>
      </w:r>
      <w:r w:rsidRPr="00260C1D">
        <w:rPr>
          <w:rFonts w:eastAsia="Times New Roman" w:cstheme="minorHAnsi"/>
          <w:color w:val="000000" w:themeColor="text1"/>
          <w:sz w:val="24"/>
          <w:lang w:eastAsia="en-AU"/>
        </w:rPr>
        <w:t xml:space="preserve">in communities experiencing social disadvantage. Eligibility to apply is based on SFOE and applications are assessed </w:t>
      </w:r>
      <w:r w:rsidR="00BC4AA3" w:rsidRPr="00260C1D">
        <w:rPr>
          <w:rFonts w:eastAsia="Times New Roman" w:cstheme="minorHAnsi"/>
          <w:color w:val="000000" w:themeColor="text1"/>
          <w:sz w:val="24"/>
          <w:lang w:eastAsia="en-AU"/>
        </w:rPr>
        <w:t xml:space="preserve">against the Active Schools Framework and </w:t>
      </w:r>
      <w:r w:rsidRPr="00260C1D">
        <w:rPr>
          <w:rFonts w:eastAsia="Times New Roman" w:cstheme="minorHAnsi"/>
          <w:color w:val="000000" w:themeColor="text1"/>
          <w:sz w:val="24"/>
          <w:lang w:eastAsia="en-AU"/>
        </w:rPr>
        <w:t>on how the school will implement activities to strengthen its current approach to student physical activity. There are 25 grants available in each region.</w:t>
      </w:r>
    </w:p>
    <w:p w14:paraId="2F95BAAD" w14:textId="5DD826FA" w:rsidR="00D865F5" w:rsidRPr="00260C1D" w:rsidRDefault="00D865F5" w:rsidP="00F56244">
      <w:pPr>
        <w:numPr>
          <w:ilvl w:val="0"/>
          <w:numId w:val="24"/>
        </w:numPr>
        <w:spacing w:before="100" w:beforeAutospacing="1" w:after="100" w:afterAutospacing="1" w:line="360" w:lineRule="atLeast"/>
        <w:rPr>
          <w:rFonts w:eastAsia="Times New Roman" w:cstheme="minorHAnsi"/>
          <w:color w:val="000000" w:themeColor="text1"/>
          <w:sz w:val="24"/>
          <w:lang w:eastAsia="en-AU"/>
        </w:rPr>
      </w:pPr>
      <w:r w:rsidRPr="00260C1D">
        <w:rPr>
          <w:rFonts w:cstheme="minorHAnsi"/>
          <w:b/>
          <w:sz w:val="24"/>
          <w:lang w:val="en-US"/>
        </w:rPr>
        <w:t xml:space="preserve">Active Schools PE and Sport Boost: </w:t>
      </w:r>
      <w:r w:rsidRPr="00260C1D">
        <w:rPr>
          <w:rFonts w:eastAsia="Times New Roman" w:cstheme="minorHAnsi"/>
          <w:color w:val="000000" w:themeColor="text1"/>
          <w:sz w:val="24"/>
          <w:lang w:eastAsia="en-AU"/>
        </w:rPr>
        <w:t>$3,000 for 300 government primary, secondary</w:t>
      </w:r>
      <w:r w:rsidR="00D9174F">
        <w:rPr>
          <w:rFonts w:eastAsia="Times New Roman" w:cstheme="minorHAnsi"/>
          <w:color w:val="000000" w:themeColor="text1"/>
          <w:sz w:val="24"/>
          <w:lang w:eastAsia="en-AU"/>
        </w:rPr>
        <w:t xml:space="preserve">, </w:t>
      </w:r>
      <w:r w:rsidR="00106F4E">
        <w:rPr>
          <w:rFonts w:eastAsia="Times New Roman" w:cstheme="minorHAnsi"/>
          <w:color w:val="000000" w:themeColor="text1"/>
          <w:sz w:val="24"/>
          <w:lang w:eastAsia="en-AU"/>
        </w:rPr>
        <w:t>Primary/Secondary</w:t>
      </w:r>
      <w:r w:rsidR="00D9174F">
        <w:rPr>
          <w:rFonts w:eastAsia="Times New Roman" w:cstheme="minorHAnsi"/>
          <w:color w:val="000000" w:themeColor="text1"/>
          <w:sz w:val="24"/>
          <w:lang w:eastAsia="en-AU"/>
        </w:rPr>
        <w:t>, language</w:t>
      </w:r>
      <w:r w:rsidRPr="00260C1D">
        <w:rPr>
          <w:rFonts w:eastAsia="Times New Roman" w:cstheme="minorHAnsi"/>
          <w:color w:val="000000" w:themeColor="text1"/>
          <w:sz w:val="24"/>
          <w:lang w:eastAsia="en-AU"/>
        </w:rPr>
        <w:t xml:space="preserve"> and special</w:t>
      </w:r>
      <w:r w:rsidR="007767E4" w:rsidRPr="00260C1D">
        <w:rPr>
          <w:rFonts w:eastAsia="Times New Roman" w:cstheme="minorHAnsi"/>
          <w:color w:val="000000" w:themeColor="text1"/>
          <w:sz w:val="24"/>
          <w:lang w:eastAsia="en-AU"/>
        </w:rPr>
        <w:t>ist</w:t>
      </w:r>
      <w:r w:rsidRPr="00260C1D">
        <w:rPr>
          <w:rFonts w:eastAsia="Times New Roman" w:cstheme="minorHAnsi"/>
          <w:color w:val="000000" w:themeColor="text1"/>
          <w:sz w:val="24"/>
          <w:lang w:eastAsia="en-AU"/>
        </w:rPr>
        <w:t xml:space="preserve"> schools in 2023 and 2024 in communities experiencing social disadvantage based on SFOE ranking state</w:t>
      </w:r>
      <w:r w:rsidR="00312674">
        <w:rPr>
          <w:rFonts w:eastAsia="Times New Roman" w:cstheme="minorHAnsi"/>
          <w:color w:val="000000" w:themeColor="text1"/>
          <w:sz w:val="24"/>
          <w:lang w:eastAsia="en-AU"/>
        </w:rPr>
        <w:t>-</w:t>
      </w:r>
      <w:r w:rsidRPr="00260C1D">
        <w:rPr>
          <w:rFonts w:eastAsia="Times New Roman" w:cstheme="minorHAnsi"/>
          <w:color w:val="000000" w:themeColor="text1"/>
          <w:sz w:val="24"/>
          <w:lang w:eastAsia="en-AU"/>
        </w:rPr>
        <w:t xml:space="preserve">wide, which can be used to support schools with the cost of PE and sport and outdoor education. </w:t>
      </w:r>
    </w:p>
    <w:p w14:paraId="64D8BCBF" w14:textId="10FFCBD8" w:rsidR="00D865F5" w:rsidRPr="005B57A2" w:rsidRDefault="00D865F5" w:rsidP="00F56244">
      <w:pPr>
        <w:numPr>
          <w:ilvl w:val="0"/>
          <w:numId w:val="24"/>
        </w:numPr>
        <w:spacing w:before="100" w:beforeAutospacing="1" w:after="100" w:afterAutospacing="1" w:line="360" w:lineRule="atLeast"/>
        <w:rPr>
          <w:rFonts w:eastAsia="Times New Roman" w:cstheme="minorHAnsi"/>
          <w:color w:val="000000" w:themeColor="text1"/>
          <w:sz w:val="24"/>
          <w:lang w:eastAsia="en-AU"/>
        </w:rPr>
      </w:pPr>
      <w:r w:rsidRPr="00260C1D">
        <w:rPr>
          <w:rFonts w:cstheme="minorHAnsi"/>
          <w:b/>
          <w:sz w:val="24"/>
          <w:lang w:val="en-US"/>
        </w:rPr>
        <w:t>Active Schools Extracurricular Boost:</w:t>
      </w:r>
      <w:r w:rsidRPr="00260C1D">
        <w:rPr>
          <w:rFonts w:eastAsia="Times New Roman" w:cstheme="minorHAnsi"/>
          <w:color w:val="000000" w:themeColor="text1"/>
          <w:sz w:val="24"/>
          <w:lang w:eastAsia="en-AU"/>
        </w:rPr>
        <w:t xml:space="preserve"> $14,000 for 200 government secondary</w:t>
      </w:r>
      <w:r w:rsidR="004B021C">
        <w:rPr>
          <w:rFonts w:eastAsia="Times New Roman" w:cstheme="minorHAnsi"/>
          <w:color w:val="000000" w:themeColor="text1"/>
          <w:sz w:val="24"/>
          <w:lang w:eastAsia="en-AU"/>
        </w:rPr>
        <w:t xml:space="preserve">, </w:t>
      </w:r>
      <w:r w:rsidR="00106F4E">
        <w:rPr>
          <w:rFonts w:eastAsia="Times New Roman" w:cstheme="minorHAnsi"/>
          <w:color w:val="000000" w:themeColor="text1"/>
          <w:sz w:val="24"/>
          <w:lang w:eastAsia="en-AU"/>
        </w:rPr>
        <w:t>Primary/Secondary</w:t>
      </w:r>
      <w:r w:rsidR="00AE1D62">
        <w:rPr>
          <w:rFonts w:eastAsia="Times New Roman" w:cstheme="minorHAnsi"/>
          <w:color w:val="000000" w:themeColor="text1"/>
          <w:sz w:val="24"/>
          <w:lang w:eastAsia="en-AU"/>
        </w:rPr>
        <w:t>, language</w:t>
      </w:r>
      <w:r w:rsidRPr="00260C1D">
        <w:rPr>
          <w:rFonts w:eastAsia="Times New Roman" w:cstheme="minorHAnsi"/>
          <w:color w:val="000000" w:themeColor="text1"/>
          <w:sz w:val="24"/>
          <w:lang w:eastAsia="en-AU"/>
        </w:rPr>
        <w:t xml:space="preserve"> and special</w:t>
      </w:r>
      <w:r w:rsidR="007767E4" w:rsidRPr="00260C1D">
        <w:rPr>
          <w:rFonts w:eastAsia="Times New Roman" w:cstheme="minorHAnsi"/>
          <w:color w:val="000000" w:themeColor="text1"/>
          <w:sz w:val="24"/>
          <w:lang w:eastAsia="en-AU"/>
        </w:rPr>
        <w:t>ist</w:t>
      </w:r>
      <w:r w:rsidRPr="00260C1D">
        <w:rPr>
          <w:rFonts w:eastAsia="Times New Roman" w:cstheme="minorHAnsi"/>
          <w:color w:val="000000" w:themeColor="text1"/>
          <w:sz w:val="24"/>
          <w:lang w:eastAsia="en-AU"/>
        </w:rPr>
        <w:t xml:space="preserve"> schools in 2023 and 2024 in communities experiencing social disadvantage </w:t>
      </w:r>
      <w:r w:rsidRPr="00260C1D">
        <w:rPr>
          <w:rFonts w:eastAsia="Times New Roman" w:cstheme="minorHAnsi"/>
          <w:color w:val="000000" w:themeColor="text1"/>
          <w:sz w:val="24"/>
          <w:lang w:eastAsia="en-AU"/>
        </w:rPr>
        <w:lastRenderedPageBreak/>
        <w:t>based on SFOE ranking state</w:t>
      </w:r>
      <w:r w:rsidR="00312674">
        <w:rPr>
          <w:rFonts w:eastAsia="Times New Roman" w:cstheme="minorHAnsi"/>
          <w:color w:val="000000" w:themeColor="text1"/>
          <w:sz w:val="24"/>
          <w:lang w:eastAsia="en-AU"/>
        </w:rPr>
        <w:t>-</w:t>
      </w:r>
      <w:r w:rsidRPr="00260C1D">
        <w:rPr>
          <w:rFonts w:eastAsia="Times New Roman" w:cstheme="minorHAnsi"/>
          <w:color w:val="000000" w:themeColor="text1"/>
          <w:sz w:val="24"/>
          <w:lang w:eastAsia="en-AU"/>
        </w:rPr>
        <w:t>wide, which can be used by schools to support the costs of providing extracurricular activities.</w:t>
      </w:r>
    </w:p>
    <w:p w14:paraId="1B2D1908" w14:textId="764013E0" w:rsidR="00D865F5" w:rsidRPr="00260C1D" w:rsidRDefault="001A7DBD" w:rsidP="002558B6">
      <w:pPr>
        <w:spacing w:before="100" w:beforeAutospacing="1" w:after="100" w:afterAutospacing="1" w:line="288" w:lineRule="atLeast"/>
        <w:outlineLvl w:val="2"/>
        <w:rPr>
          <w:rFonts w:cstheme="minorHAnsi"/>
          <w:b/>
          <w:szCs w:val="21"/>
          <w:lang w:val="en-US"/>
        </w:rPr>
      </w:pPr>
      <w:r w:rsidRPr="00260C1D">
        <w:rPr>
          <w:rFonts w:cstheme="minorHAnsi"/>
          <w:b/>
          <w:color w:val="011A3C"/>
          <w:sz w:val="27"/>
          <w:szCs w:val="27"/>
          <w:lang w:val="en" w:eastAsia="en-AU"/>
        </w:rPr>
        <w:t>Rates</w:t>
      </w:r>
    </w:p>
    <w:p w14:paraId="2C2603C7" w14:textId="77777777" w:rsidR="00D865F5" w:rsidRPr="00260C1D" w:rsidRDefault="00D865F5"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Active Schools grants: $30,000 for each eligible school.</w:t>
      </w:r>
    </w:p>
    <w:p w14:paraId="496BA1CA" w14:textId="77777777" w:rsidR="00D865F5" w:rsidRPr="00260C1D" w:rsidRDefault="00D865F5"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Active Schools PE and Sport Boost: $3,000 for each eligible school.   </w:t>
      </w:r>
    </w:p>
    <w:p w14:paraId="412A9A93" w14:textId="77777777" w:rsidR="00D865F5" w:rsidRPr="00260C1D" w:rsidRDefault="00D865F5"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Active Schools Extracurricular Boost: $14,000 for each eligible school.</w:t>
      </w:r>
    </w:p>
    <w:p w14:paraId="1A78CB3A" w14:textId="77777777" w:rsidR="00D865F5" w:rsidRPr="00260C1D" w:rsidRDefault="00D865F5" w:rsidP="00D865F5">
      <w:pPr>
        <w:spacing w:after="0"/>
        <w:jc w:val="both"/>
        <w:rPr>
          <w:rFonts w:cstheme="minorHAnsi"/>
          <w:szCs w:val="21"/>
          <w:lang w:val="en-US"/>
        </w:rPr>
      </w:pPr>
    </w:p>
    <w:p w14:paraId="27193109" w14:textId="77777777" w:rsidR="00D865F5" w:rsidRPr="00260C1D" w:rsidRDefault="00D865F5" w:rsidP="002558B6">
      <w:pPr>
        <w:spacing w:before="100" w:beforeAutospacing="1" w:after="100" w:afterAutospacing="1" w:line="288" w:lineRule="atLeast"/>
        <w:outlineLvl w:val="2"/>
        <w:rPr>
          <w:rFonts w:cstheme="minorHAnsi"/>
          <w:b/>
          <w:color w:val="011A3C"/>
          <w:sz w:val="27"/>
          <w:szCs w:val="27"/>
          <w:lang w:val="en" w:eastAsia="en-AU"/>
        </w:rPr>
      </w:pPr>
      <w:r w:rsidRPr="00260C1D">
        <w:rPr>
          <w:rFonts w:cstheme="minorHAnsi"/>
          <w:b/>
          <w:color w:val="011A3C"/>
          <w:sz w:val="27"/>
          <w:szCs w:val="27"/>
          <w:lang w:val="en" w:eastAsia="en-AU"/>
        </w:rPr>
        <w:t xml:space="preserve">Related policies </w:t>
      </w:r>
    </w:p>
    <w:p w14:paraId="0C7AEC42" w14:textId="77777777" w:rsidR="00D865F5" w:rsidRPr="00614B09" w:rsidRDefault="00000000" w:rsidP="00D865F5">
      <w:pPr>
        <w:spacing w:after="0" w:line="240" w:lineRule="atLeast"/>
        <w:jc w:val="both"/>
        <w:rPr>
          <w:rStyle w:val="Hyperlink"/>
          <w:rFonts w:cstheme="minorHAnsi"/>
          <w:sz w:val="24"/>
          <w:szCs w:val="24"/>
          <w:lang w:val="en-US"/>
        </w:rPr>
      </w:pPr>
      <w:hyperlink r:id="rId232" w:history="1">
        <w:r w:rsidR="00D865F5" w:rsidRPr="00614B09">
          <w:rPr>
            <w:rStyle w:val="Hyperlink"/>
            <w:rFonts w:cstheme="minorHAnsi"/>
            <w:sz w:val="24"/>
            <w:szCs w:val="24"/>
            <w:lang w:val="en-US"/>
          </w:rPr>
          <w:t>Physical and Sport Education — Delivery Requirements</w:t>
        </w:r>
      </w:hyperlink>
    </w:p>
    <w:p w14:paraId="001F4D47" w14:textId="77777777" w:rsidR="00F87CD3" w:rsidRPr="00260C1D" w:rsidRDefault="00F87CD3">
      <w:pPr>
        <w:rPr>
          <w:rFonts w:eastAsia="Segoe UI" w:cstheme="minorHAnsi"/>
          <w:b/>
          <w:color w:val="323E4F" w:themeColor="text2" w:themeShade="BF"/>
          <w:kern w:val="36"/>
          <w:sz w:val="48"/>
          <w:szCs w:val="48"/>
          <w:lang w:eastAsia="en-AU"/>
        </w:rPr>
      </w:pPr>
    </w:p>
    <w:p w14:paraId="3CC017B2" w14:textId="77777777" w:rsidR="005731D8" w:rsidRPr="00260C1D" w:rsidRDefault="005731D8" w:rsidP="003D144A">
      <w:pPr>
        <w:pStyle w:val="Heading1"/>
      </w:pPr>
      <w:r w:rsidRPr="00260C1D">
        <w:br w:type="page"/>
      </w:r>
    </w:p>
    <w:p w14:paraId="74E64CDF" w14:textId="0B400680" w:rsidR="003D144A" w:rsidRDefault="003D144A" w:rsidP="003D144A">
      <w:pPr>
        <w:pStyle w:val="Heading2"/>
      </w:pPr>
      <w:bookmarkStart w:id="310" w:name="_Toc145316411"/>
      <w:bookmarkStart w:id="311" w:name="_Toc145339633"/>
      <w:bookmarkStart w:id="312" w:name="_Toc153791956"/>
      <w:bookmarkStart w:id="313" w:name="_Hlk145316161"/>
      <w:bookmarkStart w:id="314" w:name="_Toc141965307"/>
      <w:r>
        <w:lastRenderedPageBreak/>
        <w:t>Vocational Education and Training Delivered to School Students (Reference 143)</w:t>
      </w:r>
      <w:bookmarkEnd w:id="310"/>
      <w:bookmarkEnd w:id="311"/>
      <w:bookmarkEnd w:id="312"/>
    </w:p>
    <w:p w14:paraId="4220042E" w14:textId="77777777" w:rsidR="003D144A" w:rsidRPr="00614B09" w:rsidRDefault="003D144A" w:rsidP="003D144A">
      <w:pPr>
        <w:spacing w:before="360" w:after="120" w:line="360" w:lineRule="atLeast"/>
        <w:outlineLvl w:val="2"/>
        <w:rPr>
          <w:color w:val="011A3C"/>
          <w:sz w:val="24"/>
          <w:szCs w:val="24"/>
        </w:rPr>
      </w:pPr>
      <w:r w:rsidRPr="00614B09">
        <w:rPr>
          <w:rFonts w:eastAsia="Segoe UI" w:cstheme="minorHAnsi"/>
          <w:b/>
          <w:color w:val="011A3C"/>
          <w:sz w:val="24"/>
          <w:szCs w:val="24"/>
          <w:lang w:val="en" w:eastAsia="en-AU"/>
        </w:rPr>
        <w:t>Program description</w:t>
      </w:r>
    </w:p>
    <w:p w14:paraId="614D3000" w14:textId="77777777" w:rsidR="003D144A" w:rsidRPr="00614B09" w:rsidRDefault="003D144A" w:rsidP="003D144A">
      <w:pPr>
        <w:rPr>
          <w:sz w:val="24"/>
          <w:szCs w:val="24"/>
        </w:rPr>
      </w:pPr>
      <w:r w:rsidRPr="00614B09">
        <w:rPr>
          <w:sz w:val="24"/>
          <w:szCs w:val="24"/>
        </w:rPr>
        <w:t xml:space="preserve">Vocational Education and Training (VET) </w:t>
      </w:r>
      <w:r>
        <w:rPr>
          <w:sz w:val="24"/>
          <w:szCs w:val="24"/>
        </w:rPr>
        <w:t>D</w:t>
      </w:r>
      <w:r w:rsidRPr="00614B09">
        <w:rPr>
          <w:sz w:val="24"/>
          <w:szCs w:val="24"/>
        </w:rPr>
        <w:t xml:space="preserve">elivered to </w:t>
      </w:r>
      <w:r>
        <w:rPr>
          <w:sz w:val="24"/>
          <w:szCs w:val="24"/>
        </w:rPr>
        <w:t>School</w:t>
      </w:r>
      <w:r w:rsidRPr="00614B09">
        <w:rPr>
          <w:sz w:val="24"/>
          <w:szCs w:val="24"/>
        </w:rPr>
        <w:t xml:space="preserve"> </w:t>
      </w:r>
      <w:r>
        <w:rPr>
          <w:sz w:val="24"/>
          <w:szCs w:val="24"/>
        </w:rPr>
        <w:t>S</w:t>
      </w:r>
      <w:r w:rsidRPr="00614B09">
        <w:rPr>
          <w:sz w:val="24"/>
          <w:szCs w:val="24"/>
        </w:rPr>
        <w:t xml:space="preserve">tudents </w:t>
      </w:r>
      <w:r>
        <w:rPr>
          <w:sz w:val="24"/>
          <w:szCs w:val="24"/>
        </w:rPr>
        <w:t xml:space="preserve">(VDSS) </w:t>
      </w:r>
      <w:r w:rsidRPr="00614B09">
        <w:rPr>
          <w:sz w:val="24"/>
          <w:szCs w:val="24"/>
        </w:rPr>
        <w:t>is a key component of the Victorian Government's strategy to support high</w:t>
      </w:r>
      <w:r>
        <w:rPr>
          <w:sz w:val="24"/>
          <w:szCs w:val="24"/>
        </w:rPr>
        <w:t>-</w:t>
      </w:r>
      <w:r w:rsidRPr="00614B09">
        <w:rPr>
          <w:sz w:val="24"/>
          <w:szCs w:val="24"/>
        </w:rPr>
        <w:t xml:space="preserve">quality vocational pathways, increase student retention, and improve Year 12 or equivalent completion rates by providing options for all students. </w:t>
      </w:r>
    </w:p>
    <w:p w14:paraId="6937614A" w14:textId="77777777" w:rsidR="003D144A" w:rsidRPr="00614B09" w:rsidRDefault="003D144A" w:rsidP="003D144A">
      <w:pPr>
        <w:rPr>
          <w:sz w:val="24"/>
          <w:szCs w:val="24"/>
        </w:rPr>
      </w:pPr>
      <w:r w:rsidRPr="00614B09">
        <w:rPr>
          <w:sz w:val="24"/>
          <w:szCs w:val="24"/>
        </w:rPr>
        <w:t>VET studies can contribute towards the completion of the Victorian Certificate of Education (VCE).</w:t>
      </w:r>
    </w:p>
    <w:p w14:paraId="0C9C464D" w14:textId="77777777" w:rsidR="003D144A" w:rsidRPr="00614B09" w:rsidRDefault="003D144A" w:rsidP="003D144A">
      <w:pPr>
        <w:rPr>
          <w:sz w:val="24"/>
          <w:szCs w:val="24"/>
        </w:rPr>
      </w:pPr>
      <w:r w:rsidRPr="00614B09">
        <w:rPr>
          <w:sz w:val="24"/>
          <w:szCs w:val="24"/>
        </w:rPr>
        <w:t>The core learning allocation in the Student Resource Package (SRP) provided to schools for each student is the primary source of funding for VET programs. Government schools are also provided with targeted VET funding to support the higher cost of provision in this area.</w:t>
      </w:r>
    </w:p>
    <w:p w14:paraId="6241B975" w14:textId="77777777" w:rsidR="003D144A" w:rsidRPr="00614B09" w:rsidRDefault="003D144A" w:rsidP="003D144A">
      <w:pPr>
        <w:spacing w:before="360" w:after="120" w:line="360" w:lineRule="atLeast"/>
        <w:outlineLvl w:val="2"/>
        <w:rPr>
          <w:color w:val="011A3C"/>
          <w:sz w:val="24"/>
          <w:szCs w:val="24"/>
        </w:rPr>
      </w:pPr>
      <w:r w:rsidRPr="00614B09">
        <w:rPr>
          <w:rFonts w:eastAsia="Segoe UI" w:cstheme="minorHAnsi"/>
          <w:b/>
          <w:color w:val="011A3C"/>
          <w:sz w:val="24"/>
          <w:szCs w:val="24"/>
          <w:lang w:val="en" w:eastAsia="en-AU"/>
        </w:rPr>
        <w:t>Components of VET funding</w:t>
      </w:r>
    </w:p>
    <w:p w14:paraId="0E74B445" w14:textId="77777777" w:rsidR="003D144A" w:rsidRPr="00614B09" w:rsidRDefault="003D144A" w:rsidP="003D144A">
      <w:pPr>
        <w:rPr>
          <w:sz w:val="24"/>
          <w:szCs w:val="24"/>
        </w:rPr>
      </w:pPr>
      <w:r w:rsidRPr="00614B09">
        <w:rPr>
          <w:sz w:val="24"/>
          <w:szCs w:val="24"/>
        </w:rPr>
        <w:t>There are four components of VET funding:</w:t>
      </w:r>
    </w:p>
    <w:p w14:paraId="2E346AB9" w14:textId="77777777" w:rsidR="003D144A" w:rsidRPr="00614B09" w:rsidRDefault="003D144A" w:rsidP="003D144A">
      <w:pPr>
        <w:pStyle w:val="CommentText"/>
        <w:numPr>
          <w:ilvl w:val="0"/>
          <w:numId w:val="98"/>
        </w:numPr>
        <w:rPr>
          <w:sz w:val="24"/>
          <w:szCs w:val="24"/>
        </w:rPr>
      </w:pPr>
      <w:r w:rsidRPr="00614B09">
        <w:rPr>
          <w:sz w:val="24"/>
          <w:szCs w:val="24"/>
        </w:rPr>
        <w:t xml:space="preserve">The Core student learning component (mainstream schools) or Stages of Learning funding (specialist schools) of the SRP </w:t>
      </w:r>
    </w:p>
    <w:p w14:paraId="2BEF02C4" w14:textId="77777777" w:rsidR="003D144A" w:rsidRPr="00614B09" w:rsidRDefault="003D144A" w:rsidP="003D144A">
      <w:pPr>
        <w:pStyle w:val="CommentText"/>
        <w:numPr>
          <w:ilvl w:val="0"/>
          <w:numId w:val="98"/>
        </w:numPr>
        <w:rPr>
          <w:sz w:val="24"/>
          <w:szCs w:val="24"/>
        </w:rPr>
      </w:pPr>
      <w:r w:rsidRPr="00614B09">
        <w:rPr>
          <w:sz w:val="24"/>
          <w:szCs w:val="24"/>
        </w:rPr>
        <w:t>Targeted VET funding</w:t>
      </w:r>
    </w:p>
    <w:p w14:paraId="0B49DE97" w14:textId="77777777" w:rsidR="003D144A" w:rsidRPr="00614B09" w:rsidRDefault="003D144A" w:rsidP="003D144A">
      <w:pPr>
        <w:pStyle w:val="CommentText"/>
        <w:numPr>
          <w:ilvl w:val="0"/>
          <w:numId w:val="98"/>
        </w:numPr>
        <w:rPr>
          <w:sz w:val="24"/>
          <w:szCs w:val="24"/>
        </w:rPr>
      </w:pPr>
      <w:r w:rsidRPr="00614B09">
        <w:rPr>
          <w:sz w:val="24"/>
          <w:szCs w:val="24"/>
        </w:rPr>
        <w:t>VET materials funding</w:t>
      </w:r>
    </w:p>
    <w:p w14:paraId="2BED01FA" w14:textId="77777777" w:rsidR="003D144A" w:rsidRPr="00614B09" w:rsidRDefault="003D144A" w:rsidP="003D144A">
      <w:pPr>
        <w:pStyle w:val="ListParagraph"/>
        <w:numPr>
          <w:ilvl w:val="0"/>
          <w:numId w:val="98"/>
        </w:numPr>
        <w:spacing w:line="256" w:lineRule="auto"/>
        <w:rPr>
          <w:sz w:val="24"/>
          <w:szCs w:val="24"/>
        </w:rPr>
      </w:pPr>
      <w:r w:rsidRPr="00614B09">
        <w:rPr>
          <w:sz w:val="24"/>
          <w:szCs w:val="24"/>
        </w:rPr>
        <w:t xml:space="preserve">Small-scale adjustment </w:t>
      </w:r>
    </w:p>
    <w:p w14:paraId="3E71935C" w14:textId="77777777" w:rsidR="003D144A" w:rsidRPr="00614B09" w:rsidRDefault="003D144A" w:rsidP="003D144A">
      <w:pPr>
        <w:spacing w:before="360" w:after="120" w:line="360" w:lineRule="atLeast"/>
        <w:outlineLvl w:val="2"/>
        <w:rPr>
          <w:color w:val="011A3C"/>
          <w:sz w:val="24"/>
          <w:szCs w:val="24"/>
        </w:rPr>
      </w:pPr>
      <w:r w:rsidRPr="00614B09">
        <w:rPr>
          <w:rFonts w:eastAsia="Segoe UI" w:cstheme="minorHAnsi"/>
          <w:b/>
          <w:color w:val="011A3C"/>
          <w:sz w:val="24"/>
          <w:szCs w:val="24"/>
          <w:lang w:val="en" w:eastAsia="en-AU"/>
        </w:rPr>
        <w:t>SRP Core Student Learning or Core Stages of Learning Components</w:t>
      </w:r>
    </w:p>
    <w:p w14:paraId="262F0B76" w14:textId="77777777" w:rsidR="003D144A" w:rsidRPr="00614B09" w:rsidRDefault="003D144A" w:rsidP="003D144A">
      <w:pPr>
        <w:rPr>
          <w:sz w:val="24"/>
          <w:szCs w:val="24"/>
        </w:rPr>
      </w:pPr>
      <w:r w:rsidRPr="00614B09">
        <w:rPr>
          <w:sz w:val="24"/>
          <w:szCs w:val="24"/>
        </w:rPr>
        <w:t xml:space="preserve">The Core </w:t>
      </w:r>
      <w:r>
        <w:rPr>
          <w:sz w:val="24"/>
          <w:szCs w:val="24"/>
        </w:rPr>
        <w:t>S</w:t>
      </w:r>
      <w:r w:rsidRPr="00614B09">
        <w:rPr>
          <w:sz w:val="24"/>
          <w:szCs w:val="24"/>
        </w:rPr>
        <w:t xml:space="preserve">tudent </w:t>
      </w:r>
      <w:r>
        <w:rPr>
          <w:sz w:val="24"/>
          <w:szCs w:val="24"/>
        </w:rPr>
        <w:t>L</w:t>
      </w:r>
      <w:r w:rsidRPr="00614B09">
        <w:rPr>
          <w:sz w:val="24"/>
          <w:szCs w:val="24"/>
        </w:rPr>
        <w:t xml:space="preserve">earning component or Stages of Learning funding of the SRP is provided to schools to offset the costs of VDSS.  </w:t>
      </w:r>
    </w:p>
    <w:p w14:paraId="75D77BF1" w14:textId="546BBEC4" w:rsidR="003D144A" w:rsidRPr="00614B09" w:rsidRDefault="003D144A" w:rsidP="003D144A">
      <w:pPr>
        <w:rPr>
          <w:sz w:val="24"/>
          <w:szCs w:val="24"/>
        </w:rPr>
      </w:pPr>
      <w:r w:rsidRPr="00614B09">
        <w:rPr>
          <w:bCs/>
          <w:sz w:val="24"/>
          <w:szCs w:val="24"/>
        </w:rPr>
        <w:t>In</w:t>
      </w:r>
      <w:r w:rsidRPr="00614B09">
        <w:rPr>
          <w:b/>
          <w:sz w:val="24"/>
          <w:szCs w:val="24"/>
        </w:rPr>
        <w:t xml:space="preserve"> </w:t>
      </w:r>
      <w:r w:rsidRPr="00614B09">
        <w:rPr>
          <w:sz w:val="24"/>
          <w:szCs w:val="24"/>
        </w:rPr>
        <w:t>202</w:t>
      </w:r>
      <w:r>
        <w:rPr>
          <w:sz w:val="24"/>
          <w:szCs w:val="24"/>
        </w:rPr>
        <w:t>4</w:t>
      </w:r>
      <w:r w:rsidRPr="00614B09">
        <w:rPr>
          <w:sz w:val="24"/>
          <w:szCs w:val="24"/>
        </w:rPr>
        <w:t xml:space="preserve">, the </w:t>
      </w:r>
      <w:r>
        <w:rPr>
          <w:sz w:val="24"/>
          <w:szCs w:val="24"/>
        </w:rPr>
        <w:t>C</w:t>
      </w:r>
      <w:r w:rsidRPr="00614B09">
        <w:rPr>
          <w:sz w:val="24"/>
          <w:szCs w:val="24"/>
        </w:rPr>
        <w:t xml:space="preserve">ore SRP component </w:t>
      </w:r>
      <w:r>
        <w:rPr>
          <w:sz w:val="24"/>
          <w:szCs w:val="24"/>
        </w:rPr>
        <w:t xml:space="preserve">that </w:t>
      </w:r>
      <w:r w:rsidRPr="00614B09">
        <w:rPr>
          <w:sz w:val="24"/>
          <w:szCs w:val="24"/>
        </w:rPr>
        <w:t>a mainstream school will receive to support the delivery of VET is $1,</w:t>
      </w:r>
      <w:r>
        <w:rPr>
          <w:sz w:val="24"/>
          <w:szCs w:val="24"/>
        </w:rPr>
        <w:t>271</w:t>
      </w:r>
      <w:r w:rsidRPr="00614B09">
        <w:rPr>
          <w:sz w:val="24"/>
          <w:szCs w:val="24"/>
        </w:rPr>
        <w:t>, per full time equivalent (FTE) certificate enrolment.</w:t>
      </w:r>
    </w:p>
    <w:p w14:paraId="66BAB0BA" w14:textId="44824E41" w:rsidR="003D144A" w:rsidRPr="00614B09" w:rsidRDefault="003D144A" w:rsidP="003D144A">
      <w:pPr>
        <w:rPr>
          <w:sz w:val="24"/>
          <w:szCs w:val="24"/>
        </w:rPr>
      </w:pPr>
      <w:r w:rsidRPr="00614B09">
        <w:rPr>
          <w:sz w:val="24"/>
          <w:szCs w:val="24"/>
        </w:rPr>
        <w:t xml:space="preserve">For specialist schools, with students participating in eligible VET certificates, the </w:t>
      </w:r>
      <w:r>
        <w:rPr>
          <w:sz w:val="24"/>
          <w:szCs w:val="24"/>
        </w:rPr>
        <w:t>S</w:t>
      </w:r>
      <w:r w:rsidRPr="00614B09">
        <w:rPr>
          <w:sz w:val="24"/>
          <w:szCs w:val="24"/>
        </w:rPr>
        <w:t xml:space="preserve">tages of </w:t>
      </w:r>
      <w:r>
        <w:rPr>
          <w:sz w:val="24"/>
          <w:szCs w:val="24"/>
        </w:rPr>
        <w:t>L</w:t>
      </w:r>
      <w:r w:rsidRPr="00614B09">
        <w:rPr>
          <w:sz w:val="24"/>
          <w:szCs w:val="24"/>
        </w:rPr>
        <w:t xml:space="preserve">earning component </w:t>
      </w:r>
      <w:r>
        <w:rPr>
          <w:sz w:val="24"/>
          <w:szCs w:val="24"/>
        </w:rPr>
        <w:t xml:space="preserve">that </w:t>
      </w:r>
      <w:r w:rsidRPr="00614B09">
        <w:rPr>
          <w:sz w:val="24"/>
          <w:szCs w:val="24"/>
        </w:rPr>
        <w:t>a school will receive to contribute to support the delivery of VET is $1,0</w:t>
      </w:r>
      <w:r>
        <w:rPr>
          <w:sz w:val="24"/>
          <w:szCs w:val="24"/>
        </w:rPr>
        <w:t>58</w:t>
      </w:r>
      <w:r w:rsidRPr="00614B09">
        <w:rPr>
          <w:sz w:val="24"/>
          <w:szCs w:val="24"/>
        </w:rPr>
        <w:t>, per FTE certificate enrolment.</w:t>
      </w:r>
    </w:p>
    <w:p w14:paraId="231ACA3B" w14:textId="77777777" w:rsidR="003D144A" w:rsidRPr="00614B09" w:rsidRDefault="003D144A" w:rsidP="003D144A">
      <w:pPr>
        <w:rPr>
          <w:sz w:val="24"/>
          <w:szCs w:val="24"/>
        </w:rPr>
      </w:pPr>
      <w:r w:rsidRPr="00614B09">
        <w:rPr>
          <w:sz w:val="24"/>
          <w:szCs w:val="24"/>
        </w:rPr>
        <w:t>A Full Time Equivalent (FTE) enrolment in an eligible VET course is defined as 180 hours of training per year. This will attract the full per certificate amount. Enrolments of less than 180 hours of training in a year will attract pro-rata funding.</w:t>
      </w:r>
    </w:p>
    <w:p w14:paraId="55CCFA2C" w14:textId="5600E06A" w:rsidR="003D144A" w:rsidRPr="00614B09" w:rsidRDefault="003D144A" w:rsidP="003D144A">
      <w:pPr>
        <w:rPr>
          <w:sz w:val="24"/>
          <w:szCs w:val="24"/>
        </w:rPr>
      </w:pPr>
      <w:r w:rsidRPr="00614B09">
        <w:rPr>
          <w:sz w:val="24"/>
          <w:szCs w:val="24"/>
        </w:rPr>
        <w:t xml:space="preserve">* CUA30915 Certificate III in Music Industry, for which a FTE enrolment is a </w:t>
      </w:r>
      <w:r w:rsidRPr="3D221122">
        <w:rPr>
          <w:sz w:val="24"/>
          <w:szCs w:val="24"/>
        </w:rPr>
        <w:t>maximum</w:t>
      </w:r>
      <w:r w:rsidRPr="00614B09">
        <w:rPr>
          <w:sz w:val="24"/>
          <w:szCs w:val="24"/>
        </w:rPr>
        <w:t xml:space="preserve"> of 360 hours</w:t>
      </w:r>
      <w:r>
        <w:rPr>
          <w:sz w:val="24"/>
          <w:szCs w:val="24"/>
        </w:rPr>
        <w:t xml:space="preserve"> and </w:t>
      </w:r>
      <w:r w:rsidRPr="00DA3E71">
        <w:rPr>
          <w:sz w:val="24"/>
          <w:szCs w:val="24"/>
        </w:rPr>
        <w:t>SIT20421</w:t>
      </w:r>
      <w:r>
        <w:rPr>
          <w:sz w:val="24"/>
          <w:szCs w:val="24"/>
        </w:rPr>
        <w:t xml:space="preserve"> </w:t>
      </w:r>
      <w:r w:rsidRPr="00960263">
        <w:rPr>
          <w:sz w:val="24"/>
          <w:szCs w:val="24"/>
        </w:rPr>
        <w:t>Certificate II in Cookery</w:t>
      </w:r>
      <w:r>
        <w:rPr>
          <w:sz w:val="24"/>
          <w:szCs w:val="24"/>
        </w:rPr>
        <w:t>, for which a FTE is 170 hours</w:t>
      </w:r>
      <w:r w:rsidRPr="00614B09">
        <w:rPr>
          <w:sz w:val="24"/>
          <w:szCs w:val="24"/>
        </w:rPr>
        <w:t xml:space="preserve">. </w:t>
      </w:r>
    </w:p>
    <w:p w14:paraId="33A6416D" w14:textId="77777777" w:rsidR="003D144A" w:rsidRPr="00614B09" w:rsidRDefault="003D144A" w:rsidP="003D144A">
      <w:pPr>
        <w:spacing w:before="360" w:after="120" w:line="360" w:lineRule="atLeast"/>
        <w:outlineLvl w:val="2"/>
        <w:rPr>
          <w:color w:val="011A3C"/>
          <w:sz w:val="24"/>
          <w:szCs w:val="24"/>
        </w:rPr>
      </w:pPr>
      <w:r w:rsidRPr="00614B09">
        <w:rPr>
          <w:rFonts w:eastAsia="Segoe UI" w:cstheme="minorHAnsi"/>
          <w:b/>
          <w:color w:val="011A3C"/>
          <w:sz w:val="24"/>
          <w:szCs w:val="24"/>
          <w:lang w:val="en" w:eastAsia="en-AU"/>
        </w:rPr>
        <w:t>Targeted VET funding</w:t>
      </w:r>
    </w:p>
    <w:p w14:paraId="0C28CB77" w14:textId="77777777" w:rsidR="003D144A" w:rsidRPr="00614B09" w:rsidRDefault="003D144A" w:rsidP="003D144A">
      <w:pPr>
        <w:rPr>
          <w:sz w:val="24"/>
          <w:szCs w:val="24"/>
        </w:rPr>
      </w:pPr>
      <w:r w:rsidRPr="00614B09">
        <w:rPr>
          <w:sz w:val="24"/>
          <w:szCs w:val="24"/>
        </w:rPr>
        <w:t xml:space="preserve">Targeted VET funding is based on a six-band model and is allocated pro-rata for enrolments up to 180 hours per VET certificate per year.  </w:t>
      </w:r>
    </w:p>
    <w:p w14:paraId="1412580B" w14:textId="7B4E2DF9" w:rsidR="003D144A" w:rsidRPr="00614B09" w:rsidRDefault="003D144A" w:rsidP="003D144A">
      <w:pPr>
        <w:rPr>
          <w:sz w:val="24"/>
          <w:szCs w:val="24"/>
        </w:rPr>
      </w:pPr>
      <w:r w:rsidRPr="00614B09">
        <w:rPr>
          <w:sz w:val="24"/>
          <w:szCs w:val="24"/>
        </w:rPr>
        <w:lastRenderedPageBreak/>
        <w:t>To attract targeted VET funding, schools must enter accurate details of all VET enrolments on the Victorian Assessment Software System (VASS) by the annual funding deadline.</w:t>
      </w:r>
    </w:p>
    <w:p w14:paraId="1EC8603C" w14:textId="0DD6765B" w:rsidR="003D144A" w:rsidRPr="00614B09" w:rsidRDefault="003D144A" w:rsidP="003D144A">
      <w:pPr>
        <w:rPr>
          <w:sz w:val="24"/>
          <w:szCs w:val="24"/>
        </w:rPr>
      </w:pPr>
      <w:r>
        <w:rPr>
          <w:sz w:val="24"/>
          <w:szCs w:val="24"/>
        </w:rPr>
        <w:t>Enrolments for s</w:t>
      </w:r>
      <w:r w:rsidRPr="00614B09">
        <w:rPr>
          <w:sz w:val="24"/>
          <w:szCs w:val="24"/>
        </w:rPr>
        <w:t xml:space="preserve">tudents between 15 to 20 years of age at the annual funding deadline, who are enrolled in eligible VET certificates, will </w:t>
      </w:r>
      <w:r>
        <w:rPr>
          <w:sz w:val="24"/>
          <w:szCs w:val="24"/>
        </w:rPr>
        <w:t>attract</w:t>
      </w:r>
      <w:r w:rsidRPr="00614B09">
        <w:rPr>
          <w:sz w:val="24"/>
          <w:szCs w:val="24"/>
        </w:rPr>
        <w:t xml:space="preserve"> targeted VET funding.</w:t>
      </w:r>
    </w:p>
    <w:p w14:paraId="0820A728" w14:textId="77777777" w:rsidR="003D144A" w:rsidRPr="00614B09" w:rsidRDefault="003D144A" w:rsidP="003D144A">
      <w:pPr>
        <w:rPr>
          <w:sz w:val="24"/>
          <w:szCs w:val="24"/>
        </w:rPr>
      </w:pPr>
      <w:r w:rsidRPr="00614B09">
        <w:rPr>
          <w:sz w:val="24"/>
          <w:szCs w:val="24"/>
        </w:rPr>
        <w:t>Certificate II and Certificate III level qualifications (excluding school-based apprenticeships and traineeships and Head Start apprenticeships and traineeships) undertaken as part of the VCE are eligible for targeted VET funding.</w:t>
      </w:r>
    </w:p>
    <w:p w14:paraId="67B95656" w14:textId="77777777" w:rsidR="003D144A" w:rsidRPr="00614B09" w:rsidRDefault="003D144A" w:rsidP="003D144A">
      <w:pPr>
        <w:rPr>
          <w:sz w:val="24"/>
          <w:szCs w:val="24"/>
        </w:rPr>
      </w:pPr>
      <w:r w:rsidRPr="00614B09">
        <w:rPr>
          <w:sz w:val="24"/>
          <w:szCs w:val="24"/>
        </w:rPr>
        <w:t>Certificate IV qualifications may be funded, provided the school has first gained approval from the Victorian Curriculum and Assessment Authority (VCAA) to offer the higher-level qualification to VCE students.</w:t>
      </w:r>
    </w:p>
    <w:p w14:paraId="4C3212E8" w14:textId="77777777" w:rsidR="003D144A" w:rsidRPr="00614B09" w:rsidRDefault="003D144A" w:rsidP="003D144A">
      <w:pPr>
        <w:rPr>
          <w:sz w:val="24"/>
          <w:szCs w:val="24"/>
        </w:rPr>
      </w:pPr>
      <w:r w:rsidRPr="00614B09">
        <w:rPr>
          <w:sz w:val="24"/>
          <w:szCs w:val="24"/>
        </w:rPr>
        <w:t>Further information and an indicative list of VET qualifications eligible for targeted VET funding is available at:</w:t>
      </w:r>
      <w:r w:rsidRPr="00614B09">
        <w:rPr>
          <w:rStyle w:val="Heading4Char"/>
          <w:sz w:val="24"/>
          <w:szCs w:val="24"/>
          <w:u w:val="single"/>
        </w:rPr>
        <w:t xml:space="preserve"> </w:t>
      </w:r>
      <w:hyperlink r:id="rId233" w:history="1">
        <w:r w:rsidRPr="00614B09">
          <w:rPr>
            <w:rStyle w:val="Hyperlink"/>
            <w:rFonts w:eastAsiaTheme="majorEastAsia" w:cstheme="majorBidi"/>
            <w:sz w:val="24"/>
            <w:szCs w:val="24"/>
          </w:rPr>
          <w:t>VET Delivered to Secondary Students: Resources</w:t>
        </w:r>
      </w:hyperlink>
    </w:p>
    <w:p w14:paraId="380C3D2D" w14:textId="77777777" w:rsidR="003D144A" w:rsidRPr="00614B09" w:rsidRDefault="003D144A" w:rsidP="003D144A">
      <w:pPr>
        <w:rPr>
          <w:sz w:val="24"/>
          <w:szCs w:val="24"/>
        </w:rPr>
      </w:pPr>
      <w:r w:rsidRPr="00614B09">
        <w:rPr>
          <w:sz w:val="24"/>
          <w:szCs w:val="24"/>
        </w:rPr>
        <w:t>Targeted VET funding is NOT available for enrolments in:</w:t>
      </w:r>
    </w:p>
    <w:p w14:paraId="4893BA98" w14:textId="77777777" w:rsidR="003D144A" w:rsidRPr="00614B09" w:rsidRDefault="003D144A" w:rsidP="003D144A">
      <w:pPr>
        <w:pStyle w:val="ListParagraph"/>
        <w:numPr>
          <w:ilvl w:val="0"/>
          <w:numId w:val="99"/>
        </w:numPr>
        <w:spacing w:line="256" w:lineRule="auto"/>
        <w:rPr>
          <w:sz w:val="24"/>
          <w:szCs w:val="24"/>
        </w:rPr>
      </w:pPr>
      <w:r w:rsidRPr="00614B09">
        <w:rPr>
          <w:sz w:val="24"/>
          <w:szCs w:val="24"/>
        </w:rPr>
        <w:t>Certificate I qualifications</w:t>
      </w:r>
    </w:p>
    <w:p w14:paraId="666A2B7D" w14:textId="77777777" w:rsidR="003D144A" w:rsidRPr="00614B09" w:rsidRDefault="003D144A" w:rsidP="003D144A">
      <w:pPr>
        <w:pStyle w:val="ListParagraph"/>
        <w:numPr>
          <w:ilvl w:val="0"/>
          <w:numId w:val="100"/>
        </w:numPr>
        <w:spacing w:line="256" w:lineRule="auto"/>
        <w:rPr>
          <w:sz w:val="24"/>
          <w:szCs w:val="24"/>
        </w:rPr>
      </w:pPr>
      <w:r w:rsidRPr="00614B09">
        <w:rPr>
          <w:sz w:val="24"/>
          <w:szCs w:val="24"/>
        </w:rPr>
        <w:t>Certificates in General Education for Adults and generalist programs such as Certificate II in EAL (Employment) and Certificate II in EAL (Access)</w:t>
      </w:r>
    </w:p>
    <w:p w14:paraId="12134530" w14:textId="77777777" w:rsidR="003D144A" w:rsidRPr="00614B09" w:rsidRDefault="003D144A" w:rsidP="003D144A">
      <w:pPr>
        <w:pStyle w:val="ListParagraph"/>
        <w:numPr>
          <w:ilvl w:val="0"/>
          <w:numId w:val="100"/>
        </w:numPr>
        <w:spacing w:line="256" w:lineRule="auto"/>
        <w:rPr>
          <w:sz w:val="24"/>
          <w:szCs w:val="24"/>
        </w:rPr>
      </w:pPr>
      <w:r w:rsidRPr="00614B09">
        <w:rPr>
          <w:sz w:val="24"/>
          <w:szCs w:val="24"/>
        </w:rPr>
        <w:t>Diploma level qualifications. Schools wishing to provide Diplomas may fund this delivery from the core SRP allocation</w:t>
      </w:r>
    </w:p>
    <w:p w14:paraId="0851EFB3" w14:textId="77777777" w:rsidR="003D144A" w:rsidRPr="00614B09" w:rsidRDefault="003D144A" w:rsidP="003D144A">
      <w:pPr>
        <w:pStyle w:val="ListParagraph"/>
        <w:numPr>
          <w:ilvl w:val="0"/>
          <w:numId w:val="100"/>
        </w:numPr>
        <w:spacing w:line="256" w:lineRule="auto"/>
        <w:rPr>
          <w:sz w:val="24"/>
          <w:szCs w:val="24"/>
        </w:rPr>
      </w:pPr>
      <w:r w:rsidRPr="00614B09">
        <w:rPr>
          <w:sz w:val="24"/>
          <w:szCs w:val="24"/>
        </w:rPr>
        <w:t>School-based apprenticeships and traineeships, or Head Start apprenticeships and traineeships</w:t>
      </w:r>
    </w:p>
    <w:p w14:paraId="4A654E6A" w14:textId="77777777" w:rsidR="003D144A" w:rsidRPr="00614B09" w:rsidRDefault="003D144A" w:rsidP="003D144A">
      <w:pPr>
        <w:rPr>
          <w:sz w:val="24"/>
          <w:szCs w:val="24"/>
        </w:rPr>
      </w:pPr>
      <w:r w:rsidRPr="00614B09">
        <w:rPr>
          <w:sz w:val="24"/>
          <w:szCs w:val="24"/>
        </w:rPr>
        <w:t>A student who is enrolled in a school, either full-time or part-time, and also enrolled independently of their school in a VET program at a TAFE or Registered Training Organisation (RTO), is not eligible to have their VET studies subsidised through targeted VET funding.</w:t>
      </w:r>
    </w:p>
    <w:p w14:paraId="2B7E0EAD" w14:textId="77777777" w:rsidR="003D144A" w:rsidRPr="00614B09" w:rsidRDefault="003D144A" w:rsidP="003D144A">
      <w:pPr>
        <w:spacing w:before="360" w:after="120" w:line="360" w:lineRule="atLeast"/>
        <w:outlineLvl w:val="2"/>
        <w:rPr>
          <w:color w:val="011A3C"/>
          <w:sz w:val="24"/>
          <w:szCs w:val="24"/>
        </w:rPr>
      </w:pPr>
      <w:r w:rsidRPr="00614B09">
        <w:rPr>
          <w:rFonts w:eastAsia="Segoe UI" w:cstheme="minorHAnsi"/>
          <w:b/>
          <w:color w:val="011A3C"/>
          <w:sz w:val="24"/>
          <w:szCs w:val="24"/>
          <w:lang w:val="en" w:eastAsia="en-AU"/>
        </w:rPr>
        <w:t>VET materials funding</w:t>
      </w:r>
    </w:p>
    <w:p w14:paraId="1E05D858" w14:textId="1A13DC24" w:rsidR="003D144A" w:rsidRPr="00614B09" w:rsidRDefault="003D144A" w:rsidP="003D144A">
      <w:pPr>
        <w:shd w:val="clear" w:color="auto" w:fill="FFFFFF"/>
        <w:spacing w:after="150" w:line="240" w:lineRule="auto"/>
        <w:rPr>
          <w:sz w:val="24"/>
          <w:szCs w:val="24"/>
        </w:rPr>
      </w:pPr>
      <w:r w:rsidRPr="00614B09">
        <w:rPr>
          <w:sz w:val="24"/>
          <w:szCs w:val="24"/>
        </w:rPr>
        <w:t>In 202</w:t>
      </w:r>
      <w:r>
        <w:rPr>
          <w:sz w:val="24"/>
          <w:szCs w:val="24"/>
        </w:rPr>
        <w:t>4</w:t>
      </w:r>
      <w:r w:rsidRPr="00614B09">
        <w:rPr>
          <w:sz w:val="24"/>
          <w:szCs w:val="24"/>
        </w:rPr>
        <w:t xml:space="preserve">, a two-band VET materials funding model will be </w:t>
      </w:r>
      <w:r>
        <w:rPr>
          <w:sz w:val="24"/>
          <w:szCs w:val="24"/>
        </w:rPr>
        <w:t>in place</w:t>
      </w:r>
      <w:r w:rsidRPr="00614B09">
        <w:rPr>
          <w:sz w:val="24"/>
          <w:szCs w:val="24"/>
        </w:rPr>
        <w:t xml:space="preserve"> (</w:t>
      </w:r>
      <w:r>
        <w:rPr>
          <w:sz w:val="24"/>
          <w:szCs w:val="24"/>
        </w:rPr>
        <w:t>h</w:t>
      </w:r>
      <w:r w:rsidRPr="00614B09">
        <w:rPr>
          <w:sz w:val="24"/>
          <w:szCs w:val="24"/>
        </w:rPr>
        <w:t xml:space="preserve">igh-cost materials funding band and </w:t>
      </w:r>
      <w:r>
        <w:rPr>
          <w:sz w:val="24"/>
          <w:szCs w:val="24"/>
        </w:rPr>
        <w:t>l</w:t>
      </w:r>
      <w:r w:rsidRPr="00614B09">
        <w:rPr>
          <w:sz w:val="24"/>
          <w:szCs w:val="24"/>
        </w:rPr>
        <w:t>ow-cost materials funding band). The level of funding received will be based on VET enrolments, and payments will be received as quarterly cash grants through the Student Resource Package</w:t>
      </w:r>
      <w:r>
        <w:rPr>
          <w:sz w:val="24"/>
          <w:szCs w:val="24"/>
        </w:rPr>
        <w:t xml:space="preserve"> (SRP)</w:t>
      </w:r>
      <w:r w:rsidRPr="00614B09">
        <w:rPr>
          <w:sz w:val="24"/>
          <w:szCs w:val="24"/>
        </w:rPr>
        <w:t xml:space="preserve">. </w:t>
      </w:r>
    </w:p>
    <w:p w14:paraId="6149651C" w14:textId="77777777" w:rsidR="003D144A" w:rsidRPr="00614B09" w:rsidRDefault="003D144A" w:rsidP="003D144A">
      <w:pPr>
        <w:shd w:val="clear" w:color="auto" w:fill="FFFFFF"/>
        <w:spacing w:after="150" w:line="240" w:lineRule="auto"/>
        <w:rPr>
          <w:sz w:val="24"/>
          <w:szCs w:val="24"/>
        </w:rPr>
      </w:pPr>
      <w:r w:rsidRPr="00614B09">
        <w:rPr>
          <w:sz w:val="24"/>
          <w:szCs w:val="24"/>
        </w:rPr>
        <w:t>Each VET enrolment will be allocated $250 for certificates that sit within the low-cost materials funding band and $450 for those that sit within the high-cost materials funding band.</w:t>
      </w:r>
    </w:p>
    <w:p w14:paraId="57B8C567" w14:textId="77777777" w:rsidR="003D144A" w:rsidRPr="00614B09" w:rsidRDefault="003D144A" w:rsidP="003D144A">
      <w:pPr>
        <w:shd w:val="clear" w:color="auto" w:fill="FFFFFF"/>
        <w:spacing w:after="150" w:line="240" w:lineRule="auto"/>
        <w:rPr>
          <w:sz w:val="24"/>
          <w:szCs w:val="24"/>
        </w:rPr>
      </w:pPr>
      <w:r w:rsidRPr="00614B09">
        <w:rPr>
          <w:sz w:val="24"/>
          <w:szCs w:val="24"/>
        </w:rPr>
        <w:t>For further information on VET materials funding</w:t>
      </w:r>
      <w:r>
        <w:rPr>
          <w:sz w:val="24"/>
          <w:szCs w:val="24"/>
        </w:rPr>
        <w:t>,</w:t>
      </w:r>
      <w:r w:rsidRPr="00614B09">
        <w:rPr>
          <w:sz w:val="24"/>
          <w:szCs w:val="24"/>
        </w:rPr>
        <w:t xml:space="preserve"> visit </w:t>
      </w:r>
      <w:hyperlink r:id="rId234" w:history="1">
        <w:r w:rsidRPr="00614B09">
          <w:rPr>
            <w:rStyle w:val="Hyperlink"/>
            <w:sz w:val="24"/>
            <w:szCs w:val="24"/>
          </w:rPr>
          <w:t xml:space="preserve">Vocational Education and Training (VET) Delivered to </w:t>
        </w:r>
        <w:r>
          <w:rPr>
            <w:rStyle w:val="Hyperlink"/>
            <w:sz w:val="24"/>
            <w:szCs w:val="24"/>
          </w:rPr>
          <w:t>School</w:t>
        </w:r>
        <w:r w:rsidRPr="00614B09">
          <w:rPr>
            <w:rStyle w:val="Hyperlink"/>
            <w:sz w:val="24"/>
            <w:szCs w:val="24"/>
          </w:rPr>
          <w:t xml:space="preserve"> Students</w:t>
        </w:r>
      </w:hyperlink>
      <w:r w:rsidRPr="00614B09">
        <w:rPr>
          <w:sz w:val="24"/>
          <w:szCs w:val="24"/>
        </w:rPr>
        <w:t>.</w:t>
      </w:r>
    </w:p>
    <w:p w14:paraId="6679DF46" w14:textId="77777777" w:rsidR="003D144A" w:rsidRPr="00614B09" w:rsidRDefault="003D144A" w:rsidP="003D144A">
      <w:pPr>
        <w:spacing w:before="360" w:after="120" w:line="360" w:lineRule="atLeast"/>
        <w:outlineLvl w:val="2"/>
        <w:rPr>
          <w:color w:val="011A3C"/>
          <w:sz w:val="24"/>
          <w:szCs w:val="24"/>
        </w:rPr>
      </w:pPr>
      <w:r w:rsidRPr="00614B09">
        <w:rPr>
          <w:rFonts w:eastAsia="Segoe UI" w:cstheme="minorHAnsi"/>
          <w:b/>
          <w:color w:val="011A3C"/>
          <w:sz w:val="24"/>
          <w:szCs w:val="24"/>
          <w:lang w:val="en" w:eastAsia="en-AU"/>
        </w:rPr>
        <w:t>Small-</w:t>
      </w:r>
      <w:r>
        <w:rPr>
          <w:rFonts w:eastAsia="Segoe UI" w:cstheme="minorHAnsi"/>
          <w:b/>
          <w:color w:val="011A3C"/>
          <w:sz w:val="24"/>
          <w:szCs w:val="24"/>
          <w:lang w:val="en" w:eastAsia="en-AU"/>
        </w:rPr>
        <w:t>s</w:t>
      </w:r>
      <w:r w:rsidRPr="00614B09">
        <w:rPr>
          <w:rFonts w:eastAsia="Segoe UI" w:cstheme="minorHAnsi"/>
          <w:b/>
          <w:color w:val="011A3C"/>
          <w:sz w:val="24"/>
          <w:szCs w:val="24"/>
          <w:lang w:val="en" w:eastAsia="en-AU"/>
        </w:rPr>
        <w:t xml:space="preserve">cale </w:t>
      </w:r>
      <w:r>
        <w:rPr>
          <w:rFonts w:eastAsia="Segoe UI" w:cstheme="minorHAnsi"/>
          <w:b/>
          <w:color w:val="011A3C"/>
          <w:sz w:val="24"/>
          <w:szCs w:val="24"/>
          <w:lang w:val="en" w:eastAsia="en-AU"/>
        </w:rPr>
        <w:t>a</w:t>
      </w:r>
      <w:r w:rsidRPr="00614B09">
        <w:rPr>
          <w:rFonts w:eastAsia="Segoe UI" w:cstheme="minorHAnsi"/>
          <w:b/>
          <w:color w:val="011A3C"/>
          <w:sz w:val="24"/>
          <w:szCs w:val="24"/>
          <w:lang w:val="en" w:eastAsia="en-AU"/>
        </w:rPr>
        <w:t>djustment</w:t>
      </w:r>
    </w:p>
    <w:p w14:paraId="6C777EFB" w14:textId="06F120E1" w:rsidR="003D144A" w:rsidRPr="00614B09" w:rsidRDefault="003D144A" w:rsidP="003D144A">
      <w:pPr>
        <w:spacing w:after="120" w:line="240" w:lineRule="auto"/>
        <w:rPr>
          <w:sz w:val="24"/>
          <w:szCs w:val="24"/>
          <w:lang w:eastAsia="en-AU"/>
        </w:rPr>
      </w:pPr>
      <w:r>
        <w:rPr>
          <w:sz w:val="24"/>
          <w:szCs w:val="24"/>
          <w:lang w:eastAsia="en-AU"/>
        </w:rPr>
        <w:t>In 2024</w:t>
      </w:r>
      <w:r w:rsidRPr="00614B09">
        <w:rPr>
          <w:sz w:val="24"/>
          <w:szCs w:val="24"/>
          <w:lang w:eastAsia="en-AU"/>
        </w:rPr>
        <w:t xml:space="preserve">, eligible schools will receive a small-scale adjustment based on their total Years 7 to 12 enrolments. The funding is provided for schools that do not have the scale of student enrolments to offset VDSS costs. </w:t>
      </w:r>
    </w:p>
    <w:p w14:paraId="3F4F5B5E" w14:textId="77777777" w:rsidR="003D144A" w:rsidRPr="00614B09" w:rsidRDefault="003D144A" w:rsidP="003D144A">
      <w:pPr>
        <w:rPr>
          <w:sz w:val="24"/>
          <w:szCs w:val="24"/>
          <w:lang w:eastAsia="en-AU"/>
        </w:rPr>
      </w:pPr>
      <w:r w:rsidRPr="00614B09">
        <w:rPr>
          <w:sz w:val="24"/>
          <w:szCs w:val="24"/>
          <w:lang w:eastAsia="en-AU"/>
        </w:rPr>
        <w:t xml:space="preserve">Schools with 200 or fewer students will receive additional funding, for up to 15 VDSS FTE enrolments, at either the equivalent SRP </w:t>
      </w:r>
      <w:r>
        <w:rPr>
          <w:sz w:val="24"/>
          <w:szCs w:val="24"/>
          <w:lang w:eastAsia="en-AU"/>
        </w:rPr>
        <w:t>C</w:t>
      </w:r>
      <w:r w:rsidRPr="00614B09">
        <w:rPr>
          <w:sz w:val="24"/>
          <w:szCs w:val="24"/>
          <w:lang w:eastAsia="en-AU"/>
        </w:rPr>
        <w:t xml:space="preserve">ore component value (mainstream schools) or Core Stages of Learning component value (specialist schools). </w:t>
      </w:r>
    </w:p>
    <w:p w14:paraId="62710C79" w14:textId="77777777" w:rsidR="003D144A" w:rsidRPr="00833928" w:rsidRDefault="003D144A" w:rsidP="003D144A">
      <w:pPr>
        <w:rPr>
          <w:b/>
          <w:color w:val="011A3C"/>
          <w:sz w:val="24"/>
          <w:lang w:val="en"/>
        </w:rPr>
      </w:pPr>
      <w:r w:rsidRPr="00614B09">
        <w:rPr>
          <w:sz w:val="24"/>
          <w:szCs w:val="24"/>
          <w:lang w:eastAsia="en-AU"/>
        </w:rPr>
        <w:t xml:space="preserve">Schools with enrolments between 201 and 400 students receive a pro-rata allocation. Schools with enrolments greater than 400 will not be eligible for this funding.  </w:t>
      </w:r>
    </w:p>
    <w:p w14:paraId="3463B4AB" w14:textId="77777777" w:rsidR="003D144A" w:rsidRPr="00614B09" w:rsidRDefault="003D144A" w:rsidP="003D144A">
      <w:pPr>
        <w:spacing w:before="360" w:after="120" w:line="360" w:lineRule="atLeast"/>
        <w:outlineLvl w:val="2"/>
        <w:rPr>
          <w:color w:val="011A3C"/>
          <w:sz w:val="24"/>
          <w:szCs w:val="24"/>
        </w:rPr>
      </w:pPr>
      <w:r w:rsidRPr="00614B09">
        <w:rPr>
          <w:rFonts w:eastAsia="Segoe UI" w:cstheme="minorHAnsi"/>
          <w:b/>
          <w:color w:val="011A3C"/>
          <w:sz w:val="24"/>
          <w:szCs w:val="24"/>
          <w:lang w:val="en" w:eastAsia="en-AU"/>
        </w:rPr>
        <w:lastRenderedPageBreak/>
        <w:t>Online budget planner</w:t>
      </w:r>
    </w:p>
    <w:p w14:paraId="7016DC62" w14:textId="77777777" w:rsidR="003D144A" w:rsidRPr="00614B09" w:rsidRDefault="003D144A" w:rsidP="003D144A">
      <w:pPr>
        <w:rPr>
          <w:sz w:val="24"/>
          <w:szCs w:val="24"/>
          <w:lang w:eastAsia="en-AU"/>
        </w:rPr>
      </w:pPr>
      <w:r w:rsidRPr="00614B09">
        <w:rPr>
          <w:sz w:val="24"/>
          <w:szCs w:val="24"/>
          <w:lang w:eastAsia="en-AU"/>
        </w:rPr>
        <w:t xml:space="preserve">The SRP Planner has been enhanced to enable schools the capacity to model VDSS enrolment scenarios to assess funding outcomes. </w:t>
      </w:r>
    </w:p>
    <w:p w14:paraId="38119AC1" w14:textId="72C5E4B3" w:rsidR="003D144A" w:rsidRPr="00614B09" w:rsidRDefault="003D144A" w:rsidP="003D144A">
      <w:pPr>
        <w:rPr>
          <w:sz w:val="24"/>
          <w:szCs w:val="24"/>
          <w:lang w:eastAsia="en-AU"/>
        </w:rPr>
      </w:pPr>
      <w:r w:rsidRPr="00614B09">
        <w:rPr>
          <w:sz w:val="24"/>
          <w:szCs w:val="24"/>
          <w:lang w:eastAsia="en-AU"/>
        </w:rPr>
        <w:t>The tool will allow administrators to input certificate types and enrolments and receive a breakdown of estimated funding for 202</w:t>
      </w:r>
      <w:r>
        <w:rPr>
          <w:sz w:val="24"/>
          <w:szCs w:val="24"/>
          <w:lang w:eastAsia="en-AU"/>
        </w:rPr>
        <w:t>4</w:t>
      </w:r>
      <w:r w:rsidRPr="00614B09">
        <w:rPr>
          <w:sz w:val="24"/>
          <w:szCs w:val="24"/>
          <w:lang w:eastAsia="en-AU"/>
        </w:rPr>
        <w:t xml:space="preserve">. </w:t>
      </w:r>
    </w:p>
    <w:p w14:paraId="166AC165" w14:textId="77777777" w:rsidR="003D144A" w:rsidRPr="00614B09" w:rsidRDefault="003D144A" w:rsidP="003D144A">
      <w:pPr>
        <w:rPr>
          <w:sz w:val="24"/>
          <w:szCs w:val="24"/>
          <w:lang w:eastAsia="en-AU"/>
        </w:rPr>
      </w:pPr>
      <w:r w:rsidRPr="00614B09">
        <w:rPr>
          <w:sz w:val="24"/>
          <w:szCs w:val="24"/>
          <w:lang w:eastAsia="en-AU"/>
        </w:rPr>
        <w:t xml:space="preserve">The tool aims to improve schools’ understanding of the funding streams available for VDSS and to support better financial planning.  </w:t>
      </w:r>
    </w:p>
    <w:p w14:paraId="188A0D05" w14:textId="77777777" w:rsidR="003D144A" w:rsidRPr="00614B09" w:rsidRDefault="003D144A" w:rsidP="003D144A">
      <w:pPr>
        <w:spacing w:before="360" w:after="120" w:line="360" w:lineRule="atLeast"/>
        <w:outlineLvl w:val="2"/>
        <w:rPr>
          <w:color w:val="011A3C"/>
          <w:sz w:val="24"/>
          <w:szCs w:val="24"/>
        </w:rPr>
      </w:pPr>
      <w:r w:rsidRPr="00614B09">
        <w:rPr>
          <w:rFonts w:eastAsia="Segoe UI" w:cstheme="minorHAnsi"/>
          <w:b/>
          <w:color w:val="011A3C"/>
          <w:sz w:val="24"/>
          <w:szCs w:val="24"/>
          <w:lang w:val="en" w:eastAsia="en-AU"/>
        </w:rPr>
        <w:t>Funding formula</w:t>
      </w:r>
    </w:p>
    <w:p w14:paraId="03223DAE" w14:textId="77777777" w:rsidR="003D144A" w:rsidRPr="00614B09" w:rsidRDefault="003D144A" w:rsidP="003D144A">
      <w:pPr>
        <w:spacing w:after="120" w:line="240" w:lineRule="auto"/>
        <w:rPr>
          <w:sz w:val="24"/>
          <w:szCs w:val="24"/>
        </w:rPr>
      </w:pPr>
      <w:r w:rsidRPr="00614B09">
        <w:rPr>
          <w:sz w:val="24"/>
          <w:szCs w:val="24"/>
        </w:rPr>
        <w:t>The funding allocation to support the provision of VET comprises:</w:t>
      </w:r>
    </w:p>
    <w:p w14:paraId="53A4ECEA" w14:textId="77777777" w:rsidR="003D144A" w:rsidRPr="00614B09" w:rsidRDefault="003D144A" w:rsidP="003D144A">
      <w:pPr>
        <w:rPr>
          <w:sz w:val="24"/>
          <w:szCs w:val="24"/>
        </w:rPr>
      </w:pPr>
      <w:r w:rsidRPr="00614B09">
        <w:rPr>
          <w:b/>
          <w:bCs/>
          <w:sz w:val="24"/>
          <w:szCs w:val="24"/>
        </w:rPr>
        <w:t>Eligible FTE certificate enrolments ×</w:t>
      </w:r>
      <w:r w:rsidRPr="00614B09" w:rsidDel="00E655E4">
        <w:rPr>
          <w:b/>
          <w:bCs/>
          <w:sz w:val="24"/>
          <w:szCs w:val="24"/>
        </w:rPr>
        <w:t xml:space="preserve"> </w:t>
      </w:r>
      <w:r w:rsidRPr="00614B09">
        <w:rPr>
          <w:b/>
          <w:bCs/>
          <w:sz w:val="24"/>
          <w:szCs w:val="24"/>
        </w:rPr>
        <w:t>Funding level (Core SRP component + Targeted VET funding)</w:t>
      </w:r>
      <w:r w:rsidRPr="00614B09">
        <w:rPr>
          <w:sz w:val="24"/>
          <w:szCs w:val="24"/>
        </w:rPr>
        <w:t xml:space="preserve"> (for students aged from 15 years to 20 years inclusive at annual VET enrolment deadline on VASS)</w:t>
      </w:r>
    </w:p>
    <w:p w14:paraId="7921A965" w14:textId="77777777" w:rsidR="003D144A" w:rsidRPr="00614B09" w:rsidRDefault="003D144A" w:rsidP="003D144A">
      <w:pPr>
        <w:rPr>
          <w:sz w:val="24"/>
          <w:szCs w:val="24"/>
        </w:rPr>
      </w:pPr>
      <w:r w:rsidRPr="00614B09">
        <w:rPr>
          <w:sz w:val="24"/>
          <w:szCs w:val="24"/>
        </w:rPr>
        <w:t>Plus</w:t>
      </w:r>
    </w:p>
    <w:p w14:paraId="1B6C771D" w14:textId="77777777" w:rsidR="003D144A" w:rsidRPr="00614B09" w:rsidRDefault="003D144A" w:rsidP="003D144A">
      <w:pPr>
        <w:rPr>
          <w:sz w:val="24"/>
          <w:szCs w:val="24"/>
        </w:rPr>
      </w:pPr>
      <w:r w:rsidRPr="00614B09">
        <w:rPr>
          <w:b/>
          <w:bCs/>
          <w:sz w:val="24"/>
          <w:szCs w:val="24"/>
        </w:rPr>
        <w:t>Small-scale adjustment</w:t>
      </w:r>
      <w:r w:rsidRPr="00614B09">
        <w:rPr>
          <w:sz w:val="24"/>
          <w:szCs w:val="24"/>
        </w:rPr>
        <w:t xml:space="preserve"> (Eligible VDSS FTE enrolments (up to 15 FTE) × Small-scale adjustment rate (where total Year 7-12 enrolments </w:t>
      </w:r>
      <w:r w:rsidRPr="00614B09">
        <w:rPr>
          <w:rFonts w:cstheme="minorHAnsi"/>
          <w:sz w:val="24"/>
          <w:szCs w:val="24"/>
        </w:rPr>
        <w:t xml:space="preserve">≤ </w:t>
      </w:r>
      <w:r w:rsidRPr="00614B09">
        <w:rPr>
          <w:sz w:val="24"/>
          <w:szCs w:val="24"/>
        </w:rPr>
        <w:t>400).</w:t>
      </w:r>
    </w:p>
    <w:p w14:paraId="2E866973" w14:textId="47CFF019" w:rsidR="003D144A" w:rsidRDefault="003D144A" w:rsidP="003D144A">
      <w:pPr>
        <w:rPr>
          <w:b/>
          <w:bCs/>
        </w:rPr>
      </w:pPr>
      <w:r>
        <w:rPr>
          <w:b/>
          <w:bCs/>
        </w:rPr>
        <w:t xml:space="preserve"> </w:t>
      </w:r>
      <w:r>
        <w:rPr>
          <w:b/>
          <w:bCs/>
          <w:highlight w:val="cyan"/>
        </w:rPr>
        <w:t xml:space="preserve"> </w:t>
      </w:r>
    </w:p>
    <w:p w14:paraId="75883B10" w14:textId="1A97DE09" w:rsidR="003D144A" w:rsidRPr="00614B09" w:rsidRDefault="003D144A" w:rsidP="003D144A">
      <w:pPr>
        <w:rPr>
          <w:b/>
          <w:bCs/>
          <w:sz w:val="24"/>
          <w:szCs w:val="24"/>
        </w:rPr>
      </w:pPr>
      <w:r w:rsidRPr="00614B09">
        <w:rPr>
          <w:b/>
          <w:bCs/>
          <w:sz w:val="24"/>
          <w:szCs w:val="24"/>
        </w:rPr>
        <w:t>VET materials funding rates for 202</w:t>
      </w:r>
      <w:r>
        <w:rPr>
          <w:b/>
          <w:bCs/>
          <w:sz w:val="24"/>
          <w:szCs w:val="24"/>
        </w:rPr>
        <w:t>4</w:t>
      </w:r>
    </w:p>
    <w:tbl>
      <w:tblPr>
        <w:tblStyle w:val="TableGrid"/>
        <w:tblW w:w="0" w:type="auto"/>
        <w:tblInd w:w="0" w:type="dxa"/>
        <w:tblLook w:val="04A0" w:firstRow="1" w:lastRow="0" w:firstColumn="1" w:lastColumn="0" w:noHBand="0" w:noVBand="1"/>
      </w:tblPr>
      <w:tblGrid>
        <w:gridCol w:w="2122"/>
        <w:gridCol w:w="2409"/>
      </w:tblGrid>
      <w:tr w:rsidR="003D144A" w:rsidRPr="007B584F" w14:paraId="5BA5B1E7" w14:textId="77777777" w:rsidTr="00196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hideMark/>
          </w:tcPr>
          <w:p w14:paraId="064ED04C" w14:textId="77777777" w:rsidR="003D144A" w:rsidRPr="00614B09" w:rsidRDefault="003D144A" w:rsidP="00196591">
            <w:pPr>
              <w:jc w:val="center"/>
              <w:rPr>
                <w:sz w:val="24"/>
              </w:rPr>
            </w:pPr>
            <w:r w:rsidRPr="00614B09">
              <w:rPr>
                <w:sz w:val="24"/>
              </w:rPr>
              <w:t>Band</w:t>
            </w:r>
          </w:p>
        </w:tc>
        <w:tc>
          <w:tcPr>
            <w:tcW w:w="2409" w:type="dxa"/>
            <w:tcBorders>
              <w:top w:val="single" w:sz="4" w:space="0" w:color="auto"/>
              <w:left w:val="single" w:sz="4" w:space="0" w:color="auto"/>
              <w:bottom w:val="single" w:sz="4" w:space="0" w:color="auto"/>
              <w:right w:val="single" w:sz="4" w:space="0" w:color="auto"/>
            </w:tcBorders>
            <w:hideMark/>
          </w:tcPr>
          <w:p w14:paraId="1899B446" w14:textId="77777777" w:rsidR="003D144A" w:rsidRPr="00614B09" w:rsidRDefault="003D144A" w:rsidP="00196591">
            <w:pPr>
              <w:jc w:val="right"/>
              <w:cnfStyle w:val="100000000000" w:firstRow="1" w:lastRow="0" w:firstColumn="0" w:lastColumn="0" w:oddVBand="0" w:evenVBand="0" w:oddHBand="0" w:evenHBand="0" w:firstRowFirstColumn="0" w:firstRowLastColumn="0" w:lastRowFirstColumn="0" w:lastRowLastColumn="0"/>
              <w:rPr>
                <w:sz w:val="24"/>
              </w:rPr>
            </w:pPr>
            <w:r w:rsidRPr="00614B09">
              <w:rPr>
                <w:sz w:val="24"/>
              </w:rPr>
              <w:t>Materials Funding Rate</w:t>
            </w:r>
          </w:p>
        </w:tc>
      </w:tr>
      <w:tr w:rsidR="003D144A" w:rsidRPr="007B584F" w14:paraId="1453A29B" w14:textId="77777777" w:rsidTr="00196591">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hideMark/>
          </w:tcPr>
          <w:p w14:paraId="7EA6C7E7" w14:textId="77777777" w:rsidR="003D144A" w:rsidRPr="00614B09" w:rsidRDefault="003D144A" w:rsidP="00196591">
            <w:pPr>
              <w:jc w:val="center"/>
              <w:rPr>
                <w:sz w:val="24"/>
              </w:rPr>
            </w:pPr>
            <w:r w:rsidRPr="00614B09">
              <w:rPr>
                <w:sz w:val="24"/>
              </w:rPr>
              <w:t>Low-cost materials</w:t>
            </w:r>
          </w:p>
        </w:tc>
        <w:tc>
          <w:tcPr>
            <w:tcW w:w="2409" w:type="dxa"/>
            <w:tcBorders>
              <w:top w:val="single" w:sz="4" w:space="0" w:color="auto"/>
              <w:left w:val="single" w:sz="4" w:space="0" w:color="auto"/>
              <w:bottom w:val="single" w:sz="4" w:space="0" w:color="auto"/>
              <w:right w:val="single" w:sz="4" w:space="0" w:color="auto"/>
            </w:tcBorders>
            <w:hideMark/>
          </w:tcPr>
          <w:p w14:paraId="5F4FD2B7" w14:textId="77777777" w:rsidR="003D144A" w:rsidRPr="00614B09" w:rsidRDefault="003D144A" w:rsidP="00196591">
            <w:pPr>
              <w:jc w:val="right"/>
              <w:cnfStyle w:val="000000000000" w:firstRow="0" w:lastRow="0" w:firstColumn="0" w:lastColumn="0" w:oddVBand="0" w:evenVBand="0" w:oddHBand="0" w:evenHBand="0" w:firstRowFirstColumn="0" w:firstRowLastColumn="0" w:lastRowFirstColumn="0" w:lastRowLastColumn="0"/>
              <w:rPr>
                <w:sz w:val="24"/>
              </w:rPr>
            </w:pPr>
            <w:r w:rsidRPr="00614B09">
              <w:rPr>
                <w:sz w:val="24"/>
              </w:rPr>
              <w:t>$250.00</w:t>
            </w:r>
          </w:p>
        </w:tc>
      </w:tr>
      <w:tr w:rsidR="003D144A" w:rsidRPr="007B584F" w14:paraId="74E18EAC" w14:textId="77777777" w:rsidTr="00196591">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hideMark/>
          </w:tcPr>
          <w:p w14:paraId="6791CBE7" w14:textId="77777777" w:rsidR="003D144A" w:rsidRPr="00614B09" w:rsidRDefault="003D144A" w:rsidP="00196591">
            <w:pPr>
              <w:jc w:val="center"/>
              <w:rPr>
                <w:sz w:val="24"/>
              </w:rPr>
            </w:pPr>
            <w:r w:rsidRPr="00614B09">
              <w:rPr>
                <w:sz w:val="24"/>
              </w:rPr>
              <w:t>High-cost materials</w:t>
            </w:r>
          </w:p>
        </w:tc>
        <w:tc>
          <w:tcPr>
            <w:tcW w:w="2409" w:type="dxa"/>
            <w:tcBorders>
              <w:top w:val="single" w:sz="4" w:space="0" w:color="auto"/>
              <w:left w:val="single" w:sz="4" w:space="0" w:color="auto"/>
              <w:bottom w:val="single" w:sz="4" w:space="0" w:color="auto"/>
              <w:right w:val="single" w:sz="4" w:space="0" w:color="auto"/>
            </w:tcBorders>
            <w:hideMark/>
          </w:tcPr>
          <w:p w14:paraId="5F485494" w14:textId="77777777" w:rsidR="003D144A" w:rsidRPr="00614B09" w:rsidRDefault="003D144A" w:rsidP="00196591">
            <w:pPr>
              <w:jc w:val="right"/>
              <w:cnfStyle w:val="000000000000" w:firstRow="0" w:lastRow="0" w:firstColumn="0" w:lastColumn="0" w:oddVBand="0" w:evenVBand="0" w:oddHBand="0" w:evenHBand="0" w:firstRowFirstColumn="0" w:firstRowLastColumn="0" w:lastRowFirstColumn="0" w:lastRowLastColumn="0"/>
              <w:rPr>
                <w:sz w:val="24"/>
              </w:rPr>
            </w:pPr>
            <w:r w:rsidRPr="00614B09">
              <w:rPr>
                <w:sz w:val="24"/>
              </w:rPr>
              <w:t>$450.00</w:t>
            </w:r>
          </w:p>
        </w:tc>
      </w:tr>
    </w:tbl>
    <w:p w14:paraId="0C2B65AE" w14:textId="77777777" w:rsidR="003D144A" w:rsidRDefault="003D144A" w:rsidP="003D144A">
      <w:pPr>
        <w:rPr>
          <w:b/>
          <w:bCs/>
        </w:rPr>
      </w:pPr>
    </w:p>
    <w:p w14:paraId="77E88E29" w14:textId="77777777" w:rsidR="003D144A" w:rsidRPr="00614B09" w:rsidRDefault="003D144A" w:rsidP="003D144A">
      <w:pPr>
        <w:rPr>
          <w:b/>
          <w:bCs/>
          <w:sz w:val="24"/>
          <w:szCs w:val="24"/>
        </w:rPr>
      </w:pPr>
      <w:r w:rsidRPr="00614B09">
        <w:rPr>
          <w:b/>
          <w:bCs/>
          <w:sz w:val="24"/>
          <w:szCs w:val="24"/>
        </w:rPr>
        <w:t>Small-scale adjustment rates</w:t>
      </w:r>
    </w:p>
    <w:p w14:paraId="2FA2C5D0" w14:textId="4F2DBD16" w:rsidR="003D144A" w:rsidRPr="00614B09" w:rsidRDefault="003D144A" w:rsidP="003D144A">
      <w:pPr>
        <w:rPr>
          <w:sz w:val="24"/>
          <w:szCs w:val="24"/>
        </w:rPr>
      </w:pPr>
      <w:r w:rsidRPr="00614B09">
        <w:rPr>
          <w:sz w:val="24"/>
          <w:szCs w:val="24"/>
        </w:rPr>
        <w:t>Mainstream schools: Maximum rate is $1,2</w:t>
      </w:r>
      <w:r>
        <w:rPr>
          <w:sz w:val="24"/>
          <w:szCs w:val="24"/>
        </w:rPr>
        <w:t>2</w:t>
      </w:r>
      <w:r w:rsidRPr="00614B09">
        <w:rPr>
          <w:sz w:val="24"/>
          <w:szCs w:val="24"/>
        </w:rPr>
        <w:t xml:space="preserve">9 per enrolment capped at 15 enrolments for eligible schools with up to 200 students. For schools with enrolments between 201 and 400 students, the rate reduces by $6.11 per student.  </w:t>
      </w:r>
    </w:p>
    <w:p w14:paraId="128B8D6A" w14:textId="28BBC937" w:rsidR="003D144A" w:rsidRPr="00614B09" w:rsidRDefault="003D144A" w:rsidP="003D144A">
      <w:pPr>
        <w:rPr>
          <w:rFonts w:cstheme="minorHAnsi"/>
          <w:sz w:val="24"/>
          <w:szCs w:val="24"/>
        </w:rPr>
      </w:pPr>
      <w:r w:rsidRPr="00614B09">
        <w:rPr>
          <w:rFonts w:cstheme="minorHAnsi"/>
          <w:sz w:val="24"/>
          <w:szCs w:val="24"/>
        </w:rPr>
        <w:t>Special schools: Maximum rate is $1,0</w:t>
      </w:r>
      <w:r>
        <w:rPr>
          <w:rFonts w:cstheme="minorHAnsi"/>
          <w:sz w:val="24"/>
          <w:szCs w:val="24"/>
        </w:rPr>
        <w:t>58</w:t>
      </w:r>
      <w:r w:rsidRPr="00614B09">
        <w:rPr>
          <w:rFonts w:cstheme="minorHAnsi"/>
          <w:sz w:val="24"/>
          <w:szCs w:val="24"/>
        </w:rPr>
        <w:t xml:space="preserve"> per enrolment capped at 15 enrolments for eligible schools with up to 200 students. For schools with enrolments between 201 and 400 students, the rate reduces by $4.99 per student.  </w:t>
      </w:r>
    </w:p>
    <w:p w14:paraId="0EBCCE9D" w14:textId="4722FCC0" w:rsidR="003D144A" w:rsidRPr="00614B09" w:rsidRDefault="003D144A" w:rsidP="003D144A">
      <w:pPr>
        <w:pStyle w:val="CommentText"/>
        <w:rPr>
          <w:rFonts w:cstheme="minorHAnsi"/>
          <w:sz w:val="24"/>
          <w:szCs w:val="24"/>
        </w:rPr>
      </w:pPr>
      <w:r w:rsidRPr="00614B09">
        <w:rPr>
          <w:rFonts w:cstheme="minorHAnsi"/>
          <w:sz w:val="24"/>
          <w:szCs w:val="24"/>
        </w:rPr>
        <w:t>The amount of funding received in Terms 1 and 2 will be based on enrolment figures from 202</w:t>
      </w:r>
      <w:r>
        <w:rPr>
          <w:rFonts w:cstheme="minorHAnsi"/>
          <w:sz w:val="24"/>
          <w:szCs w:val="24"/>
        </w:rPr>
        <w:t>3</w:t>
      </w:r>
      <w:r w:rsidRPr="00614B09">
        <w:rPr>
          <w:rFonts w:cstheme="minorHAnsi"/>
          <w:sz w:val="24"/>
          <w:szCs w:val="24"/>
        </w:rPr>
        <w:t xml:space="preserve"> This funding amount will be adjusted accordingly pending VASS deadline enrolment figures.</w:t>
      </w:r>
    </w:p>
    <w:p w14:paraId="7F870B47" w14:textId="77777777" w:rsidR="003D144A" w:rsidRPr="00614B09" w:rsidRDefault="003D144A" w:rsidP="003D144A">
      <w:pPr>
        <w:pStyle w:val="CommentText"/>
        <w:rPr>
          <w:rFonts w:cstheme="minorHAnsi"/>
          <w:sz w:val="24"/>
          <w:szCs w:val="24"/>
        </w:rPr>
      </w:pPr>
      <w:r w:rsidRPr="00614B09">
        <w:rPr>
          <w:rFonts w:cstheme="minorHAnsi"/>
          <w:sz w:val="24"/>
          <w:szCs w:val="24"/>
        </w:rPr>
        <w:t>It is important for schools to CORRECTLY enter enrolments on VASS by the due date, including the certificate title, units of competency, and hours, as there is no capacity to provide funding to schools that have not entered VET enrolments on VASS at all or have entered them with incorrect information.</w:t>
      </w:r>
    </w:p>
    <w:p w14:paraId="7AC89581" w14:textId="77777777" w:rsidR="003D144A" w:rsidRPr="00614B09" w:rsidRDefault="003D144A" w:rsidP="003D144A">
      <w:pPr>
        <w:spacing w:before="360" w:after="120" w:line="360" w:lineRule="atLeast"/>
        <w:outlineLvl w:val="2"/>
        <w:rPr>
          <w:color w:val="011A3C"/>
          <w:sz w:val="24"/>
          <w:szCs w:val="24"/>
        </w:rPr>
      </w:pPr>
      <w:r w:rsidRPr="00614B09">
        <w:rPr>
          <w:rFonts w:eastAsia="Segoe UI" w:cstheme="minorHAnsi"/>
          <w:b/>
          <w:color w:val="011A3C"/>
          <w:sz w:val="24"/>
          <w:szCs w:val="24"/>
          <w:lang w:val="en" w:eastAsia="en-AU"/>
        </w:rPr>
        <w:t>School-based apprenticeships and traineeships</w:t>
      </w:r>
    </w:p>
    <w:p w14:paraId="7C1C79A9" w14:textId="77777777" w:rsidR="003D144A" w:rsidRPr="00614B09" w:rsidRDefault="003D144A" w:rsidP="003D144A">
      <w:pPr>
        <w:pStyle w:val="NormalWeb"/>
        <w:spacing w:before="0" w:beforeAutospacing="0" w:after="120" w:afterAutospacing="0"/>
        <w:rPr>
          <w:rFonts w:asciiTheme="minorHAnsi" w:hAnsiTheme="minorHAnsi" w:cstheme="minorHAnsi"/>
          <w:color w:val="011A3C"/>
        </w:rPr>
      </w:pPr>
      <w:r w:rsidRPr="00614B09">
        <w:rPr>
          <w:rFonts w:asciiTheme="minorHAnsi" w:hAnsiTheme="minorHAnsi" w:cstheme="minorHAnsi"/>
        </w:rPr>
        <w:t xml:space="preserve">A student enrolled in a VET qualification through a school-based apprenticeship or traineeship (SBAT) is funded under Skills First and is not eligible for targeted VET funding. For assessment purposes, students </w:t>
      </w:r>
      <w:r w:rsidRPr="00614B09">
        <w:rPr>
          <w:rFonts w:asciiTheme="minorHAnsi" w:hAnsiTheme="minorHAnsi" w:cstheme="minorHAnsi"/>
        </w:rPr>
        <w:lastRenderedPageBreak/>
        <w:t>undertaking VET as part of an SBAT are still able to gain credit towards completion of their senior secondary certificate. Further information on SBATs is available at:</w:t>
      </w:r>
      <w:r w:rsidRPr="00614B09">
        <w:rPr>
          <w:rFonts w:asciiTheme="minorHAnsi" w:hAnsiTheme="minorHAnsi" w:cstheme="minorHAnsi"/>
          <w:color w:val="011A3C"/>
        </w:rPr>
        <w:t> </w:t>
      </w:r>
      <w:hyperlink r:id="rId235" w:tgtFrame="_blank" w:history="1">
        <w:r w:rsidRPr="00614B09">
          <w:rPr>
            <w:rStyle w:val="Hyperlink"/>
            <w:rFonts w:asciiTheme="minorHAnsi" w:eastAsiaTheme="minorHAnsi" w:hAnsiTheme="minorHAnsi"/>
            <w:lang w:eastAsia="en-US"/>
          </w:rPr>
          <w:t>Part-time and School-based Apprenticeships and Traineeships</w:t>
        </w:r>
      </w:hyperlink>
      <w:r w:rsidRPr="00200A26">
        <w:rPr>
          <w:rFonts w:cstheme="minorHAnsi"/>
          <w:color w:val="011A3C"/>
        </w:rPr>
        <w:t>.</w:t>
      </w:r>
    </w:p>
    <w:p w14:paraId="6B7435B6" w14:textId="77777777" w:rsidR="003D144A" w:rsidRPr="00614B09" w:rsidRDefault="003D144A" w:rsidP="003D144A">
      <w:pPr>
        <w:spacing w:before="360" w:after="120" w:line="360" w:lineRule="atLeast"/>
        <w:outlineLvl w:val="2"/>
        <w:rPr>
          <w:rFonts w:cstheme="minorHAnsi"/>
          <w:color w:val="011A3C"/>
          <w:sz w:val="24"/>
          <w:szCs w:val="24"/>
        </w:rPr>
      </w:pPr>
      <w:r w:rsidRPr="00614B09">
        <w:rPr>
          <w:rFonts w:eastAsia="Segoe UI" w:cstheme="minorHAnsi"/>
          <w:b/>
          <w:color w:val="011A3C"/>
          <w:sz w:val="24"/>
          <w:szCs w:val="24"/>
          <w:lang w:val="en" w:eastAsia="en-AU"/>
        </w:rPr>
        <w:t>Head Start</w:t>
      </w:r>
    </w:p>
    <w:p w14:paraId="643D87EB" w14:textId="77777777" w:rsidR="003D144A" w:rsidRPr="00200A26" w:rsidRDefault="003D144A" w:rsidP="003D144A">
      <w:pPr>
        <w:pStyle w:val="NormalWeb"/>
        <w:spacing w:before="0" w:beforeAutospacing="0" w:after="120" w:afterAutospacing="0"/>
        <w:rPr>
          <w:rFonts w:cstheme="minorHAnsi"/>
        </w:rPr>
      </w:pPr>
      <w:r w:rsidRPr="00614B09">
        <w:rPr>
          <w:rFonts w:asciiTheme="minorHAnsi" w:hAnsiTheme="minorHAnsi" w:cstheme="minorHAnsi"/>
        </w:rPr>
        <w:t>From 2023, the Victorian government will be expanding the Head Start program to all government secondary schools. Head Start provides an innovative approach that encourages students to undertake an apprenticeship or traineeship with high-quality Certificate III qualifications in priority industries as part of their senior secondary studies. Like all SBATs,</w:t>
      </w:r>
      <w:hyperlink r:id="rId236" w:tgtFrame="_blank" w:history="1">
        <w:r w:rsidRPr="002D1CE2">
          <w:rPr>
            <w:rStyle w:val="Hyperlink"/>
            <w:rFonts w:asciiTheme="minorHAnsi" w:hAnsiTheme="minorHAnsi" w:cstheme="minorHAnsi"/>
          </w:rPr>
          <w:t> </w:t>
        </w:r>
        <w:r w:rsidRPr="002D1CE2">
          <w:rPr>
            <w:rStyle w:val="Hyperlink"/>
            <w:rFonts w:asciiTheme="minorHAnsi" w:eastAsiaTheme="minorHAnsi" w:hAnsiTheme="minorHAnsi"/>
            <w:lang w:eastAsia="en-US"/>
          </w:rPr>
          <w:t>Head Start apprenticeships and traineeships</w:t>
        </w:r>
        <w:r w:rsidRPr="002D1CE2">
          <w:rPr>
            <w:rStyle w:val="Hyperlink"/>
            <w:rFonts w:asciiTheme="minorHAnsi" w:hAnsiTheme="minorHAnsi" w:cstheme="minorHAnsi"/>
          </w:rPr>
          <w:t> are funded through Skills First.</w:t>
        </w:r>
      </w:hyperlink>
    </w:p>
    <w:p w14:paraId="27942581" w14:textId="77777777" w:rsidR="003D144A" w:rsidRPr="00614B09" w:rsidRDefault="003D144A" w:rsidP="003D144A">
      <w:pPr>
        <w:spacing w:before="360" w:after="120" w:line="360" w:lineRule="atLeast"/>
        <w:outlineLvl w:val="2"/>
        <w:rPr>
          <w:color w:val="011A3C"/>
          <w:sz w:val="24"/>
          <w:szCs w:val="24"/>
        </w:rPr>
      </w:pPr>
      <w:r w:rsidRPr="00614B09">
        <w:rPr>
          <w:rFonts w:eastAsia="Segoe UI" w:cstheme="minorHAnsi"/>
          <w:b/>
          <w:color w:val="011A3C"/>
          <w:sz w:val="24"/>
          <w:szCs w:val="24"/>
          <w:lang w:val="en" w:eastAsia="en-AU"/>
        </w:rPr>
        <w:t>School VET fees and charges</w:t>
      </w:r>
    </w:p>
    <w:p w14:paraId="796F8540" w14:textId="77777777" w:rsidR="003D144A" w:rsidRPr="00614B09" w:rsidRDefault="003D144A" w:rsidP="003D144A">
      <w:pPr>
        <w:pStyle w:val="CommentText"/>
        <w:spacing w:after="120"/>
        <w:rPr>
          <w:rFonts w:cstheme="minorHAnsi"/>
          <w:sz w:val="24"/>
          <w:szCs w:val="24"/>
        </w:rPr>
      </w:pPr>
      <w:r w:rsidRPr="00614B09">
        <w:rPr>
          <w:rFonts w:cstheme="minorHAnsi"/>
          <w:sz w:val="24"/>
          <w:szCs w:val="24"/>
        </w:rPr>
        <w:t>VET programs are considered standard curriculum and therefore government schools must provide VET tuition free of charge. Government schools can no longer request payments from parents for essential learning materials for VET studies.</w:t>
      </w:r>
    </w:p>
    <w:p w14:paraId="4657DBB7" w14:textId="77777777" w:rsidR="003D144A" w:rsidRPr="00614B09" w:rsidRDefault="003D144A" w:rsidP="003D144A">
      <w:pPr>
        <w:spacing w:before="360" w:after="120" w:line="360" w:lineRule="atLeast"/>
        <w:outlineLvl w:val="2"/>
        <w:rPr>
          <w:color w:val="011A3C"/>
          <w:sz w:val="24"/>
          <w:szCs w:val="24"/>
        </w:rPr>
      </w:pPr>
      <w:r w:rsidRPr="00614B09">
        <w:rPr>
          <w:rFonts w:eastAsia="Segoe UI" w:cstheme="minorHAnsi"/>
          <w:b/>
          <w:color w:val="011A3C"/>
          <w:sz w:val="24"/>
          <w:szCs w:val="24"/>
          <w:lang w:val="en" w:eastAsia="en-AU"/>
        </w:rPr>
        <w:t>Use of targeted VET funding</w:t>
      </w:r>
    </w:p>
    <w:p w14:paraId="3394D1E0" w14:textId="77777777" w:rsidR="003D144A" w:rsidRPr="00614B09" w:rsidRDefault="003D144A" w:rsidP="003D144A">
      <w:pPr>
        <w:pStyle w:val="NormalWeb"/>
        <w:spacing w:before="0" w:beforeAutospacing="0" w:after="120" w:afterAutospacing="0"/>
        <w:rPr>
          <w:rFonts w:asciiTheme="minorHAnsi" w:eastAsiaTheme="minorHAnsi" w:hAnsiTheme="minorHAnsi" w:cstheme="minorHAnsi"/>
          <w:lang w:eastAsia="en-US"/>
        </w:rPr>
      </w:pPr>
      <w:r w:rsidRPr="00614B09">
        <w:rPr>
          <w:rFonts w:asciiTheme="minorHAnsi" w:eastAsiaTheme="minorHAnsi" w:hAnsiTheme="minorHAnsi" w:cstheme="minorHAnsi"/>
          <w:lang w:eastAsia="en-US"/>
        </w:rPr>
        <w:t>Targeted VET funding allocated to support VET provision can be used for a range of purposes.</w:t>
      </w:r>
    </w:p>
    <w:p w14:paraId="6F444268" w14:textId="77777777" w:rsidR="003D144A" w:rsidRPr="00614B09" w:rsidRDefault="003D144A" w:rsidP="003D144A">
      <w:pPr>
        <w:pStyle w:val="NormalWeb"/>
        <w:spacing w:before="0" w:beforeAutospacing="0" w:after="0" w:afterAutospacing="0"/>
        <w:rPr>
          <w:rFonts w:asciiTheme="minorHAnsi" w:eastAsiaTheme="minorHAnsi" w:hAnsiTheme="minorHAnsi" w:cstheme="minorHAnsi"/>
          <w:lang w:eastAsia="en-US"/>
        </w:rPr>
      </w:pPr>
      <w:r w:rsidRPr="00614B09">
        <w:rPr>
          <w:rFonts w:asciiTheme="minorHAnsi" w:eastAsiaTheme="minorHAnsi" w:hAnsiTheme="minorHAnsi" w:cstheme="minorHAnsi"/>
          <w:lang w:eastAsia="en-US"/>
        </w:rPr>
        <w:t>This may include:</w:t>
      </w:r>
    </w:p>
    <w:p w14:paraId="28B48D4A" w14:textId="77777777" w:rsidR="003D144A" w:rsidRPr="00614B09" w:rsidRDefault="003D144A" w:rsidP="003D144A">
      <w:pPr>
        <w:numPr>
          <w:ilvl w:val="0"/>
          <w:numId w:val="101"/>
        </w:numPr>
        <w:spacing w:after="0" w:line="240" w:lineRule="auto"/>
        <w:rPr>
          <w:rFonts w:cstheme="minorHAnsi"/>
          <w:sz w:val="24"/>
          <w:szCs w:val="24"/>
        </w:rPr>
      </w:pPr>
      <w:r w:rsidRPr="00614B09">
        <w:rPr>
          <w:rFonts w:cstheme="minorHAnsi"/>
          <w:sz w:val="24"/>
          <w:szCs w:val="24"/>
        </w:rPr>
        <w:t>A contribution towards the purchase of delivery</w:t>
      </w:r>
    </w:p>
    <w:p w14:paraId="319D0CF3" w14:textId="77777777" w:rsidR="003D144A" w:rsidRPr="00614B09" w:rsidRDefault="003D144A" w:rsidP="003D144A">
      <w:pPr>
        <w:numPr>
          <w:ilvl w:val="0"/>
          <w:numId w:val="101"/>
        </w:numPr>
        <w:spacing w:before="100" w:beforeAutospacing="1" w:after="100" w:afterAutospacing="1" w:line="240" w:lineRule="auto"/>
        <w:rPr>
          <w:rFonts w:cstheme="minorHAnsi"/>
          <w:sz w:val="24"/>
          <w:szCs w:val="24"/>
        </w:rPr>
      </w:pPr>
      <w:r w:rsidRPr="00614B09">
        <w:rPr>
          <w:rFonts w:cstheme="minorHAnsi"/>
          <w:sz w:val="24"/>
          <w:szCs w:val="24"/>
        </w:rPr>
        <w:t>A contribution towards teacher professional development and training</w:t>
      </w:r>
    </w:p>
    <w:p w14:paraId="7106A18A" w14:textId="77777777" w:rsidR="003D144A" w:rsidRPr="00614B09" w:rsidRDefault="003D144A" w:rsidP="003D144A">
      <w:pPr>
        <w:numPr>
          <w:ilvl w:val="0"/>
          <w:numId w:val="101"/>
        </w:numPr>
        <w:spacing w:before="100" w:beforeAutospacing="1" w:after="100" w:afterAutospacing="1" w:line="240" w:lineRule="auto"/>
        <w:rPr>
          <w:rFonts w:cstheme="minorHAnsi"/>
          <w:sz w:val="24"/>
          <w:szCs w:val="24"/>
        </w:rPr>
      </w:pPr>
      <w:r w:rsidRPr="00614B09">
        <w:rPr>
          <w:rFonts w:cstheme="minorHAnsi"/>
          <w:sz w:val="24"/>
          <w:szCs w:val="24"/>
        </w:rPr>
        <w:t>Costs associated with registering as an RTO</w:t>
      </w:r>
    </w:p>
    <w:p w14:paraId="26700E1D" w14:textId="77777777" w:rsidR="003D144A" w:rsidRPr="00614B09" w:rsidRDefault="003D144A" w:rsidP="003D144A">
      <w:pPr>
        <w:numPr>
          <w:ilvl w:val="0"/>
          <w:numId w:val="101"/>
        </w:numPr>
        <w:spacing w:before="100" w:beforeAutospacing="1" w:after="100" w:afterAutospacing="1" w:line="240" w:lineRule="auto"/>
        <w:rPr>
          <w:rFonts w:cstheme="minorHAnsi"/>
          <w:sz w:val="24"/>
          <w:szCs w:val="24"/>
        </w:rPr>
      </w:pPr>
      <w:r w:rsidRPr="00614B09">
        <w:rPr>
          <w:rFonts w:cstheme="minorHAnsi"/>
          <w:sz w:val="24"/>
          <w:szCs w:val="24"/>
        </w:rPr>
        <w:t>Program planning</w:t>
      </w:r>
    </w:p>
    <w:p w14:paraId="33DA466D" w14:textId="77777777" w:rsidR="003D144A" w:rsidRPr="00614B09" w:rsidRDefault="003D144A" w:rsidP="003D144A">
      <w:pPr>
        <w:numPr>
          <w:ilvl w:val="0"/>
          <w:numId w:val="101"/>
        </w:numPr>
        <w:spacing w:before="100" w:beforeAutospacing="1" w:after="100" w:afterAutospacing="1" w:line="240" w:lineRule="auto"/>
        <w:rPr>
          <w:rFonts w:cstheme="minorHAnsi"/>
          <w:sz w:val="24"/>
          <w:szCs w:val="24"/>
        </w:rPr>
      </w:pPr>
      <w:r w:rsidRPr="00614B09">
        <w:rPr>
          <w:rFonts w:cstheme="minorHAnsi"/>
          <w:sz w:val="24"/>
          <w:szCs w:val="24"/>
        </w:rPr>
        <w:t>Purchase of curriculum materials, and</w:t>
      </w:r>
    </w:p>
    <w:p w14:paraId="57CC9FE8" w14:textId="77777777" w:rsidR="003D144A" w:rsidRPr="00614B09" w:rsidRDefault="003D144A" w:rsidP="003D144A">
      <w:pPr>
        <w:numPr>
          <w:ilvl w:val="0"/>
          <w:numId w:val="101"/>
        </w:numPr>
        <w:spacing w:before="100" w:beforeAutospacing="1" w:after="100" w:afterAutospacing="1" w:line="240" w:lineRule="auto"/>
        <w:rPr>
          <w:rFonts w:cstheme="minorHAnsi"/>
          <w:sz w:val="24"/>
          <w:szCs w:val="24"/>
        </w:rPr>
      </w:pPr>
      <w:r w:rsidRPr="00614B09">
        <w:rPr>
          <w:rFonts w:cstheme="minorHAnsi"/>
          <w:sz w:val="24"/>
          <w:szCs w:val="24"/>
        </w:rPr>
        <w:t>Costs associated with the transition to new training packages.</w:t>
      </w:r>
    </w:p>
    <w:p w14:paraId="601F7F17" w14:textId="77777777" w:rsidR="003D144A" w:rsidRPr="00614B09" w:rsidRDefault="003D144A" w:rsidP="003D144A">
      <w:pPr>
        <w:spacing w:before="360" w:after="120" w:line="360" w:lineRule="atLeast"/>
        <w:outlineLvl w:val="2"/>
        <w:rPr>
          <w:color w:val="011A3C"/>
          <w:sz w:val="24"/>
          <w:szCs w:val="24"/>
        </w:rPr>
      </w:pPr>
      <w:r w:rsidRPr="00614B09">
        <w:rPr>
          <w:rFonts w:eastAsia="Segoe UI" w:cstheme="minorHAnsi"/>
          <w:b/>
          <w:color w:val="011A3C"/>
          <w:sz w:val="24"/>
          <w:szCs w:val="24"/>
          <w:lang w:val="en" w:eastAsia="en-AU"/>
        </w:rPr>
        <w:t>Contractual arrangements between schools and VET providers</w:t>
      </w:r>
    </w:p>
    <w:p w14:paraId="335B8034" w14:textId="77777777" w:rsidR="003D144A" w:rsidRPr="00614B09" w:rsidRDefault="003D144A" w:rsidP="003D144A">
      <w:pPr>
        <w:pStyle w:val="NormalWeb"/>
        <w:spacing w:before="0" w:beforeAutospacing="0" w:after="120" w:afterAutospacing="0"/>
        <w:rPr>
          <w:rFonts w:asciiTheme="minorHAnsi" w:eastAsiaTheme="minorHAnsi" w:hAnsiTheme="minorHAnsi" w:cstheme="minorHAnsi"/>
          <w:lang w:eastAsia="en-US"/>
        </w:rPr>
      </w:pPr>
      <w:r w:rsidRPr="00614B09">
        <w:rPr>
          <w:rFonts w:asciiTheme="minorHAnsi" w:eastAsiaTheme="minorHAnsi" w:hAnsiTheme="minorHAnsi" w:cstheme="minorHAnsi"/>
          <w:lang w:eastAsia="en-US"/>
        </w:rPr>
        <w:t>Schools entering into arrangements with RTOs must use the appropriate department template and have a valid, signed Contract .</w:t>
      </w:r>
    </w:p>
    <w:p w14:paraId="5852257A" w14:textId="77777777" w:rsidR="003D144A" w:rsidRPr="00614B09" w:rsidRDefault="003D144A" w:rsidP="003D144A">
      <w:pPr>
        <w:pStyle w:val="NormalWeb"/>
        <w:spacing w:before="0" w:beforeAutospacing="0" w:after="0" w:afterAutospacing="0"/>
        <w:rPr>
          <w:rFonts w:asciiTheme="minorHAnsi" w:eastAsiaTheme="minorHAnsi" w:hAnsiTheme="minorHAnsi" w:cstheme="minorHAnsi"/>
          <w:lang w:eastAsia="en-US"/>
        </w:rPr>
      </w:pPr>
      <w:r w:rsidRPr="00614B09">
        <w:rPr>
          <w:rFonts w:asciiTheme="minorHAnsi" w:eastAsiaTheme="minorHAnsi" w:hAnsiTheme="minorHAnsi" w:cstheme="minorHAnsi"/>
          <w:lang w:eastAsia="en-US"/>
        </w:rPr>
        <w:t xml:space="preserve">The available standard contracts and agreements are: Standard VET purchasing contract, Standard VET </w:t>
      </w:r>
      <w:proofErr w:type="spellStart"/>
      <w:r w:rsidRPr="00614B09">
        <w:rPr>
          <w:rFonts w:asciiTheme="minorHAnsi" w:eastAsiaTheme="minorHAnsi" w:hAnsiTheme="minorHAnsi" w:cstheme="minorHAnsi"/>
          <w:lang w:eastAsia="en-US"/>
        </w:rPr>
        <w:t>Auspicing</w:t>
      </w:r>
      <w:proofErr w:type="spellEnd"/>
      <w:r w:rsidRPr="00614B09">
        <w:rPr>
          <w:rFonts w:asciiTheme="minorHAnsi" w:eastAsiaTheme="minorHAnsi" w:hAnsiTheme="minorHAnsi" w:cstheme="minorHAnsi"/>
          <w:lang w:eastAsia="en-US"/>
        </w:rPr>
        <w:t xml:space="preserve"> contract, School to school VET purchasing agreement, and School to school VET access agreement.</w:t>
      </w:r>
    </w:p>
    <w:p w14:paraId="6274AA4F" w14:textId="77777777" w:rsidR="003D144A" w:rsidRPr="00614B09" w:rsidRDefault="003D144A" w:rsidP="003D144A">
      <w:pPr>
        <w:pStyle w:val="NormalWeb"/>
        <w:spacing w:before="0" w:beforeAutospacing="0" w:after="0" w:afterAutospacing="0"/>
        <w:rPr>
          <w:rFonts w:asciiTheme="minorHAnsi" w:eastAsiaTheme="minorHAnsi" w:hAnsiTheme="minorHAnsi" w:cstheme="minorHAnsi"/>
          <w:lang w:eastAsia="en-US"/>
        </w:rPr>
      </w:pPr>
    </w:p>
    <w:p w14:paraId="30B6959B" w14:textId="77777777" w:rsidR="003D144A" w:rsidRPr="00614B09" w:rsidRDefault="003D144A" w:rsidP="003D144A">
      <w:pPr>
        <w:pStyle w:val="NormalWeb"/>
        <w:spacing w:before="0" w:beforeAutospacing="0" w:after="0" w:afterAutospacing="0"/>
        <w:rPr>
          <w:rFonts w:asciiTheme="minorHAnsi" w:eastAsiaTheme="minorHAnsi" w:hAnsiTheme="minorHAnsi" w:cstheme="minorHAnsi"/>
          <w:lang w:eastAsia="en-US"/>
        </w:rPr>
      </w:pPr>
      <w:r w:rsidRPr="00614B09">
        <w:rPr>
          <w:rFonts w:asciiTheme="minorHAnsi" w:eastAsiaTheme="minorHAnsi" w:hAnsiTheme="minorHAnsi" w:cstheme="minorHAnsi"/>
          <w:lang w:eastAsia="en-US"/>
        </w:rPr>
        <w:t>The templates have been designed for the specific use of government schools purchasing services from RTOs and are not recommended for use by other parties. Use of the templates by other parties is subject to the department’s copyright licensing arrangements (detailed at the base of the website’s landing page).</w:t>
      </w:r>
    </w:p>
    <w:p w14:paraId="67962D47" w14:textId="77777777" w:rsidR="003D144A" w:rsidRPr="00614B09" w:rsidRDefault="003D144A" w:rsidP="003D144A">
      <w:pPr>
        <w:pStyle w:val="NormalWeb"/>
        <w:spacing w:before="0" w:beforeAutospacing="0" w:after="0" w:afterAutospacing="0"/>
        <w:rPr>
          <w:rFonts w:asciiTheme="minorHAnsi" w:eastAsiaTheme="minorHAnsi" w:hAnsiTheme="minorHAnsi" w:cstheme="minorHAnsi"/>
          <w:lang w:eastAsia="en-US"/>
        </w:rPr>
      </w:pPr>
    </w:p>
    <w:p w14:paraId="0753F20F" w14:textId="77777777" w:rsidR="003D144A" w:rsidRPr="00614B09" w:rsidRDefault="003D144A" w:rsidP="003D144A">
      <w:pPr>
        <w:pStyle w:val="NormalWeb"/>
        <w:spacing w:before="0" w:beforeAutospacing="0" w:after="0" w:afterAutospacing="0"/>
        <w:rPr>
          <w:rFonts w:asciiTheme="minorHAnsi" w:eastAsia="Times New Roman" w:hAnsiTheme="minorHAnsi" w:cstheme="minorHAnsi"/>
          <w:color w:val="011A3C"/>
        </w:rPr>
      </w:pPr>
      <w:r w:rsidRPr="00614B09">
        <w:rPr>
          <w:rFonts w:asciiTheme="minorHAnsi" w:eastAsiaTheme="minorHAnsi" w:hAnsiTheme="minorHAnsi" w:cstheme="minorHAnsi"/>
          <w:lang w:eastAsia="en-US"/>
        </w:rPr>
        <w:t>For more information on guidelines for the delivery of VET to secondary school students and the template Contracts and Agreements refer to:</w:t>
      </w:r>
      <w:r w:rsidRPr="00252650">
        <w:rPr>
          <w:rFonts w:asciiTheme="minorHAnsi" w:hAnsiTheme="minorHAnsi" w:cstheme="minorHAnsi"/>
          <w:color w:val="011A3C"/>
        </w:rPr>
        <w:t> </w:t>
      </w:r>
      <w:hyperlink r:id="rId237" w:history="1">
        <w:r w:rsidRPr="008614E4">
          <w:rPr>
            <w:rStyle w:val="Hyperlink"/>
            <w:rFonts w:asciiTheme="minorHAnsi" w:eastAsiaTheme="minorHAnsi" w:hAnsiTheme="minorHAnsi" w:cstheme="minorHAnsi"/>
            <w:lang w:eastAsia="en-US"/>
          </w:rPr>
          <w:t>Purchasing Secondary Courses and Vocational Training from External Providers</w:t>
        </w:r>
      </w:hyperlink>
      <w:r w:rsidRPr="00252650">
        <w:rPr>
          <w:rFonts w:asciiTheme="minorHAnsi" w:hAnsiTheme="minorHAnsi" w:cstheme="minorHAnsi"/>
          <w:color w:val="011A3C"/>
        </w:rPr>
        <w:t>.</w:t>
      </w:r>
    </w:p>
    <w:p w14:paraId="3A79E731" w14:textId="77777777" w:rsidR="003D144A" w:rsidRPr="00614B09" w:rsidRDefault="003D144A" w:rsidP="003D144A">
      <w:pPr>
        <w:spacing w:before="360" w:after="120" w:line="360" w:lineRule="atLeast"/>
        <w:outlineLvl w:val="2"/>
        <w:rPr>
          <w:rFonts w:cstheme="minorHAnsi"/>
          <w:sz w:val="24"/>
          <w:szCs w:val="24"/>
        </w:rPr>
      </w:pPr>
      <w:r w:rsidRPr="00614B09">
        <w:rPr>
          <w:rFonts w:eastAsia="Segoe UI" w:cstheme="minorHAnsi"/>
          <w:b/>
          <w:color w:val="011A3C"/>
          <w:sz w:val="24"/>
          <w:szCs w:val="24"/>
          <w:lang w:val="en" w:eastAsia="en-AU"/>
        </w:rPr>
        <w:t xml:space="preserve">Timing of payments to schools </w:t>
      </w:r>
    </w:p>
    <w:p w14:paraId="71A7100D" w14:textId="77777777" w:rsidR="003D144A" w:rsidRPr="00614B09" w:rsidRDefault="003D144A" w:rsidP="003D144A">
      <w:pPr>
        <w:pStyle w:val="Heading3"/>
        <w:spacing w:before="0" w:after="120" w:line="240" w:lineRule="auto"/>
        <w:rPr>
          <w:rFonts w:eastAsiaTheme="minorHAnsi"/>
          <w:b w:val="0"/>
          <w:color w:val="auto"/>
          <w:sz w:val="24"/>
          <w:szCs w:val="24"/>
          <w:lang w:val="en-AU" w:eastAsia="en-US"/>
        </w:rPr>
      </w:pPr>
      <w:r w:rsidRPr="00614B09">
        <w:rPr>
          <w:rFonts w:eastAsiaTheme="minorHAnsi"/>
          <w:b w:val="0"/>
          <w:color w:val="auto"/>
          <w:sz w:val="24"/>
          <w:szCs w:val="24"/>
          <w:lang w:val="en-AU" w:eastAsia="en-US"/>
        </w:rPr>
        <w:lastRenderedPageBreak/>
        <w:t>Government schools are provided with targeted funding for every eligible VET certificate enrolment provided they have entered the certificates, units and hours for each VET enrolment on VASS no later than annual VET funding deadline. Payments are made in the quarterly cash grant through the Student Resource Package (SRP), as per the schedule details below.</w:t>
      </w:r>
    </w:p>
    <w:p w14:paraId="311FA6FA" w14:textId="77777777" w:rsidR="003D144A" w:rsidRPr="00833928" w:rsidRDefault="003D144A" w:rsidP="003D144A">
      <w:pPr>
        <w:rPr>
          <w:b/>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252"/>
        <w:gridCol w:w="3776"/>
      </w:tblGrid>
      <w:tr w:rsidR="003D144A" w:rsidRPr="00BB7F3C" w14:paraId="6D0EA0F4" w14:textId="77777777" w:rsidTr="00196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2"/>
          </w:tcPr>
          <w:p w14:paraId="2655A029" w14:textId="77777777" w:rsidR="003D144A" w:rsidRPr="00614B09" w:rsidRDefault="003D144A" w:rsidP="00196591">
            <w:pPr>
              <w:rPr>
                <w:rFonts w:cstheme="minorHAnsi"/>
                <w:sz w:val="24"/>
              </w:rPr>
            </w:pPr>
            <w:r w:rsidRPr="00614B09">
              <w:rPr>
                <w:rFonts w:cstheme="minorHAnsi"/>
                <w:sz w:val="24"/>
              </w:rPr>
              <w:t>Timing of payments to schools</w:t>
            </w:r>
          </w:p>
          <w:p w14:paraId="3DEE087B" w14:textId="77777777" w:rsidR="003D144A" w:rsidRPr="00614B09" w:rsidRDefault="003D144A" w:rsidP="00196591">
            <w:pPr>
              <w:rPr>
                <w:rFonts w:cstheme="minorHAnsi"/>
                <w:b w:val="0"/>
                <w:bCs/>
                <w:sz w:val="24"/>
              </w:rPr>
            </w:pPr>
          </w:p>
        </w:tc>
        <w:tc>
          <w:tcPr>
            <w:tcW w:w="3776" w:type="dxa"/>
          </w:tcPr>
          <w:p w14:paraId="6FC82A60" w14:textId="77777777" w:rsidR="003D144A" w:rsidRPr="00614B09" w:rsidRDefault="003D144A" w:rsidP="00196591">
            <w:pPr>
              <w:cnfStyle w:val="100000000000" w:firstRow="1" w:lastRow="0" w:firstColumn="0" w:lastColumn="0" w:oddVBand="0" w:evenVBand="0" w:oddHBand="0" w:evenHBand="0" w:firstRowFirstColumn="0" w:firstRowLastColumn="0" w:lastRowFirstColumn="0" w:lastRowLastColumn="0"/>
              <w:rPr>
                <w:rFonts w:cstheme="minorHAnsi"/>
                <w:b w:val="0"/>
                <w:bCs/>
                <w:sz w:val="24"/>
              </w:rPr>
            </w:pPr>
          </w:p>
        </w:tc>
      </w:tr>
      <w:tr w:rsidR="003D144A" w:rsidRPr="00BB7F3C" w14:paraId="521168DE" w14:textId="77777777" w:rsidTr="00196591">
        <w:tc>
          <w:tcPr>
            <w:cnfStyle w:val="001000000000" w:firstRow="0" w:lastRow="0" w:firstColumn="1" w:lastColumn="0" w:oddVBand="0" w:evenVBand="0" w:oddHBand="0" w:evenHBand="0" w:firstRowFirstColumn="0" w:firstRowLastColumn="0" w:lastRowFirstColumn="0" w:lastRowLastColumn="0"/>
            <w:tcW w:w="988" w:type="dxa"/>
            <w:hideMark/>
          </w:tcPr>
          <w:p w14:paraId="6541A90C" w14:textId="77777777" w:rsidR="003D144A" w:rsidRPr="00614B09" w:rsidRDefault="003D144A" w:rsidP="00196591">
            <w:pPr>
              <w:rPr>
                <w:rFonts w:cstheme="minorHAnsi"/>
                <w:b/>
                <w:bCs/>
                <w:sz w:val="24"/>
              </w:rPr>
            </w:pPr>
            <w:r w:rsidRPr="00614B09">
              <w:rPr>
                <w:rFonts w:cstheme="minorHAnsi"/>
                <w:b/>
                <w:bCs/>
                <w:sz w:val="24"/>
              </w:rPr>
              <w:t>Terms</w:t>
            </w:r>
          </w:p>
        </w:tc>
        <w:tc>
          <w:tcPr>
            <w:tcW w:w="4252" w:type="dxa"/>
          </w:tcPr>
          <w:p w14:paraId="22FF2DAB" w14:textId="77777777" w:rsidR="003D144A" w:rsidRPr="00614B09" w:rsidRDefault="003D144A" w:rsidP="00196591">
            <w:pPr>
              <w:cnfStyle w:val="000000000000" w:firstRow="0" w:lastRow="0" w:firstColumn="0" w:lastColumn="0" w:oddVBand="0" w:evenVBand="0" w:oddHBand="0" w:evenHBand="0" w:firstRowFirstColumn="0" w:firstRowLastColumn="0" w:lastRowFirstColumn="0" w:lastRowLastColumn="0"/>
              <w:rPr>
                <w:rFonts w:cstheme="minorHAnsi"/>
                <w:b/>
                <w:bCs/>
                <w:sz w:val="24"/>
              </w:rPr>
            </w:pPr>
            <w:r w:rsidRPr="00614B09">
              <w:rPr>
                <w:rFonts w:cstheme="minorHAnsi"/>
                <w:b/>
                <w:bCs/>
                <w:sz w:val="24"/>
              </w:rPr>
              <w:t>Allocation</w:t>
            </w:r>
          </w:p>
          <w:p w14:paraId="3287B9B6" w14:textId="77777777" w:rsidR="003D144A" w:rsidRPr="00614B09" w:rsidRDefault="003D144A" w:rsidP="00196591">
            <w:pPr>
              <w:cnfStyle w:val="000000000000" w:firstRow="0" w:lastRow="0" w:firstColumn="0" w:lastColumn="0" w:oddVBand="0" w:evenVBand="0" w:oddHBand="0" w:evenHBand="0" w:firstRowFirstColumn="0" w:firstRowLastColumn="0" w:lastRowFirstColumn="0" w:lastRowLastColumn="0"/>
              <w:rPr>
                <w:rFonts w:cstheme="minorHAnsi"/>
                <w:b/>
                <w:bCs/>
                <w:sz w:val="24"/>
              </w:rPr>
            </w:pPr>
          </w:p>
        </w:tc>
        <w:tc>
          <w:tcPr>
            <w:tcW w:w="3776" w:type="dxa"/>
            <w:hideMark/>
          </w:tcPr>
          <w:p w14:paraId="1BEC44A0" w14:textId="77777777" w:rsidR="003D144A" w:rsidRPr="00614B09" w:rsidRDefault="003D144A" w:rsidP="00196591">
            <w:pPr>
              <w:cnfStyle w:val="000000000000" w:firstRow="0" w:lastRow="0" w:firstColumn="0" w:lastColumn="0" w:oddVBand="0" w:evenVBand="0" w:oddHBand="0" w:evenHBand="0" w:firstRowFirstColumn="0" w:firstRowLastColumn="0" w:lastRowFirstColumn="0" w:lastRowLastColumn="0"/>
              <w:rPr>
                <w:rFonts w:cstheme="minorHAnsi"/>
                <w:b/>
                <w:bCs/>
                <w:sz w:val="24"/>
              </w:rPr>
            </w:pPr>
            <w:r w:rsidRPr="00614B09">
              <w:rPr>
                <w:rFonts w:cstheme="minorHAnsi"/>
                <w:b/>
                <w:bCs/>
                <w:sz w:val="24"/>
              </w:rPr>
              <w:t>Enrolment Basis</w:t>
            </w:r>
          </w:p>
        </w:tc>
      </w:tr>
      <w:tr w:rsidR="003D144A" w:rsidRPr="00BB7F3C" w14:paraId="7C438EC9" w14:textId="77777777" w:rsidTr="00196591">
        <w:tc>
          <w:tcPr>
            <w:cnfStyle w:val="001000000000" w:firstRow="0" w:lastRow="0" w:firstColumn="1" w:lastColumn="0" w:oddVBand="0" w:evenVBand="0" w:oddHBand="0" w:evenHBand="0" w:firstRowFirstColumn="0" w:firstRowLastColumn="0" w:lastRowFirstColumn="0" w:lastRowLastColumn="0"/>
            <w:tcW w:w="988" w:type="dxa"/>
            <w:hideMark/>
          </w:tcPr>
          <w:p w14:paraId="00F0F614" w14:textId="77777777" w:rsidR="003D144A" w:rsidRPr="00614B09" w:rsidRDefault="003D144A" w:rsidP="00196591">
            <w:pPr>
              <w:rPr>
                <w:rFonts w:cstheme="minorHAnsi"/>
                <w:sz w:val="24"/>
              </w:rPr>
            </w:pPr>
            <w:r w:rsidRPr="00614B09">
              <w:rPr>
                <w:rFonts w:cstheme="minorHAnsi"/>
                <w:sz w:val="24"/>
              </w:rPr>
              <w:t>1</w:t>
            </w:r>
          </w:p>
        </w:tc>
        <w:tc>
          <w:tcPr>
            <w:tcW w:w="4252" w:type="dxa"/>
            <w:hideMark/>
          </w:tcPr>
          <w:p w14:paraId="371D002F" w14:textId="77777777" w:rsidR="003D144A" w:rsidRPr="00614B09" w:rsidRDefault="003D144A" w:rsidP="00196591">
            <w:pPr>
              <w:cnfStyle w:val="000000000000" w:firstRow="0" w:lastRow="0" w:firstColumn="0" w:lastColumn="0" w:oddVBand="0" w:evenVBand="0" w:oddHBand="0" w:evenHBand="0" w:firstRowFirstColumn="0" w:firstRowLastColumn="0" w:lastRowFirstColumn="0" w:lastRowLastColumn="0"/>
              <w:rPr>
                <w:rFonts w:cstheme="minorHAnsi"/>
                <w:sz w:val="24"/>
              </w:rPr>
            </w:pPr>
            <w:r w:rsidRPr="00614B09">
              <w:rPr>
                <w:rFonts w:cstheme="minorHAnsi"/>
                <w:sz w:val="24"/>
              </w:rPr>
              <w:t>25% of Indicative funding</w:t>
            </w:r>
          </w:p>
        </w:tc>
        <w:tc>
          <w:tcPr>
            <w:tcW w:w="3776" w:type="dxa"/>
          </w:tcPr>
          <w:p w14:paraId="6E9CD746" w14:textId="3DE0C4EB" w:rsidR="003D144A" w:rsidRPr="00614B09" w:rsidRDefault="003D144A" w:rsidP="00196591">
            <w:pPr>
              <w:cnfStyle w:val="000000000000" w:firstRow="0" w:lastRow="0" w:firstColumn="0" w:lastColumn="0" w:oddVBand="0" w:evenVBand="0" w:oddHBand="0" w:evenHBand="0" w:firstRowFirstColumn="0" w:firstRowLastColumn="0" w:lastRowFirstColumn="0" w:lastRowLastColumn="0"/>
              <w:rPr>
                <w:rFonts w:cstheme="minorHAnsi"/>
                <w:sz w:val="24"/>
              </w:rPr>
            </w:pPr>
            <w:r w:rsidRPr="00614B09">
              <w:rPr>
                <w:rFonts w:cstheme="minorHAnsi"/>
                <w:sz w:val="24"/>
              </w:rPr>
              <w:t>202</w:t>
            </w:r>
            <w:r>
              <w:rPr>
                <w:rFonts w:cstheme="minorHAnsi"/>
                <w:sz w:val="24"/>
              </w:rPr>
              <w:t>3</w:t>
            </w:r>
            <w:r w:rsidRPr="00614B09">
              <w:rPr>
                <w:rFonts w:cstheme="minorHAnsi"/>
                <w:sz w:val="24"/>
              </w:rPr>
              <w:t xml:space="preserve"> enrolments applying 202</w:t>
            </w:r>
            <w:r>
              <w:rPr>
                <w:rFonts w:cstheme="minorHAnsi"/>
                <w:sz w:val="24"/>
              </w:rPr>
              <w:t>3</w:t>
            </w:r>
            <w:r w:rsidRPr="00614B09">
              <w:rPr>
                <w:rFonts w:cstheme="minorHAnsi"/>
                <w:sz w:val="24"/>
              </w:rPr>
              <w:t xml:space="preserve"> Revised Band Levels</w:t>
            </w:r>
          </w:p>
          <w:p w14:paraId="11FB99AF" w14:textId="77777777" w:rsidR="003D144A" w:rsidRPr="00614B09" w:rsidRDefault="003D144A" w:rsidP="00196591">
            <w:pPr>
              <w:cnfStyle w:val="000000000000" w:firstRow="0" w:lastRow="0" w:firstColumn="0" w:lastColumn="0" w:oddVBand="0" w:evenVBand="0" w:oddHBand="0" w:evenHBand="0" w:firstRowFirstColumn="0" w:firstRowLastColumn="0" w:lastRowFirstColumn="0" w:lastRowLastColumn="0"/>
              <w:rPr>
                <w:rFonts w:cstheme="minorHAnsi"/>
                <w:sz w:val="24"/>
              </w:rPr>
            </w:pPr>
          </w:p>
        </w:tc>
      </w:tr>
      <w:tr w:rsidR="003D144A" w:rsidRPr="00BB7F3C" w14:paraId="411B5536" w14:textId="77777777" w:rsidTr="00196591">
        <w:tc>
          <w:tcPr>
            <w:cnfStyle w:val="001000000000" w:firstRow="0" w:lastRow="0" w:firstColumn="1" w:lastColumn="0" w:oddVBand="0" w:evenVBand="0" w:oddHBand="0" w:evenHBand="0" w:firstRowFirstColumn="0" w:firstRowLastColumn="0" w:lastRowFirstColumn="0" w:lastRowLastColumn="0"/>
            <w:tcW w:w="988" w:type="dxa"/>
            <w:hideMark/>
          </w:tcPr>
          <w:p w14:paraId="46C9A869" w14:textId="77777777" w:rsidR="003D144A" w:rsidRPr="00614B09" w:rsidRDefault="003D144A" w:rsidP="00196591">
            <w:pPr>
              <w:rPr>
                <w:rFonts w:cstheme="minorHAnsi"/>
                <w:sz w:val="24"/>
              </w:rPr>
            </w:pPr>
            <w:r w:rsidRPr="00614B09">
              <w:rPr>
                <w:rFonts w:cstheme="minorHAnsi"/>
                <w:sz w:val="24"/>
              </w:rPr>
              <w:t>2</w:t>
            </w:r>
          </w:p>
        </w:tc>
        <w:tc>
          <w:tcPr>
            <w:tcW w:w="4252" w:type="dxa"/>
            <w:hideMark/>
          </w:tcPr>
          <w:p w14:paraId="414E937E" w14:textId="77777777" w:rsidR="003D144A" w:rsidRPr="00614B09" w:rsidRDefault="003D144A" w:rsidP="00196591">
            <w:pPr>
              <w:cnfStyle w:val="000000000000" w:firstRow="0" w:lastRow="0" w:firstColumn="0" w:lastColumn="0" w:oddVBand="0" w:evenVBand="0" w:oddHBand="0" w:evenHBand="0" w:firstRowFirstColumn="0" w:firstRowLastColumn="0" w:lastRowFirstColumn="0" w:lastRowLastColumn="0"/>
              <w:rPr>
                <w:rFonts w:cstheme="minorHAnsi"/>
                <w:sz w:val="24"/>
              </w:rPr>
            </w:pPr>
            <w:r w:rsidRPr="00614B09">
              <w:rPr>
                <w:rFonts w:cstheme="minorHAnsi"/>
                <w:sz w:val="24"/>
              </w:rPr>
              <w:t>25% of Indicative funding</w:t>
            </w:r>
          </w:p>
        </w:tc>
        <w:tc>
          <w:tcPr>
            <w:tcW w:w="3776" w:type="dxa"/>
          </w:tcPr>
          <w:p w14:paraId="7E7D3052" w14:textId="5FCBFF76" w:rsidR="003D144A" w:rsidRPr="00614B09" w:rsidRDefault="003D144A" w:rsidP="00196591">
            <w:pPr>
              <w:cnfStyle w:val="000000000000" w:firstRow="0" w:lastRow="0" w:firstColumn="0" w:lastColumn="0" w:oddVBand="0" w:evenVBand="0" w:oddHBand="0" w:evenHBand="0" w:firstRowFirstColumn="0" w:firstRowLastColumn="0" w:lastRowFirstColumn="0" w:lastRowLastColumn="0"/>
              <w:rPr>
                <w:rFonts w:cstheme="minorHAnsi"/>
                <w:sz w:val="24"/>
              </w:rPr>
            </w:pPr>
            <w:r w:rsidRPr="00614B09">
              <w:rPr>
                <w:rFonts w:cstheme="minorHAnsi"/>
                <w:sz w:val="24"/>
              </w:rPr>
              <w:t>202</w:t>
            </w:r>
            <w:r>
              <w:rPr>
                <w:rFonts w:cstheme="minorHAnsi"/>
                <w:sz w:val="24"/>
              </w:rPr>
              <w:t>3</w:t>
            </w:r>
            <w:r w:rsidRPr="00614B09">
              <w:rPr>
                <w:rFonts w:cstheme="minorHAnsi"/>
                <w:sz w:val="24"/>
              </w:rPr>
              <w:t xml:space="preserve"> enrolments applying 202</w:t>
            </w:r>
            <w:r>
              <w:rPr>
                <w:rFonts w:cstheme="minorHAnsi"/>
                <w:sz w:val="24"/>
              </w:rPr>
              <w:t>3</w:t>
            </w:r>
            <w:r w:rsidRPr="00614B09">
              <w:rPr>
                <w:rFonts w:cstheme="minorHAnsi"/>
                <w:sz w:val="24"/>
              </w:rPr>
              <w:t xml:space="preserve"> Revised Band Levels</w:t>
            </w:r>
          </w:p>
          <w:p w14:paraId="23B3BB0B" w14:textId="77777777" w:rsidR="003D144A" w:rsidRPr="00614B09" w:rsidRDefault="003D144A" w:rsidP="00196591">
            <w:pPr>
              <w:cnfStyle w:val="000000000000" w:firstRow="0" w:lastRow="0" w:firstColumn="0" w:lastColumn="0" w:oddVBand="0" w:evenVBand="0" w:oddHBand="0" w:evenHBand="0" w:firstRowFirstColumn="0" w:firstRowLastColumn="0" w:lastRowFirstColumn="0" w:lastRowLastColumn="0"/>
              <w:rPr>
                <w:rFonts w:cstheme="minorHAnsi"/>
                <w:sz w:val="24"/>
              </w:rPr>
            </w:pPr>
          </w:p>
        </w:tc>
      </w:tr>
      <w:tr w:rsidR="003D144A" w:rsidRPr="00BB7F3C" w14:paraId="3BFD571F" w14:textId="77777777" w:rsidTr="00196591">
        <w:tc>
          <w:tcPr>
            <w:cnfStyle w:val="001000000000" w:firstRow="0" w:lastRow="0" w:firstColumn="1" w:lastColumn="0" w:oddVBand="0" w:evenVBand="0" w:oddHBand="0" w:evenHBand="0" w:firstRowFirstColumn="0" w:firstRowLastColumn="0" w:lastRowFirstColumn="0" w:lastRowLastColumn="0"/>
            <w:tcW w:w="988" w:type="dxa"/>
            <w:hideMark/>
          </w:tcPr>
          <w:p w14:paraId="50A0C5A5" w14:textId="77777777" w:rsidR="003D144A" w:rsidRPr="00614B09" w:rsidRDefault="003D144A" w:rsidP="00196591">
            <w:pPr>
              <w:rPr>
                <w:rFonts w:cstheme="minorHAnsi"/>
                <w:sz w:val="24"/>
              </w:rPr>
            </w:pPr>
            <w:r w:rsidRPr="00614B09">
              <w:rPr>
                <w:rFonts w:cstheme="minorHAnsi"/>
                <w:sz w:val="24"/>
              </w:rPr>
              <w:t>2/3</w:t>
            </w:r>
          </w:p>
        </w:tc>
        <w:tc>
          <w:tcPr>
            <w:tcW w:w="4252" w:type="dxa"/>
          </w:tcPr>
          <w:p w14:paraId="42CB1A4A" w14:textId="77777777" w:rsidR="003D144A" w:rsidRPr="00614B09" w:rsidRDefault="003D144A" w:rsidP="00196591">
            <w:pPr>
              <w:cnfStyle w:val="000000000000" w:firstRow="0" w:lastRow="0" w:firstColumn="0" w:lastColumn="0" w:oddVBand="0" w:evenVBand="0" w:oddHBand="0" w:evenHBand="0" w:firstRowFirstColumn="0" w:firstRowLastColumn="0" w:lastRowFirstColumn="0" w:lastRowLastColumn="0"/>
              <w:rPr>
                <w:rFonts w:cstheme="minorHAnsi"/>
                <w:sz w:val="24"/>
              </w:rPr>
            </w:pPr>
            <w:r w:rsidRPr="00614B09">
              <w:rPr>
                <w:rFonts w:cstheme="minorHAnsi"/>
                <w:sz w:val="24"/>
              </w:rPr>
              <w:t>Term 1 and 2 adjustments to school budgets</w:t>
            </w:r>
          </w:p>
          <w:p w14:paraId="04BC7070" w14:textId="77777777" w:rsidR="003D144A" w:rsidRPr="00614B09" w:rsidRDefault="003D144A" w:rsidP="00196591">
            <w:pP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3776" w:type="dxa"/>
          </w:tcPr>
          <w:p w14:paraId="4C322D36" w14:textId="77777777" w:rsidR="003D144A" w:rsidRPr="00614B09" w:rsidRDefault="003D144A" w:rsidP="00196591">
            <w:pPr>
              <w:cnfStyle w:val="000000000000" w:firstRow="0" w:lastRow="0" w:firstColumn="0" w:lastColumn="0" w:oddVBand="0" w:evenVBand="0" w:oddHBand="0" w:evenHBand="0" w:firstRowFirstColumn="0" w:firstRowLastColumn="0" w:lastRowFirstColumn="0" w:lastRowLastColumn="0"/>
              <w:rPr>
                <w:rFonts w:cstheme="minorHAnsi"/>
                <w:sz w:val="24"/>
              </w:rPr>
            </w:pPr>
          </w:p>
        </w:tc>
      </w:tr>
      <w:tr w:rsidR="003D144A" w:rsidRPr="00BB7F3C" w14:paraId="074936B3" w14:textId="77777777" w:rsidTr="00196591">
        <w:tc>
          <w:tcPr>
            <w:cnfStyle w:val="001000000000" w:firstRow="0" w:lastRow="0" w:firstColumn="1" w:lastColumn="0" w:oddVBand="0" w:evenVBand="0" w:oddHBand="0" w:evenHBand="0" w:firstRowFirstColumn="0" w:firstRowLastColumn="0" w:lastRowFirstColumn="0" w:lastRowLastColumn="0"/>
            <w:tcW w:w="988" w:type="dxa"/>
            <w:hideMark/>
          </w:tcPr>
          <w:p w14:paraId="01040653" w14:textId="77777777" w:rsidR="003D144A" w:rsidRPr="00614B09" w:rsidRDefault="003D144A" w:rsidP="00196591">
            <w:pPr>
              <w:rPr>
                <w:rFonts w:cstheme="minorHAnsi"/>
                <w:sz w:val="24"/>
              </w:rPr>
            </w:pPr>
            <w:r w:rsidRPr="00614B09">
              <w:rPr>
                <w:rFonts w:cstheme="minorHAnsi"/>
                <w:sz w:val="24"/>
              </w:rPr>
              <w:t>3</w:t>
            </w:r>
          </w:p>
        </w:tc>
        <w:tc>
          <w:tcPr>
            <w:tcW w:w="4252" w:type="dxa"/>
            <w:hideMark/>
          </w:tcPr>
          <w:p w14:paraId="12734B43" w14:textId="77777777" w:rsidR="003D144A" w:rsidRPr="00614B09" w:rsidRDefault="003D144A" w:rsidP="00196591">
            <w:pPr>
              <w:cnfStyle w:val="000000000000" w:firstRow="0" w:lastRow="0" w:firstColumn="0" w:lastColumn="0" w:oddVBand="0" w:evenVBand="0" w:oddHBand="0" w:evenHBand="0" w:firstRowFirstColumn="0" w:firstRowLastColumn="0" w:lastRowFirstColumn="0" w:lastRowLastColumn="0"/>
              <w:rPr>
                <w:rFonts w:cstheme="minorHAnsi"/>
                <w:sz w:val="24"/>
              </w:rPr>
            </w:pPr>
            <w:r w:rsidRPr="00614B09">
              <w:rPr>
                <w:rFonts w:cstheme="minorHAnsi"/>
                <w:sz w:val="24"/>
              </w:rPr>
              <w:t xml:space="preserve">25% of </w:t>
            </w:r>
            <w:r>
              <w:rPr>
                <w:rFonts w:cstheme="minorHAnsi"/>
                <w:sz w:val="24"/>
              </w:rPr>
              <w:t>Revised</w:t>
            </w:r>
            <w:r w:rsidRPr="00614B09">
              <w:rPr>
                <w:rFonts w:cstheme="minorHAnsi"/>
                <w:sz w:val="24"/>
              </w:rPr>
              <w:t xml:space="preserve"> funding</w:t>
            </w:r>
          </w:p>
        </w:tc>
        <w:tc>
          <w:tcPr>
            <w:tcW w:w="3776" w:type="dxa"/>
          </w:tcPr>
          <w:p w14:paraId="6C1B0A27" w14:textId="1286FD4A" w:rsidR="003D144A" w:rsidRPr="00614B09" w:rsidRDefault="003D144A" w:rsidP="00196591">
            <w:pPr>
              <w:cnfStyle w:val="000000000000" w:firstRow="0" w:lastRow="0" w:firstColumn="0" w:lastColumn="0" w:oddVBand="0" w:evenVBand="0" w:oddHBand="0" w:evenHBand="0" w:firstRowFirstColumn="0" w:firstRowLastColumn="0" w:lastRowFirstColumn="0" w:lastRowLastColumn="0"/>
              <w:rPr>
                <w:rFonts w:cstheme="minorHAnsi"/>
                <w:sz w:val="24"/>
              </w:rPr>
            </w:pPr>
            <w:r w:rsidRPr="00614B09">
              <w:rPr>
                <w:rFonts w:cstheme="minorHAnsi"/>
                <w:sz w:val="24"/>
              </w:rPr>
              <w:t>202</w:t>
            </w:r>
            <w:r>
              <w:rPr>
                <w:rFonts w:cstheme="minorHAnsi"/>
                <w:sz w:val="24"/>
              </w:rPr>
              <w:t>4</w:t>
            </w:r>
            <w:r w:rsidRPr="00614B09">
              <w:rPr>
                <w:rFonts w:cstheme="minorHAnsi"/>
                <w:sz w:val="24"/>
              </w:rPr>
              <w:t xml:space="preserve"> Confirmed enrolments applying 202</w:t>
            </w:r>
            <w:r>
              <w:rPr>
                <w:rFonts w:cstheme="minorHAnsi"/>
                <w:sz w:val="24"/>
              </w:rPr>
              <w:t xml:space="preserve">4 </w:t>
            </w:r>
            <w:r w:rsidRPr="00614B09">
              <w:rPr>
                <w:rFonts w:cstheme="minorHAnsi"/>
                <w:sz w:val="24"/>
              </w:rPr>
              <w:t xml:space="preserve"> Confirmed Band Levels</w:t>
            </w:r>
          </w:p>
          <w:p w14:paraId="64616414" w14:textId="77777777" w:rsidR="003D144A" w:rsidRPr="00614B09" w:rsidRDefault="003D144A" w:rsidP="00196591">
            <w:pPr>
              <w:cnfStyle w:val="000000000000" w:firstRow="0" w:lastRow="0" w:firstColumn="0" w:lastColumn="0" w:oddVBand="0" w:evenVBand="0" w:oddHBand="0" w:evenHBand="0" w:firstRowFirstColumn="0" w:firstRowLastColumn="0" w:lastRowFirstColumn="0" w:lastRowLastColumn="0"/>
              <w:rPr>
                <w:rFonts w:cstheme="minorHAnsi"/>
                <w:sz w:val="24"/>
              </w:rPr>
            </w:pPr>
          </w:p>
        </w:tc>
      </w:tr>
      <w:tr w:rsidR="003D144A" w:rsidRPr="00BB7F3C" w14:paraId="0D83ADFA" w14:textId="77777777" w:rsidTr="00196591">
        <w:tc>
          <w:tcPr>
            <w:cnfStyle w:val="001000000000" w:firstRow="0" w:lastRow="0" w:firstColumn="1" w:lastColumn="0" w:oddVBand="0" w:evenVBand="0" w:oddHBand="0" w:evenHBand="0" w:firstRowFirstColumn="0" w:firstRowLastColumn="0" w:lastRowFirstColumn="0" w:lastRowLastColumn="0"/>
            <w:tcW w:w="988" w:type="dxa"/>
            <w:hideMark/>
          </w:tcPr>
          <w:p w14:paraId="1EC425EE" w14:textId="77777777" w:rsidR="003D144A" w:rsidRPr="00614B09" w:rsidRDefault="003D144A" w:rsidP="00196591">
            <w:pPr>
              <w:rPr>
                <w:rFonts w:cstheme="minorHAnsi"/>
                <w:sz w:val="24"/>
              </w:rPr>
            </w:pPr>
            <w:r w:rsidRPr="00614B09">
              <w:rPr>
                <w:rFonts w:cstheme="minorHAnsi"/>
                <w:sz w:val="24"/>
              </w:rPr>
              <w:t>4</w:t>
            </w:r>
          </w:p>
        </w:tc>
        <w:tc>
          <w:tcPr>
            <w:tcW w:w="4252" w:type="dxa"/>
            <w:hideMark/>
          </w:tcPr>
          <w:p w14:paraId="65EFD813" w14:textId="77777777" w:rsidR="003D144A" w:rsidRPr="00614B09" w:rsidRDefault="003D144A" w:rsidP="00196591">
            <w:pPr>
              <w:cnfStyle w:val="000000000000" w:firstRow="0" w:lastRow="0" w:firstColumn="0" w:lastColumn="0" w:oddVBand="0" w:evenVBand="0" w:oddHBand="0" w:evenHBand="0" w:firstRowFirstColumn="0" w:firstRowLastColumn="0" w:lastRowFirstColumn="0" w:lastRowLastColumn="0"/>
              <w:rPr>
                <w:rFonts w:cstheme="minorHAnsi"/>
                <w:sz w:val="24"/>
              </w:rPr>
            </w:pPr>
            <w:r w:rsidRPr="00614B09">
              <w:rPr>
                <w:rFonts w:cstheme="minorHAnsi"/>
                <w:sz w:val="24"/>
              </w:rPr>
              <w:t xml:space="preserve">25% of </w:t>
            </w:r>
            <w:r>
              <w:rPr>
                <w:rFonts w:cstheme="minorHAnsi"/>
                <w:sz w:val="24"/>
              </w:rPr>
              <w:t>Revised</w:t>
            </w:r>
            <w:r w:rsidRPr="00614B09">
              <w:rPr>
                <w:rFonts w:cstheme="minorHAnsi"/>
                <w:sz w:val="24"/>
              </w:rPr>
              <w:t xml:space="preserve"> funding</w:t>
            </w:r>
          </w:p>
        </w:tc>
        <w:tc>
          <w:tcPr>
            <w:tcW w:w="3776" w:type="dxa"/>
            <w:hideMark/>
          </w:tcPr>
          <w:p w14:paraId="3D414F15" w14:textId="7304DC24" w:rsidR="003D144A" w:rsidRPr="00614B09" w:rsidRDefault="003D144A" w:rsidP="00196591">
            <w:pPr>
              <w:cnfStyle w:val="000000000000" w:firstRow="0" w:lastRow="0" w:firstColumn="0" w:lastColumn="0" w:oddVBand="0" w:evenVBand="0" w:oddHBand="0" w:evenHBand="0" w:firstRowFirstColumn="0" w:firstRowLastColumn="0" w:lastRowFirstColumn="0" w:lastRowLastColumn="0"/>
              <w:rPr>
                <w:rFonts w:cstheme="minorHAnsi"/>
                <w:sz w:val="24"/>
              </w:rPr>
            </w:pPr>
            <w:r w:rsidRPr="00614B09">
              <w:rPr>
                <w:rFonts w:cstheme="minorHAnsi"/>
                <w:sz w:val="24"/>
              </w:rPr>
              <w:t>202</w:t>
            </w:r>
            <w:r>
              <w:rPr>
                <w:rFonts w:cstheme="minorHAnsi"/>
                <w:sz w:val="24"/>
              </w:rPr>
              <w:t xml:space="preserve">4 </w:t>
            </w:r>
            <w:r w:rsidRPr="00614B09">
              <w:rPr>
                <w:rFonts w:cstheme="minorHAnsi"/>
                <w:sz w:val="24"/>
              </w:rPr>
              <w:t xml:space="preserve"> Confirmed enrolments applying 202</w:t>
            </w:r>
            <w:r>
              <w:rPr>
                <w:rFonts w:cstheme="minorHAnsi"/>
                <w:sz w:val="24"/>
              </w:rPr>
              <w:t xml:space="preserve">4 </w:t>
            </w:r>
            <w:r w:rsidRPr="00614B09">
              <w:rPr>
                <w:rFonts w:cstheme="minorHAnsi"/>
                <w:sz w:val="24"/>
              </w:rPr>
              <w:t xml:space="preserve"> Confirmed Band Levels</w:t>
            </w:r>
          </w:p>
        </w:tc>
      </w:tr>
    </w:tbl>
    <w:p w14:paraId="0FB5FF07" w14:textId="77777777" w:rsidR="003D144A" w:rsidRPr="00614B09" w:rsidRDefault="003D144A" w:rsidP="003D144A">
      <w:pPr>
        <w:rPr>
          <w:rFonts w:cstheme="minorHAnsi"/>
          <w:sz w:val="24"/>
          <w:szCs w:val="24"/>
        </w:rPr>
      </w:pPr>
    </w:p>
    <w:p w14:paraId="540573A7" w14:textId="77777777" w:rsidR="003D144A" w:rsidRPr="00614B09" w:rsidRDefault="003D144A" w:rsidP="003D144A">
      <w:pPr>
        <w:spacing w:before="360" w:after="120" w:line="360" w:lineRule="atLeast"/>
        <w:outlineLvl w:val="2"/>
        <w:rPr>
          <w:color w:val="011A3C"/>
          <w:sz w:val="24"/>
          <w:szCs w:val="24"/>
        </w:rPr>
      </w:pPr>
      <w:r w:rsidRPr="00614B09">
        <w:rPr>
          <w:rFonts w:eastAsia="Segoe UI" w:cstheme="minorHAnsi"/>
          <w:b/>
          <w:color w:val="011A3C"/>
          <w:sz w:val="24"/>
          <w:szCs w:val="24"/>
          <w:lang w:val="en" w:eastAsia="en-AU"/>
        </w:rPr>
        <w:t>Professional Development for newly appointed VASS users</w:t>
      </w:r>
    </w:p>
    <w:p w14:paraId="7032ABC6" w14:textId="77777777" w:rsidR="003D144A" w:rsidRPr="00614B09" w:rsidRDefault="003D144A" w:rsidP="003D144A">
      <w:pPr>
        <w:pStyle w:val="NormalWeb"/>
        <w:rPr>
          <w:rFonts w:asciiTheme="minorHAnsi" w:eastAsiaTheme="minorHAnsi" w:hAnsiTheme="minorHAnsi" w:cstheme="minorHAnsi"/>
          <w:lang w:eastAsia="en-US"/>
        </w:rPr>
      </w:pPr>
      <w:r w:rsidRPr="00614B09">
        <w:rPr>
          <w:rFonts w:asciiTheme="minorHAnsi" w:eastAsiaTheme="minorHAnsi" w:hAnsiTheme="minorHAnsi" w:cstheme="minorHAnsi"/>
          <w:lang w:eastAsia="en-US"/>
        </w:rPr>
        <w:t>In the early part of each year, the Victorian Curriculum and Assessment Authority (VCAA) conducts professional development training specifically designed for VASS administrators who are new to their position or who have never used VASS, and new schools offering a VCE or VET program for the first time.</w:t>
      </w:r>
    </w:p>
    <w:p w14:paraId="62F4D086" w14:textId="77777777" w:rsidR="003D144A" w:rsidRPr="00614B09" w:rsidRDefault="003D144A" w:rsidP="003D144A">
      <w:pPr>
        <w:pStyle w:val="NormalWeb"/>
        <w:rPr>
          <w:rFonts w:asciiTheme="minorHAnsi" w:eastAsiaTheme="minorHAnsi" w:hAnsiTheme="minorHAnsi" w:cstheme="minorHAnsi"/>
          <w:lang w:eastAsia="en-US"/>
        </w:rPr>
      </w:pPr>
      <w:r w:rsidRPr="00614B09">
        <w:rPr>
          <w:rFonts w:asciiTheme="minorHAnsi" w:eastAsiaTheme="minorHAnsi" w:hAnsiTheme="minorHAnsi" w:cstheme="minorHAnsi"/>
          <w:lang w:eastAsia="en-US"/>
        </w:rPr>
        <w:t>Any queries related to VASS Operations should be directed to the VCAA’s VASS Support team:</w:t>
      </w:r>
    </w:p>
    <w:p w14:paraId="64F09FC9" w14:textId="77777777" w:rsidR="003D144A" w:rsidRPr="00614B09" w:rsidRDefault="003D144A" w:rsidP="003D144A">
      <w:pPr>
        <w:pStyle w:val="NormalWeb"/>
        <w:rPr>
          <w:rFonts w:asciiTheme="minorHAnsi" w:eastAsia="Times New Roman" w:hAnsiTheme="minorHAnsi" w:cstheme="minorHAnsi"/>
          <w:color w:val="011A3C"/>
        </w:rPr>
      </w:pPr>
      <w:r w:rsidRPr="00614B09">
        <w:rPr>
          <w:rFonts w:asciiTheme="minorHAnsi" w:eastAsiaTheme="minorHAnsi" w:hAnsiTheme="minorHAnsi" w:cstheme="minorHAnsi"/>
          <w:lang w:eastAsia="en-US"/>
        </w:rPr>
        <w:t>Phone:</w:t>
      </w:r>
      <w:r w:rsidRPr="00614B09">
        <w:rPr>
          <w:rFonts w:asciiTheme="minorHAnsi" w:hAnsiTheme="minorHAnsi" w:cstheme="minorHAnsi"/>
          <w:color w:val="011A3C"/>
        </w:rPr>
        <w:t> </w:t>
      </w:r>
      <w:hyperlink r:id="rId238" w:history="1">
        <w:r w:rsidRPr="00614B09">
          <w:rPr>
            <w:rStyle w:val="rpl-text-label"/>
            <w:rFonts w:asciiTheme="minorHAnsi" w:hAnsiTheme="minorHAnsi" w:cstheme="minorHAnsi"/>
            <w:color w:val="1855BF"/>
          </w:rPr>
          <w:t>03 9032 1758</w:t>
        </w:r>
      </w:hyperlink>
      <w:r w:rsidRPr="00614B09">
        <w:rPr>
          <w:rFonts w:asciiTheme="minorHAnsi" w:hAnsiTheme="minorHAnsi" w:cstheme="minorHAnsi"/>
          <w:color w:val="011A3C"/>
        </w:rPr>
        <w:t> or </w:t>
      </w:r>
      <w:hyperlink r:id="rId239" w:history="1">
        <w:r w:rsidRPr="00614B09">
          <w:rPr>
            <w:rStyle w:val="rpl-text-label"/>
            <w:rFonts w:asciiTheme="minorHAnsi" w:hAnsiTheme="minorHAnsi" w:cstheme="minorHAnsi"/>
            <w:color w:val="1855BF"/>
          </w:rPr>
          <w:t>1800 623 681</w:t>
        </w:r>
      </w:hyperlink>
    </w:p>
    <w:p w14:paraId="7E2ECC90" w14:textId="77777777" w:rsidR="003D144A" w:rsidRPr="00260C1D" w:rsidRDefault="003D144A" w:rsidP="003D144A">
      <w:pPr>
        <w:pStyle w:val="NormalWeb"/>
      </w:pPr>
      <w:r w:rsidRPr="00614B09">
        <w:rPr>
          <w:rFonts w:asciiTheme="minorHAnsi" w:hAnsiTheme="minorHAnsi" w:cstheme="minorHAnsi"/>
          <w:color w:val="011A3C"/>
        </w:rPr>
        <w:t>Email: </w:t>
      </w:r>
      <w:hyperlink r:id="rId240" w:history="1">
        <w:r w:rsidRPr="008614E4">
          <w:rPr>
            <w:rStyle w:val="Hyperlink"/>
            <w:rFonts w:asciiTheme="minorHAnsi" w:eastAsiaTheme="minorHAnsi" w:hAnsiTheme="minorHAnsi" w:cstheme="minorHAnsi"/>
            <w:lang w:eastAsia="en-US"/>
          </w:rPr>
          <w:t>vass.support@education.vic.gov.au</w:t>
        </w:r>
      </w:hyperlink>
    </w:p>
    <w:p w14:paraId="646ABBC1" w14:textId="77777777" w:rsidR="003D144A" w:rsidRDefault="003D144A" w:rsidP="003D144A">
      <w:pPr>
        <w:pStyle w:val="Heading2"/>
      </w:pPr>
      <w:r>
        <w:br w:type="page"/>
      </w:r>
    </w:p>
    <w:p w14:paraId="56DA45F1" w14:textId="2FEB00C4" w:rsidR="00356AF5" w:rsidRDefault="005033AA" w:rsidP="00532A33">
      <w:pPr>
        <w:pStyle w:val="Heading2"/>
      </w:pPr>
      <w:bookmarkStart w:id="315" w:name="_Toc145339634"/>
      <w:bookmarkStart w:id="316" w:name="_Toc153791957"/>
      <w:bookmarkEnd w:id="313"/>
      <w:r w:rsidRPr="0006277C">
        <w:lastRenderedPageBreak/>
        <w:t>NDIS Navigators</w:t>
      </w:r>
      <w:r w:rsidR="00243CA1" w:rsidRPr="0006277C">
        <w:t xml:space="preserve"> (Reference 14</w:t>
      </w:r>
      <w:r w:rsidR="009D0CB5" w:rsidRPr="0006277C">
        <w:t>6)</w:t>
      </w:r>
      <w:bookmarkEnd w:id="314"/>
      <w:bookmarkEnd w:id="315"/>
      <w:bookmarkEnd w:id="316"/>
    </w:p>
    <w:p w14:paraId="00265D91" w14:textId="504693EB" w:rsidR="005033AA" w:rsidRPr="009B4DE1" w:rsidRDefault="005033AA" w:rsidP="00833928">
      <w:pPr>
        <w:spacing w:before="120"/>
        <w:jc w:val="both"/>
        <w:rPr>
          <w:rFonts w:cstheme="minorHAnsi"/>
          <w:sz w:val="24"/>
          <w:szCs w:val="24"/>
        </w:rPr>
      </w:pPr>
      <w:r w:rsidRPr="009B4DE1">
        <w:rPr>
          <w:rFonts w:cstheme="minorHAnsi"/>
          <w:sz w:val="24"/>
          <w:szCs w:val="24"/>
        </w:rPr>
        <w:t>In the 2023-24 State Budget the Victorian Government announced a $202.9 million package for students with disability. This included the introduction of NDIS Navigators in Victorian government specialist schools.</w:t>
      </w:r>
    </w:p>
    <w:p w14:paraId="5AE03919" w14:textId="77777777" w:rsidR="005033AA" w:rsidRPr="009B4DE1" w:rsidRDefault="005033AA" w:rsidP="005033AA">
      <w:pPr>
        <w:spacing w:before="120"/>
        <w:jc w:val="both"/>
        <w:rPr>
          <w:rFonts w:cstheme="minorHAnsi"/>
          <w:sz w:val="24"/>
          <w:szCs w:val="24"/>
        </w:rPr>
      </w:pPr>
      <w:r w:rsidRPr="009B4DE1">
        <w:rPr>
          <w:rFonts w:cstheme="minorHAnsi"/>
          <w:sz w:val="24"/>
          <w:szCs w:val="24"/>
        </w:rPr>
        <w:t>NDIS Navigators provide support to families and carers to help them to navigate and understand the NDIS, enabling them to get the most out of the supports available. They will also help schools, families and carers to understand the NDIS-education interface.</w:t>
      </w:r>
    </w:p>
    <w:p w14:paraId="66FB617A" w14:textId="77777777" w:rsidR="005033AA" w:rsidRPr="009B4DE1" w:rsidRDefault="005033AA" w:rsidP="005033AA">
      <w:pPr>
        <w:spacing w:before="120"/>
        <w:jc w:val="both"/>
        <w:rPr>
          <w:rFonts w:cstheme="minorHAnsi"/>
          <w:sz w:val="24"/>
          <w:szCs w:val="24"/>
        </w:rPr>
      </w:pPr>
      <w:r w:rsidRPr="009B4DE1">
        <w:rPr>
          <w:rFonts w:cstheme="minorHAnsi"/>
          <w:sz w:val="24"/>
          <w:szCs w:val="24"/>
        </w:rPr>
        <w:t>The NDIS Navigator initiative is funded for 4 years from 2023/24. It will be progressively rolled out to all Victorian government specialist schools from July 2023 with all schools having NDIS Navigator funding by the end of 2025.</w:t>
      </w:r>
    </w:p>
    <w:p w14:paraId="68B1D3CD" w14:textId="6993F0A0" w:rsidR="005033AA" w:rsidRDefault="005033AA" w:rsidP="005033AA">
      <w:pPr>
        <w:contextualSpacing/>
        <w:jc w:val="both"/>
        <w:rPr>
          <w:rFonts w:ascii="Calibri" w:hAnsi="Calibri"/>
          <w:sz w:val="21"/>
          <w:szCs w:val="21"/>
          <w:lang w:val="en-US"/>
        </w:rPr>
      </w:pPr>
      <w:r w:rsidRPr="009B4DE1">
        <w:rPr>
          <w:rFonts w:cstheme="minorHAnsi"/>
          <w:sz w:val="24"/>
          <w:szCs w:val="24"/>
        </w:rPr>
        <w:t xml:space="preserve">For further information on NDIS Navigators see: </w:t>
      </w:r>
      <w:hyperlink r:id="rId241" w:history="1">
        <w:r w:rsidR="00C742AD" w:rsidRPr="009B4DE1">
          <w:rPr>
            <w:rFonts w:cstheme="minorHAnsi"/>
            <w:sz w:val="24"/>
            <w:szCs w:val="24"/>
          </w:rPr>
          <w:t>NDIS Navigators: Policy | education.vic.gov.au</w:t>
        </w:r>
      </w:hyperlink>
      <w:r w:rsidR="00C742AD" w:rsidRPr="00C742AD">
        <w:rPr>
          <w:rFonts w:cstheme="minorHAnsi"/>
          <w:sz w:val="24"/>
          <w:szCs w:val="24"/>
        </w:rPr>
        <w:t xml:space="preserve"> </w:t>
      </w:r>
    </w:p>
    <w:p w14:paraId="09175124" w14:textId="77777777" w:rsidR="005033AA" w:rsidRPr="009B4DE1" w:rsidRDefault="005033AA" w:rsidP="009B4DE1">
      <w:pPr>
        <w:spacing w:before="360" w:after="120" w:line="360" w:lineRule="atLeast"/>
        <w:outlineLvl w:val="2"/>
        <w:rPr>
          <w:rFonts w:eastAsia="Segoe UI" w:cstheme="minorHAnsi"/>
          <w:b/>
          <w:color w:val="011A3C"/>
          <w:sz w:val="24"/>
          <w:szCs w:val="24"/>
          <w:lang w:val="en" w:eastAsia="en-AU"/>
        </w:rPr>
      </w:pPr>
      <w:r w:rsidRPr="009B4DE1">
        <w:rPr>
          <w:rFonts w:eastAsia="Segoe UI" w:cstheme="minorHAnsi"/>
          <w:b/>
          <w:color w:val="011A3C"/>
          <w:sz w:val="24"/>
          <w:szCs w:val="24"/>
          <w:lang w:val="en" w:eastAsia="en-AU"/>
        </w:rPr>
        <w:t>Eligibility</w:t>
      </w:r>
    </w:p>
    <w:p w14:paraId="5E909A9B" w14:textId="77777777" w:rsidR="005033AA" w:rsidRPr="009B4DE1" w:rsidRDefault="005033AA" w:rsidP="005033AA">
      <w:pPr>
        <w:spacing w:before="120"/>
        <w:jc w:val="both"/>
        <w:rPr>
          <w:rFonts w:cstheme="minorHAnsi"/>
          <w:sz w:val="24"/>
          <w:szCs w:val="24"/>
        </w:rPr>
      </w:pPr>
      <w:r w:rsidRPr="009B4DE1">
        <w:rPr>
          <w:rFonts w:cstheme="minorHAnsi"/>
          <w:sz w:val="24"/>
          <w:szCs w:val="24"/>
        </w:rPr>
        <w:t xml:space="preserve">Victorian government specialist schools will be eligible for funding allocation. </w:t>
      </w:r>
    </w:p>
    <w:p w14:paraId="6C8825EA" w14:textId="77777777" w:rsidR="005033AA" w:rsidRPr="009B4DE1" w:rsidRDefault="005033AA" w:rsidP="005033AA">
      <w:pPr>
        <w:spacing w:before="120"/>
        <w:jc w:val="both"/>
        <w:rPr>
          <w:rFonts w:cstheme="minorHAnsi"/>
          <w:sz w:val="24"/>
          <w:szCs w:val="24"/>
        </w:rPr>
      </w:pPr>
      <w:r w:rsidRPr="009B4DE1">
        <w:rPr>
          <w:rFonts w:cstheme="minorHAnsi"/>
          <w:sz w:val="24"/>
          <w:szCs w:val="24"/>
        </w:rPr>
        <w:t xml:space="preserve">As indicated in Table 1, the allocation model will be progressively rolled out to all Victorian government specialist schools from July 2023 over three tranches, with a full complement in place by the end of 2025. </w:t>
      </w:r>
    </w:p>
    <w:p w14:paraId="3E237AA5" w14:textId="77777777" w:rsidR="005033AA" w:rsidRPr="009B4DE1" w:rsidRDefault="005033AA" w:rsidP="005033AA">
      <w:pPr>
        <w:contextualSpacing/>
        <w:jc w:val="both"/>
        <w:rPr>
          <w:rFonts w:cstheme="minorHAnsi"/>
          <w:sz w:val="24"/>
          <w:szCs w:val="24"/>
        </w:rPr>
      </w:pPr>
      <w:r w:rsidRPr="009B4DE1">
        <w:rPr>
          <w:rFonts w:cstheme="minorHAnsi"/>
          <w:sz w:val="24"/>
          <w:szCs w:val="24"/>
        </w:rPr>
        <w:t>Table 1: NDIS navigator workforce allocation, per school (proposed scale out)</w:t>
      </w:r>
    </w:p>
    <w:p w14:paraId="7224D080" w14:textId="77777777" w:rsidR="005033AA" w:rsidRPr="009B4DE1" w:rsidRDefault="005033AA" w:rsidP="005033AA">
      <w:pPr>
        <w:contextualSpacing/>
        <w:jc w:val="both"/>
        <w:rPr>
          <w:rFonts w:cstheme="minorHAnsi"/>
          <w:sz w:val="24"/>
          <w:szCs w:val="24"/>
        </w:rPr>
      </w:pPr>
    </w:p>
    <w:tbl>
      <w:tblPr>
        <w:tblStyle w:val="TableGrid"/>
        <w:tblW w:w="9990" w:type="dxa"/>
        <w:tblInd w:w="0" w:type="dxa"/>
        <w:tblLook w:val="0420" w:firstRow="1" w:lastRow="0" w:firstColumn="0" w:lastColumn="0" w:noHBand="0" w:noVBand="1"/>
      </w:tblPr>
      <w:tblGrid>
        <w:gridCol w:w="2310"/>
        <w:gridCol w:w="2012"/>
        <w:gridCol w:w="2187"/>
        <w:gridCol w:w="2187"/>
        <w:gridCol w:w="1294"/>
      </w:tblGrid>
      <w:tr w:rsidR="00246E15" w:rsidRPr="009D0CB5" w14:paraId="2ECCD9AF" w14:textId="77777777" w:rsidTr="00C031BD">
        <w:trPr>
          <w:cnfStyle w:val="100000000000" w:firstRow="1" w:lastRow="0" w:firstColumn="0" w:lastColumn="0" w:oddVBand="0" w:evenVBand="0" w:oddHBand="0" w:evenHBand="0" w:firstRowFirstColumn="0" w:firstRowLastColumn="0" w:lastRowFirstColumn="0" w:lastRowLastColumn="0"/>
          <w:trHeight w:val="18"/>
        </w:trPr>
        <w:tc>
          <w:tcPr>
            <w:tcW w:w="0" w:type="dxa"/>
            <w:shd w:val="clear" w:color="auto" w:fill="2F5496" w:themeFill="accent1" w:themeFillShade="BF"/>
          </w:tcPr>
          <w:p w14:paraId="095FA00F" w14:textId="77777777" w:rsidR="005033AA" w:rsidRPr="009B4DE1" w:rsidRDefault="005033AA">
            <w:pPr>
              <w:rPr>
                <w:rFonts w:cstheme="minorHAnsi"/>
                <w:sz w:val="24"/>
              </w:rPr>
            </w:pPr>
          </w:p>
        </w:tc>
        <w:tc>
          <w:tcPr>
            <w:tcW w:w="0" w:type="dxa"/>
            <w:shd w:val="clear" w:color="auto" w:fill="2F5496" w:themeFill="accent1" w:themeFillShade="BF"/>
            <w:hideMark/>
          </w:tcPr>
          <w:p w14:paraId="348C261C" w14:textId="77777777" w:rsidR="005033AA" w:rsidRPr="009B4DE1" w:rsidRDefault="005033AA">
            <w:pPr>
              <w:spacing w:line="254" w:lineRule="auto"/>
              <w:rPr>
                <w:rFonts w:cstheme="minorHAnsi"/>
                <w:sz w:val="24"/>
              </w:rPr>
            </w:pPr>
            <w:r w:rsidRPr="009B4DE1">
              <w:rPr>
                <w:rFonts w:cstheme="minorHAnsi"/>
                <w:sz w:val="24"/>
                <w:szCs w:val="22"/>
              </w:rPr>
              <w:t>2023</w:t>
            </w:r>
          </w:p>
          <w:p w14:paraId="7F9EBEA9" w14:textId="77777777" w:rsidR="005033AA" w:rsidRPr="009B4DE1" w:rsidRDefault="005033AA">
            <w:pPr>
              <w:spacing w:line="254" w:lineRule="auto"/>
              <w:rPr>
                <w:rFonts w:cstheme="minorHAnsi"/>
                <w:sz w:val="24"/>
              </w:rPr>
            </w:pPr>
            <w:r w:rsidRPr="009B4DE1">
              <w:rPr>
                <w:rFonts w:cstheme="minorHAnsi"/>
                <w:sz w:val="24"/>
                <w:szCs w:val="22"/>
              </w:rPr>
              <w:t>(Tranche 1)</w:t>
            </w:r>
          </w:p>
        </w:tc>
        <w:tc>
          <w:tcPr>
            <w:tcW w:w="0" w:type="dxa"/>
            <w:shd w:val="clear" w:color="auto" w:fill="2F5496" w:themeFill="accent1" w:themeFillShade="BF"/>
            <w:hideMark/>
          </w:tcPr>
          <w:p w14:paraId="080545F8" w14:textId="77777777" w:rsidR="005033AA" w:rsidRPr="009B4DE1" w:rsidRDefault="005033AA">
            <w:pPr>
              <w:spacing w:line="254" w:lineRule="auto"/>
              <w:rPr>
                <w:rFonts w:cstheme="minorHAnsi"/>
                <w:sz w:val="24"/>
              </w:rPr>
            </w:pPr>
            <w:r w:rsidRPr="009B4DE1">
              <w:rPr>
                <w:rFonts w:cstheme="minorHAnsi"/>
                <w:sz w:val="24"/>
                <w:szCs w:val="22"/>
              </w:rPr>
              <w:t>2024</w:t>
            </w:r>
          </w:p>
          <w:p w14:paraId="4D59F636" w14:textId="77777777" w:rsidR="005033AA" w:rsidRPr="009B4DE1" w:rsidRDefault="005033AA">
            <w:pPr>
              <w:spacing w:line="254" w:lineRule="auto"/>
              <w:rPr>
                <w:rFonts w:cstheme="minorHAnsi"/>
                <w:sz w:val="24"/>
              </w:rPr>
            </w:pPr>
            <w:r w:rsidRPr="009B4DE1">
              <w:rPr>
                <w:rFonts w:cstheme="minorHAnsi"/>
                <w:sz w:val="24"/>
                <w:szCs w:val="22"/>
              </w:rPr>
              <w:t>(Tranches 1 &amp; 2)</w:t>
            </w:r>
          </w:p>
        </w:tc>
        <w:tc>
          <w:tcPr>
            <w:tcW w:w="0" w:type="dxa"/>
            <w:shd w:val="clear" w:color="auto" w:fill="2F5496" w:themeFill="accent1" w:themeFillShade="BF"/>
            <w:hideMark/>
          </w:tcPr>
          <w:p w14:paraId="0F475B86" w14:textId="77777777" w:rsidR="005033AA" w:rsidRPr="009B4DE1" w:rsidRDefault="005033AA">
            <w:pPr>
              <w:spacing w:line="254" w:lineRule="auto"/>
              <w:rPr>
                <w:rFonts w:cstheme="minorHAnsi"/>
                <w:sz w:val="24"/>
              </w:rPr>
            </w:pPr>
            <w:r w:rsidRPr="009B4DE1">
              <w:rPr>
                <w:rFonts w:cstheme="minorHAnsi"/>
                <w:sz w:val="24"/>
                <w:szCs w:val="22"/>
              </w:rPr>
              <w:t>2025</w:t>
            </w:r>
          </w:p>
          <w:p w14:paraId="3F8ED85B" w14:textId="77777777" w:rsidR="005033AA" w:rsidRPr="009B4DE1" w:rsidRDefault="005033AA">
            <w:pPr>
              <w:spacing w:line="254" w:lineRule="auto"/>
              <w:rPr>
                <w:rFonts w:cstheme="minorHAnsi"/>
                <w:sz w:val="24"/>
              </w:rPr>
            </w:pPr>
            <w:r w:rsidRPr="009B4DE1">
              <w:rPr>
                <w:rFonts w:cstheme="minorHAnsi"/>
                <w:sz w:val="24"/>
                <w:szCs w:val="22"/>
              </w:rPr>
              <w:t>(Tranches 1, 2 &amp; 3)</w:t>
            </w:r>
          </w:p>
        </w:tc>
        <w:tc>
          <w:tcPr>
            <w:tcW w:w="0" w:type="dxa"/>
            <w:shd w:val="clear" w:color="auto" w:fill="2F5496" w:themeFill="accent1" w:themeFillShade="BF"/>
            <w:hideMark/>
          </w:tcPr>
          <w:p w14:paraId="660EE922" w14:textId="77777777" w:rsidR="005033AA" w:rsidRPr="009B4DE1" w:rsidRDefault="005033AA">
            <w:pPr>
              <w:spacing w:line="254" w:lineRule="auto"/>
              <w:rPr>
                <w:rFonts w:cstheme="minorHAnsi"/>
                <w:sz w:val="24"/>
              </w:rPr>
            </w:pPr>
            <w:r w:rsidRPr="009B4DE1">
              <w:rPr>
                <w:rFonts w:cstheme="minorHAnsi"/>
                <w:sz w:val="24"/>
                <w:szCs w:val="22"/>
              </w:rPr>
              <w:t>2026</w:t>
            </w:r>
          </w:p>
        </w:tc>
      </w:tr>
      <w:tr w:rsidR="005033AA" w:rsidRPr="009D0CB5" w14:paraId="17203159" w14:textId="77777777" w:rsidTr="009B4DE1">
        <w:trPr>
          <w:trHeight w:val="523"/>
        </w:trPr>
        <w:tc>
          <w:tcPr>
            <w:tcW w:w="0" w:type="dxa"/>
            <w:hideMark/>
          </w:tcPr>
          <w:p w14:paraId="16CBB2A1" w14:textId="77777777" w:rsidR="005033AA" w:rsidRPr="009B4DE1" w:rsidRDefault="005033AA">
            <w:pPr>
              <w:spacing w:line="254" w:lineRule="auto"/>
              <w:rPr>
                <w:rFonts w:cstheme="minorHAnsi"/>
                <w:sz w:val="24"/>
              </w:rPr>
            </w:pPr>
            <w:r w:rsidRPr="009B4DE1">
              <w:rPr>
                <w:rFonts w:cstheme="minorHAnsi"/>
                <w:sz w:val="24"/>
                <w:szCs w:val="22"/>
              </w:rPr>
              <w:t>Workforce FTE</w:t>
            </w:r>
          </w:p>
        </w:tc>
        <w:tc>
          <w:tcPr>
            <w:tcW w:w="0" w:type="dxa"/>
            <w:hideMark/>
          </w:tcPr>
          <w:p w14:paraId="1F908443" w14:textId="77777777" w:rsidR="005033AA" w:rsidRPr="009B4DE1" w:rsidRDefault="005033AA">
            <w:pPr>
              <w:spacing w:line="254" w:lineRule="auto"/>
              <w:jc w:val="center"/>
              <w:rPr>
                <w:rFonts w:cstheme="minorHAnsi"/>
                <w:sz w:val="24"/>
              </w:rPr>
            </w:pPr>
            <w:r w:rsidRPr="009B4DE1">
              <w:rPr>
                <w:rFonts w:cstheme="minorHAnsi"/>
                <w:sz w:val="24"/>
                <w:szCs w:val="22"/>
              </w:rPr>
              <w:t>15 FTE</w:t>
            </w:r>
          </w:p>
        </w:tc>
        <w:tc>
          <w:tcPr>
            <w:tcW w:w="0" w:type="dxa"/>
            <w:hideMark/>
          </w:tcPr>
          <w:p w14:paraId="062EB38B" w14:textId="77777777" w:rsidR="005033AA" w:rsidRPr="009B4DE1" w:rsidRDefault="005033AA">
            <w:pPr>
              <w:spacing w:line="254" w:lineRule="auto"/>
              <w:jc w:val="center"/>
              <w:rPr>
                <w:rFonts w:cstheme="minorHAnsi"/>
                <w:sz w:val="24"/>
              </w:rPr>
            </w:pPr>
            <w:r w:rsidRPr="009B4DE1">
              <w:rPr>
                <w:rFonts w:cstheme="minorHAnsi"/>
                <w:sz w:val="24"/>
                <w:szCs w:val="22"/>
              </w:rPr>
              <w:t>32 FTE</w:t>
            </w:r>
          </w:p>
        </w:tc>
        <w:tc>
          <w:tcPr>
            <w:tcW w:w="0" w:type="dxa"/>
            <w:hideMark/>
          </w:tcPr>
          <w:p w14:paraId="48AA8D9F" w14:textId="77777777" w:rsidR="005033AA" w:rsidRPr="009B4DE1" w:rsidRDefault="005033AA">
            <w:pPr>
              <w:spacing w:line="254" w:lineRule="auto"/>
              <w:jc w:val="center"/>
              <w:rPr>
                <w:rFonts w:cstheme="minorHAnsi"/>
                <w:sz w:val="24"/>
              </w:rPr>
            </w:pPr>
            <w:r w:rsidRPr="009B4DE1">
              <w:rPr>
                <w:rFonts w:cstheme="minorHAnsi"/>
                <w:sz w:val="24"/>
                <w:szCs w:val="22"/>
              </w:rPr>
              <w:t>49 FTE</w:t>
            </w:r>
          </w:p>
        </w:tc>
        <w:tc>
          <w:tcPr>
            <w:tcW w:w="0" w:type="dxa"/>
            <w:hideMark/>
          </w:tcPr>
          <w:p w14:paraId="5207FA75" w14:textId="77777777" w:rsidR="005033AA" w:rsidRPr="009B4DE1" w:rsidRDefault="005033AA">
            <w:pPr>
              <w:spacing w:line="254" w:lineRule="auto"/>
              <w:jc w:val="center"/>
              <w:rPr>
                <w:rFonts w:cstheme="minorHAnsi"/>
                <w:sz w:val="24"/>
              </w:rPr>
            </w:pPr>
            <w:r w:rsidRPr="009B4DE1">
              <w:rPr>
                <w:rFonts w:cstheme="minorHAnsi"/>
                <w:sz w:val="24"/>
                <w:szCs w:val="22"/>
              </w:rPr>
              <w:t>49 FTE</w:t>
            </w:r>
          </w:p>
        </w:tc>
      </w:tr>
      <w:tr w:rsidR="005033AA" w:rsidRPr="009D0CB5" w14:paraId="2EF99EAA" w14:textId="77777777" w:rsidTr="009B4DE1">
        <w:trPr>
          <w:trHeight w:val="523"/>
        </w:trPr>
        <w:tc>
          <w:tcPr>
            <w:tcW w:w="0" w:type="dxa"/>
            <w:hideMark/>
          </w:tcPr>
          <w:p w14:paraId="4911EAD0" w14:textId="77777777" w:rsidR="005033AA" w:rsidRPr="009B4DE1" w:rsidRDefault="005033AA">
            <w:pPr>
              <w:spacing w:line="254" w:lineRule="auto"/>
              <w:rPr>
                <w:rFonts w:cstheme="minorHAnsi"/>
                <w:sz w:val="24"/>
              </w:rPr>
            </w:pPr>
            <w:r w:rsidRPr="009B4DE1">
              <w:rPr>
                <w:rFonts w:cstheme="minorHAnsi"/>
                <w:sz w:val="24"/>
                <w:szCs w:val="22"/>
              </w:rPr>
              <w:t>Number of schools</w:t>
            </w:r>
          </w:p>
        </w:tc>
        <w:tc>
          <w:tcPr>
            <w:tcW w:w="0" w:type="dxa"/>
            <w:hideMark/>
          </w:tcPr>
          <w:p w14:paraId="4F6A1257" w14:textId="77777777" w:rsidR="005033AA" w:rsidRPr="009B4DE1" w:rsidRDefault="005033AA">
            <w:pPr>
              <w:spacing w:after="240" w:line="254" w:lineRule="auto"/>
              <w:jc w:val="center"/>
              <w:rPr>
                <w:rFonts w:cstheme="minorHAnsi"/>
                <w:sz w:val="24"/>
              </w:rPr>
            </w:pPr>
            <w:r w:rsidRPr="009B4DE1">
              <w:rPr>
                <w:rFonts w:cstheme="minorHAnsi"/>
                <w:sz w:val="24"/>
                <w:szCs w:val="22"/>
              </w:rPr>
              <w:t>Approx. 30</w:t>
            </w:r>
          </w:p>
        </w:tc>
        <w:tc>
          <w:tcPr>
            <w:tcW w:w="0" w:type="dxa"/>
            <w:hideMark/>
          </w:tcPr>
          <w:p w14:paraId="334E7936" w14:textId="77777777" w:rsidR="005033AA" w:rsidRPr="009B4DE1" w:rsidRDefault="005033AA">
            <w:pPr>
              <w:spacing w:after="240" w:line="254" w:lineRule="auto"/>
              <w:jc w:val="center"/>
              <w:rPr>
                <w:rFonts w:cstheme="minorHAnsi"/>
                <w:sz w:val="24"/>
              </w:rPr>
            </w:pPr>
            <w:r w:rsidRPr="009B4DE1">
              <w:rPr>
                <w:rFonts w:cstheme="minorHAnsi"/>
                <w:sz w:val="24"/>
                <w:szCs w:val="22"/>
              </w:rPr>
              <w:t>Approx. 60</w:t>
            </w:r>
          </w:p>
        </w:tc>
        <w:tc>
          <w:tcPr>
            <w:tcW w:w="0" w:type="dxa"/>
            <w:hideMark/>
          </w:tcPr>
          <w:p w14:paraId="648CCBC8" w14:textId="77777777" w:rsidR="005033AA" w:rsidRPr="009B4DE1" w:rsidRDefault="005033AA">
            <w:pPr>
              <w:spacing w:after="240" w:line="254" w:lineRule="auto"/>
              <w:jc w:val="center"/>
              <w:rPr>
                <w:rFonts w:cstheme="minorHAnsi"/>
                <w:sz w:val="24"/>
              </w:rPr>
            </w:pPr>
            <w:r w:rsidRPr="009B4DE1">
              <w:rPr>
                <w:rFonts w:cstheme="minorHAnsi"/>
                <w:sz w:val="24"/>
                <w:szCs w:val="22"/>
              </w:rPr>
              <w:t>97</w:t>
            </w:r>
          </w:p>
        </w:tc>
        <w:tc>
          <w:tcPr>
            <w:tcW w:w="0" w:type="dxa"/>
            <w:hideMark/>
          </w:tcPr>
          <w:p w14:paraId="08729638" w14:textId="77777777" w:rsidR="005033AA" w:rsidRPr="009B4DE1" w:rsidRDefault="005033AA">
            <w:pPr>
              <w:spacing w:after="240" w:line="254" w:lineRule="auto"/>
              <w:jc w:val="center"/>
              <w:rPr>
                <w:rFonts w:cstheme="minorHAnsi"/>
                <w:sz w:val="24"/>
              </w:rPr>
            </w:pPr>
            <w:r w:rsidRPr="009B4DE1">
              <w:rPr>
                <w:rFonts w:cstheme="minorHAnsi"/>
                <w:sz w:val="24"/>
                <w:szCs w:val="22"/>
              </w:rPr>
              <w:t>97</w:t>
            </w:r>
          </w:p>
        </w:tc>
      </w:tr>
    </w:tbl>
    <w:p w14:paraId="318A07DB" w14:textId="77777777" w:rsidR="005033AA" w:rsidRPr="009B4DE1" w:rsidRDefault="005033AA" w:rsidP="009B4DE1">
      <w:pPr>
        <w:spacing w:before="360" w:after="120" w:line="360" w:lineRule="atLeast"/>
        <w:outlineLvl w:val="2"/>
        <w:rPr>
          <w:rFonts w:eastAsia="Segoe UI" w:cstheme="minorHAnsi"/>
          <w:b/>
          <w:color w:val="011A3C"/>
          <w:sz w:val="24"/>
          <w:szCs w:val="24"/>
          <w:lang w:val="en" w:eastAsia="en-AU"/>
        </w:rPr>
      </w:pPr>
      <w:r w:rsidRPr="009B4DE1">
        <w:rPr>
          <w:rFonts w:eastAsia="Segoe UI" w:cstheme="minorHAnsi"/>
          <w:b/>
          <w:color w:val="011A3C"/>
          <w:sz w:val="24"/>
          <w:szCs w:val="24"/>
          <w:lang w:val="en" w:eastAsia="en-AU"/>
        </w:rPr>
        <w:t>Calculation</w:t>
      </w:r>
    </w:p>
    <w:p w14:paraId="175C30A2" w14:textId="07B85EED" w:rsidR="005033AA" w:rsidRPr="00620585" w:rsidRDefault="005033AA" w:rsidP="00833928">
      <w:pPr>
        <w:pStyle w:val="Body"/>
        <w:spacing w:after="120"/>
        <w:jc w:val="left"/>
        <w:rPr>
          <w:sz w:val="24"/>
        </w:rPr>
      </w:pPr>
      <w:r w:rsidRPr="009B4DE1">
        <w:rPr>
          <w:rFonts w:cstheme="minorHAnsi"/>
          <w:sz w:val="24"/>
          <w:szCs w:val="24"/>
        </w:rPr>
        <w:t xml:space="preserve">The funding model consists of an FTE </w:t>
      </w:r>
      <w:r w:rsidRPr="00833928">
        <w:rPr>
          <w:rFonts w:asciiTheme="minorHAnsi" w:hAnsiTheme="minorHAnsi"/>
          <w:sz w:val="24"/>
          <w:lang w:val="en-AU"/>
        </w:rPr>
        <w:t xml:space="preserve">allocation </w:t>
      </w:r>
      <w:r w:rsidRPr="009B4DE1">
        <w:rPr>
          <w:rFonts w:asciiTheme="minorHAnsi" w:hAnsiTheme="minorHAnsi" w:cstheme="minorHAnsi"/>
          <w:sz w:val="24"/>
          <w:szCs w:val="24"/>
          <w:lang w:val="en-AU"/>
        </w:rPr>
        <w:t xml:space="preserve">based on school </w:t>
      </w:r>
      <w:r w:rsidR="00D15E9B" w:rsidRPr="00D15E9B">
        <w:rPr>
          <w:rFonts w:asciiTheme="minorHAnsi" w:hAnsiTheme="minorHAnsi" w:cstheme="minorHAnsi"/>
          <w:sz w:val="24"/>
          <w:szCs w:val="24"/>
          <w:lang w:val="en-AU"/>
        </w:rPr>
        <w:t>enrolments</w:t>
      </w:r>
      <w:r w:rsidRPr="009B4DE1">
        <w:rPr>
          <w:rFonts w:asciiTheme="minorHAnsi" w:hAnsiTheme="minorHAnsi" w:cstheme="minorHAnsi"/>
          <w:sz w:val="24"/>
          <w:szCs w:val="24"/>
          <w:lang w:val="en-AU"/>
        </w:rPr>
        <w:t xml:space="preserve">: </w:t>
      </w:r>
    </w:p>
    <w:p w14:paraId="46C262AF" w14:textId="72E1A31B" w:rsidR="005033AA" w:rsidRPr="009B4DE1" w:rsidRDefault="005033AA" w:rsidP="005033AA">
      <w:pPr>
        <w:pStyle w:val="ListParagraph"/>
        <w:numPr>
          <w:ilvl w:val="0"/>
          <w:numId w:val="168"/>
        </w:numPr>
        <w:spacing w:after="0" w:line="256" w:lineRule="auto"/>
        <w:jc w:val="both"/>
        <w:rPr>
          <w:rFonts w:cstheme="minorHAnsi"/>
          <w:sz w:val="24"/>
          <w:szCs w:val="24"/>
        </w:rPr>
      </w:pPr>
      <w:r w:rsidRPr="009B4DE1">
        <w:rPr>
          <w:rFonts w:cstheme="minorHAnsi"/>
          <w:sz w:val="24"/>
          <w:szCs w:val="24"/>
        </w:rPr>
        <w:t>&lt;42 students = 0.2</w:t>
      </w:r>
      <w:r w:rsidRPr="00833928">
        <w:rPr>
          <w:sz w:val="24"/>
        </w:rPr>
        <w:t xml:space="preserve"> FTE </w:t>
      </w:r>
    </w:p>
    <w:p w14:paraId="2A50B761" w14:textId="77777777" w:rsidR="005033AA" w:rsidRPr="009B4DE1" w:rsidRDefault="005033AA" w:rsidP="005033AA">
      <w:pPr>
        <w:pStyle w:val="ListParagraph"/>
        <w:numPr>
          <w:ilvl w:val="0"/>
          <w:numId w:val="168"/>
        </w:numPr>
        <w:spacing w:after="0" w:line="256" w:lineRule="auto"/>
        <w:jc w:val="both"/>
        <w:rPr>
          <w:rFonts w:cstheme="minorHAnsi"/>
          <w:sz w:val="24"/>
          <w:szCs w:val="24"/>
        </w:rPr>
      </w:pPr>
      <w:r w:rsidRPr="009B4DE1">
        <w:rPr>
          <w:rFonts w:cstheme="minorHAnsi"/>
          <w:sz w:val="24"/>
          <w:szCs w:val="24"/>
        </w:rPr>
        <w:t xml:space="preserve">42-185 students = 0.4 FTE </w:t>
      </w:r>
    </w:p>
    <w:p w14:paraId="7597DBFA" w14:textId="77777777" w:rsidR="005033AA" w:rsidRPr="009B4DE1" w:rsidRDefault="005033AA" w:rsidP="005033AA">
      <w:pPr>
        <w:pStyle w:val="ListParagraph"/>
        <w:numPr>
          <w:ilvl w:val="0"/>
          <w:numId w:val="168"/>
        </w:numPr>
        <w:spacing w:after="0" w:line="256" w:lineRule="auto"/>
        <w:jc w:val="both"/>
        <w:rPr>
          <w:rFonts w:cstheme="minorHAnsi"/>
          <w:sz w:val="24"/>
          <w:szCs w:val="24"/>
        </w:rPr>
      </w:pPr>
      <w:r w:rsidRPr="009B4DE1">
        <w:rPr>
          <w:rFonts w:cstheme="minorHAnsi"/>
          <w:sz w:val="24"/>
          <w:szCs w:val="24"/>
        </w:rPr>
        <w:t xml:space="preserve">186 -300 students = 0.6 FTE </w:t>
      </w:r>
    </w:p>
    <w:p w14:paraId="5DDEFA8F" w14:textId="77777777" w:rsidR="005033AA" w:rsidRPr="009B4DE1" w:rsidRDefault="005033AA" w:rsidP="005033AA">
      <w:pPr>
        <w:pStyle w:val="ListParagraph"/>
        <w:numPr>
          <w:ilvl w:val="0"/>
          <w:numId w:val="168"/>
        </w:numPr>
        <w:spacing w:after="0" w:line="256" w:lineRule="auto"/>
        <w:jc w:val="both"/>
        <w:rPr>
          <w:rFonts w:cstheme="minorHAnsi"/>
          <w:sz w:val="24"/>
          <w:szCs w:val="24"/>
        </w:rPr>
      </w:pPr>
      <w:r w:rsidRPr="009B4DE1">
        <w:rPr>
          <w:rFonts w:cstheme="minorHAnsi"/>
          <w:sz w:val="24"/>
          <w:szCs w:val="24"/>
        </w:rPr>
        <w:t xml:space="preserve">301-400 students = 0.8 FTE </w:t>
      </w:r>
    </w:p>
    <w:p w14:paraId="0570DE93" w14:textId="1F07AC34" w:rsidR="00E03429" w:rsidRPr="009B4DE1" w:rsidRDefault="005033AA" w:rsidP="00E03429">
      <w:pPr>
        <w:pStyle w:val="ListParagraph"/>
        <w:numPr>
          <w:ilvl w:val="0"/>
          <w:numId w:val="166"/>
        </w:numPr>
        <w:spacing w:after="0" w:line="256" w:lineRule="auto"/>
        <w:jc w:val="both"/>
        <w:rPr>
          <w:rFonts w:cstheme="minorHAnsi"/>
          <w:sz w:val="24"/>
          <w:szCs w:val="24"/>
        </w:rPr>
      </w:pPr>
      <w:r w:rsidRPr="009B4DE1">
        <w:rPr>
          <w:rFonts w:cstheme="minorHAnsi"/>
          <w:sz w:val="24"/>
          <w:szCs w:val="24"/>
        </w:rPr>
        <w:t>400+ students = 1.0 FTE</w:t>
      </w:r>
    </w:p>
    <w:p w14:paraId="1A7CA06C" w14:textId="7CEC0460" w:rsidR="002E0494" w:rsidRPr="009B4DE1" w:rsidRDefault="002E0494" w:rsidP="009B4DE1">
      <w:pPr>
        <w:pStyle w:val="ListParagraph"/>
        <w:numPr>
          <w:ilvl w:val="0"/>
          <w:numId w:val="166"/>
        </w:numPr>
        <w:spacing w:after="0" w:line="256" w:lineRule="auto"/>
        <w:jc w:val="both"/>
        <w:rPr>
          <w:rFonts w:cstheme="minorHAnsi"/>
          <w:sz w:val="24"/>
          <w:szCs w:val="24"/>
        </w:rPr>
      </w:pPr>
      <w:r w:rsidRPr="009B4DE1">
        <w:rPr>
          <w:rFonts w:cstheme="minorHAnsi"/>
          <w:sz w:val="24"/>
          <w:szCs w:val="24"/>
        </w:rPr>
        <w:t>The model has fixed FTE allocation bands throughout the life of the initiative, from the first SRP allocation in 2023.</w:t>
      </w:r>
    </w:p>
    <w:p w14:paraId="591C2BE9" w14:textId="046603A9" w:rsidR="00D15E9B" w:rsidRDefault="005033AA" w:rsidP="00C031BD">
      <w:pPr>
        <w:spacing w:before="360" w:after="120" w:line="360" w:lineRule="atLeast"/>
        <w:outlineLvl w:val="2"/>
        <w:rPr>
          <w:rFonts w:eastAsia="Segoe UI" w:cstheme="minorHAnsi"/>
          <w:b/>
          <w:color w:val="011A3C"/>
          <w:sz w:val="24"/>
          <w:szCs w:val="24"/>
          <w:lang w:val="en" w:eastAsia="en-AU"/>
        </w:rPr>
      </w:pPr>
      <w:r w:rsidRPr="009B4DE1">
        <w:rPr>
          <w:rFonts w:eastAsia="Segoe UI" w:cstheme="minorHAnsi"/>
          <w:b/>
          <w:color w:val="011A3C"/>
          <w:sz w:val="24"/>
          <w:szCs w:val="24"/>
          <w:lang w:val="en" w:eastAsia="en-AU"/>
        </w:rPr>
        <w:t xml:space="preserve">Multicampus threshold </w:t>
      </w:r>
    </w:p>
    <w:p w14:paraId="2725040E" w14:textId="76A0FDA0" w:rsidR="00BF22BF" w:rsidRDefault="005033AA" w:rsidP="009B4DE1">
      <w:pPr>
        <w:rPr>
          <w:rFonts w:eastAsia="Segoe UI"/>
          <w:b/>
          <w:color w:val="011A3C"/>
          <w:lang w:val="en" w:eastAsia="en-AU"/>
        </w:rPr>
      </w:pPr>
      <w:r w:rsidRPr="009B4DE1">
        <w:rPr>
          <w:sz w:val="24"/>
          <w:szCs w:val="24"/>
        </w:rPr>
        <w:t>Additional loading for very large schools (450+</w:t>
      </w:r>
      <w:r w:rsidRPr="00833928">
        <w:rPr>
          <w:sz w:val="24"/>
        </w:rPr>
        <w:t xml:space="preserve"> enrolments</w:t>
      </w:r>
      <w:r w:rsidRPr="009B4DE1">
        <w:rPr>
          <w:sz w:val="24"/>
          <w:szCs w:val="24"/>
        </w:rPr>
        <w:t>) with more than 2 campuses will be applied</w:t>
      </w:r>
      <w:r w:rsidR="00D15E9B">
        <w:rPr>
          <w:sz w:val="24"/>
          <w:szCs w:val="24"/>
        </w:rPr>
        <w:t>.</w:t>
      </w:r>
      <w:r w:rsidRPr="009B4DE1">
        <w:rPr>
          <w:sz w:val="24"/>
          <w:szCs w:val="24"/>
        </w:rPr>
        <w:t xml:space="preserve"> </w:t>
      </w:r>
    </w:p>
    <w:p w14:paraId="26047CD7" w14:textId="0FF8244B" w:rsidR="00BF22BF" w:rsidRPr="009B4DE1" w:rsidRDefault="005033AA" w:rsidP="009B4DE1">
      <w:pPr>
        <w:rPr>
          <w:lang w:val="en" w:eastAsia="en-AU"/>
        </w:rPr>
      </w:pPr>
      <w:r w:rsidRPr="00833928">
        <w:rPr>
          <w:b/>
          <w:color w:val="011A3C"/>
          <w:sz w:val="24"/>
          <w:lang w:val="en"/>
        </w:rPr>
        <w:t xml:space="preserve">Funding </w:t>
      </w:r>
      <w:r w:rsidRPr="009B4DE1">
        <w:rPr>
          <w:rFonts w:eastAsia="Segoe UI" w:cstheme="minorHAnsi"/>
          <w:b/>
          <w:color w:val="011A3C"/>
          <w:sz w:val="24"/>
          <w:szCs w:val="24"/>
          <w:lang w:val="en" w:eastAsia="en-AU"/>
        </w:rPr>
        <w:t>calculation</w:t>
      </w:r>
      <w:r w:rsidRPr="009B4DE1">
        <w:rPr>
          <w:rFonts w:eastAsia="Segoe UI" w:cstheme="minorHAnsi"/>
          <w:b/>
          <w:color w:val="011A3C"/>
          <w:sz w:val="24"/>
          <w:szCs w:val="24"/>
          <w:lang w:val="en" w:eastAsia="en-AU"/>
        </w:rPr>
        <w:tab/>
      </w:r>
    </w:p>
    <w:p w14:paraId="5F4720BD" w14:textId="356EE5A0" w:rsidR="009D0CB5" w:rsidRDefault="005033AA" w:rsidP="009B4DE1">
      <w:pPr>
        <w:pStyle w:val="Body"/>
      </w:pPr>
      <w:r w:rsidRPr="009B4DE1">
        <w:rPr>
          <w:rFonts w:asciiTheme="minorHAnsi" w:hAnsiTheme="minorHAnsi"/>
          <w:sz w:val="24"/>
          <w:szCs w:val="24"/>
          <w:lang w:val="en-AU"/>
        </w:rPr>
        <w:t>School FTE allocation (rounded to one dec</w:t>
      </w:r>
      <w:r w:rsidRPr="009B4DE1">
        <w:rPr>
          <w:sz w:val="24"/>
          <w:szCs w:val="24"/>
          <w:lang w:val="en-AU"/>
        </w:rPr>
        <w:t>imal) x Midpoint of an Education Support, Level 1 Range 4, position including school SRP on-costs</w:t>
      </w:r>
    </w:p>
    <w:p w14:paraId="3137CDDA" w14:textId="612ECF0A" w:rsidR="00D15E9B" w:rsidRDefault="007D7C46" w:rsidP="00532A33">
      <w:pPr>
        <w:pStyle w:val="Heading2"/>
      </w:pPr>
      <w:bookmarkStart w:id="317" w:name="_Hlk144824358"/>
      <w:bookmarkStart w:id="318" w:name="_Toc145339635"/>
      <w:bookmarkStart w:id="319" w:name="_Toc153791958"/>
      <w:r w:rsidRPr="00356AF5">
        <w:lastRenderedPageBreak/>
        <w:t>Specialist School Activity Boost</w:t>
      </w:r>
      <w:bookmarkEnd w:id="317"/>
      <w:r w:rsidRPr="00356AF5">
        <w:t xml:space="preserve"> (Reference</w:t>
      </w:r>
      <w:r w:rsidR="007A6656">
        <w:t xml:space="preserve"> 147</w:t>
      </w:r>
      <w:r w:rsidRPr="00356AF5">
        <w:t>)</w:t>
      </w:r>
      <w:bookmarkEnd w:id="318"/>
      <w:bookmarkEnd w:id="319"/>
    </w:p>
    <w:p w14:paraId="263CC4CE" w14:textId="1747F160" w:rsidR="00DF6226" w:rsidRPr="0039677C" w:rsidRDefault="00DF6226" w:rsidP="00833928">
      <w:pPr>
        <w:spacing w:before="120"/>
        <w:jc w:val="both"/>
        <w:rPr>
          <w:rFonts w:cstheme="minorHAnsi"/>
          <w:sz w:val="24"/>
          <w:szCs w:val="24"/>
        </w:rPr>
      </w:pPr>
      <w:r w:rsidRPr="0039677C">
        <w:rPr>
          <w:rFonts w:cstheme="minorHAnsi"/>
          <w:sz w:val="24"/>
          <w:szCs w:val="24"/>
        </w:rPr>
        <w:t>The Specialist School Activity Boost provides</w:t>
      </w:r>
      <w:r w:rsidRPr="00833928">
        <w:rPr>
          <w:sz w:val="24"/>
        </w:rPr>
        <w:t xml:space="preserve"> funding</w:t>
      </w:r>
      <w:r w:rsidRPr="0039677C">
        <w:rPr>
          <w:rFonts w:cstheme="minorHAnsi"/>
          <w:sz w:val="24"/>
          <w:szCs w:val="24"/>
        </w:rPr>
        <w:t xml:space="preserve"> to specialist schools (with students with disability as their focus) and Supported Inclusion Schools to support them with the cost of delivering activities such as arts, sports, cultural and social programs to their students.</w:t>
      </w:r>
    </w:p>
    <w:p w14:paraId="0456D4ED" w14:textId="77777777" w:rsidR="00DF6226" w:rsidRPr="0039677C" w:rsidRDefault="00DF6226" w:rsidP="00DF6226">
      <w:pPr>
        <w:spacing w:before="120"/>
        <w:jc w:val="both"/>
        <w:rPr>
          <w:rFonts w:cstheme="minorHAnsi"/>
          <w:sz w:val="24"/>
          <w:szCs w:val="24"/>
        </w:rPr>
      </w:pPr>
      <w:r w:rsidRPr="0039677C">
        <w:rPr>
          <w:rFonts w:cstheme="minorHAnsi"/>
          <w:sz w:val="24"/>
          <w:szCs w:val="24"/>
        </w:rPr>
        <w:t>Activities play an important role in supporting students with disability to learn and thrive at school, by boosting learning engagement and motivation, as well as building a sense of connection with friends, teachers and their community. However, specialist schools and Supported Inclusion Schools can face higher costs in making these experiences available to their students due to factors such as higher teacher to student ratios and use of specialised equipment in delivering activities. The Specialist School Activity Boost will provide these schools with additional financial resources to help them run these important activities for their students.</w:t>
      </w:r>
    </w:p>
    <w:p w14:paraId="12334385" w14:textId="77777777" w:rsidR="00DF6226" w:rsidRPr="0039677C" w:rsidRDefault="00DF6226" w:rsidP="00DF6226">
      <w:pPr>
        <w:spacing w:before="120"/>
        <w:jc w:val="both"/>
        <w:rPr>
          <w:rFonts w:cstheme="minorHAnsi"/>
          <w:sz w:val="24"/>
          <w:szCs w:val="24"/>
        </w:rPr>
      </w:pPr>
      <w:r w:rsidRPr="0039677C">
        <w:rPr>
          <w:rFonts w:cstheme="minorHAnsi"/>
          <w:sz w:val="24"/>
          <w:szCs w:val="24"/>
        </w:rPr>
        <w:t>Funds may be used, for example:</w:t>
      </w:r>
    </w:p>
    <w:p w14:paraId="53B1FA5D" w14:textId="77777777" w:rsidR="00DF6226" w:rsidRPr="0039677C" w:rsidRDefault="00DF6226" w:rsidP="00DF6226">
      <w:pPr>
        <w:numPr>
          <w:ilvl w:val="0"/>
          <w:numId w:val="175"/>
        </w:numPr>
        <w:jc w:val="both"/>
        <w:rPr>
          <w:rFonts w:cstheme="minorHAnsi"/>
          <w:sz w:val="24"/>
          <w:szCs w:val="24"/>
        </w:rPr>
      </w:pPr>
      <w:r w:rsidRPr="0039677C">
        <w:rPr>
          <w:rFonts w:cstheme="minorHAnsi"/>
          <w:sz w:val="24"/>
          <w:szCs w:val="24"/>
        </w:rPr>
        <w:t>engaging external organisations to deliver targeted arts, sports, cultural or social programs for students conducting other similar activities</w:t>
      </w:r>
    </w:p>
    <w:p w14:paraId="6DDEB2B3" w14:textId="77777777" w:rsidR="00DF6226" w:rsidRPr="0039677C" w:rsidRDefault="00DF6226" w:rsidP="00DF6226">
      <w:pPr>
        <w:numPr>
          <w:ilvl w:val="0"/>
          <w:numId w:val="175"/>
        </w:numPr>
        <w:jc w:val="both"/>
        <w:rPr>
          <w:rFonts w:cstheme="minorHAnsi"/>
          <w:sz w:val="24"/>
          <w:szCs w:val="24"/>
        </w:rPr>
      </w:pPr>
      <w:r w:rsidRPr="0039677C">
        <w:rPr>
          <w:rFonts w:cstheme="minorHAnsi"/>
          <w:sz w:val="24"/>
          <w:szCs w:val="24"/>
        </w:rPr>
        <w:t>student attendance at camps</w:t>
      </w:r>
    </w:p>
    <w:p w14:paraId="137A72F8" w14:textId="77777777" w:rsidR="00DF6226" w:rsidRPr="0039677C" w:rsidRDefault="00DF6226" w:rsidP="00DF6226">
      <w:pPr>
        <w:numPr>
          <w:ilvl w:val="0"/>
          <w:numId w:val="175"/>
        </w:numPr>
        <w:jc w:val="both"/>
        <w:rPr>
          <w:rFonts w:cstheme="minorHAnsi"/>
          <w:sz w:val="24"/>
          <w:szCs w:val="24"/>
        </w:rPr>
      </w:pPr>
      <w:r w:rsidRPr="0039677C">
        <w:rPr>
          <w:rFonts w:cstheme="minorHAnsi"/>
          <w:sz w:val="24"/>
          <w:szCs w:val="24"/>
        </w:rPr>
        <w:t xml:space="preserve">establishing partnerships with local sports clubs (e.g., local bowling club) to deliver activities for students </w:t>
      </w:r>
    </w:p>
    <w:p w14:paraId="5B9943F9" w14:textId="77777777" w:rsidR="00DF6226" w:rsidRPr="0039677C" w:rsidRDefault="00DF6226" w:rsidP="00DF6226">
      <w:pPr>
        <w:numPr>
          <w:ilvl w:val="0"/>
          <w:numId w:val="175"/>
        </w:numPr>
        <w:jc w:val="both"/>
        <w:rPr>
          <w:rFonts w:cstheme="minorHAnsi"/>
          <w:sz w:val="24"/>
          <w:szCs w:val="24"/>
        </w:rPr>
      </w:pPr>
      <w:r w:rsidRPr="0039677C">
        <w:rPr>
          <w:rFonts w:cstheme="minorHAnsi"/>
          <w:sz w:val="24"/>
          <w:szCs w:val="24"/>
        </w:rPr>
        <w:t xml:space="preserve">purchasing resources or equipment to establish regular in-school access to activities (e.g. giant 10-pin bowling equipment) </w:t>
      </w:r>
    </w:p>
    <w:p w14:paraId="21D183EC" w14:textId="77777777" w:rsidR="00DF6226" w:rsidRPr="0039677C" w:rsidRDefault="00DF6226" w:rsidP="00DF6226">
      <w:pPr>
        <w:numPr>
          <w:ilvl w:val="0"/>
          <w:numId w:val="175"/>
        </w:numPr>
        <w:jc w:val="both"/>
        <w:rPr>
          <w:rFonts w:cstheme="minorHAnsi"/>
          <w:sz w:val="24"/>
          <w:szCs w:val="24"/>
        </w:rPr>
      </w:pPr>
      <w:r w:rsidRPr="0039677C">
        <w:rPr>
          <w:rFonts w:cstheme="minorHAnsi"/>
          <w:sz w:val="24"/>
          <w:szCs w:val="24"/>
        </w:rPr>
        <w:t xml:space="preserve">developing targeted sports, arts, cultural and social experiences to be delivered by staff in-school  </w:t>
      </w:r>
    </w:p>
    <w:p w14:paraId="7DBEADC0" w14:textId="77777777" w:rsidR="00DF6226" w:rsidRPr="0039677C" w:rsidRDefault="00DF6226" w:rsidP="00DF6226">
      <w:pPr>
        <w:numPr>
          <w:ilvl w:val="0"/>
          <w:numId w:val="175"/>
        </w:numPr>
        <w:jc w:val="both"/>
        <w:rPr>
          <w:rFonts w:cstheme="minorHAnsi"/>
          <w:sz w:val="24"/>
          <w:szCs w:val="24"/>
        </w:rPr>
      </w:pPr>
      <w:r w:rsidRPr="0039677C">
        <w:rPr>
          <w:rFonts w:cstheme="minorHAnsi"/>
          <w:sz w:val="24"/>
          <w:szCs w:val="24"/>
        </w:rPr>
        <w:t>CRT costs to release school staff to deliver activities</w:t>
      </w:r>
    </w:p>
    <w:p w14:paraId="3B1C6588" w14:textId="5BC99FA7" w:rsidR="006F2802" w:rsidRPr="00034C16" w:rsidRDefault="00DF6226" w:rsidP="009B4DE1">
      <w:pPr>
        <w:numPr>
          <w:ilvl w:val="0"/>
          <w:numId w:val="175"/>
        </w:numPr>
        <w:jc w:val="both"/>
        <w:rPr>
          <w:rFonts w:cstheme="minorHAnsi"/>
          <w:sz w:val="24"/>
          <w:szCs w:val="24"/>
        </w:rPr>
      </w:pPr>
      <w:r w:rsidRPr="0039677C">
        <w:rPr>
          <w:rFonts w:cstheme="minorHAnsi"/>
          <w:sz w:val="24"/>
          <w:szCs w:val="24"/>
        </w:rPr>
        <w:t xml:space="preserve">ancillary costs, such as transport to attend externally provided activities. </w:t>
      </w:r>
    </w:p>
    <w:p w14:paraId="2E0ECA97" w14:textId="739CC512" w:rsidR="00D15E9B" w:rsidRPr="0039677C" w:rsidRDefault="006F2802" w:rsidP="009B4DE1">
      <w:pPr>
        <w:spacing w:before="120"/>
        <w:jc w:val="both"/>
        <w:rPr>
          <w:rFonts w:cstheme="minorHAnsi"/>
          <w:sz w:val="24"/>
          <w:szCs w:val="24"/>
        </w:rPr>
      </w:pPr>
      <w:r w:rsidRPr="006F2802">
        <w:rPr>
          <w:rFonts w:cstheme="minorHAnsi"/>
          <w:sz w:val="24"/>
          <w:szCs w:val="24"/>
        </w:rPr>
        <w:t>Further detail on suggested activities to be undertaken is detailed on PAL.</w:t>
      </w:r>
    </w:p>
    <w:p w14:paraId="5EE1E3A8" w14:textId="77777777" w:rsidR="00DF6226" w:rsidRPr="0039677C" w:rsidRDefault="00DF6226" w:rsidP="009B4DE1">
      <w:pPr>
        <w:spacing w:before="120"/>
        <w:jc w:val="both"/>
        <w:rPr>
          <w:rFonts w:cstheme="minorHAnsi"/>
          <w:sz w:val="24"/>
          <w:szCs w:val="24"/>
        </w:rPr>
      </w:pPr>
      <w:r w:rsidRPr="0039677C">
        <w:rPr>
          <w:rFonts w:cstheme="minorHAnsi"/>
          <w:sz w:val="24"/>
          <w:szCs w:val="24"/>
        </w:rPr>
        <w:t>Funds cannot be used for:</w:t>
      </w:r>
    </w:p>
    <w:p w14:paraId="1AE79E18" w14:textId="77777777" w:rsidR="00DF6226" w:rsidRPr="0039677C" w:rsidRDefault="00DF6226" w:rsidP="00DF6226">
      <w:pPr>
        <w:numPr>
          <w:ilvl w:val="0"/>
          <w:numId w:val="175"/>
        </w:numPr>
        <w:jc w:val="both"/>
        <w:rPr>
          <w:rFonts w:cstheme="minorHAnsi"/>
          <w:sz w:val="24"/>
          <w:szCs w:val="24"/>
        </w:rPr>
      </w:pPr>
      <w:r w:rsidRPr="0039677C">
        <w:rPr>
          <w:rFonts w:cstheme="minorHAnsi"/>
          <w:sz w:val="24"/>
          <w:szCs w:val="24"/>
        </w:rPr>
        <w:t>salary for members of school staff</w:t>
      </w:r>
    </w:p>
    <w:p w14:paraId="42A8AE13" w14:textId="77777777" w:rsidR="00DF6226" w:rsidRPr="0039677C" w:rsidRDefault="00DF6226" w:rsidP="00DF6226">
      <w:pPr>
        <w:numPr>
          <w:ilvl w:val="0"/>
          <w:numId w:val="175"/>
        </w:numPr>
        <w:jc w:val="both"/>
        <w:rPr>
          <w:rFonts w:cstheme="minorHAnsi"/>
          <w:sz w:val="24"/>
          <w:szCs w:val="24"/>
        </w:rPr>
      </w:pPr>
      <w:r w:rsidRPr="0039677C">
        <w:rPr>
          <w:rFonts w:cstheme="minorHAnsi"/>
          <w:sz w:val="24"/>
          <w:szCs w:val="24"/>
        </w:rPr>
        <w:t>staffing costs for covering time in lieu associated with delivery of activities</w:t>
      </w:r>
    </w:p>
    <w:p w14:paraId="5C2AE0F3" w14:textId="77777777" w:rsidR="00DF6226" w:rsidRPr="0039677C" w:rsidRDefault="00DF6226" w:rsidP="00DF6226">
      <w:pPr>
        <w:numPr>
          <w:ilvl w:val="0"/>
          <w:numId w:val="175"/>
        </w:numPr>
        <w:jc w:val="both"/>
        <w:rPr>
          <w:rFonts w:cstheme="minorHAnsi"/>
          <w:sz w:val="24"/>
          <w:szCs w:val="24"/>
        </w:rPr>
      </w:pPr>
      <w:r w:rsidRPr="0039677C">
        <w:rPr>
          <w:rFonts w:cstheme="minorHAnsi"/>
          <w:sz w:val="24"/>
          <w:szCs w:val="24"/>
        </w:rPr>
        <w:t>items not related to delivering activities to students.</w:t>
      </w:r>
    </w:p>
    <w:p w14:paraId="6ECAAE53" w14:textId="124AB411" w:rsidR="00356AF5" w:rsidRDefault="00DF6226" w:rsidP="00DF6226">
      <w:pPr>
        <w:jc w:val="both"/>
        <w:rPr>
          <w:rFonts w:cstheme="minorHAnsi"/>
          <w:sz w:val="24"/>
          <w:szCs w:val="24"/>
        </w:rPr>
      </w:pPr>
      <w:r w:rsidRPr="0039677C">
        <w:rPr>
          <w:rFonts w:cstheme="minorHAnsi"/>
          <w:sz w:val="24"/>
          <w:szCs w:val="24"/>
        </w:rPr>
        <w:t>Funding will be distributed as a cash payment through the Student Resource Package.</w:t>
      </w:r>
    </w:p>
    <w:p w14:paraId="5DD1663B" w14:textId="77777777" w:rsidR="00532A33" w:rsidRPr="00833928" w:rsidRDefault="00532A33" w:rsidP="00DF6226">
      <w:pPr>
        <w:jc w:val="both"/>
        <w:rPr>
          <w:rFonts w:cstheme="minorHAnsi"/>
          <w:sz w:val="8"/>
          <w:szCs w:val="8"/>
        </w:rPr>
      </w:pPr>
    </w:p>
    <w:p w14:paraId="70808B6C" w14:textId="7466D078" w:rsidR="00DF6226" w:rsidRPr="0039677C" w:rsidRDefault="00DF6226" w:rsidP="00833928">
      <w:r w:rsidRPr="00833928">
        <w:rPr>
          <w:rFonts w:eastAsia="Segoe UI" w:cstheme="minorHAnsi"/>
          <w:b/>
          <w:color w:val="011A3C"/>
          <w:sz w:val="24"/>
          <w:szCs w:val="24"/>
          <w:lang w:val="en" w:eastAsia="en-AU"/>
        </w:rPr>
        <w:t>Eligibility</w:t>
      </w:r>
    </w:p>
    <w:p w14:paraId="0E71A24D" w14:textId="77777777" w:rsidR="00DF6226" w:rsidRPr="009B4DE1" w:rsidRDefault="00DF6226" w:rsidP="00DF6226">
      <w:pPr>
        <w:jc w:val="both"/>
        <w:rPr>
          <w:rFonts w:cstheme="minorHAnsi"/>
          <w:sz w:val="24"/>
          <w:szCs w:val="24"/>
        </w:rPr>
      </w:pPr>
      <w:r w:rsidRPr="009B4DE1">
        <w:rPr>
          <w:rFonts w:cstheme="minorHAnsi"/>
          <w:sz w:val="24"/>
          <w:szCs w:val="24"/>
        </w:rPr>
        <w:t>All specialist schools (with students with disability as their focus) and Supported Inclusion Schools will receive this funding.</w:t>
      </w:r>
    </w:p>
    <w:p w14:paraId="386C2563" w14:textId="77777777" w:rsidR="00DF6226" w:rsidRPr="00833928" w:rsidRDefault="00DF6226" w:rsidP="00DF6226">
      <w:pPr>
        <w:spacing w:before="360" w:after="120" w:line="360" w:lineRule="atLeast"/>
        <w:outlineLvl w:val="2"/>
        <w:rPr>
          <w:b/>
          <w:color w:val="011A3C"/>
          <w:sz w:val="24"/>
          <w:lang w:val="en"/>
        </w:rPr>
      </w:pPr>
      <w:r w:rsidRPr="0039677C">
        <w:rPr>
          <w:rFonts w:eastAsia="Segoe UI" w:cstheme="minorHAnsi"/>
          <w:b/>
          <w:color w:val="011A3C"/>
          <w:sz w:val="24"/>
          <w:szCs w:val="24"/>
          <w:lang w:val="en" w:eastAsia="en-AU"/>
        </w:rPr>
        <w:t>Rates</w:t>
      </w:r>
    </w:p>
    <w:p w14:paraId="27E31065" w14:textId="1655C8E6" w:rsidR="00DF6226" w:rsidRPr="0039677C" w:rsidRDefault="00DF6226" w:rsidP="00833928">
      <w:pPr>
        <w:jc w:val="both"/>
        <w:rPr>
          <w:rFonts w:cstheme="minorHAnsi"/>
          <w:sz w:val="24"/>
          <w:szCs w:val="24"/>
        </w:rPr>
      </w:pPr>
      <w:r w:rsidRPr="0039677C">
        <w:rPr>
          <w:rFonts w:cstheme="minorHAnsi"/>
          <w:sz w:val="24"/>
          <w:szCs w:val="24"/>
        </w:rPr>
        <w:t>All eligible schools will receive funding based on February census enrolment figures, as outlined below:</w:t>
      </w:r>
    </w:p>
    <w:p w14:paraId="4CF8CCD4" w14:textId="77777777" w:rsidR="00DF6226" w:rsidRPr="0039677C" w:rsidRDefault="00DF6226" w:rsidP="00DF6226">
      <w:pPr>
        <w:numPr>
          <w:ilvl w:val="0"/>
          <w:numId w:val="175"/>
        </w:numPr>
        <w:jc w:val="both"/>
        <w:rPr>
          <w:rFonts w:cstheme="minorHAnsi"/>
          <w:sz w:val="24"/>
          <w:szCs w:val="24"/>
        </w:rPr>
      </w:pPr>
      <w:r w:rsidRPr="0039677C">
        <w:rPr>
          <w:rFonts w:cstheme="minorHAnsi"/>
          <w:sz w:val="24"/>
          <w:szCs w:val="24"/>
        </w:rPr>
        <w:lastRenderedPageBreak/>
        <w:t>$8,000 minimum (for schools 1-50 students)</w:t>
      </w:r>
    </w:p>
    <w:p w14:paraId="7FD6CE8F" w14:textId="77777777" w:rsidR="00DF6226" w:rsidRPr="0039677C" w:rsidRDefault="00DF6226" w:rsidP="00DF6226">
      <w:pPr>
        <w:numPr>
          <w:ilvl w:val="0"/>
          <w:numId w:val="175"/>
        </w:numPr>
        <w:jc w:val="both"/>
        <w:rPr>
          <w:rFonts w:cstheme="minorHAnsi"/>
          <w:sz w:val="24"/>
          <w:szCs w:val="24"/>
        </w:rPr>
      </w:pPr>
      <w:r w:rsidRPr="0039677C">
        <w:rPr>
          <w:rFonts w:cstheme="minorHAnsi"/>
          <w:sz w:val="24"/>
          <w:szCs w:val="24"/>
        </w:rPr>
        <w:t>$36,000 maximum (for schools over 225 students)</w:t>
      </w:r>
    </w:p>
    <w:p w14:paraId="6EBF3337" w14:textId="77777777" w:rsidR="00DF6226" w:rsidRPr="0039677C" w:rsidRDefault="00DF6226" w:rsidP="00DF6226">
      <w:pPr>
        <w:jc w:val="both"/>
        <w:rPr>
          <w:rFonts w:cstheme="minorHAnsi"/>
          <w:sz w:val="24"/>
          <w:szCs w:val="24"/>
        </w:rPr>
      </w:pPr>
      <w:r w:rsidRPr="0039677C">
        <w:rPr>
          <w:rFonts w:cstheme="minorHAnsi"/>
          <w:sz w:val="24"/>
          <w:szCs w:val="24"/>
        </w:rPr>
        <w:t>Funding to schools in between the minimum and maximum is calculated at a rate of $160 per capita.</w:t>
      </w:r>
    </w:p>
    <w:p w14:paraId="381CBB25" w14:textId="77777777" w:rsidR="00DF6226" w:rsidRPr="0039677C" w:rsidRDefault="00DF6226" w:rsidP="00DF6226">
      <w:pPr>
        <w:jc w:val="both"/>
        <w:rPr>
          <w:rFonts w:cstheme="minorHAnsi"/>
          <w:sz w:val="24"/>
          <w:szCs w:val="24"/>
        </w:rPr>
      </w:pPr>
      <w:r w:rsidRPr="0039677C">
        <w:rPr>
          <w:rFonts w:cstheme="minorHAnsi"/>
          <w:sz w:val="24"/>
          <w:szCs w:val="24"/>
        </w:rPr>
        <w:t>Supported Inclusion Schools are allocated funds based on 10% of their total enrolment to deliver activities that are inclusive and support the participation of students with disability.</w:t>
      </w:r>
    </w:p>
    <w:p w14:paraId="41443F27" w14:textId="77777777" w:rsidR="00DF6226" w:rsidRPr="0039677C" w:rsidRDefault="00DF6226" w:rsidP="00833928">
      <w:pPr>
        <w:spacing w:before="360" w:after="120" w:line="360" w:lineRule="atLeast"/>
        <w:outlineLvl w:val="2"/>
        <w:rPr>
          <w:rFonts w:eastAsia="Segoe UI" w:cstheme="minorHAnsi"/>
          <w:b/>
          <w:color w:val="011A3C"/>
          <w:sz w:val="24"/>
          <w:szCs w:val="24"/>
          <w:lang w:val="en" w:eastAsia="en-AU"/>
        </w:rPr>
      </w:pPr>
      <w:r w:rsidRPr="0039677C">
        <w:rPr>
          <w:rFonts w:eastAsia="Segoe UI" w:cstheme="minorHAnsi"/>
          <w:b/>
          <w:color w:val="011A3C"/>
          <w:sz w:val="24"/>
          <w:szCs w:val="24"/>
          <w:lang w:val="en" w:eastAsia="en-AU"/>
        </w:rPr>
        <w:t>Accountability</w:t>
      </w:r>
    </w:p>
    <w:p w14:paraId="7237844C" w14:textId="2117C5E3" w:rsidR="00DF6226" w:rsidRPr="0039677C" w:rsidRDefault="00DF6226" w:rsidP="00DF6226">
      <w:pPr>
        <w:jc w:val="both"/>
        <w:rPr>
          <w:rFonts w:cstheme="minorHAnsi"/>
          <w:sz w:val="24"/>
          <w:szCs w:val="24"/>
        </w:rPr>
      </w:pPr>
      <w:r w:rsidRPr="0039677C">
        <w:rPr>
          <w:rFonts w:cstheme="minorHAnsi"/>
          <w:sz w:val="24"/>
          <w:szCs w:val="24"/>
        </w:rPr>
        <w:t>Expenditure should be allocated in CASES21 to the code: 5103 – Specialist School Activity Boost.</w:t>
      </w:r>
    </w:p>
    <w:p w14:paraId="56DB3C3D" w14:textId="77777777" w:rsidR="00DF6226" w:rsidRPr="00BF0940" w:rsidRDefault="00DF6226" w:rsidP="00DF6226">
      <w:pPr>
        <w:rPr>
          <w:lang w:val="en-GB"/>
        </w:rPr>
      </w:pPr>
    </w:p>
    <w:p w14:paraId="0FA239FD" w14:textId="77777777" w:rsidR="007D7C46" w:rsidRDefault="007D7C46" w:rsidP="007D7C46">
      <w:pPr>
        <w:rPr>
          <w:lang w:val="en" w:eastAsia="en-AU"/>
        </w:rPr>
      </w:pPr>
    </w:p>
    <w:p w14:paraId="3AADC598" w14:textId="77777777" w:rsidR="007D7C46" w:rsidRPr="009B4DE1" w:rsidRDefault="007D7C46" w:rsidP="009B4DE1">
      <w:pPr>
        <w:rPr>
          <w:lang w:val="en"/>
        </w:rPr>
      </w:pPr>
    </w:p>
    <w:p w14:paraId="389A075F" w14:textId="77777777" w:rsidR="00DF6226" w:rsidRDefault="00DF6226" w:rsidP="00833928">
      <w:pPr>
        <w:pStyle w:val="Heading1"/>
      </w:pPr>
      <w:r>
        <w:br w:type="page"/>
      </w:r>
    </w:p>
    <w:p w14:paraId="4A54732A" w14:textId="4A8DAFB1" w:rsidR="00C53D64" w:rsidRPr="00260C1D" w:rsidRDefault="00C53D64" w:rsidP="003D144A">
      <w:pPr>
        <w:pStyle w:val="Heading1"/>
      </w:pPr>
      <w:bookmarkStart w:id="320" w:name="_Toc141965308"/>
      <w:bookmarkStart w:id="321" w:name="_Toc145339636"/>
      <w:bookmarkStart w:id="322" w:name="_Toc153791959"/>
      <w:r w:rsidRPr="00260C1D">
        <w:lastRenderedPageBreak/>
        <w:t>Managing the Budget</w:t>
      </w:r>
      <w:bookmarkEnd w:id="320"/>
      <w:bookmarkEnd w:id="321"/>
      <w:bookmarkEnd w:id="322"/>
    </w:p>
    <w:p w14:paraId="5399E2D7" w14:textId="77777777" w:rsidR="00C53D64" w:rsidRPr="00260C1D" w:rsidRDefault="00C53D64" w:rsidP="004216E8">
      <w:pPr>
        <w:spacing w:before="100" w:beforeAutospacing="1" w:after="100" w:afterAutospacing="1" w:line="312" w:lineRule="atLeast"/>
        <w:outlineLvl w:val="1"/>
        <w:rPr>
          <w:rFonts w:eastAsia="Segoe UI" w:cstheme="minorHAnsi"/>
          <w:color w:val="323E4F" w:themeColor="text2" w:themeShade="BF"/>
          <w:sz w:val="36"/>
          <w:szCs w:val="36"/>
          <w:lang w:val="en" w:eastAsia="en-AU"/>
        </w:rPr>
      </w:pPr>
      <w:r w:rsidRPr="00260C1D">
        <w:rPr>
          <w:rFonts w:eastAsia="Segoe UI" w:cstheme="minorHAnsi"/>
          <w:color w:val="323E4F" w:themeColor="text2" w:themeShade="BF"/>
          <w:sz w:val="36"/>
          <w:szCs w:val="36"/>
          <w:lang w:val="en" w:eastAsia="en-AU"/>
        </w:rPr>
        <w:t>Policy</w:t>
      </w:r>
    </w:p>
    <w:p w14:paraId="51A03BAE" w14:textId="77777777" w:rsidR="00C53D64" w:rsidRPr="00260C1D" w:rsidRDefault="00C53D64" w:rsidP="00C53D64">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This policy provides schools with information about managing their budgets.</w:t>
      </w:r>
    </w:p>
    <w:p w14:paraId="758812F8" w14:textId="77777777" w:rsidR="004216E8" w:rsidRPr="00260C1D" w:rsidRDefault="00C53D64" w:rsidP="004216E8">
      <w:pPr>
        <w:spacing w:before="100" w:beforeAutospacing="1" w:after="100" w:afterAutospacing="1" w:line="312" w:lineRule="atLeast"/>
        <w:outlineLvl w:val="1"/>
        <w:rPr>
          <w:rFonts w:eastAsia="Segoe UI" w:cstheme="minorHAnsi"/>
          <w:color w:val="323E4F" w:themeColor="text2" w:themeShade="BF"/>
          <w:sz w:val="36"/>
          <w:szCs w:val="36"/>
          <w:lang w:val="en" w:eastAsia="en-AU"/>
        </w:rPr>
      </w:pPr>
      <w:r w:rsidRPr="00260C1D">
        <w:rPr>
          <w:rFonts w:eastAsia="Segoe UI" w:cstheme="minorHAnsi"/>
          <w:color w:val="323E4F" w:themeColor="text2" w:themeShade="BF"/>
          <w:sz w:val="36"/>
          <w:szCs w:val="36"/>
          <w:lang w:val="en" w:eastAsia="en-AU"/>
        </w:rPr>
        <w:t>Details</w:t>
      </w:r>
    </w:p>
    <w:p w14:paraId="265994EC" w14:textId="419D9DB1" w:rsidR="00C53D64" w:rsidRPr="00614B09" w:rsidRDefault="00C53D64" w:rsidP="004216E8">
      <w:pPr>
        <w:spacing w:before="100" w:beforeAutospacing="1" w:after="100" w:afterAutospacing="1" w:line="312" w:lineRule="atLeast"/>
        <w:outlineLvl w:val="1"/>
        <w:rPr>
          <w:rFonts w:eastAsia="Segoe UI" w:cstheme="minorHAnsi"/>
          <w:color w:val="323E4F" w:themeColor="text2" w:themeShade="BF"/>
          <w:sz w:val="24"/>
          <w:szCs w:val="24"/>
          <w:lang w:val="en" w:eastAsia="en-AU"/>
        </w:rPr>
      </w:pPr>
      <w:r w:rsidRPr="00614B09">
        <w:rPr>
          <w:rFonts w:cstheme="minorHAnsi"/>
          <w:color w:val="011A3C"/>
          <w:sz w:val="24"/>
          <w:szCs w:val="24"/>
          <w:lang w:val="en"/>
        </w:rPr>
        <w:t xml:space="preserve">This </w:t>
      </w:r>
      <w:r w:rsidR="007A6ADD">
        <w:rPr>
          <w:rFonts w:cstheme="minorHAnsi"/>
          <w:color w:val="011A3C"/>
          <w:sz w:val="24"/>
          <w:szCs w:val="24"/>
          <w:lang w:val="en"/>
        </w:rPr>
        <w:t>section</w:t>
      </w:r>
      <w:r w:rsidRPr="00614B09">
        <w:rPr>
          <w:rFonts w:cstheme="minorHAnsi"/>
          <w:color w:val="011A3C"/>
          <w:sz w:val="24"/>
          <w:szCs w:val="24"/>
          <w:lang w:val="en"/>
        </w:rPr>
        <w:t xml:space="preserve"> outlines some further requirements for schools in managing their budget and provides advice and further detail regarding specific aspects of the </w:t>
      </w:r>
      <w:r w:rsidR="000623AA" w:rsidRPr="00614B09">
        <w:rPr>
          <w:rFonts w:cstheme="minorHAnsi"/>
          <w:color w:val="011A3C"/>
          <w:sz w:val="24"/>
          <w:szCs w:val="24"/>
          <w:lang w:val="en"/>
        </w:rPr>
        <w:t>Student Resource Package (</w:t>
      </w:r>
      <w:r w:rsidRPr="00614B09">
        <w:rPr>
          <w:rFonts w:cstheme="minorHAnsi"/>
          <w:color w:val="011A3C"/>
          <w:sz w:val="24"/>
          <w:szCs w:val="24"/>
          <w:lang w:val="en"/>
        </w:rPr>
        <w:t>SRP</w:t>
      </w:r>
      <w:r w:rsidR="000623AA" w:rsidRPr="00614B09">
        <w:rPr>
          <w:rFonts w:cstheme="minorHAnsi"/>
          <w:color w:val="011A3C"/>
          <w:sz w:val="24"/>
          <w:szCs w:val="24"/>
          <w:lang w:val="en"/>
        </w:rPr>
        <w:t>)</w:t>
      </w:r>
      <w:r w:rsidRPr="00614B09">
        <w:rPr>
          <w:rFonts w:cstheme="minorHAnsi"/>
          <w:color w:val="011A3C"/>
          <w:sz w:val="24"/>
          <w:szCs w:val="24"/>
          <w:lang w:val="en"/>
        </w:rPr>
        <w:t xml:space="preserve"> and staffing costs.</w:t>
      </w:r>
    </w:p>
    <w:p w14:paraId="55B2F1E8" w14:textId="644E02E7" w:rsidR="00C53D64" w:rsidRPr="00260C1D" w:rsidRDefault="00C53D64" w:rsidP="00C53D64">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 xml:space="preserve">The </w:t>
      </w:r>
      <w:r w:rsidR="00CA0A0C" w:rsidRPr="00260C1D">
        <w:rPr>
          <w:rFonts w:asciiTheme="minorHAnsi" w:hAnsiTheme="minorHAnsi" w:cstheme="minorHAnsi"/>
          <w:b/>
          <w:color w:val="011A3C"/>
          <w:lang w:val="en"/>
        </w:rPr>
        <w:t>Managing the budget</w:t>
      </w:r>
      <w:r w:rsidR="00CA0A0C" w:rsidRPr="00260C1D">
        <w:rPr>
          <w:rFonts w:asciiTheme="minorHAnsi" w:hAnsiTheme="minorHAnsi" w:cstheme="minorHAnsi"/>
          <w:color w:val="011A3C"/>
          <w:lang w:val="en"/>
        </w:rPr>
        <w:t xml:space="preserve"> section</w:t>
      </w:r>
      <w:r w:rsidRPr="00260C1D">
        <w:rPr>
          <w:rFonts w:asciiTheme="minorHAnsi" w:hAnsiTheme="minorHAnsi" w:cstheme="minorHAnsi"/>
          <w:color w:val="011A3C"/>
          <w:lang w:val="en"/>
        </w:rPr>
        <w:t xml:space="preserve"> provides information on the following categories:</w:t>
      </w:r>
    </w:p>
    <w:p w14:paraId="4CF738C2" w14:textId="77777777" w:rsidR="00C53D64" w:rsidRPr="00252650" w:rsidRDefault="00000000"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hyperlink r:id="rId242" w:history="1">
        <w:r w:rsidR="00C53D64" w:rsidRPr="008614E4">
          <w:rPr>
            <w:rStyle w:val="Hyperlink"/>
            <w:sz w:val="24"/>
            <w:szCs w:val="24"/>
          </w:rPr>
          <w:t>Salary and Related Expenditure</w:t>
        </w:r>
      </w:hyperlink>
      <w:r w:rsidR="00C53D64" w:rsidRPr="00252650">
        <w:rPr>
          <w:rFonts w:eastAsia="Segoe UI" w:cstheme="minorHAnsi"/>
          <w:color w:val="011A3C"/>
          <w:sz w:val="24"/>
          <w:szCs w:val="24"/>
          <w:lang w:val="en" w:eastAsia="en-AU"/>
        </w:rPr>
        <w:t xml:space="preserve"> — Reports and processes to assist schools with the SRP Budget Management</w:t>
      </w:r>
    </w:p>
    <w:p w14:paraId="43493E65" w14:textId="77777777" w:rsidR="00C53D64" w:rsidRPr="00252650" w:rsidRDefault="00000000"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hyperlink r:id="rId243" w:history="1">
        <w:r w:rsidR="00C53D64" w:rsidRPr="008614E4">
          <w:rPr>
            <w:rStyle w:val="Hyperlink"/>
            <w:sz w:val="24"/>
            <w:szCs w:val="24"/>
          </w:rPr>
          <w:t>Relief Staffing</w:t>
        </w:r>
      </w:hyperlink>
      <w:r w:rsidR="00C53D64" w:rsidRPr="00252650">
        <w:rPr>
          <w:rFonts w:eastAsia="Segoe UI" w:cstheme="minorHAnsi"/>
          <w:color w:val="011A3C"/>
          <w:sz w:val="24"/>
          <w:szCs w:val="24"/>
          <w:lang w:val="en" w:eastAsia="en-AU"/>
        </w:rPr>
        <w:t xml:space="preserve"> — Issues relating to teacher and other staff leave management</w:t>
      </w:r>
    </w:p>
    <w:p w14:paraId="6BEB9350" w14:textId="77777777" w:rsidR="00C53D64" w:rsidRPr="00252650" w:rsidRDefault="00000000"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hyperlink r:id="rId244" w:history="1">
        <w:r w:rsidR="00C53D64" w:rsidRPr="008614E4">
          <w:rPr>
            <w:rStyle w:val="Hyperlink"/>
            <w:sz w:val="24"/>
            <w:szCs w:val="24"/>
          </w:rPr>
          <w:t>Surplus/Deficit</w:t>
        </w:r>
      </w:hyperlink>
      <w:r w:rsidR="00C53D64" w:rsidRPr="00252650">
        <w:rPr>
          <w:rFonts w:eastAsia="Segoe UI" w:cstheme="minorHAnsi"/>
          <w:color w:val="011A3C"/>
          <w:sz w:val="24"/>
          <w:szCs w:val="24"/>
          <w:lang w:val="en" w:eastAsia="en-AU"/>
        </w:rPr>
        <w:t xml:space="preserve"> — Credit financial position of a school</w:t>
      </w:r>
    </w:p>
    <w:p w14:paraId="265C8307" w14:textId="77777777" w:rsidR="007B2075" w:rsidRPr="00252650" w:rsidRDefault="00000000"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hyperlink r:id="rId245" w:history="1">
        <w:r w:rsidR="00B774A9" w:rsidRPr="00B774A9">
          <w:rPr>
            <w:rStyle w:val="Hyperlink"/>
            <w:rFonts w:eastAsia="Segoe UI" w:cstheme="minorHAnsi"/>
            <w:sz w:val="24"/>
            <w:szCs w:val="24"/>
            <w:lang w:val="en" w:eastAsia="en-AU"/>
          </w:rPr>
          <w:t>Credit Carryover Policy</w:t>
        </w:r>
      </w:hyperlink>
    </w:p>
    <w:p w14:paraId="477F501C" w14:textId="77777777" w:rsidR="00C53D64" w:rsidRPr="00252650" w:rsidRDefault="00000000"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hyperlink r:id="rId246" w:history="1">
        <w:r w:rsidR="00C53D64" w:rsidRPr="008614E4">
          <w:rPr>
            <w:rStyle w:val="Hyperlink"/>
            <w:sz w:val="24"/>
            <w:szCs w:val="24"/>
          </w:rPr>
          <w:t>Reports</w:t>
        </w:r>
      </w:hyperlink>
      <w:r w:rsidR="00C53D64" w:rsidRPr="00252650">
        <w:rPr>
          <w:rFonts w:eastAsia="Segoe UI" w:cstheme="minorHAnsi"/>
          <w:color w:val="011A3C"/>
          <w:sz w:val="24"/>
          <w:szCs w:val="24"/>
          <w:lang w:val="en" w:eastAsia="en-AU"/>
        </w:rPr>
        <w:t xml:space="preserve"> — Some of the key SRP reports</w:t>
      </w:r>
    </w:p>
    <w:p w14:paraId="7A31194F" w14:textId="56B7605F" w:rsidR="00C53D64" w:rsidRPr="00252650" w:rsidRDefault="00000000"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hyperlink r:id="rId247" w:history="1">
        <w:r w:rsidR="00C53D64" w:rsidRPr="008614E4">
          <w:rPr>
            <w:rStyle w:val="Hyperlink"/>
            <w:sz w:val="24"/>
            <w:szCs w:val="24"/>
          </w:rPr>
          <w:t>Planning</w:t>
        </w:r>
      </w:hyperlink>
      <w:r w:rsidR="00C53D64" w:rsidRPr="00252650">
        <w:rPr>
          <w:rFonts w:eastAsia="Segoe UI" w:cstheme="minorHAnsi"/>
          <w:color w:val="011A3C"/>
          <w:sz w:val="24"/>
          <w:szCs w:val="24"/>
          <w:lang w:val="en" w:eastAsia="en-AU"/>
        </w:rPr>
        <w:t xml:space="preserve"> — SRP </w:t>
      </w:r>
      <w:r w:rsidR="007A6ADD" w:rsidRPr="00252650">
        <w:rPr>
          <w:rFonts w:eastAsia="Segoe UI" w:cstheme="minorHAnsi"/>
          <w:color w:val="011A3C"/>
          <w:sz w:val="24"/>
          <w:szCs w:val="24"/>
          <w:lang w:val="en" w:eastAsia="en-AU"/>
        </w:rPr>
        <w:t>m</w:t>
      </w:r>
      <w:r w:rsidR="00C53D64" w:rsidRPr="00252650">
        <w:rPr>
          <w:rFonts w:eastAsia="Segoe UI" w:cstheme="minorHAnsi"/>
          <w:color w:val="011A3C"/>
          <w:sz w:val="24"/>
          <w:szCs w:val="24"/>
          <w:lang w:val="en" w:eastAsia="en-AU"/>
        </w:rPr>
        <w:t>odelling tool for school</w:t>
      </w:r>
    </w:p>
    <w:p w14:paraId="48A4F56B" w14:textId="77777777" w:rsidR="00C53D64" w:rsidRPr="00252650" w:rsidRDefault="00000000"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hyperlink r:id="rId248" w:history="1">
        <w:r w:rsidR="00C53D64" w:rsidRPr="008614E4">
          <w:rPr>
            <w:rStyle w:val="Hyperlink"/>
            <w:sz w:val="24"/>
            <w:szCs w:val="24"/>
          </w:rPr>
          <w:t>Reconciliation</w:t>
        </w:r>
      </w:hyperlink>
      <w:r w:rsidR="00C53D64" w:rsidRPr="00252650">
        <w:rPr>
          <w:rFonts w:eastAsia="Segoe UI" w:cstheme="minorHAnsi"/>
          <w:color w:val="011A3C"/>
          <w:sz w:val="24"/>
          <w:szCs w:val="24"/>
          <w:lang w:val="en" w:eastAsia="en-AU"/>
        </w:rPr>
        <w:t xml:space="preserve"> — The annual reconciliation cycle used to </w:t>
      </w:r>
      <w:proofErr w:type="spellStart"/>
      <w:r w:rsidR="00C53D64" w:rsidRPr="00252650">
        <w:rPr>
          <w:rFonts w:eastAsia="Segoe UI" w:cstheme="minorHAnsi"/>
          <w:color w:val="011A3C"/>
          <w:sz w:val="24"/>
          <w:szCs w:val="24"/>
          <w:lang w:val="en" w:eastAsia="en-AU"/>
        </w:rPr>
        <w:t>finalise</w:t>
      </w:r>
      <w:proofErr w:type="spellEnd"/>
      <w:r w:rsidR="00C53D64" w:rsidRPr="00252650">
        <w:rPr>
          <w:rFonts w:eastAsia="Segoe UI" w:cstheme="minorHAnsi"/>
          <w:color w:val="011A3C"/>
          <w:sz w:val="24"/>
          <w:szCs w:val="24"/>
          <w:lang w:val="en" w:eastAsia="en-AU"/>
        </w:rPr>
        <w:t xml:space="preserve"> the position of a school at the end of a budget year.</w:t>
      </w:r>
    </w:p>
    <w:p w14:paraId="7B67DE50" w14:textId="465C32EA" w:rsidR="00C53D64" w:rsidRPr="00252650" w:rsidRDefault="00000000"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hyperlink r:id="rId249" w:history="1">
        <w:r w:rsidR="00C53D64" w:rsidRPr="008614E4">
          <w:rPr>
            <w:rStyle w:val="Hyperlink"/>
            <w:sz w:val="24"/>
            <w:szCs w:val="24"/>
          </w:rPr>
          <w:t>Cash</w:t>
        </w:r>
      </w:hyperlink>
      <w:r w:rsidR="00C53D64" w:rsidRPr="00252650">
        <w:rPr>
          <w:rFonts w:eastAsia="Segoe UI" w:cstheme="minorHAnsi"/>
          <w:color w:val="011A3C"/>
          <w:sz w:val="24"/>
          <w:szCs w:val="24"/>
          <w:lang w:val="en" w:eastAsia="en-AU"/>
        </w:rPr>
        <w:t xml:space="preserve"> — Quarterly Cash Grants, </w:t>
      </w:r>
      <w:r w:rsidR="007A6ADD" w:rsidRPr="00252650">
        <w:rPr>
          <w:rFonts w:eastAsia="Segoe UI" w:cstheme="minorHAnsi"/>
          <w:color w:val="011A3C"/>
          <w:sz w:val="24"/>
          <w:szCs w:val="24"/>
          <w:lang w:val="en" w:eastAsia="en-AU"/>
        </w:rPr>
        <w:t>o</w:t>
      </w:r>
      <w:r w:rsidR="00C53D64" w:rsidRPr="00252650">
        <w:rPr>
          <w:rFonts w:eastAsia="Segoe UI" w:cstheme="minorHAnsi"/>
          <w:color w:val="011A3C"/>
          <w:sz w:val="24"/>
          <w:szCs w:val="24"/>
          <w:lang w:val="en" w:eastAsia="en-AU"/>
        </w:rPr>
        <w:t xml:space="preserve">ffline </w:t>
      </w:r>
      <w:r w:rsidR="007A6ADD" w:rsidRPr="00252650">
        <w:rPr>
          <w:rFonts w:eastAsia="Segoe UI" w:cstheme="minorHAnsi"/>
          <w:color w:val="011A3C"/>
          <w:sz w:val="24"/>
          <w:szCs w:val="24"/>
          <w:lang w:val="en" w:eastAsia="en-AU"/>
        </w:rPr>
        <w:t>p</w:t>
      </w:r>
      <w:r w:rsidR="00C53D64" w:rsidRPr="00252650">
        <w:rPr>
          <w:rFonts w:eastAsia="Segoe UI" w:cstheme="minorHAnsi"/>
          <w:color w:val="011A3C"/>
          <w:sz w:val="24"/>
          <w:szCs w:val="24"/>
          <w:lang w:val="en" w:eastAsia="en-AU"/>
        </w:rPr>
        <w:t xml:space="preserve">ayments and other information about </w:t>
      </w:r>
      <w:r w:rsidR="00D761B3" w:rsidRPr="00252650">
        <w:rPr>
          <w:rFonts w:eastAsia="Segoe UI" w:cstheme="minorHAnsi"/>
          <w:color w:val="011A3C"/>
          <w:sz w:val="24"/>
          <w:szCs w:val="24"/>
          <w:lang w:val="en" w:eastAsia="en-AU"/>
        </w:rPr>
        <w:t>c</w:t>
      </w:r>
      <w:r w:rsidR="00C53D64" w:rsidRPr="00252650">
        <w:rPr>
          <w:rFonts w:eastAsia="Segoe UI" w:cstheme="minorHAnsi"/>
          <w:color w:val="011A3C"/>
          <w:sz w:val="24"/>
          <w:szCs w:val="24"/>
          <w:lang w:val="en" w:eastAsia="en-AU"/>
        </w:rPr>
        <w:t xml:space="preserve">ash </w:t>
      </w:r>
      <w:r w:rsidR="00D761B3" w:rsidRPr="00252650">
        <w:rPr>
          <w:rFonts w:eastAsia="Segoe UI" w:cstheme="minorHAnsi"/>
          <w:color w:val="011A3C"/>
          <w:sz w:val="24"/>
          <w:szCs w:val="24"/>
          <w:lang w:val="en" w:eastAsia="en-AU"/>
        </w:rPr>
        <w:t>p</w:t>
      </w:r>
      <w:r w:rsidR="00C53D64" w:rsidRPr="00252650">
        <w:rPr>
          <w:rFonts w:eastAsia="Segoe UI" w:cstheme="minorHAnsi"/>
          <w:color w:val="011A3C"/>
          <w:sz w:val="24"/>
          <w:szCs w:val="24"/>
          <w:lang w:val="en" w:eastAsia="en-AU"/>
        </w:rPr>
        <w:t>ayments</w:t>
      </w:r>
    </w:p>
    <w:p w14:paraId="5AC89819" w14:textId="7F293DB7" w:rsidR="00C53D64" w:rsidRPr="00252650" w:rsidRDefault="00000000"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hyperlink r:id="rId250" w:history="1">
        <w:r w:rsidR="00C53D64" w:rsidRPr="008614E4">
          <w:rPr>
            <w:rStyle w:val="Hyperlink"/>
            <w:sz w:val="24"/>
            <w:szCs w:val="24"/>
          </w:rPr>
          <w:t>Deficit Management and Workforce Bridging</w:t>
        </w:r>
      </w:hyperlink>
      <w:r w:rsidR="00C53D64" w:rsidRPr="00252650">
        <w:rPr>
          <w:rFonts w:eastAsia="Segoe UI" w:cstheme="minorHAnsi"/>
          <w:color w:val="011A3C"/>
          <w:sz w:val="24"/>
          <w:szCs w:val="24"/>
          <w:lang w:val="en" w:eastAsia="en-AU"/>
        </w:rPr>
        <w:t xml:space="preserve"> — Assistance provisions for schools with </w:t>
      </w:r>
      <w:r w:rsidR="00D761B3" w:rsidRPr="00252650">
        <w:rPr>
          <w:rFonts w:eastAsia="Segoe UI" w:cstheme="minorHAnsi"/>
          <w:color w:val="011A3C"/>
          <w:sz w:val="24"/>
          <w:szCs w:val="24"/>
          <w:lang w:val="en" w:eastAsia="en-AU"/>
        </w:rPr>
        <w:t>d</w:t>
      </w:r>
      <w:r w:rsidR="00C53D64" w:rsidRPr="00252650">
        <w:rPr>
          <w:rFonts w:eastAsia="Segoe UI" w:cstheme="minorHAnsi"/>
          <w:color w:val="011A3C"/>
          <w:sz w:val="24"/>
          <w:szCs w:val="24"/>
          <w:lang w:val="en" w:eastAsia="en-AU"/>
        </w:rPr>
        <w:t xml:space="preserve">eficit or </w:t>
      </w:r>
      <w:r w:rsidR="00D761B3" w:rsidRPr="00252650">
        <w:rPr>
          <w:rFonts w:eastAsia="Segoe UI" w:cstheme="minorHAnsi"/>
          <w:color w:val="011A3C"/>
          <w:sz w:val="24"/>
          <w:szCs w:val="24"/>
          <w:lang w:val="en" w:eastAsia="en-AU"/>
        </w:rPr>
        <w:t>w</w:t>
      </w:r>
      <w:r w:rsidR="00C53D64" w:rsidRPr="00252650">
        <w:rPr>
          <w:rFonts w:eastAsia="Segoe UI" w:cstheme="minorHAnsi"/>
          <w:color w:val="011A3C"/>
          <w:sz w:val="24"/>
          <w:szCs w:val="24"/>
          <w:lang w:val="en" w:eastAsia="en-AU"/>
        </w:rPr>
        <w:t xml:space="preserve">orkforce </w:t>
      </w:r>
      <w:r w:rsidR="00D761B3" w:rsidRPr="00252650">
        <w:rPr>
          <w:rFonts w:eastAsia="Segoe UI" w:cstheme="minorHAnsi"/>
          <w:color w:val="011A3C"/>
          <w:sz w:val="24"/>
          <w:szCs w:val="24"/>
          <w:lang w:val="en" w:eastAsia="en-AU"/>
        </w:rPr>
        <w:t>m</w:t>
      </w:r>
      <w:r w:rsidR="00C53D64" w:rsidRPr="00252650">
        <w:rPr>
          <w:rFonts w:eastAsia="Segoe UI" w:cstheme="minorHAnsi"/>
          <w:color w:val="011A3C"/>
          <w:sz w:val="24"/>
          <w:szCs w:val="24"/>
          <w:lang w:val="en" w:eastAsia="en-AU"/>
        </w:rPr>
        <w:t xml:space="preserve">anagement </w:t>
      </w:r>
      <w:r w:rsidR="00D761B3" w:rsidRPr="00252650">
        <w:rPr>
          <w:rFonts w:eastAsia="Segoe UI" w:cstheme="minorHAnsi"/>
          <w:color w:val="011A3C"/>
          <w:sz w:val="24"/>
          <w:szCs w:val="24"/>
          <w:lang w:val="en" w:eastAsia="en-AU"/>
        </w:rPr>
        <w:t>i</w:t>
      </w:r>
      <w:r w:rsidR="00C53D64" w:rsidRPr="00252650">
        <w:rPr>
          <w:rFonts w:eastAsia="Segoe UI" w:cstheme="minorHAnsi"/>
          <w:color w:val="011A3C"/>
          <w:sz w:val="24"/>
          <w:szCs w:val="24"/>
          <w:lang w:val="en" w:eastAsia="en-AU"/>
        </w:rPr>
        <w:t>ssues</w:t>
      </w:r>
    </w:p>
    <w:p w14:paraId="5C7FECCB" w14:textId="1FD250A1" w:rsidR="00C53D64" w:rsidRPr="00252650" w:rsidRDefault="00000000"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hyperlink r:id="rId251" w:history="1">
        <w:r w:rsidR="00C53D64" w:rsidRPr="008614E4">
          <w:rPr>
            <w:rStyle w:val="Hyperlink"/>
            <w:sz w:val="24"/>
            <w:szCs w:val="24"/>
          </w:rPr>
          <w:t>Principal Classification Budget</w:t>
        </w:r>
      </w:hyperlink>
      <w:r w:rsidR="00C53D64" w:rsidRPr="00252650">
        <w:rPr>
          <w:rFonts w:eastAsia="Segoe UI" w:cstheme="minorHAnsi"/>
          <w:color w:val="011A3C"/>
          <w:sz w:val="24"/>
          <w:szCs w:val="24"/>
          <w:lang w:val="en" w:eastAsia="en-AU"/>
        </w:rPr>
        <w:t xml:space="preserve"> — Remuneration range for each principal position</w:t>
      </w:r>
    </w:p>
    <w:p w14:paraId="626BFBDD" w14:textId="21DDA567" w:rsidR="00CA0A0C" w:rsidRPr="00252650" w:rsidRDefault="00000000"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hyperlink r:id="rId252" w:history="1">
        <w:r w:rsidR="00CA0A0C" w:rsidRPr="00252650">
          <w:rPr>
            <w:rStyle w:val="Hyperlink"/>
            <w:rFonts w:eastAsia="Segoe UI" w:cstheme="minorHAnsi"/>
            <w:sz w:val="24"/>
            <w:szCs w:val="24"/>
            <w:lang w:val="en" w:eastAsia="en-AU"/>
          </w:rPr>
          <w:t>Enrolment Variation Funding</w:t>
        </w:r>
      </w:hyperlink>
    </w:p>
    <w:p w14:paraId="32AC0F4C" w14:textId="77777777" w:rsidR="00C53D64" w:rsidRPr="00260C1D" w:rsidRDefault="00C53D64" w:rsidP="00C53D64">
      <w:pPr>
        <w:pStyle w:val="NormalWeb"/>
        <w:spacing w:line="360" w:lineRule="atLeast"/>
        <w:rPr>
          <w:rFonts w:asciiTheme="minorHAnsi" w:hAnsiTheme="minorHAnsi" w:cstheme="minorHAnsi"/>
          <w:color w:val="011A3C"/>
          <w:lang w:val="en"/>
        </w:rPr>
      </w:pPr>
      <w:r w:rsidRPr="00260C1D">
        <w:rPr>
          <w:rFonts w:asciiTheme="minorHAnsi" w:hAnsiTheme="minorHAnsi" w:cstheme="minorHAnsi"/>
          <w:color w:val="011A3C"/>
          <w:lang w:val="en"/>
        </w:rPr>
        <w:t>In particular, the information in the guidance on how to manage the budget sets out the following requirements for schools.</w:t>
      </w:r>
    </w:p>
    <w:p w14:paraId="0DD3B180" w14:textId="77777777" w:rsidR="00C53D64" w:rsidRPr="00260C1D" w:rsidRDefault="00C53D64" w:rsidP="006C1424">
      <w:pPr>
        <w:pStyle w:val="Heading3"/>
        <w:rPr>
          <w:rStyle w:val="Strong"/>
        </w:rPr>
      </w:pPr>
      <w:r w:rsidRPr="00260C1D">
        <w:rPr>
          <w:rStyle w:val="Strong"/>
        </w:rPr>
        <w:t>Workforce planning</w:t>
      </w:r>
    </w:p>
    <w:p w14:paraId="0D4D3BA4" w14:textId="007A2579" w:rsidR="00C53D64" w:rsidRPr="00260C1D" w:rsidRDefault="00C53D64"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All schools are expected to have planning strategies in place to manage their workforce requirements within available funds, including adequate provision for </w:t>
      </w:r>
      <w:r w:rsidR="00260C1D" w:rsidRPr="00260C1D">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 xml:space="preserve">elief staffing. </w:t>
      </w:r>
    </w:p>
    <w:p w14:paraId="66F5C8A2" w14:textId="6C3197A1" w:rsidR="00C53D64" w:rsidRPr="00260C1D" w:rsidRDefault="00C53D64" w:rsidP="00F56244">
      <w:pPr>
        <w:numPr>
          <w:ilvl w:val="1"/>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Casual relief teaching staff are to be provided only when face-to-face teaching is required and where no internal resource</w:t>
      </w:r>
      <w:r w:rsidR="00EC652B">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 </w:t>
      </w:r>
      <w:r w:rsidR="00EC652B">
        <w:rPr>
          <w:rFonts w:eastAsia="Segoe UI" w:cstheme="minorHAnsi"/>
          <w:color w:val="011A3C"/>
          <w:sz w:val="24"/>
          <w:szCs w:val="24"/>
          <w:lang w:val="en" w:eastAsia="en-AU"/>
        </w:rPr>
        <w:t>are</w:t>
      </w:r>
      <w:r w:rsidRPr="00260C1D">
        <w:rPr>
          <w:rFonts w:eastAsia="Segoe UI" w:cstheme="minorHAnsi"/>
          <w:color w:val="011A3C"/>
          <w:sz w:val="24"/>
          <w:szCs w:val="24"/>
          <w:lang w:val="en" w:eastAsia="en-AU"/>
        </w:rPr>
        <w:t xml:space="preserve"> available.</w:t>
      </w:r>
    </w:p>
    <w:p w14:paraId="7E1EE8AE" w14:textId="77777777" w:rsidR="00C53D64" w:rsidRPr="00260C1D" w:rsidRDefault="00C53D64" w:rsidP="00F56244">
      <w:pPr>
        <w:numPr>
          <w:ilvl w:val="1"/>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 workforce plans must include contingency planning to deal with changing circumstances, including factors such as enrolment variations and changing workforce commitments.</w:t>
      </w:r>
    </w:p>
    <w:p w14:paraId="02D168C1" w14:textId="4592E8F5" w:rsidR="00C53D64" w:rsidRPr="000B1E45" w:rsidRDefault="00C53D64"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Schools participating in re</w:t>
      </w:r>
      <w:r w:rsidR="00EC652B">
        <w:rPr>
          <w:rFonts w:eastAsia="Segoe UI" w:cstheme="minorHAnsi"/>
          <w:color w:val="011A3C"/>
          <w:sz w:val="24"/>
          <w:szCs w:val="24"/>
          <w:lang w:val="en" w:eastAsia="en-AU"/>
        </w:rPr>
        <w:t>-</w:t>
      </w:r>
      <w:proofErr w:type="spellStart"/>
      <w:r w:rsidRPr="00260C1D">
        <w:rPr>
          <w:rFonts w:eastAsia="Segoe UI" w:cstheme="minorHAnsi"/>
          <w:color w:val="011A3C"/>
          <w:sz w:val="24"/>
          <w:szCs w:val="24"/>
          <w:lang w:val="en" w:eastAsia="en-AU"/>
        </w:rPr>
        <w:t>organisations</w:t>
      </w:r>
      <w:proofErr w:type="spellEnd"/>
      <w:r w:rsidRPr="00260C1D">
        <w:rPr>
          <w:rFonts w:eastAsia="Segoe UI" w:cstheme="minorHAnsi"/>
          <w:color w:val="011A3C"/>
          <w:sz w:val="24"/>
          <w:szCs w:val="24"/>
          <w:lang w:val="en" w:eastAsia="en-AU"/>
        </w:rPr>
        <w:t xml:space="preserve"> are expected to undertake workforce planning within their overall budget allocation while giving due consideration to clauses contained in the </w:t>
      </w:r>
      <w:r w:rsidR="006E0CBA">
        <w:rPr>
          <w:rFonts w:eastAsia="Segoe UI" w:cstheme="minorHAnsi"/>
          <w:color w:val="011A3C"/>
          <w:sz w:val="24"/>
          <w:szCs w:val="24"/>
          <w:lang w:val="en" w:eastAsia="en-AU"/>
        </w:rPr>
        <w:t>d</w:t>
      </w:r>
      <w:r w:rsidRPr="00260C1D">
        <w:rPr>
          <w:rFonts w:eastAsia="Segoe UI" w:cstheme="minorHAnsi"/>
          <w:color w:val="011A3C"/>
          <w:sz w:val="24"/>
          <w:szCs w:val="24"/>
          <w:lang w:val="en" w:eastAsia="en-AU"/>
        </w:rPr>
        <w:t>epartment's </w:t>
      </w:r>
      <w:hyperlink r:id="rId253" w:history="1">
        <w:r w:rsidRPr="008614E4">
          <w:rPr>
            <w:rStyle w:val="Hyperlink"/>
            <w:sz w:val="24"/>
            <w:szCs w:val="24"/>
          </w:rPr>
          <w:t>Human Resources School Merger or Closure — Staffing Guide</w:t>
        </w:r>
      </w:hyperlink>
      <w:r w:rsidRPr="00B97991">
        <w:rPr>
          <w:rFonts w:eastAsia="Segoe UI" w:cstheme="minorHAnsi"/>
          <w:color w:val="011A3C"/>
          <w:sz w:val="24"/>
          <w:szCs w:val="24"/>
          <w:lang w:val="en" w:eastAsia="en-AU"/>
        </w:rPr>
        <w:t>.</w:t>
      </w:r>
    </w:p>
    <w:p w14:paraId="36AC6C3C" w14:textId="37BB1695" w:rsidR="00C53D64" w:rsidRPr="00260C1D" w:rsidRDefault="00C53D64"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Teacher relief for periods in excess of 30 working days must be through fixed-term arrangements on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If a casual relief teacher is used initially because the absence is believed to be short-term, the employment must be converted, where the teacher is absent on personal leave, to fixed-term immediately when it is </w:t>
      </w:r>
      <w:proofErr w:type="spellStart"/>
      <w:r w:rsidRPr="00260C1D">
        <w:rPr>
          <w:rFonts w:eastAsia="Segoe UI" w:cstheme="minorHAnsi"/>
          <w:color w:val="011A3C"/>
          <w:sz w:val="24"/>
          <w:szCs w:val="24"/>
          <w:lang w:val="en" w:eastAsia="en-AU"/>
        </w:rPr>
        <w:t>recognised</w:t>
      </w:r>
      <w:proofErr w:type="spellEnd"/>
      <w:r w:rsidRPr="00260C1D">
        <w:rPr>
          <w:rFonts w:eastAsia="Segoe UI" w:cstheme="minorHAnsi"/>
          <w:color w:val="011A3C"/>
          <w:sz w:val="24"/>
          <w:szCs w:val="24"/>
          <w:lang w:val="en" w:eastAsia="en-AU"/>
        </w:rPr>
        <w:t xml:space="preserve"> that the absence will extend beyond 30 days. Refer to the </w:t>
      </w:r>
      <w:hyperlink r:id="rId254" w:history="1">
        <w:r w:rsidRPr="00A118C3">
          <w:rPr>
            <w:rStyle w:val="Hyperlink"/>
            <w:rFonts w:eastAsia="Segoe UI" w:cstheme="minorHAnsi"/>
            <w:sz w:val="24"/>
            <w:szCs w:val="24"/>
            <w:lang w:val="en" w:eastAsia="en-AU"/>
          </w:rPr>
          <w:t>Casual Relief policy</w:t>
        </w:r>
      </w:hyperlink>
      <w:r w:rsidRPr="00260C1D">
        <w:rPr>
          <w:rFonts w:eastAsia="Segoe UI" w:cstheme="minorHAnsi"/>
          <w:color w:val="011A3C"/>
          <w:sz w:val="24"/>
          <w:szCs w:val="24"/>
          <w:lang w:val="en" w:eastAsia="en-AU"/>
        </w:rPr>
        <w:t>.</w:t>
      </w:r>
    </w:p>
    <w:p w14:paraId="0FC11584" w14:textId="77777777" w:rsidR="00C53D64" w:rsidRPr="00260C1D" w:rsidRDefault="00C53D64"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 school is responsible for administering pay and workplace entitlements for the period of employment, as recorded in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undertaken at that school.</w:t>
      </w:r>
    </w:p>
    <w:p w14:paraId="7D6319A7" w14:textId="77777777" w:rsidR="00C53D64" w:rsidRPr="00260C1D" w:rsidRDefault="00C53D64" w:rsidP="006C1424">
      <w:pPr>
        <w:pStyle w:val="Heading3"/>
      </w:pPr>
      <w:r w:rsidRPr="00260C1D">
        <w:t>Budgeting requirements</w:t>
      </w:r>
    </w:p>
    <w:p w14:paraId="5DDC1E6B" w14:textId="77777777" w:rsidR="00C53D64" w:rsidRPr="00260C1D" w:rsidRDefault="00C53D64"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Actual salary costs on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are charged to schools each year according to the actual number of working days in the year. Schools must take into account the minor variations in working days as part of their normal budget planning.</w:t>
      </w:r>
    </w:p>
    <w:p w14:paraId="6087C75C" w14:textId="5D488395" w:rsidR="00C53D64" w:rsidRPr="00260C1D" w:rsidRDefault="00000000"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hyperlink r:id="rId255" w:history="1">
        <w:r w:rsidR="00C53D64" w:rsidRPr="00B148A2">
          <w:rPr>
            <w:rStyle w:val="Hyperlink"/>
            <w:sz w:val="24"/>
          </w:rPr>
          <w:t>Credit/Cash Transfer</w:t>
        </w:r>
      </w:hyperlink>
      <w:r w:rsidR="00C53D64" w:rsidRPr="00260C1D">
        <w:rPr>
          <w:rFonts w:eastAsia="Segoe UI" w:cstheme="minorHAnsi"/>
          <w:color w:val="011A3C"/>
          <w:sz w:val="24"/>
          <w:szCs w:val="24"/>
          <w:lang w:val="en" w:eastAsia="en-AU"/>
        </w:rPr>
        <w:t xml:space="preserve"> (CCT) requests must be based on the annual amount of the transfer (not monthly or quarterly) except where the transfer relates to a surplus brought forward from the previous year</w:t>
      </w:r>
      <w:r w:rsidR="00651F7D">
        <w:rPr>
          <w:rFonts w:eastAsia="Segoe UI" w:cstheme="minorHAnsi"/>
          <w:color w:val="011A3C"/>
          <w:sz w:val="24"/>
          <w:szCs w:val="24"/>
          <w:lang w:val="en" w:eastAsia="en-AU"/>
        </w:rPr>
        <w:t xml:space="preserve"> or an accumulated balance</w:t>
      </w:r>
      <w:r w:rsidR="00C53D64" w:rsidRPr="00260C1D">
        <w:rPr>
          <w:rFonts w:eastAsia="Segoe UI" w:cstheme="minorHAnsi"/>
          <w:color w:val="011A3C"/>
          <w:sz w:val="24"/>
          <w:szCs w:val="24"/>
          <w:lang w:val="en" w:eastAsia="en-AU"/>
        </w:rPr>
        <w:t>.</w:t>
      </w:r>
    </w:p>
    <w:p w14:paraId="53F8021E" w14:textId="77777777" w:rsidR="00C53D64" w:rsidRPr="00260C1D" w:rsidRDefault="00C53D64"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All cash payments must be recorded appropriately in CASES21 Finance using the general ledger and sub-program codes provided in the EFT remittance advice descriptions.</w:t>
      </w:r>
    </w:p>
    <w:p w14:paraId="1BE577EE" w14:textId="210C7ADD" w:rsidR="002B7177" w:rsidRPr="00260C1D" w:rsidRDefault="00C53D64" w:rsidP="00F56244">
      <w:pPr>
        <w:numPr>
          <w:ilvl w:val="0"/>
          <w:numId w:val="24"/>
        </w:numPr>
        <w:spacing w:before="100" w:beforeAutospacing="1" w:after="100" w:afterAutospacing="1" w:line="360" w:lineRule="atLeast"/>
        <w:rPr>
          <w:rFonts w:cstheme="minorHAnsi"/>
        </w:rPr>
      </w:pPr>
      <w:r w:rsidRPr="00260C1D">
        <w:rPr>
          <w:rFonts w:eastAsia="Segoe UI" w:cstheme="minorHAnsi"/>
          <w:color w:val="011A3C"/>
          <w:sz w:val="24"/>
          <w:szCs w:val="24"/>
          <w:lang w:val="en" w:eastAsia="en-AU"/>
        </w:rPr>
        <w:t>Where there is insufficient overall credit surplus in the SRP to employ relief, schools must have a deficit management strategy in place to reduce the deficit and to meet relief contingencies, having a view to using both the credit and cash components of the SRP.</w:t>
      </w:r>
      <w:r w:rsidR="002B7177" w:rsidRPr="00260C1D">
        <w:rPr>
          <w:rFonts w:cstheme="minorHAnsi"/>
        </w:rPr>
        <w:br w:type="page"/>
      </w:r>
    </w:p>
    <w:p w14:paraId="17B84AD2" w14:textId="41CA20FD" w:rsidR="0096466B" w:rsidRPr="00260C1D" w:rsidRDefault="0096466B" w:rsidP="00532A33">
      <w:pPr>
        <w:pStyle w:val="Heading2"/>
      </w:pPr>
      <w:bookmarkStart w:id="323" w:name="_Toc141965309"/>
      <w:bookmarkStart w:id="324" w:name="_Toc145339637"/>
      <w:bookmarkStart w:id="325" w:name="_Toc153791960"/>
      <w:r w:rsidRPr="00260C1D">
        <w:lastRenderedPageBreak/>
        <w:t>Salary and Related Expenditure</w:t>
      </w:r>
      <w:bookmarkEnd w:id="323"/>
      <w:bookmarkEnd w:id="324"/>
      <w:bookmarkEnd w:id="325"/>
    </w:p>
    <w:p w14:paraId="141B07B3" w14:textId="0171FF29" w:rsidR="0096466B" w:rsidRPr="00260C1D" w:rsidRDefault="00F05970" w:rsidP="0096466B">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This section on s</w:t>
      </w:r>
      <w:r w:rsidR="0096466B" w:rsidRPr="00260C1D">
        <w:rPr>
          <w:rFonts w:eastAsia="Segoe UI" w:cstheme="minorHAnsi"/>
          <w:color w:val="011A3C"/>
          <w:sz w:val="24"/>
          <w:szCs w:val="24"/>
          <w:lang w:val="en" w:eastAsia="en-AU"/>
        </w:rPr>
        <w:t xml:space="preserve">alary and related expenditure </w:t>
      </w:r>
      <w:r>
        <w:rPr>
          <w:rFonts w:eastAsia="Segoe UI" w:cstheme="minorHAnsi"/>
          <w:color w:val="011A3C"/>
          <w:sz w:val="24"/>
          <w:szCs w:val="24"/>
          <w:lang w:val="en" w:eastAsia="en-AU"/>
        </w:rPr>
        <w:t>in</w:t>
      </w:r>
      <w:r w:rsidRPr="00260C1D">
        <w:rPr>
          <w:rFonts w:eastAsia="Segoe UI" w:cstheme="minorHAnsi"/>
          <w:color w:val="011A3C"/>
          <w:sz w:val="24"/>
          <w:szCs w:val="24"/>
          <w:lang w:val="en" w:eastAsia="en-AU"/>
        </w:rPr>
        <w:t xml:space="preserve"> </w:t>
      </w:r>
      <w:r w:rsidR="0096466B" w:rsidRPr="00260C1D">
        <w:rPr>
          <w:rFonts w:eastAsia="Segoe UI" w:cstheme="minorHAnsi"/>
          <w:color w:val="011A3C"/>
          <w:sz w:val="24"/>
          <w:szCs w:val="24"/>
          <w:lang w:val="en" w:eastAsia="en-AU"/>
        </w:rPr>
        <w:t xml:space="preserve">the Student Resource Package (SRP) </w:t>
      </w:r>
      <w:r>
        <w:rPr>
          <w:rFonts w:eastAsia="Segoe UI" w:cstheme="minorHAnsi"/>
          <w:color w:val="011A3C"/>
          <w:sz w:val="24"/>
          <w:szCs w:val="24"/>
          <w:lang w:val="en" w:eastAsia="en-AU"/>
        </w:rPr>
        <w:t>i</w:t>
      </w:r>
      <w:r w:rsidR="0096466B" w:rsidRPr="00260C1D">
        <w:rPr>
          <w:rFonts w:eastAsia="Segoe UI" w:cstheme="minorHAnsi"/>
          <w:color w:val="011A3C"/>
          <w:sz w:val="24"/>
          <w:szCs w:val="24"/>
          <w:lang w:val="en" w:eastAsia="en-AU"/>
        </w:rPr>
        <w:t>ncludes guidance on transfers between schools, resigning and fixed-term teaching staff, higher duties and travel allowances.</w:t>
      </w:r>
    </w:p>
    <w:p w14:paraId="6C032B5A" w14:textId="746383D1"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Actuals</w:t>
      </w:r>
    </w:p>
    <w:p w14:paraId="50A306EB"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Projections</w:t>
      </w:r>
    </w:p>
    <w:p w14:paraId="194D3C84"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Transfers between schools (including transfers over vacation periods)</w:t>
      </w:r>
    </w:p>
    <w:p w14:paraId="431750F2"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Resigning teaching staff (including vacation periods)</w:t>
      </w:r>
    </w:p>
    <w:p w14:paraId="70892835"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Fixed-term teaching staff (including vacation periods)</w:t>
      </w:r>
    </w:p>
    <w:p w14:paraId="58D8605B"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Higher duties (including vacation periods)</w:t>
      </w:r>
    </w:p>
    <w:p w14:paraId="7FF55A7F"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Salary mischarges</w:t>
      </w:r>
    </w:p>
    <w:p w14:paraId="029DB95E"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On-costs: SRP and student support services</w:t>
      </w:r>
    </w:p>
    <w:p w14:paraId="77DD0F1B"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Travel allowance</w:t>
      </w:r>
    </w:p>
    <w:p w14:paraId="76997558"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Principal salary charge</w:t>
      </w:r>
    </w:p>
    <w:p w14:paraId="7837AF85"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Actuals</w:t>
      </w:r>
    </w:p>
    <w:p w14:paraId="0B557994"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Salary charges to schools are based on actual payroll debits for individual staff as reflected on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This includes the actual cost of annual leave loading and all allowances, such as higher duties and special payments.</w:t>
      </w:r>
    </w:p>
    <w:p w14:paraId="6925EAC5"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Staff may choose to package part of their salary in the form of non-cash benefits. Therefore, the charge to the school for an individual teacher may be a regular salary, or a combination of salary and non-cash benefits.</w:t>
      </w:r>
    </w:p>
    <w:p w14:paraId="6EAC76C2"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are liable for the entire employment period of a staff member at that school, as defined in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w:t>
      </w:r>
    </w:p>
    <w:p w14:paraId="6954DF98"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Projections</w:t>
      </w:r>
    </w:p>
    <w:p w14:paraId="7812B271" w14:textId="47BDC431"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SRP </w:t>
      </w:r>
      <w:hyperlink r:id="rId256" w:history="1">
        <w:r w:rsidRPr="00B148A2">
          <w:rPr>
            <w:rStyle w:val="Hyperlink"/>
            <w:sz w:val="24"/>
          </w:rPr>
          <w:t>School Budget Management Report</w:t>
        </w:r>
      </w:hyperlink>
      <w:r w:rsidRPr="00260C1D">
        <w:rPr>
          <w:rFonts w:eastAsia="Segoe UI" w:cstheme="minorHAnsi"/>
          <w:color w:val="011A3C"/>
          <w:sz w:val="24"/>
          <w:szCs w:val="24"/>
          <w:lang w:val="en" w:eastAsia="en-AU"/>
        </w:rPr>
        <w:t xml:space="preserve"> includes an estimate of expenditure for the full year, using the total of year-to-date charges plus a projection to 31 December. To facilitate this, salary figures for future pay periods are generated for each employee based on the latest payroll data.</w:t>
      </w:r>
    </w:p>
    <w:p w14:paraId="00548C4B" w14:textId="77777777" w:rsidR="0096466B" w:rsidRPr="00260C1D" w:rsidRDefault="0096466B" w:rsidP="004D1CF3">
      <w:pPr>
        <w:keepNext/>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Transfers between schools (including transfers over vacation periods)</w:t>
      </w:r>
    </w:p>
    <w:p w14:paraId="4696DACF" w14:textId="0D5674C8"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are liable for the charging of an ongoing staff member from the date of transfer until the return to base</w:t>
      </w:r>
      <w:r w:rsidR="00963761">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school date in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The actual transfer date should be entered in accordance with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guidelines and should be consistent with </w:t>
      </w:r>
      <w:hyperlink r:id="rId257" w:history="1">
        <w:r w:rsidRPr="008614E4">
          <w:rPr>
            <w:rStyle w:val="Hyperlink"/>
            <w:sz w:val="24"/>
            <w:szCs w:val="24"/>
          </w:rPr>
          <w:t>Recruitment in Schools</w:t>
        </w:r>
      </w:hyperlink>
      <w:r w:rsidRPr="00260C1D">
        <w:rPr>
          <w:rFonts w:eastAsia="Segoe UI" w:cstheme="minorHAnsi"/>
          <w:color w:val="011A3C"/>
          <w:sz w:val="24"/>
          <w:szCs w:val="24"/>
          <w:lang w:val="en" w:eastAsia="en-AU"/>
        </w:rPr>
        <w:t>.</w:t>
      </w:r>
    </w:p>
    <w:p w14:paraId="24550E92" w14:textId="1E1B9A85"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Note:</w:t>
      </w:r>
      <w:r w:rsidRPr="00260C1D">
        <w:rPr>
          <w:rFonts w:eastAsia="Segoe UI" w:cstheme="minorHAnsi"/>
          <w:color w:val="011A3C"/>
          <w:sz w:val="24"/>
          <w:szCs w:val="24"/>
          <w:lang w:val="en" w:eastAsia="en-AU"/>
        </w:rPr>
        <w:t xml:space="preserve"> Principals of both schools are responsible for confirming the start and end date prior to the commencement of a transfer. In most cases this would be at the start of a term/school year and returning at the start of a term /school year to ensure that charging of vacation periods is against the correct school</w:t>
      </w:r>
      <w:r w:rsidR="00963761">
        <w:rPr>
          <w:rFonts w:eastAsia="Segoe UI" w:cstheme="minorHAnsi"/>
          <w:color w:val="011A3C"/>
          <w:sz w:val="24"/>
          <w:szCs w:val="24"/>
          <w:lang w:val="en" w:eastAsia="en-AU"/>
        </w:rPr>
        <w:t>.</w:t>
      </w:r>
    </w:p>
    <w:p w14:paraId="6E1CB0F5" w14:textId="77777777" w:rsidR="0096466B" w:rsidRPr="00260C1D" w:rsidRDefault="0096466B" w:rsidP="009144B7">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lastRenderedPageBreak/>
        <w:t>Example 1 — End of year vacation</w:t>
      </w:r>
    </w:p>
    <w:p w14:paraId="5DBD9080"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Ongoing staff member John Teacher is transferring from Orange Primary School to Blue Primary School to fill a one year fixed-term contract. Start and end dates have been agreed by both principals and entered into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Based on the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data, John’s salary is therefore charged as follows:</w:t>
      </w:r>
    </w:p>
    <w:p w14:paraId="4C5D751C" w14:textId="267D329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Blue Primary School (one</w:t>
      </w:r>
      <w:r w:rsidR="00F80BBD"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year fixed</w:t>
      </w:r>
      <w:r w:rsidR="00CA2BE5">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term position) will pay John’s salary from the first day of Term 1 to the day before </w:t>
      </w:r>
      <w:r w:rsidR="00C1001C">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erm 1 starts in the next year.</w:t>
      </w:r>
    </w:p>
    <w:p w14:paraId="3862A19E"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Orange Primary School (John’s base school) will pay John’s salary from the first day of Term 1 (of the next year) on an ongoing basis.</w:t>
      </w:r>
    </w:p>
    <w:p w14:paraId="3ADEFA33" w14:textId="77777777" w:rsidR="0096466B" w:rsidRPr="00260C1D" w:rsidRDefault="0096466B" w:rsidP="003243F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Example 2 — Term 1 vacation</w:t>
      </w:r>
    </w:p>
    <w:p w14:paraId="17313B2A" w14:textId="2C0A86CD"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Ongoing staff member, Jane Support, is transferring from her base school, Red Secondary College, to Green Secondary College to fill a fixed-term contract for </w:t>
      </w:r>
      <w:r w:rsidR="00C1001C">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 xml:space="preserve">erm 1. Start and end dates have been agreed by both principals and entered into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Based on the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data, Jane’s salary is therefore charged as follows:</w:t>
      </w:r>
    </w:p>
    <w:p w14:paraId="56B77C6B" w14:textId="2AE225F0"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Green Secondary College (fixed</w:t>
      </w:r>
      <w:r w:rsidR="00475F28">
        <w:rPr>
          <w:rFonts w:eastAsia="Segoe UI" w:cstheme="minorHAnsi"/>
          <w:color w:val="011A3C"/>
          <w:sz w:val="24"/>
          <w:szCs w:val="24"/>
          <w:lang w:val="en" w:eastAsia="en-AU"/>
        </w:rPr>
        <w:t>-</w:t>
      </w:r>
      <w:r w:rsidRPr="00260C1D">
        <w:rPr>
          <w:rFonts w:eastAsia="Segoe UI" w:cstheme="minorHAnsi"/>
          <w:color w:val="011A3C"/>
          <w:sz w:val="24"/>
          <w:szCs w:val="24"/>
          <w:lang w:val="en" w:eastAsia="en-AU"/>
        </w:rPr>
        <w:t>term for Term 1) will pay Jane’s salary from the first day of Term 1 to the last day of the school Term 1 school holidays.</w:t>
      </w:r>
    </w:p>
    <w:p w14:paraId="582CFD9F"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Red Secondary College (Jane’s base school) will pay Jane’s salary from the first day of Term 2 on an ongoing basis.</w:t>
      </w:r>
    </w:p>
    <w:p w14:paraId="510A940D" w14:textId="77777777" w:rsidR="0096466B" w:rsidRPr="00260C1D" w:rsidRDefault="0096466B" w:rsidP="003243F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Example 3 — Negotiated transfer date</w:t>
      </w:r>
    </w:p>
    <w:p w14:paraId="1DDEA804"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Ongoing staff member, Joseph Teacher, is transferring from Green Secondary College to Red Secondary College to fill a one year fixed-term contract.</w:t>
      </w:r>
    </w:p>
    <w:p w14:paraId="01E06D82" w14:textId="3A6ABDF1"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principal at Red Secondary College wants Joseph to start work at the school early to assist in preparing for a new program at the school. The start date is the 16 January and end date (return to base</w:t>
      </w:r>
      <w:r w:rsidR="00F523E0">
        <w:rPr>
          <w:rFonts w:eastAsia="Segoe UI" w:cstheme="minorHAnsi"/>
          <w:color w:val="011A3C"/>
          <w:sz w:val="24"/>
          <w:szCs w:val="24"/>
          <w:lang w:val="en" w:eastAsia="en-AU"/>
        </w:rPr>
        <w:t xml:space="preserve"> school</w:t>
      </w:r>
      <w:r w:rsidRPr="00260C1D">
        <w:rPr>
          <w:rFonts w:eastAsia="Segoe UI" w:cstheme="minorHAnsi"/>
          <w:color w:val="011A3C"/>
          <w:sz w:val="24"/>
          <w:szCs w:val="24"/>
          <w:lang w:val="en" w:eastAsia="en-AU"/>
        </w:rPr>
        <w:t xml:space="preserve">) is the 15 January the following year. Both principals have agreed to these dates and they have been entered into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Based on the dates entered into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Joseph’s salary is therefore charged as follows:</w:t>
      </w:r>
    </w:p>
    <w:p w14:paraId="19D5D5B7"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Red Secondary College will pay Joseph’s salary from 16 January until 15 January the following year.</w:t>
      </w:r>
    </w:p>
    <w:p w14:paraId="3B749DE2"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Green Secondary College (Joseph’s base school) will pay Joseph’s salary from 16 January in the following year on an ongoing basis.</w:t>
      </w:r>
    </w:p>
    <w:p w14:paraId="03D9ADC3"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Resigning teaching staff (including vacation periods)</w:t>
      </w:r>
    </w:p>
    <w:p w14:paraId="50EBD054" w14:textId="77777777" w:rsidR="0096466B" w:rsidRPr="00614B09" w:rsidRDefault="0096466B" w:rsidP="00614B09">
      <w:pPr>
        <w:spacing w:before="100" w:beforeAutospacing="1" w:after="100" w:afterAutospacing="1" w:line="288" w:lineRule="atLeast"/>
        <w:outlineLvl w:val="2"/>
        <w:rPr>
          <w:rFonts w:eastAsia="Segoe UI" w:cstheme="minorHAnsi"/>
          <w:b/>
          <w:color w:val="011A3C"/>
          <w:sz w:val="27"/>
          <w:szCs w:val="27"/>
          <w:lang w:val="en" w:eastAsia="en-AU"/>
        </w:rPr>
      </w:pPr>
      <w:r w:rsidRPr="00614B09">
        <w:rPr>
          <w:rFonts w:eastAsia="Segoe UI" w:cstheme="minorHAnsi"/>
          <w:b/>
          <w:color w:val="011A3C"/>
          <w:sz w:val="27"/>
          <w:szCs w:val="27"/>
          <w:lang w:val="en" w:eastAsia="en-AU"/>
        </w:rPr>
        <w:t>Example 1 — Staff member resigns on first day of term 1</w:t>
      </w:r>
    </w:p>
    <w:p w14:paraId="01A41317"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Staff member Lyn Teacher is resigning from Orange Primary School on the first day of Term 1 (further information can be found at </w:t>
      </w:r>
      <w:hyperlink r:id="rId258" w:history="1">
        <w:r w:rsidRPr="008614E4">
          <w:rPr>
            <w:rStyle w:val="Hyperlink"/>
            <w:sz w:val="24"/>
            <w:szCs w:val="24"/>
          </w:rPr>
          <w:t>Cessation of Employment — Teaching Service</w:t>
        </w:r>
      </w:hyperlink>
      <w:r w:rsidRPr="00260C1D">
        <w:rPr>
          <w:rFonts w:eastAsia="Segoe UI" w:cstheme="minorHAnsi"/>
          <w:color w:val="011A3C"/>
          <w:sz w:val="24"/>
          <w:szCs w:val="24"/>
          <w:lang w:val="en" w:eastAsia="en-AU"/>
        </w:rPr>
        <w:t>). Lyn is therefore charged as follows:</w:t>
      </w:r>
    </w:p>
    <w:p w14:paraId="0E7D1467"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Orange Primary School will pay Lyn’s salary from the first day of vacation to the last day of vacation.</w:t>
      </w:r>
    </w:p>
    <w:p w14:paraId="6F846BFD"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Fixed-term teaching staff (including vacation periods)</w:t>
      </w:r>
    </w:p>
    <w:p w14:paraId="462FB392" w14:textId="40D63C42" w:rsidR="0096466B" w:rsidRPr="00260C1D" w:rsidRDefault="00000000" w:rsidP="0096466B">
      <w:pPr>
        <w:spacing w:before="100" w:beforeAutospacing="1" w:after="100" w:afterAutospacing="1" w:line="360" w:lineRule="atLeast"/>
        <w:rPr>
          <w:rFonts w:eastAsia="Segoe UI" w:cstheme="minorHAnsi"/>
          <w:color w:val="011A3C"/>
          <w:sz w:val="24"/>
          <w:szCs w:val="24"/>
          <w:lang w:val="en" w:eastAsia="en-AU"/>
        </w:rPr>
      </w:pPr>
      <w:hyperlink r:id="rId259" w:history="1">
        <w:r w:rsidR="0096466B" w:rsidRPr="008614E4">
          <w:rPr>
            <w:rStyle w:val="Hyperlink"/>
            <w:sz w:val="24"/>
            <w:szCs w:val="24"/>
          </w:rPr>
          <w:t>Recruitment in Schools</w:t>
        </w:r>
      </w:hyperlink>
      <w:r w:rsidR="0096466B" w:rsidRPr="00260C1D">
        <w:rPr>
          <w:rFonts w:eastAsia="Segoe UI" w:cstheme="minorHAnsi"/>
          <w:color w:val="011A3C"/>
          <w:sz w:val="24"/>
          <w:szCs w:val="24"/>
          <w:lang w:val="en" w:eastAsia="en-AU"/>
        </w:rPr>
        <w:t> provides schools with clear guidelines on fixed-term teacher vacancies. The duration of the vacancy must include relevant school vacation periods. A Fixed</w:t>
      </w:r>
      <w:r w:rsidR="00542C74">
        <w:rPr>
          <w:rFonts w:eastAsia="Segoe UI" w:cstheme="minorHAnsi"/>
          <w:color w:val="011A3C"/>
          <w:sz w:val="24"/>
          <w:szCs w:val="24"/>
          <w:lang w:val="en" w:eastAsia="en-AU"/>
        </w:rPr>
        <w:t>-</w:t>
      </w:r>
      <w:r w:rsidR="0096466B" w:rsidRPr="00260C1D">
        <w:rPr>
          <w:rFonts w:eastAsia="Segoe UI" w:cstheme="minorHAnsi"/>
          <w:color w:val="011A3C"/>
          <w:sz w:val="24"/>
          <w:szCs w:val="24"/>
          <w:lang w:val="en" w:eastAsia="en-AU"/>
        </w:rPr>
        <w:t xml:space="preserve">term Teacher Vacancy Ready Reckoner is available at </w:t>
      </w:r>
      <w:hyperlink r:id="rId260" w:history="1">
        <w:r w:rsidR="0096466B" w:rsidRPr="008614E4">
          <w:rPr>
            <w:rStyle w:val="Hyperlink"/>
            <w:sz w:val="24"/>
            <w:szCs w:val="24"/>
          </w:rPr>
          <w:t>Recruitment in Schools</w:t>
        </w:r>
      </w:hyperlink>
      <w:r w:rsidR="0096466B" w:rsidRPr="00260C1D">
        <w:rPr>
          <w:rFonts w:eastAsia="Segoe UI" w:cstheme="minorHAnsi"/>
          <w:color w:val="011A3C"/>
          <w:sz w:val="24"/>
          <w:szCs w:val="24"/>
          <w:lang w:val="en" w:eastAsia="en-AU"/>
        </w:rPr>
        <w:t xml:space="preserve"> to assist schools in establishing the appropriate employment end date. Dates are reflected in </w:t>
      </w:r>
      <w:proofErr w:type="spellStart"/>
      <w:r w:rsidR="0096466B" w:rsidRPr="00260C1D">
        <w:rPr>
          <w:rFonts w:eastAsia="Segoe UI" w:cstheme="minorHAnsi"/>
          <w:color w:val="011A3C"/>
          <w:sz w:val="24"/>
          <w:szCs w:val="24"/>
          <w:lang w:val="en" w:eastAsia="en-AU"/>
        </w:rPr>
        <w:t>eduPay</w:t>
      </w:r>
      <w:proofErr w:type="spellEnd"/>
      <w:r w:rsidR="0096466B" w:rsidRPr="00260C1D">
        <w:rPr>
          <w:rFonts w:eastAsia="Segoe UI" w:cstheme="minorHAnsi"/>
          <w:color w:val="011A3C"/>
          <w:sz w:val="24"/>
          <w:szCs w:val="24"/>
          <w:lang w:val="en" w:eastAsia="en-AU"/>
        </w:rPr>
        <w:t xml:space="preserve"> and used to determine how schools should be charged.</w:t>
      </w:r>
    </w:p>
    <w:p w14:paraId="2F08C46D" w14:textId="27D8B5CA" w:rsidR="0096466B" w:rsidRPr="00260C1D" w:rsidRDefault="0096466B" w:rsidP="003243F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 xml:space="preserve">Example 1 — End of year vacation (fixed-term staff member worked </w:t>
      </w:r>
      <w:r w:rsidR="00F40EAC">
        <w:rPr>
          <w:rFonts w:eastAsia="Segoe UI" w:cstheme="minorHAnsi"/>
          <w:b/>
          <w:color w:val="011A3C"/>
          <w:sz w:val="27"/>
          <w:szCs w:val="27"/>
          <w:lang w:val="en" w:eastAsia="en-AU"/>
        </w:rPr>
        <w:t>T</w:t>
      </w:r>
      <w:r w:rsidRPr="00260C1D">
        <w:rPr>
          <w:rFonts w:eastAsia="Segoe UI" w:cstheme="minorHAnsi"/>
          <w:b/>
          <w:color w:val="011A3C"/>
          <w:sz w:val="27"/>
          <w:szCs w:val="27"/>
          <w:lang w:val="en" w:eastAsia="en-AU"/>
        </w:rPr>
        <w:t xml:space="preserve">erm 3 and </w:t>
      </w:r>
      <w:r w:rsidR="00F40EAC">
        <w:rPr>
          <w:rFonts w:eastAsia="Segoe UI" w:cstheme="minorHAnsi"/>
          <w:b/>
          <w:color w:val="011A3C"/>
          <w:sz w:val="27"/>
          <w:szCs w:val="27"/>
          <w:lang w:val="en" w:eastAsia="en-AU"/>
        </w:rPr>
        <w:t>T</w:t>
      </w:r>
      <w:r w:rsidRPr="00260C1D">
        <w:rPr>
          <w:rFonts w:eastAsia="Segoe UI" w:cstheme="minorHAnsi"/>
          <w:b/>
          <w:color w:val="011A3C"/>
          <w:sz w:val="27"/>
          <w:szCs w:val="27"/>
          <w:lang w:val="en" w:eastAsia="en-AU"/>
        </w:rPr>
        <w:t>erm 4)</w:t>
      </w:r>
    </w:p>
    <w:p w14:paraId="7E646202"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Orange Primary School fixed-term staff member, Elizabeth Teacher, has a new fixed-term position at Blue Primary School. She has worked as a fixed-term staff member at Orange starting on the first day of Term 3 and had no other employment before that date. Using the fixed-term ready reckoner, it is determined that, as Elizabeth did not work for the entire year, she is only paid through the holiday period to the end of her leave entitlement. Based on the dates entered into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Elizabeth is therefore charged as follows:</w:t>
      </w:r>
    </w:p>
    <w:p w14:paraId="6C10F3D0"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Orange Primary School will be charged Elizabeth’s salary from the first day of vacation to the end of leave entitlement.</w:t>
      </w:r>
    </w:p>
    <w:p w14:paraId="616673F6"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Elizabeth will not be paid from the end of leave entitlement to the last day of vacation and therefore there is no cost for any school to incur.</w:t>
      </w:r>
    </w:p>
    <w:p w14:paraId="327B98E2"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Blue Primary school will be charged for Elizabeth’s salary from the first day of Term 1 until the end of her contract.</w:t>
      </w:r>
    </w:p>
    <w:p w14:paraId="4AA4DAE3" w14:textId="77777777" w:rsidR="0096466B" w:rsidRPr="00260C1D" w:rsidRDefault="0096466B" w:rsidP="003243F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Example 2 — Term 1 vacation</w:t>
      </w:r>
    </w:p>
    <w:p w14:paraId="316E0690"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Fixed-term staff member, Jane Support, has a new contract at Green Secondary College for Term 2. She currently has a contract with Red Secondary College for Term 1. Based on the dates entered into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Jane is therefore charged as follows:</w:t>
      </w:r>
    </w:p>
    <w:p w14:paraId="64FEA2D1"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Red Secondary College will be charged Jane’s salary from the first day of Term 1 to the last day of vacation.</w:t>
      </w:r>
    </w:p>
    <w:p w14:paraId="17B92A55"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From the first day of Term 2 onwards Green Secondary College will be charged Jane’s salary.</w:t>
      </w:r>
    </w:p>
    <w:p w14:paraId="3599C2C4"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Higher duties (including vacation periods)</w:t>
      </w:r>
    </w:p>
    <w:p w14:paraId="66D1A268"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An employee in the principal or teacher class, who is assigned higher duties for a period that includes a school vacation period, will continue to be paid the allowance during the school vacation period. Higher </w:t>
      </w:r>
      <w:r w:rsidRPr="00260C1D">
        <w:rPr>
          <w:rFonts w:eastAsia="Segoe UI" w:cstheme="minorHAnsi"/>
          <w:color w:val="011A3C"/>
          <w:sz w:val="24"/>
          <w:szCs w:val="24"/>
          <w:lang w:val="en" w:eastAsia="en-AU"/>
        </w:rPr>
        <w:lastRenderedPageBreak/>
        <w:t>duties assignments commence from the date of taking up the duty and cease at the end of the assignment period, or the last day of the school year, whichever is the earlier. Where an employee is in receipt of a higher duties allowance for at least one month immediately prior to the last day of the school year, he/she shall be paid the allowance to 31 December of that year. For more information refer to </w:t>
      </w:r>
      <w:hyperlink r:id="rId261" w:history="1">
        <w:r w:rsidRPr="008614E4">
          <w:rPr>
            <w:rStyle w:val="Hyperlink"/>
            <w:sz w:val="24"/>
            <w:szCs w:val="24"/>
          </w:rPr>
          <w:t>Higher Duties — Teaching Service</w:t>
        </w:r>
      </w:hyperlink>
      <w:r w:rsidRPr="00B97991">
        <w:rPr>
          <w:rFonts w:eastAsia="Segoe UI" w:cstheme="minorHAnsi"/>
          <w:color w:val="011A3C"/>
          <w:sz w:val="24"/>
          <w:szCs w:val="24"/>
          <w:lang w:val="en" w:eastAsia="en-AU"/>
        </w:rPr>
        <w:t>.</w:t>
      </w:r>
    </w:p>
    <w:p w14:paraId="13505B62" w14:textId="77777777" w:rsidR="0096466B" w:rsidRPr="00260C1D" w:rsidRDefault="0096466B" w:rsidP="003243F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Example 1 — Term vacation</w:t>
      </w:r>
    </w:p>
    <w:p w14:paraId="0CCE6BC9" w14:textId="5056C77B"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Ongoing staff member, Edward Teacher, has been given higher duties as an Assistant Principal at Green Secondary College for Term 2. He is currently an ongoing teacher at Red Secondary College. For more information refer to: </w:t>
      </w:r>
      <w:hyperlink r:id="rId262" w:history="1">
        <w:r w:rsidRPr="008614E4">
          <w:rPr>
            <w:rStyle w:val="Hyperlink"/>
            <w:sz w:val="24"/>
            <w:szCs w:val="24"/>
          </w:rPr>
          <w:t>Transfer and Promotion for Teaching Service</w:t>
        </w:r>
      </w:hyperlink>
      <w:r w:rsidRPr="00260C1D">
        <w:rPr>
          <w:rFonts w:eastAsia="Segoe UI" w:cstheme="minorHAnsi"/>
          <w:color w:val="011A3C"/>
          <w:sz w:val="24"/>
          <w:szCs w:val="24"/>
          <w:lang w:val="en" w:eastAsia="en-AU"/>
        </w:rPr>
        <w:t> (including over vacation periods).</w:t>
      </w:r>
    </w:p>
    <w:p w14:paraId="6609C5CD"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Based on the dates entered into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Edward is therefore charged as follows:</w:t>
      </w:r>
    </w:p>
    <w:p w14:paraId="1FF623C3" w14:textId="3AECC44C"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Green Secondary College will be charged Edward’s salary from the first day of Term 2 until the last day of vacation.</w:t>
      </w:r>
    </w:p>
    <w:p w14:paraId="40C6C4F5"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Red Secondary College will be charged from the first day of Term 3 onwards for Edward’s substantive salary.</w:t>
      </w:r>
    </w:p>
    <w:p w14:paraId="247ED208" w14:textId="01FA7D96"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Salary mischarges</w:t>
      </w:r>
    </w:p>
    <w:p w14:paraId="304C4D61" w14:textId="5114D0ED"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Salary mischarging amendments can be submitted by schools</w:t>
      </w:r>
      <w:r w:rsidR="00E26E39">
        <w:rPr>
          <w:rFonts w:eastAsia="Segoe UI" w:cstheme="minorHAnsi"/>
          <w:color w:val="011A3C"/>
          <w:sz w:val="24"/>
          <w:szCs w:val="24"/>
          <w:lang w:val="en" w:eastAsia="en-AU"/>
        </w:rPr>
        <w:t xml:space="preserve"> via </w:t>
      </w:r>
      <w:proofErr w:type="spellStart"/>
      <w:r w:rsidR="00E26E39">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for situations such as staff charged to the incorrect budget category, for example Teaching Support to Integration Aide or to arrange split ledgers between schools.</w:t>
      </w:r>
    </w:p>
    <w:p w14:paraId="7A415F39"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For amendments related to leave, refer to: </w:t>
      </w:r>
      <w:hyperlink r:id="rId263" w:history="1">
        <w:r w:rsidRPr="008614E4">
          <w:rPr>
            <w:rStyle w:val="Hyperlink"/>
            <w:sz w:val="24"/>
            <w:szCs w:val="24"/>
          </w:rPr>
          <w:t>Relief Staffing</w:t>
        </w:r>
      </w:hyperlink>
      <w:r w:rsidRPr="00CE2E6D">
        <w:rPr>
          <w:rFonts w:eastAsia="Segoe UI" w:cstheme="minorHAnsi"/>
          <w:color w:val="011A3C"/>
          <w:sz w:val="24"/>
          <w:szCs w:val="24"/>
          <w:lang w:val="en" w:eastAsia="en-AU"/>
        </w:rPr>
        <w:t>.</w:t>
      </w:r>
    </w:p>
    <w:p w14:paraId="4299FBFC"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On-costs: SRP</w:t>
      </w:r>
    </w:p>
    <w:p w14:paraId="2864D082"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Funds are included in the budget to meet salary on-costs associated with the payment of salaries and allowances on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These on-costs comprise payroll tax and superannuation. This funding is not separately </w:t>
      </w:r>
      <w:proofErr w:type="spellStart"/>
      <w:r w:rsidRPr="00260C1D">
        <w:rPr>
          <w:rFonts w:eastAsia="Segoe UI" w:cstheme="minorHAnsi"/>
          <w:color w:val="011A3C"/>
          <w:sz w:val="24"/>
          <w:szCs w:val="24"/>
          <w:lang w:val="en" w:eastAsia="en-AU"/>
        </w:rPr>
        <w:t>itemised</w:t>
      </w:r>
      <w:proofErr w:type="spellEnd"/>
      <w:r w:rsidRPr="00260C1D">
        <w:rPr>
          <w:rFonts w:eastAsia="Segoe UI" w:cstheme="minorHAnsi"/>
          <w:color w:val="011A3C"/>
          <w:sz w:val="24"/>
          <w:szCs w:val="24"/>
          <w:lang w:val="en" w:eastAsia="en-AU"/>
        </w:rPr>
        <w:t xml:space="preserve"> within the budget. When hiring staff, it is important to factor in these on-costs.</w:t>
      </w:r>
    </w:p>
    <w:p w14:paraId="3E9FDC86" w14:textId="77777777" w:rsidR="0096466B" w:rsidRPr="00260C1D" w:rsidRDefault="0096466B" w:rsidP="003243F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Superannuation</w:t>
      </w:r>
    </w:p>
    <w:p w14:paraId="15DBDD98" w14:textId="4E7B8F50"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Superannuation is cost neutral as it is funded and charged at the same level based on the total credit allocation within the SRP. The rate at which superannuation is funded and charged each year can fluctuate. Superannuation expenditure is shown as a separate line in the </w:t>
      </w:r>
      <w:hyperlink r:id="rId264" w:history="1">
        <w:r w:rsidRPr="008614E4">
          <w:rPr>
            <w:rStyle w:val="Hyperlink"/>
            <w:sz w:val="24"/>
            <w:szCs w:val="24"/>
          </w:rPr>
          <w:t>School Budget Management Report</w:t>
        </w:r>
      </w:hyperlink>
      <w:r w:rsidRPr="00260C1D">
        <w:rPr>
          <w:rFonts w:eastAsia="Segoe UI" w:cstheme="minorHAnsi"/>
          <w:color w:val="011A3C"/>
          <w:sz w:val="24"/>
          <w:szCs w:val="24"/>
          <w:lang w:val="en" w:eastAsia="en-AU"/>
        </w:rPr>
        <w:t xml:space="preserve">. If salary expenditure exceeds the credit </w:t>
      </w:r>
      <w:r w:rsidR="00F80BBD" w:rsidRPr="00260C1D">
        <w:rPr>
          <w:rFonts w:eastAsia="Segoe UI" w:cstheme="minorHAnsi"/>
          <w:color w:val="011A3C"/>
          <w:sz w:val="24"/>
          <w:szCs w:val="24"/>
          <w:lang w:val="en" w:eastAsia="en-AU"/>
        </w:rPr>
        <w:t>allocation,</w:t>
      </w:r>
      <w:r w:rsidRPr="00260C1D">
        <w:rPr>
          <w:rFonts w:eastAsia="Segoe UI" w:cstheme="minorHAnsi"/>
          <w:color w:val="011A3C"/>
          <w:sz w:val="24"/>
          <w:szCs w:val="24"/>
          <w:lang w:val="en" w:eastAsia="en-AU"/>
        </w:rPr>
        <w:t xml:space="preserve"> then additional superannuation may be charged (refer to the next section). The superannuation rate for 202</w:t>
      </w:r>
      <w:r w:rsidR="00B47541">
        <w:rPr>
          <w:rFonts w:eastAsia="Segoe UI" w:cstheme="minorHAnsi"/>
          <w:color w:val="011A3C"/>
          <w:sz w:val="24"/>
          <w:szCs w:val="24"/>
          <w:lang w:val="en" w:eastAsia="en-AU"/>
        </w:rPr>
        <w:t>4</w:t>
      </w:r>
      <w:r w:rsidRPr="00260C1D">
        <w:rPr>
          <w:rFonts w:eastAsia="Segoe UI" w:cstheme="minorHAnsi"/>
          <w:color w:val="011A3C"/>
          <w:sz w:val="24"/>
          <w:szCs w:val="24"/>
          <w:lang w:val="en" w:eastAsia="en-AU"/>
        </w:rPr>
        <w:t xml:space="preserve"> is </w:t>
      </w:r>
      <w:r w:rsidR="009159FC" w:rsidRPr="00260C1D">
        <w:rPr>
          <w:rFonts w:eastAsia="Segoe UI" w:cstheme="minorHAnsi"/>
          <w:color w:val="011A3C"/>
          <w:sz w:val="24"/>
          <w:szCs w:val="24"/>
          <w:lang w:val="en" w:eastAsia="en-AU"/>
        </w:rPr>
        <w:t>9.</w:t>
      </w:r>
      <w:r w:rsidR="00B47541">
        <w:rPr>
          <w:rFonts w:eastAsia="Segoe UI" w:cstheme="minorHAnsi"/>
          <w:color w:val="011A3C"/>
          <w:sz w:val="24"/>
          <w:szCs w:val="24"/>
          <w:lang w:val="en" w:eastAsia="en-AU"/>
        </w:rPr>
        <w:t>8</w:t>
      </w:r>
      <w:r w:rsidRPr="00260C1D">
        <w:rPr>
          <w:rFonts w:eastAsia="Segoe UI" w:cstheme="minorHAnsi"/>
          <w:color w:val="011A3C"/>
          <w:sz w:val="24"/>
          <w:szCs w:val="24"/>
          <w:lang w:val="en" w:eastAsia="en-AU"/>
        </w:rPr>
        <w:t>%.</w:t>
      </w:r>
    </w:p>
    <w:p w14:paraId="2ED0CCB0" w14:textId="5B25FFF2" w:rsidR="0096466B" w:rsidRPr="00260C1D" w:rsidRDefault="002B743A" w:rsidP="003243F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w:t>
      </w:r>
      <w:r w:rsidR="0096466B" w:rsidRPr="00260C1D">
        <w:rPr>
          <w:rFonts w:eastAsia="Segoe UI" w:cstheme="minorHAnsi"/>
          <w:b/>
          <w:color w:val="011A3C"/>
          <w:sz w:val="27"/>
          <w:szCs w:val="27"/>
          <w:lang w:val="en" w:eastAsia="en-AU"/>
        </w:rPr>
        <w:t>alculation:</w:t>
      </w:r>
    </w:p>
    <w:p w14:paraId="1B4945D2" w14:textId="28C3CDE1"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 xml:space="preserve">Superannuation = ([Total </w:t>
      </w:r>
      <w:r w:rsidR="00842D82">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redit </w:t>
      </w:r>
      <w:r w:rsidR="00842D82">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 xml:space="preserve">udget] – [Workers’ </w:t>
      </w:r>
      <w:r w:rsidR="0097484F">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ompensation </w:t>
      </w:r>
      <w:r w:rsidR="0097484F">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 xml:space="preserve">udget]) × [Super </w:t>
      </w:r>
      <w:r w:rsidR="00842D82">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p>
    <w:p w14:paraId="65084082" w14:textId="77777777" w:rsidR="0096466B" w:rsidRPr="00260C1D" w:rsidRDefault="0096466B" w:rsidP="003243F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Additional super</w:t>
      </w:r>
    </w:p>
    <w:p w14:paraId="089FB66A"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If a school’s credit expenditure generates a superannuation charge in excess of the funded superannuation amount, then additional superannuation may be charged. Any carry forward surplus on which superannuation was charged, using previous year(s) prevailing rates, is excluded from the calculation. This adjustment cannot make the additional superannuation figure negative and additional super cannot be zero or less.</w:t>
      </w:r>
    </w:p>
    <w:p w14:paraId="7225A54B" w14:textId="77777777" w:rsidR="0096466B" w:rsidRPr="00260C1D" w:rsidRDefault="0096466B" w:rsidP="003243F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 Calculation:</w:t>
      </w:r>
    </w:p>
    <w:p w14:paraId="29433591" w14:textId="61A679BE"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Additional </w:t>
      </w:r>
      <w:r w:rsidR="00842D82">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uper</w:t>
      </w:r>
      <w:r w:rsidR="00842D82">
        <w:rPr>
          <w:rFonts w:eastAsia="Segoe UI" w:cstheme="minorHAnsi"/>
          <w:color w:val="011A3C"/>
          <w:sz w:val="24"/>
          <w:szCs w:val="24"/>
          <w:lang w:val="en" w:eastAsia="en-AU"/>
        </w:rPr>
        <w:t>annuation</w:t>
      </w:r>
      <w:r w:rsidRPr="00260C1D">
        <w:rPr>
          <w:rFonts w:eastAsia="Segoe UI" w:cstheme="minorHAnsi"/>
          <w:color w:val="011A3C"/>
          <w:sz w:val="24"/>
          <w:szCs w:val="24"/>
          <w:lang w:val="en" w:eastAsia="en-AU"/>
        </w:rPr>
        <w:t xml:space="preserve"> = (Credit </w:t>
      </w:r>
      <w:r w:rsidR="00842D82">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xpenditure × Super</w:t>
      </w:r>
      <w:r w:rsidR="00842D82">
        <w:rPr>
          <w:rFonts w:eastAsia="Segoe UI" w:cstheme="minorHAnsi"/>
          <w:color w:val="011A3C"/>
          <w:sz w:val="24"/>
          <w:szCs w:val="24"/>
          <w:lang w:val="en" w:eastAsia="en-AU"/>
        </w:rPr>
        <w:t>annuation</w:t>
      </w:r>
      <w:r w:rsidRPr="00260C1D">
        <w:rPr>
          <w:rFonts w:eastAsia="Segoe UI" w:cstheme="minorHAnsi"/>
          <w:color w:val="011A3C"/>
          <w:sz w:val="24"/>
          <w:szCs w:val="24"/>
          <w:lang w:val="en" w:eastAsia="en-AU"/>
        </w:rPr>
        <w:t xml:space="preserve"> </w:t>
      </w:r>
      <w:r w:rsidR="00842D82">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r w:rsidR="004D0C40" w:rsidRPr="00260C1D">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Superannuation</w:t>
      </w:r>
    </w:p>
    <w:p w14:paraId="126AD751" w14:textId="7CFCA4AB"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Additional </w:t>
      </w:r>
      <w:r w:rsidR="00842D82">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uper (with a surplus carried forward) = (Credit </w:t>
      </w:r>
      <w:r w:rsidR="00842D82">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xpenditure × Super</w:t>
      </w:r>
      <w:r w:rsidR="00842D82">
        <w:rPr>
          <w:rFonts w:eastAsia="Segoe UI" w:cstheme="minorHAnsi"/>
          <w:color w:val="011A3C"/>
          <w:sz w:val="24"/>
          <w:szCs w:val="24"/>
          <w:lang w:val="en" w:eastAsia="en-AU"/>
        </w:rPr>
        <w:t>annuation</w:t>
      </w:r>
      <w:r w:rsidRPr="00260C1D">
        <w:rPr>
          <w:rFonts w:eastAsia="Segoe UI" w:cstheme="minorHAnsi"/>
          <w:color w:val="011A3C"/>
          <w:sz w:val="24"/>
          <w:szCs w:val="24"/>
          <w:lang w:val="en" w:eastAsia="en-AU"/>
        </w:rPr>
        <w:t xml:space="preserve"> </w:t>
      </w:r>
      <w:r w:rsidR="00842D82">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r w:rsidR="004D0C40" w:rsidRPr="00260C1D">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Superannuation</w:t>
      </w:r>
      <w:r w:rsidR="004D0C40" w:rsidRPr="00260C1D">
        <w:rPr>
          <w:rFonts w:eastAsia="Segoe UI" w:cstheme="minorHAnsi"/>
          <w:color w:val="011A3C"/>
          <w:sz w:val="24"/>
          <w:szCs w:val="24"/>
          <w:lang w:val="en" w:eastAsia="en-AU"/>
        </w:rPr>
        <w:t xml:space="preserve"> – </w:t>
      </w:r>
      <w:r w:rsidRPr="00260C1D">
        <w:rPr>
          <w:rFonts w:eastAsia="Segoe UI" w:cstheme="minorHAnsi"/>
          <w:color w:val="011A3C"/>
          <w:sz w:val="24"/>
          <w:szCs w:val="24"/>
          <w:lang w:val="en" w:eastAsia="en-AU"/>
        </w:rPr>
        <w:t xml:space="preserve">(Surplus </w:t>
      </w:r>
      <w:r w:rsidR="005B25C8">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arried </w:t>
      </w:r>
      <w:r w:rsidR="005B25C8">
        <w:rPr>
          <w:rFonts w:eastAsia="Segoe UI" w:cstheme="minorHAnsi"/>
          <w:color w:val="011A3C"/>
          <w:sz w:val="24"/>
          <w:szCs w:val="24"/>
          <w:lang w:val="en" w:eastAsia="en-AU"/>
        </w:rPr>
        <w:t>f</w:t>
      </w:r>
      <w:r w:rsidRPr="00260C1D">
        <w:rPr>
          <w:rFonts w:eastAsia="Segoe UI" w:cstheme="minorHAnsi"/>
          <w:color w:val="011A3C"/>
          <w:sz w:val="24"/>
          <w:szCs w:val="24"/>
          <w:lang w:val="en" w:eastAsia="en-AU"/>
        </w:rPr>
        <w:t xml:space="preserve">orward × Previous </w:t>
      </w:r>
      <w:r w:rsidR="005B25C8">
        <w:rPr>
          <w:rFonts w:eastAsia="Segoe UI" w:cstheme="minorHAnsi"/>
          <w:color w:val="011A3C"/>
          <w:sz w:val="24"/>
          <w:szCs w:val="24"/>
          <w:lang w:val="en" w:eastAsia="en-AU"/>
        </w:rPr>
        <w:t>y</w:t>
      </w:r>
      <w:r w:rsidRPr="00260C1D">
        <w:rPr>
          <w:rFonts w:eastAsia="Segoe UI" w:cstheme="minorHAnsi"/>
          <w:color w:val="011A3C"/>
          <w:sz w:val="24"/>
          <w:szCs w:val="24"/>
          <w:lang w:val="en" w:eastAsia="en-AU"/>
        </w:rPr>
        <w:t xml:space="preserve">ear </w:t>
      </w:r>
      <w:r w:rsidR="005B25C8">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uper</w:t>
      </w:r>
      <w:r w:rsidR="005B25C8">
        <w:rPr>
          <w:rFonts w:eastAsia="Segoe UI" w:cstheme="minorHAnsi"/>
          <w:color w:val="011A3C"/>
          <w:sz w:val="24"/>
          <w:szCs w:val="24"/>
          <w:lang w:val="en" w:eastAsia="en-AU"/>
        </w:rPr>
        <w:t>annuation</w:t>
      </w:r>
      <w:r w:rsidRPr="00260C1D">
        <w:rPr>
          <w:rFonts w:eastAsia="Segoe UI" w:cstheme="minorHAnsi"/>
          <w:color w:val="011A3C"/>
          <w:sz w:val="24"/>
          <w:szCs w:val="24"/>
          <w:lang w:val="en" w:eastAsia="en-AU"/>
        </w:rPr>
        <w:t xml:space="preserve"> </w:t>
      </w:r>
      <w:r w:rsidR="005B25C8">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p>
    <w:p w14:paraId="27D2F786" w14:textId="77777777" w:rsidR="0096466B" w:rsidRPr="00260C1D" w:rsidRDefault="0096466B" w:rsidP="003243F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Where:</w:t>
      </w:r>
    </w:p>
    <w:p w14:paraId="636E92E3" w14:textId="702AC0C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Credit </w:t>
      </w:r>
      <w:r w:rsidR="002319B7">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 xml:space="preserve">xpenditure = Total credit expenditure excluding Workers’ Compensation, </w:t>
      </w:r>
      <w:r w:rsidR="00F32009" w:rsidRPr="00260C1D">
        <w:rPr>
          <w:rFonts w:eastAsia="Segoe UI" w:cstheme="minorHAnsi"/>
          <w:color w:val="011A3C"/>
          <w:sz w:val="24"/>
          <w:szCs w:val="24"/>
          <w:lang w:val="en" w:eastAsia="en-AU"/>
        </w:rPr>
        <w:t xml:space="preserve">Teaching Practice Supervision, </w:t>
      </w:r>
      <w:r w:rsidR="006A4937">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 xml:space="preserve">dditional </w:t>
      </w:r>
      <w:r w:rsidR="006A4937">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uper</w:t>
      </w:r>
      <w:r w:rsidR="006A4937">
        <w:rPr>
          <w:rFonts w:eastAsia="Segoe UI" w:cstheme="minorHAnsi"/>
          <w:color w:val="011A3C"/>
          <w:sz w:val="24"/>
          <w:szCs w:val="24"/>
          <w:lang w:val="en" w:eastAsia="en-AU"/>
        </w:rPr>
        <w:t>annuation</w:t>
      </w:r>
      <w:r w:rsidRPr="00260C1D">
        <w:rPr>
          <w:rFonts w:eastAsia="Segoe UI" w:cstheme="minorHAnsi"/>
          <w:color w:val="011A3C"/>
          <w:sz w:val="24"/>
          <w:szCs w:val="24"/>
          <w:lang w:val="en" w:eastAsia="en-AU"/>
        </w:rPr>
        <w:t xml:space="preserve">, </w:t>
      </w:r>
      <w:hyperlink r:id="rId265" w:history="1">
        <w:r w:rsidRPr="00260C1D">
          <w:rPr>
            <w:rFonts w:eastAsia="Segoe UI" w:cstheme="minorHAnsi"/>
            <w:color w:val="011A3C"/>
            <w:sz w:val="24"/>
            <w:szCs w:val="24"/>
            <w:lang w:val="en" w:eastAsia="en-AU"/>
          </w:rPr>
          <w:t>Credit</w:t>
        </w:r>
        <w:r w:rsidR="00F32009"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Cash Transfers</w:t>
        </w:r>
      </w:hyperlink>
      <w:r w:rsidRPr="00260C1D">
        <w:rPr>
          <w:rFonts w:eastAsia="Segoe UI" w:cstheme="minorHAnsi"/>
          <w:color w:val="011A3C"/>
          <w:sz w:val="24"/>
          <w:szCs w:val="24"/>
          <w:lang w:val="en" w:eastAsia="en-AU"/>
        </w:rPr>
        <w:t xml:space="preserve"> or administrative adjustments.</w:t>
      </w:r>
    </w:p>
    <w:p w14:paraId="24060C0C" w14:textId="33328469"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Super</w:t>
      </w:r>
      <w:r w:rsidR="004D1C6E">
        <w:rPr>
          <w:rFonts w:eastAsia="Segoe UI" w:cstheme="minorHAnsi"/>
          <w:color w:val="011A3C"/>
          <w:sz w:val="24"/>
          <w:szCs w:val="24"/>
          <w:lang w:val="en" w:eastAsia="en-AU"/>
        </w:rPr>
        <w:t>annuation</w:t>
      </w:r>
      <w:r w:rsidRPr="00260C1D">
        <w:rPr>
          <w:rFonts w:eastAsia="Segoe UI" w:cstheme="minorHAnsi"/>
          <w:color w:val="011A3C"/>
          <w:sz w:val="24"/>
          <w:szCs w:val="24"/>
          <w:lang w:val="en" w:eastAsia="en-AU"/>
        </w:rPr>
        <w:t xml:space="preserve"> </w:t>
      </w:r>
      <w:r w:rsidR="004D1C6E">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 = Superannuation rate for the current budget year.</w:t>
      </w:r>
    </w:p>
    <w:p w14:paraId="1708EC52" w14:textId="0D85D3DB"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Previous </w:t>
      </w:r>
      <w:r w:rsidR="004D1C6E">
        <w:rPr>
          <w:rFonts w:eastAsia="Segoe UI" w:cstheme="minorHAnsi"/>
          <w:color w:val="011A3C"/>
          <w:sz w:val="24"/>
          <w:szCs w:val="24"/>
          <w:lang w:val="en" w:eastAsia="en-AU"/>
        </w:rPr>
        <w:t>y</w:t>
      </w:r>
      <w:r w:rsidRPr="00260C1D">
        <w:rPr>
          <w:rFonts w:eastAsia="Segoe UI" w:cstheme="minorHAnsi"/>
          <w:color w:val="011A3C"/>
          <w:sz w:val="24"/>
          <w:szCs w:val="24"/>
          <w:lang w:val="en" w:eastAsia="en-AU"/>
        </w:rPr>
        <w:t xml:space="preserve">ear </w:t>
      </w:r>
      <w:r w:rsidR="004D1C6E">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uper</w:t>
      </w:r>
      <w:r w:rsidR="004D1C6E">
        <w:rPr>
          <w:rFonts w:eastAsia="Segoe UI" w:cstheme="minorHAnsi"/>
          <w:color w:val="011A3C"/>
          <w:sz w:val="24"/>
          <w:szCs w:val="24"/>
          <w:lang w:val="en" w:eastAsia="en-AU"/>
        </w:rPr>
        <w:t>annuation</w:t>
      </w:r>
      <w:r w:rsidRPr="00260C1D">
        <w:rPr>
          <w:rFonts w:eastAsia="Segoe UI" w:cstheme="minorHAnsi"/>
          <w:color w:val="011A3C"/>
          <w:sz w:val="24"/>
          <w:szCs w:val="24"/>
          <w:lang w:val="en" w:eastAsia="en-AU"/>
        </w:rPr>
        <w:t xml:space="preserve"> </w:t>
      </w:r>
      <w:r w:rsidR="004D1C6E">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 = Superannuation rate for the previous budget year.</w:t>
      </w:r>
    </w:p>
    <w:p w14:paraId="4C5ED5F6"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Superannuation = Superannuation amount charged to the school.</w:t>
      </w:r>
    </w:p>
    <w:p w14:paraId="6D4325D7"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Surplus carried forward = Surplus figure carried forward from previous year.</w:t>
      </w:r>
    </w:p>
    <w:p w14:paraId="440FA363" w14:textId="77777777" w:rsidR="0096466B" w:rsidRPr="00260C1D" w:rsidRDefault="0096466B" w:rsidP="003243F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Payroll tax</w:t>
      </w:r>
    </w:p>
    <w:p w14:paraId="26FBF797" w14:textId="31DD0E24"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Funding for payroll tax is included within the budget and is based on the </w:t>
      </w:r>
      <w:r w:rsidR="0080449E" w:rsidRPr="00260C1D">
        <w:rPr>
          <w:rFonts w:eastAsia="Segoe UI" w:cstheme="minorHAnsi"/>
          <w:color w:val="011A3C"/>
          <w:sz w:val="24"/>
          <w:szCs w:val="24"/>
          <w:lang w:val="en" w:eastAsia="en-AU"/>
        </w:rPr>
        <w:t xml:space="preserve">salary </w:t>
      </w:r>
      <w:r w:rsidRPr="00260C1D">
        <w:rPr>
          <w:rFonts w:eastAsia="Segoe UI" w:cstheme="minorHAnsi"/>
          <w:color w:val="011A3C"/>
          <w:sz w:val="24"/>
          <w:szCs w:val="24"/>
          <w:lang w:val="en" w:eastAsia="en-AU"/>
        </w:rPr>
        <w:t>expenditure for a school. The payroll tax rate for 202</w:t>
      </w:r>
      <w:r w:rsidR="00302776">
        <w:rPr>
          <w:rFonts w:eastAsia="Segoe UI" w:cstheme="minorHAnsi"/>
          <w:color w:val="011A3C"/>
          <w:sz w:val="24"/>
          <w:szCs w:val="24"/>
          <w:lang w:val="en" w:eastAsia="en-AU"/>
        </w:rPr>
        <w:t>4</w:t>
      </w:r>
      <w:r w:rsidRPr="00260C1D">
        <w:rPr>
          <w:rFonts w:eastAsia="Segoe UI" w:cstheme="minorHAnsi"/>
          <w:color w:val="011A3C"/>
          <w:sz w:val="24"/>
          <w:szCs w:val="24"/>
          <w:lang w:val="en" w:eastAsia="en-AU"/>
        </w:rPr>
        <w:t xml:space="preserve"> is </w:t>
      </w:r>
      <w:r w:rsidR="00F246D1" w:rsidRPr="00260C1D">
        <w:rPr>
          <w:rFonts w:eastAsia="Segoe UI" w:cstheme="minorHAnsi"/>
          <w:color w:val="011A3C"/>
          <w:sz w:val="24"/>
          <w:szCs w:val="24"/>
          <w:lang w:val="en" w:eastAsia="en-AU"/>
        </w:rPr>
        <w:t>5.</w:t>
      </w:r>
      <w:r w:rsidR="00302776">
        <w:rPr>
          <w:rFonts w:eastAsia="Segoe UI" w:cstheme="minorHAnsi"/>
          <w:color w:val="011A3C"/>
          <w:sz w:val="24"/>
          <w:szCs w:val="24"/>
          <w:lang w:val="en" w:eastAsia="en-AU"/>
        </w:rPr>
        <w:t>40</w:t>
      </w:r>
      <w:r w:rsidRPr="00260C1D">
        <w:rPr>
          <w:rFonts w:eastAsia="Segoe UI" w:cstheme="minorHAnsi"/>
          <w:color w:val="011A3C"/>
          <w:sz w:val="24"/>
          <w:szCs w:val="24"/>
          <w:lang w:val="en" w:eastAsia="en-AU"/>
        </w:rPr>
        <w:t>%.</w:t>
      </w:r>
    </w:p>
    <w:p w14:paraId="2B56218A" w14:textId="77777777" w:rsidR="0096466B" w:rsidRPr="00260C1D" w:rsidRDefault="0096466B" w:rsidP="003243F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Calculation:</w:t>
      </w:r>
    </w:p>
    <w:p w14:paraId="22518220" w14:textId="0271F94E"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Payroll </w:t>
      </w:r>
      <w:r w:rsidR="00181C98">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ax = (</w:t>
      </w:r>
      <w:r w:rsidR="0080449E" w:rsidRPr="00260C1D">
        <w:rPr>
          <w:rFonts w:eastAsia="Segoe UI" w:cstheme="minorHAnsi"/>
          <w:color w:val="011A3C"/>
          <w:sz w:val="24"/>
          <w:szCs w:val="24"/>
          <w:lang w:val="en" w:eastAsia="en-AU"/>
        </w:rPr>
        <w:t xml:space="preserve">Salary </w:t>
      </w:r>
      <w:r w:rsidR="004D1C6E">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 xml:space="preserve">xpenditure – Teaching </w:t>
      </w:r>
      <w:r w:rsidR="00181C98">
        <w:rPr>
          <w:rFonts w:eastAsia="Segoe UI" w:cstheme="minorHAnsi"/>
          <w:color w:val="011A3C"/>
          <w:sz w:val="24"/>
          <w:szCs w:val="24"/>
          <w:lang w:val="en" w:eastAsia="en-AU"/>
        </w:rPr>
        <w:t>p</w:t>
      </w:r>
      <w:r w:rsidRPr="00260C1D">
        <w:rPr>
          <w:rFonts w:eastAsia="Segoe UI" w:cstheme="minorHAnsi"/>
          <w:color w:val="011A3C"/>
          <w:sz w:val="24"/>
          <w:szCs w:val="24"/>
          <w:lang w:val="en" w:eastAsia="en-AU"/>
        </w:rPr>
        <w:t xml:space="preserve">ractice) × Payroll </w:t>
      </w:r>
      <w:r w:rsidR="00181C98">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 xml:space="preserve">ax </w:t>
      </w:r>
      <w:r w:rsidR="00181C98">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ate</w:t>
      </w:r>
    </w:p>
    <w:p w14:paraId="2BF9DB0B" w14:textId="77777777" w:rsidR="0096466B" w:rsidRPr="00260C1D" w:rsidRDefault="0096466B" w:rsidP="003243F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Where:</w:t>
      </w:r>
    </w:p>
    <w:p w14:paraId="798E74C1"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Teaching practice = The teaching practice supervision credit expenditure line is excluded from the payroll tax calculation.</w:t>
      </w:r>
    </w:p>
    <w:p w14:paraId="692214F5" w14:textId="46BBD5F9"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Payroll tax rate = Payroll tax rate for the current budget year.</w:t>
      </w:r>
    </w:p>
    <w:p w14:paraId="5B8AFD27" w14:textId="77777777" w:rsidR="0096466B" w:rsidRPr="00260C1D" w:rsidRDefault="0096466B" w:rsidP="003243F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Sabbatical</w:t>
      </w:r>
    </w:p>
    <w:p w14:paraId="7E1EAE8F"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The participation of teachers in the sabbatical leave scheme is cost neutral to the SRP over the period of the scheme. Teachers participating in the scheme are charged to the SRP at 100 per cent of their salary at their relevant classification. The charge represents the actual cost of the teacher to the school over this period. When the staff member is on sabbatical leave, or receives a pay-out of their sabbatical, no charge is made to the school.</w:t>
      </w:r>
    </w:p>
    <w:p w14:paraId="7A1BABA4" w14:textId="77777777" w:rsidR="0096466B" w:rsidRPr="00260C1D" w:rsidRDefault="0096466B" w:rsidP="003243F4">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On-costs</w:t>
      </w:r>
    </w:p>
    <w:p w14:paraId="1294B0FC"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On-costs are calculated as a single line which can be seen on your </w:t>
      </w:r>
      <w:hyperlink r:id="rId266" w:history="1">
        <w:r w:rsidRPr="00950CBB">
          <w:rPr>
            <w:rStyle w:val="Hyperlink"/>
            <w:sz w:val="24"/>
          </w:rPr>
          <w:t>Budget Management Report</w:t>
        </w:r>
      </w:hyperlink>
      <w:r w:rsidRPr="00260C1D">
        <w:rPr>
          <w:rFonts w:eastAsia="Segoe UI" w:cstheme="minorHAnsi"/>
          <w:color w:val="011A3C"/>
          <w:sz w:val="24"/>
          <w:szCs w:val="24"/>
          <w:lang w:val="en" w:eastAsia="en-AU"/>
        </w:rPr>
        <w:t>. When budgeting to hire staff, it is important to factor in these on-costs. </w:t>
      </w:r>
    </w:p>
    <w:p w14:paraId="6D567781"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on-costs figure is based on actual salary expenditure and, as such, it may vary throughout the course of the year based on projected expenditure.</w:t>
      </w:r>
    </w:p>
    <w:p w14:paraId="29338667"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Travel allowance</w:t>
      </w:r>
    </w:p>
    <w:p w14:paraId="38B7DEAE"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Travel allowance will be charged as a deduction against the school’s cash line for the impacted program. This can be reviewed throughout the year on the School Budget Management and Cash reports. For information on administration and processes relating to travel allowance in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refer to </w:t>
      </w:r>
      <w:hyperlink r:id="rId267" w:history="1">
        <w:r w:rsidRPr="008614E4">
          <w:rPr>
            <w:rStyle w:val="Hyperlink"/>
            <w:sz w:val="24"/>
            <w:szCs w:val="24"/>
          </w:rPr>
          <w:t>Travel and Personal Expenses — Teaching Service</w:t>
        </w:r>
      </w:hyperlink>
      <w:r w:rsidRPr="008E2572">
        <w:rPr>
          <w:rFonts w:eastAsia="Segoe UI" w:cstheme="minorHAnsi"/>
          <w:color w:val="011A3C"/>
          <w:sz w:val="24"/>
          <w:szCs w:val="24"/>
          <w:lang w:val="en" w:eastAsia="en-AU"/>
        </w:rPr>
        <w:t>.</w:t>
      </w:r>
    </w:p>
    <w:p w14:paraId="00E69B12"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Principal salary charge</w:t>
      </w:r>
    </w:p>
    <w:p w14:paraId="29D7BD8F" w14:textId="6B988545"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Special charging arrangements apply for the principal position in the SRP to ensure that the cost of the movement of principals’ salaries within classification scales is not borne by schools. This is achieved by ensuring the principal salary charge is consistent with the system of funding. Funding for the principal’s position is incorporated into the SRP formulae through the per-student rates and the </w:t>
      </w:r>
      <w:r w:rsidR="006969AF">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nrolment</w:t>
      </w:r>
      <w:r w:rsidR="006969AF">
        <w:rPr>
          <w:rFonts w:eastAsia="Segoe UI" w:cstheme="minorHAnsi"/>
          <w:color w:val="011A3C"/>
          <w:sz w:val="24"/>
          <w:szCs w:val="24"/>
          <w:lang w:val="en" w:eastAsia="en-AU"/>
        </w:rPr>
        <w:t xml:space="preserve"> L</w:t>
      </w:r>
      <w:r w:rsidRPr="00260C1D">
        <w:rPr>
          <w:rFonts w:eastAsia="Segoe UI" w:cstheme="minorHAnsi"/>
          <w:color w:val="011A3C"/>
          <w:sz w:val="24"/>
          <w:szCs w:val="24"/>
          <w:lang w:val="en" w:eastAsia="en-AU"/>
        </w:rPr>
        <w:t xml:space="preserve">inked </w:t>
      </w:r>
      <w:r w:rsidR="006969AF">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ase. </w:t>
      </w:r>
    </w:p>
    <w:p w14:paraId="548FDD62" w14:textId="379AFFDE"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principal's salary will be charged to the school according to the formulae below for primary, secondary and pri</w:t>
      </w:r>
      <w:r w:rsidR="006E113F" w:rsidRPr="00260C1D">
        <w:rPr>
          <w:rFonts w:eastAsia="Segoe UI" w:cstheme="minorHAnsi"/>
          <w:color w:val="011A3C"/>
          <w:sz w:val="24"/>
          <w:szCs w:val="24"/>
          <w:lang w:val="en" w:eastAsia="en-AU"/>
        </w:rPr>
        <w:t>mary/</w:t>
      </w:r>
      <w:r w:rsidR="008A6CE0" w:rsidRPr="00260C1D">
        <w:rPr>
          <w:rFonts w:eastAsia="Segoe UI" w:cstheme="minorHAnsi"/>
          <w:color w:val="011A3C"/>
          <w:sz w:val="24"/>
          <w:szCs w:val="24"/>
          <w:lang w:val="en" w:eastAsia="en-AU"/>
        </w:rPr>
        <w:t>secondary schools</w:t>
      </w:r>
      <w:r w:rsidRPr="00260C1D">
        <w:rPr>
          <w:rFonts w:eastAsia="Segoe UI" w:cstheme="minorHAnsi"/>
          <w:color w:val="011A3C"/>
          <w:sz w:val="24"/>
          <w:szCs w:val="24"/>
          <w:lang w:val="en" w:eastAsia="en-AU"/>
        </w:rPr>
        <w:t>. In this way, the charge for the principal's salary is aligned with the amount effectively funded into the overall SRP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20"/>
        <w:gridCol w:w="1310"/>
        <w:gridCol w:w="661"/>
        <w:gridCol w:w="661"/>
        <w:gridCol w:w="1171"/>
        <w:gridCol w:w="2353"/>
        <w:gridCol w:w="2480"/>
      </w:tblGrid>
      <w:tr w:rsidR="0096466B" w:rsidRPr="00260C1D" w14:paraId="08CFD7FC" w14:textId="77777777" w:rsidTr="00883230">
        <w:trPr>
          <w:trHeight w:val="330"/>
          <w:tblHeader/>
        </w:trPr>
        <w:tc>
          <w:tcPr>
            <w:tcW w:w="5000" w:type="pct"/>
            <w:gridSpan w:val="7"/>
            <w:vAlign w:val="center"/>
            <w:hideMark/>
          </w:tcPr>
          <w:p w14:paraId="2E2CD40E" w14:textId="368A3995" w:rsidR="0096466B" w:rsidRPr="00260C1D" w:rsidRDefault="0096466B" w:rsidP="003243F4">
            <w:pPr>
              <w:spacing w:before="100" w:beforeAutospacing="1" w:after="100" w:afterAutospacing="1" w:line="288" w:lineRule="atLeast"/>
              <w:outlineLvl w:val="2"/>
              <w:rPr>
                <w:rFonts w:eastAsia="Segoe UI" w:cstheme="minorHAnsi"/>
                <w:sz w:val="24"/>
                <w:szCs w:val="24"/>
                <w:lang w:eastAsia="en-AU"/>
              </w:rPr>
            </w:pPr>
            <w:r w:rsidRPr="00260C1D">
              <w:rPr>
                <w:rFonts w:eastAsia="Segoe UI" w:cstheme="minorHAnsi"/>
                <w:b/>
                <w:color w:val="011A3C"/>
                <w:sz w:val="27"/>
                <w:szCs w:val="27"/>
                <w:lang w:val="en" w:eastAsia="en-AU"/>
              </w:rPr>
              <w:t>Principal salary charge</w:t>
            </w:r>
            <w:r w:rsidR="00851D99">
              <w:rPr>
                <w:rFonts w:eastAsia="Segoe UI" w:cstheme="minorHAnsi"/>
                <w:b/>
                <w:color w:val="011A3C"/>
                <w:sz w:val="27"/>
                <w:szCs w:val="27"/>
                <w:lang w:val="en" w:eastAsia="en-AU"/>
              </w:rPr>
              <w:t xml:space="preserve"> – 2024 Rates</w:t>
            </w:r>
          </w:p>
        </w:tc>
      </w:tr>
      <w:tr w:rsidR="007A1708" w:rsidRPr="00260C1D" w14:paraId="1368989C" w14:textId="77777777" w:rsidTr="00883230">
        <w:trPr>
          <w:trHeight w:val="603"/>
          <w:tblHeader/>
        </w:trPr>
        <w:tc>
          <w:tcPr>
            <w:tcW w:w="870" w:type="pct"/>
            <w:hideMark/>
          </w:tcPr>
          <w:p w14:paraId="289D892F" w14:textId="553D960F" w:rsidR="0096466B" w:rsidRPr="00614B09" w:rsidRDefault="0096466B" w:rsidP="00ED4312">
            <w:pPr>
              <w:spacing w:after="0" w:line="240" w:lineRule="atLeas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 xml:space="preserve">School </w:t>
            </w:r>
            <w:r w:rsidR="00C609BC">
              <w:rPr>
                <w:rFonts w:eastAsia="Segoe UI" w:cstheme="minorHAnsi"/>
                <w:b/>
                <w:bCs/>
                <w:color w:val="323E4F" w:themeColor="text2" w:themeShade="BF"/>
                <w:sz w:val="24"/>
                <w:szCs w:val="24"/>
                <w:lang w:eastAsia="en-AU"/>
              </w:rPr>
              <w:t>t</w:t>
            </w:r>
            <w:r w:rsidRPr="00614B09">
              <w:rPr>
                <w:rFonts w:eastAsia="Segoe UI" w:cstheme="minorHAnsi"/>
                <w:b/>
                <w:bCs/>
                <w:color w:val="323E4F" w:themeColor="text2" w:themeShade="BF"/>
                <w:sz w:val="24"/>
                <w:szCs w:val="24"/>
                <w:lang w:eastAsia="en-AU"/>
              </w:rPr>
              <w:t>ype</w:t>
            </w:r>
          </w:p>
        </w:tc>
        <w:tc>
          <w:tcPr>
            <w:tcW w:w="626" w:type="pct"/>
            <w:hideMark/>
          </w:tcPr>
          <w:p w14:paraId="3EA4911D" w14:textId="02F5F4C8" w:rsidR="0096466B" w:rsidRPr="00614B09" w:rsidRDefault="0096466B"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Base</w:t>
            </w:r>
            <w:r w:rsidR="00851D99">
              <w:rPr>
                <w:rFonts w:eastAsia="Segoe UI" w:cstheme="minorHAnsi"/>
                <w:b/>
                <w:bCs/>
                <w:color w:val="323E4F" w:themeColor="text2" w:themeShade="BF"/>
                <w:sz w:val="24"/>
                <w:szCs w:val="24"/>
                <w:lang w:eastAsia="en-AU"/>
              </w:rPr>
              <w:t>*</w:t>
            </w:r>
          </w:p>
        </w:tc>
        <w:tc>
          <w:tcPr>
            <w:tcW w:w="633" w:type="pct"/>
            <w:gridSpan w:val="2"/>
            <w:hideMark/>
          </w:tcPr>
          <w:p w14:paraId="4A5FD27C" w14:textId="56F22E7F" w:rsidR="0096466B" w:rsidRPr="00614B09" w:rsidRDefault="0096466B"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Per student</w:t>
            </w:r>
            <w:r w:rsidR="00851D99">
              <w:rPr>
                <w:rFonts w:eastAsia="Segoe UI" w:cstheme="minorHAnsi"/>
                <w:b/>
                <w:bCs/>
                <w:color w:val="323E4F" w:themeColor="text2" w:themeShade="BF"/>
                <w:sz w:val="24"/>
                <w:szCs w:val="24"/>
                <w:lang w:eastAsia="en-AU"/>
              </w:rPr>
              <w:t>**</w:t>
            </w:r>
          </w:p>
        </w:tc>
        <w:tc>
          <w:tcPr>
            <w:tcW w:w="560" w:type="pct"/>
            <w:hideMark/>
          </w:tcPr>
          <w:p w14:paraId="591ACDCA" w14:textId="77777777" w:rsidR="0096466B" w:rsidRPr="00614B09" w:rsidRDefault="0096466B"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Enrolment cap</w:t>
            </w:r>
          </w:p>
        </w:tc>
        <w:tc>
          <w:tcPr>
            <w:tcW w:w="1125" w:type="pct"/>
            <w:hideMark/>
          </w:tcPr>
          <w:p w14:paraId="7455AA0D" w14:textId="0897A89B" w:rsidR="0096466B" w:rsidRPr="00614B09" w:rsidRDefault="0096466B"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Total per capita</w:t>
            </w:r>
          </w:p>
        </w:tc>
        <w:tc>
          <w:tcPr>
            <w:tcW w:w="1186" w:type="pct"/>
            <w:hideMark/>
          </w:tcPr>
          <w:p w14:paraId="1569B59A" w14:textId="77777777" w:rsidR="0096466B" w:rsidRPr="00614B09" w:rsidRDefault="0096466B"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Total charge</w:t>
            </w:r>
          </w:p>
        </w:tc>
      </w:tr>
      <w:tr w:rsidR="009F0B71" w:rsidRPr="00260C1D" w14:paraId="0AD6B0A9" w14:textId="77777777" w:rsidTr="00883230">
        <w:trPr>
          <w:trHeight w:val="330"/>
        </w:trPr>
        <w:tc>
          <w:tcPr>
            <w:tcW w:w="870" w:type="pct"/>
            <w:hideMark/>
          </w:tcPr>
          <w:p w14:paraId="2EB34CF9" w14:textId="77777777" w:rsidR="009F0B71" w:rsidRPr="00260C1D" w:rsidRDefault="009F0B71" w:rsidP="009F0B71">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Primary</w:t>
            </w:r>
          </w:p>
        </w:tc>
        <w:tc>
          <w:tcPr>
            <w:tcW w:w="626" w:type="pct"/>
            <w:hideMark/>
          </w:tcPr>
          <w:p w14:paraId="2F9CBE0E" w14:textId="087447A9" w:rsidR="009F0B71" w:rsidRPr="00260C1D" w:rsidRDefault="009F0B71" w:rsidP="009F0B71">
            <w:pPr>
              <w:spacing w:after="0" w:line="360" w:lineRule="atLeast"/>
              <w:jc w:val="right"/>
              <w:rPr>
                <w:rFonts w:eastAsia="Segoe UI" w:cstheme="minorHAnsi"/>
                <w:color w:val="323E4F" w:themeColor="text2" w:themeShade="BF"/>
                <w:sz w:val="24"/>
                <w:szCs w:val="24"/>
                <w:lang w:eastAsia="en-AU"/>
              </w:rPr>
            </w:pPr>
            <w:r w:rsidRPr="00C04394">
              <w:t>$141,943</w:t>
            </w:r>
          </w:p>
        </w:tc>
        <w:tc>
          <w:tcPr>
            <w:tcW w:w="633" w:type="pct"/>
            <w:gridSpan w:val="2"/>
            <w:hideMark/>
          </w:tcPr>
          <w:p w14:paraId="2B33F182" w14:textId="6FEDC3EE" w:rsidR="009F0B71" w:rsidRPr="00260C1D" w:rsidRDefault="009F0B71" w:rsidP="009F0B71">
            <w:pPr>
              <w:spacing w:after="0" w:line="360" w:lineRule="atLeast"/>
              <w:jc w:val="right"/>
              <w:rPr>
                <w:rFonts w:eastAsia="Segoe UI" w:cstheme="minorHAnsi"/>
                <w:color w:val="323E4F" w:themeColor="text2" w:themeShade="BF"/>
                <w:sz w:val="24"/>
                <w:szCs w:val="24"/>
                <w:lang w:eastAsia="en-AU"/>
              </w:rPr>
            </w:pPr>
            <w:r w:rsidRPr="00C04394">
              <w:t>$92.62</w:t>
            </w:r>
          </w:p>
        </w:tc>
        <w:tc>
          <w:tcPr>
            <w:tcW w:w="560" w:type="pct"/>
            <w:hideMark/>
          </w:tcPr>
          <w:p w14:paraId="02C4DA94" w14:textId="598BDED9" w:rsidR="009F0B71" w:rsidRPr="00260C1D" w:rsidRDefault="009F0B71" w:rsidP="009F0B71">
            <w:pPr>
              <w:spacing w:after="0" w:line="360" w:lineRule="atLeast"/>
              <w:jc w:val="right"/>
              <w:rPr>
                <w:rFonts w:eastAsia="Segoe UI" w:cstheme="minorHAnsi"/>
                <w:color w:val="323E4F" w:themeColor="text2" w:themeShade="BF"/>
                <w:sz w:val="24"/>
                <w:szCs w:val="24"/>
                <w:lang w:eastAsia="en-AU"/>
              </w:rPr>
            </w:pPr>
            <w:r w:rsidRPr="00C04394">
              <w:t>536</w:t>
            </w:r>
          </w:p>
        </w:tc>
        <w:tc>
          <w:tcPr>
            <w:tcW w:w="1125" w:type="pct"/>
            <w:hideMark/>
          </w:tcPr>
          <w:p w14:paraId="550204C7" w14:textId="0F8281BE" w:rsidR="009F0B71" w:rsidRPr="00260C1D" w:rsidRDefault="009F0B71" w:rsidP="009F0B71">
            <w:pPr>
              <w:spacing w:after="0" w:line="360" w:lineRule="atLeast"/>
              <w:jc w:val="right"/>
              <w:rPr>
                <w:rFonts w:eastAsia="Segoe UI" w:cstheme="minorHAnsi"/>
                <w:color w:val="323E4F" w:themeColor="text2" w:themeShade="BF"/>
                <w:sz w:val="24"/>
                <w:szCs w:val="24"/>
                <w:lang w:eastAsia="en-AU"/>
              </w:rPr>
            </w:pPr>
            <w:r w:rsidRPr="00C04394">
              <w:t>$49,644.32</w:t>
            </w:r>
          </w:p>
        </w:tc>
        <w:tc>
          <w:tcPr>
            <w:tcW w:w="1186" w:type="pct"/>
            <w:hideMark/>
          </w:tcPr>
          <w:p w14:paraId="497E3C28" w14:textId="1CB8084E" w:rsidR="009F0B71" w:rsidRPr="00260C1D" w:rsidRDefault="009F0B71" w:rsidP="009F0B71">
            <w:pPr>
              <w:spacing w:after="0" w:line="360" w:lineRule="atLeast"/>
              <w:jc w:val="right"/>
              <w:rPr>
                <w:rFonts w:eastAsia="Segoe UI" w:cstheme="minorHAnsi"/>
                <w:color w:val="323E4F" w:themeColor="text2" w:themeShade="BF"/>
                <w:sz w:val="24"/>
                <w:szCs w:val="24"/>
                <w:lang w:eastAsia="en-AU"/>
              </w:rPr>
            </w:pPr>
            <w:r w:rsidRPr="00C04394">
              <w:t>$191,587.32</w:t>
            </w:r>
          </w:p>
        </w:tc>
      </w:tr>
      <w:tr w:rsidR="009F0B71" w:rsidRPr="00260C1D" w14:paraId="76CFC196" w14:textId="77777777" w:rsidTr="00883230">
        <w:trPr>
          <w:trHeight w:val="330"/>
        </w:trPr>
        <w:tc>
          <w:tcPr>
            <w:tcW w:w="870" w:type="pct"/>
            <w:hideMark/>
          </w:tcPr>
          <w:p w14:paraId="69440CF9" w14:textId="77777777" w:rsidR="009F0B71" w:rsidRPr="00260C1D" w:rsidRDefault="009F0B71" w:rsidP="009F0B71">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Secondary</w:t>
            </w:r>
          </w:p>
        </w:tc>
        <w:tc>
          <w:tcPr>
            <w:tcW w:w="626" w:type="pct"/>
            <w:hideMark/>
          </w:tcPr>
          <w:p w14:paraId="72B29488" w14:textId="5B23473D" w:rsidR="009F0B71" w:rsidRPr="00260C1D" w:rsidRDefault="009F0B71" w:rsidP="009F0B71">
            <w:pPr>
              <w:spacing w:after="0" w:line="360" w:lineRule="atLeast"/>
              <w:jc w:val="right"/>
              <w:rPr>
                <w:rFonts w:eastAsia="Segoe UI" w:cstheme="minorHAnsi"/>
                <w:color w:val="323E4F" w:themeColor="text2" w:themeShade="BF"/>
                <w:sz w:val="24"/>
                <w:szCs w:val="24"/>
                <w:lang w:eastAsia="en-AU"/>
              </w:rPr>
            </w:pPr>
            <w:r w:rsidRPr="00C04394">
              <w:t>$163,516</w:t>
            </w:r>
          </w:p>
        </w:tc>
        <w:tc>
          <w:tcPr>
            <w:tcW w:w="633" w:type="pct"/>
            <w:gridSpan w:val="2"/>
            <w:hideMark/>
          </w:tcPr>
          <w:p w14:paraId="47F90AB6" w14:textId="7370E41F" w:rsidR="009F0B71" w:rsidRPr="00260C1D" w:rsidRDefault="009F0B71" w:rsidP="009F0B71">
            <w:pPr>
              <w:spacing w:after="0" w:line="360" w:lineRule="atLeast"/>
              <w:jc w:val="right"/>
              <w:rPr>
                <w:rFonts w:eastAsia="Segoe UI" w:cstheme="minorHAnsi"/>
                <w:color w:val="323E4F" w:themeColor="text2" w:themeShade="BF"/>
                <w:sz w:val="24"/>
                <w:szCs w:val="24"/>
                <w:lang w:eastAsia="en-AU"/>
              </w:rPr>
            </w:pPr>
            <w:r w:rsidRPr="00C04394">
              <w:t>$36.70</w:t>
            </w:r>
          </w:p>
        </w:tc>
        <w:tc>
          <w:tcPr>
            <w:tcW w:w="560" w:type="pct"/>
            <w:hideMark/>
          </w:tcPr>
          <w:p w14:paraId="381CB1C6" w14:textId="7EE3C61F" w:rsidR="009F0B71" w:rsidRPr="00260C1D" w:rsidRDefault="009F0B71" w:rsidP="009F0B71">
            <w:pPr>
              <w:spacing w:after="0" w:line="360" w:lineRule="atLeast"/>
              <w:jc w:val="right"/>
              <w:rPr>
                <w:rFonts w:eastAsia="Segoe UI" w:cstheme="minorHAnsi"/>
                <w:color w:val="323E4F" w:themeColor="text2" w:themeShade="BF"/>
                <w:sz w:val="24"/>
                <w:szCs w:val="24"/>
                <w:lang w:eastAsia="en-AU"/>
              </w:rPr>
            </w:pPr>
            <w:r w:rsidRPr="00C04394">
              <w:t>1148</w:t>
            </w:r>
          </w:p>
        </w:tc>
        <w:tc>
          <w:tcPr>
            <w:tcW w:w="1125" w:type="pct"/>
            <w:hideMark/>
          </w:tcPr>
          <w:p w14:paraId="3FDCC19C" w14:textId="4CEC67DB" w:rsidR="009F0B71" w:rsidRPr="00260C1D" w:rsidRDefault="009F0B71" w:rsidP="009F0B71">
            <w:pPr>
              <w:spacing w:after="0" w:line="360" w:lineRule="atLeast"/>
              <w:jc w:val="right"/>
              <w:rPr>
                <w:rFonts w:eastAsia="Segoe UI" w:cstheme="minorHAnsi"/>
                <w:color w:val="323E4F" w:themeColor="text2" w:themeShade="BF"/>
                <w:sz w:val="24"/>
                <w:szCs w:val="24"/>
                <w:lang w:eastAsia="en-AU"/>
              </w:rPr>
            </w:pPr>
            <w:r w:rsidRPr="00C04394">
              <w:t>$42,131.60</w:t>
            </w:r>
          </w:p>
        </w:tc>
        <w:tc>
          <w:tcPr>
            <w:tcW w:w="1186" w:type="pct"/>
            <w:hideMark/>
          </w:tcPr>
          <w:p w14:paraId="12FC5EDB" w14:textId="24591A4C" w:rsidR="009F0B71" w:rsidRPr="00260C1D" w:rsidRDefault="009F0B71" w:rsidP="009F0B71">
            <w:pPr>
              <w:spacing w:after="0" w:line="360" w:lineRule="atLeast"/>
              <w:jc w:val="right"/>
              <w:rPr>
                <w:rFonts w:eastAsia="Segoe UI" w:cstheme="minorHAnsi"/>
                <w:color w:val="323E4F" w:themeColor="text2" w:themeShade="BF"/>
                <w:sz w:val="24"/>
                <w:szCs w:val="24"/>
                <w:lang w:eastAsia="en-AU"/>
              </w:rPr>
            </w:pPr>
            <w:r w:rsidRPr="00C04394">
              <w:t>$205,647.60</w:t>
            </w:r>
          </w:p>
        </w:tc>
      </w:tr>
      <w:tr w:rsidR="009F0B71" w:rsidRPr="00260C1D" w14:paraId="2E1590E8" w14:textId="77777777" w:rsidTr="00883230">
        <w:trPr>
          <w:trHeight w:val="669"/>
        </w:trPr>
        <w:tc>
          <w:tcPr>
            <w:tcW w:w="870" w:type="pct"/>
            <w:hideMark/>
          </w:tcPr>
          <w:p w14:paraId="1B428304" w14:textId="36B2B02A" w:rsidR="009F0B71" w:rsidRPr="00260C1D" w:rsidRDefault="009F0B71" w:rsidP="009F0B71">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Pri</w:t>
            </w:r>
            <w:r>
              <w:rPr>
                <w:rFonts w:eastAsia="Segoe UI" w:cstheme="minorHAnsi"/>
                <w:color w:val="323E4F" w:themeColor="text2" w:themeShade="BF"/>
                <w:sz w:val="24"/>
                <w:szCs w:val="24"/>
                <w:lang w:eastAsia="en-AU"/>
              </w:rPr>
              <w:t>mary/</w:t>
            </w:r>
            <w:r w:rsidRPr="00260C1D">
              <w:rPr>
                <w:rFonts w:eastAsia="Segoe UI" w:cstheme="minorHAnsi"/>
                <w:color w:val="323E4F" w:themeColor="text2" w:themeShade="BF"/>
                <w:sz w:val="24"/>
                <w:szCs w:val="24"/>
                <w:lang w:eastAsia="en-AU"/>
              </w:rPr>
              <w:t>Sec</w:t>
            </w:r>
            <w:r>
              <w:rPr>
                <w:rFonts w:eastAsia="Segoe UI" w:cstheme="minorHAnsi"/>
                <w:color w:val="323E4F" w:themeColor="text2" w:themeShade="BF"/>
                <w:sz w:val="24"/>
                <w:szCs w:val="24"/>
                <w:lang w:eastAsia="en-AU"/>
              </w:rPr>
              <w:t>ondary</w:t>
            </w:r>
            <w:r w:rsidRPr="00260C1D">
              <w:rPr>
                <w:rFonts w:eastAsia="Segoe UI" w:cstheme="minorHAnsi"/>
                <w:color w:val="323E4F" w:themeColor="text2" w:themeShade="BF"/>
                <w:sz w:val="24"/>
                <w:szCs w:val="24"/>
                <w:lang w:eastAsia="en-AU"/>
              </w:rPr>
              <w:t xml:space="preserve"> combined</w:t>
            </w:r>
          </w:p>
        </w:tc>
        <w:tc>
          <w:tcPr>
            <w:tcW w:w="626" w:type="pct"/>
            <w:hideMark/>
          </w:tcPr>
          <w:p w14:paraId="61A8FD1A" w14:textId="09529201" w:rsidR="009F0B71" w:rsidRPr="00260C1D" w:rsidRDefault="009F0B71" w:rsidP="009F0B71">
            <w:pPr>
              <w:spacing w:after="0" w:line="360" w:lineRule="atLeast"/>
              <w:jc w:val="right"/>
              <w:rPr>
                <w:rFonts w:eastAsia="Segoe UI" w:cstheme="minorHAnsi"/>
                <w:color w:val="323E4F" w:themeColor="text2" w:themeShade="BF"/>
                <w:sz w:val="24"/>
                <w:szCs w:val="24"/>
                <w:lang w:eastAsia="en-AU"/>
              </w:rPr>
            </w:pPr>
            <w:r w:rsidRPr="00C04394">
              <w:t>$167,942</w:t>
            </w:r>
          </w:p>
        </w:tc>
        <w:tc>
          <w:tcPr>
            <w:tcW w:w="633" w:type="pct"/>
            <w:gridSpan w:val="2"/>
            <w:hideMark/>
          </w:tcPr>
          <w:p w14:paraId="2B02C7AE" w14:textId="3FB7F346" w:rsidR="009F0B71" w:rsidRPr="00260C1D" w:rsidRDefault="009F0B71" w:rsidP="009F0B71">
            <w:pPr>
              <w:spacing w:after="0" w:line="360" w:lineRule="atLeast"/>
              <w:jc w:val="right"/>
              <w:rPr>
                <w:rFonts w:eastAsia="Segoe UI" w:cstheme="minorHAnsi"/>
                <w:color w:val="323E4F" w:themeColor="text2" w:themeShade="BF"/>
                <w:sz w:val="24"/>
                <w:szCs w:val="24"/>
                <w:lang w:eastAsia="en-AU"/>
              </w:rPr>
            </w:pPr>
            <w:r w:rsidRPr="00C04394">
              <w:t>$37.54</w:t>
            </w:r>
          </w:p>
        </w:tc>
        <w:tc>
          <w:tcPr>
            <w:tcW w:w="560" w:type="pct"/>
            <w:hideMark/>
          </w:tcPr>
          <w:p w14:paraId="24B33401" w14:textId="197DFE8F" w:rsidR="009F0B71" w:rsidRPr="00260C1D" w:rsidRDefault="009F0B71" w:rsidP="009F0B71">
            <w:pPr>
              <w:spacing w:after="0" w:line="360" w:lineRule="atLeast"/>
              <w:jc w:val="right"/>
              <w:rPr>
                <w:rFonts w:eastAsia="Segoe UI" w:cstheme="minorHAnsi"/>
                <w:color w:val="323E4F" w:themeColor="text2" w:themeShade="BF"/>
                <w:sz w:val="24"/>
                <w:szCs w:val="24"/>
                <w:lang w:eastAsia="en-AU"/>
              </w:rPr>
            </w:pPr>
            <w:r w:rsidRPr="00C04394">
              <w:t>631</w:t>
            </w:r>
          </w:p>
        </w:tc>
        <w:tc>
          <w:tcPr>
            <w:tcW w:w="1125" w:type="pct"/>
            <w:hideMark/>
          </w:tcPr>
          <w:p w14:paraId="09DEE362" w14:textId="0EFCA624" w:rsidR="009F0B71" w:rsidRPr="00260C1D" w:rsidRDefault="009F0B71" w:rsidP="009F0B71">
            <w:pPr>
              <w:spacing w:after="0" w:line="360" w:lineRule="atLeast"/>
              <w:jc w:val="right"/>
              <w:rPr>
                <w:rFonts w:eastAsia="Segoe UI" w:cstheme="minorHAnsi"/>
                <w:color w:val="323E4F" w:themeColor="text2" w:themeShade="BF"/>
                <w:sz w:val="24"/>
                <w:szCs w:val="24"/>
                <w:lang w:eastAsia="en-AU"/>
              </w:rPr>
            </w:pPr>
            <w:r w:rsidRPr="00C04394">
              <w:t>$23,687.74</w:t>
            </w:r>
          </w:p>
        </w:tc>
        <w:tc>
          <w:tcPr>
            <w:tcW w:w="1186" w:type="pct"/>
            <w:hideMark/>
          </w:tcPr>
          <w:p w14:paraId="46C5D1FC" w14:textId="0D7E612A" w:rsidR="009F0B71" w:rsidRPr="00260C1D" w:rsidRDefault="009F0B71" w:rsidP="009F0B71">
            <w:pPr>
              <w:spacing w:after="0" w:line="360" w:lineRule="atLeast"/>
              <w:jc w:val="right"/>
              <w:rPr>
                <w:rFonts w:eastAsia="Segoe UI" w:cstheme="minorHAnsi"/>
                <w:color w:val="323E4F" w:themeColor="text2" w:themeShade="BF"/>
                <w:sz w:val="24"/>
                <w:szCs w:val="24"/>
                <w:lang w:eastAsia="en-AU"/>
              </w:rPr>
            </w:pPr>
            <w:r w:rsidRPr="00C04394">
              <w:t>$191,629.74</w:t>
            </w:r>
          </w:p>
        </w:tc>
      </w:tr>
      <w:tr w:rsidR="00593ED7" w:rsidRPr="00593ED7" w14:paraId="4B328ED2" w14:textId="77777777" w:rsidTr="009B4D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7254" w:type="dxa"/>
          <w:trHeight w:val="295"/>
        </w:trPr>
        <w:tc>
          <w:tcPr>
            <w:tcW w:w="3207" w:type="dxa"/>
            <w:gridSpan w:val="3"/>
            <w:tcBorders>
              <w:top w:val="nil"/>
              <w:left w:val="nil"/>
              <w:bottom w:val="nil"/>
              <w:right w:val="nil"/>
            </w:tcBorders>
            <w:shd w:val="clear" w:color="auto" w:fill="auto"/>
            <w:noWrap/>
            <w:hideMark/>
          </w:tcPr>
          <w:p w14:paraId="2501A563" w14:textId="77777777" w:rsidR="00593ED7" w:rsidRPr="00593ED7" w:rsidRDefault="00593ED7" w:rsidP="00593ED7">
            <w:pPr>
              <w:spacing w:after="0" w:line="240" w:lineRule="auto"/>
              <w:rPr>
                <w:rFonts w:ascii="Calibri" w:eastAsia="Times New Roman" w:hAnsi="Calibri" w:cs="Calibri"/>
                <w:i/>
                <w:iCs/>
                <w:color w:val="000000"/>
                <w:sz w:val="16"/>
                <w:szCs w:val="16"/>
                <w:lang w:eastAsia="en-AU"/>
              </w:rPr>
            </w:pPr>
            <w:r w:rsidRPr="00593ED7">
              <w:rPr>
                <w:rFonts w:ascii="Calibri" w:eastAsia="Times New Roman" w:hAnsi="Calibri" w:cs="Calibri"/>
                <w:i/>
                <w:iCs/>
                <w:color w:val="000000"/>
                <w:sz w:val="16"/>
                <w:szCs w:val="16"/>
                <w:lang w:eastAsia="en-AU"/>
              </w:rPr>
              <w:t>* Rounded to the whole dollar</w:t>
            </w:r>
          </w:p>
        </w:tc>
      </w:tr>
      <w:tr w:rsidR="00593ED7" w:rsidRPr="00593ED7" w14:paraId="5EFB9EDB" w14:textId="77777777" w:rsidTr="009B4D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7254" w:type="dxa"/>
          <w:trHeight w:val="295"/>
        </w:trPr>
        <w:tc>
          <w:tcPr>
            <w:tcW w:w="3207" w:type="dxa"/>
            <w:gridSpan w:val="3"/>
            <w:tcBorders>
              <w:top w:val="nil"/>
              <w:left w:val="nil"/>
              <w:bottom w:val="nil"/>
              <w:right w:val="nil"/>
            </w:tcBorders>
            <w:shd w:val="clear" w:color="auto" w:fill="auto"/>
            <w:noWrap/>
            <w:hideMark/>
          </w:tcPr>
          <w:p w14:paraId="6D9DEF8B" w14:textId="77777777" w:rsidR="00593ED7" w:rsidRPr="00593ED7" w:rsidRDefault="00593ED7" w:rsidP="00593ED7">
            <w:pPr>
              <w:spacing w:after="0" w:line="240" w:lineRule="auto"/>
              <w:rPr>
                <w:rFonts w:ascii="Calibri" w:eastAsia="Times New Roman" w:hAnsi="Calibri" w:cs="Calibri"/>
                <w:i/>
                <w:iCs/>
                <w:color w:val="000000"/>
                <w:sz w:val="16"/>
                <w:szCs w:val="16"/>
                <w:lang w:eastAsia="en-AU"/>
              </w:rPr>
            </w:pPr>
            <w:r w:rsidRPr="00593ED7">
              <w:rPr>
                <w:rFonts w:ascii="Calibri" w:eastAsia="Times New Roman" w:hAnsi="Calibri" w:cs="Calibri"/>
                <w:i/>
                <w:iCs/>
                <w:color w:val="000000"/>
                <w:sz w:val="16"/>
                <w:szCs w:val="16"/>
                <w:lang w:eastAsia="en-AU"/>
              </w:rPr>
              <w:t>** Rounded to two decimal places</w:t>
            </w:r>
          </w:p>
        </w:tc>
      </w:tr>
    </w:tbl>
    <w:p w14:paraId="14B44818" w14:textId="77777777" w:rsidR="0096466B" w:rsidRPr="00260C1D" w:rsidRDefault="0096466B" w:rsidP="0096466B">
      <w:pPr>
        <w:rPr>
          <w:rFonts w:cstheme="minorHAnsi"/>
        </w:rPr>
      </w:pPr>
      <w:r w:rsidRPr="00260C1D">
        <w:rPr>
          <w:rFonts w:cstheme="minorHAnsi"/>
        </w:rPr>
        <w:br w:type="page"/>
      </w:r>
    </w:p>
    <w:p w14:paraId="633E892C" w14:textId="79759A30" w:rsidR="0096466B" w:rsidRPr="00260C1D" w:rsidRDefault="0096466B" w:rsidP="00532A33">
      <w:pPr>
        <w:pStyle w:val="Heading2"/>
      </w:pPr>
      <w:bookmarkStart w:id="326" w:name="_Toc141965310"/>
      <w:bookmarkStart w:id="327" w:name="_Toc145339638"/>
      <w:bookmarkStart w:id="328" w:name="_Toc153791961"/>
      <w:r w:rsidRPr="00260C1D">
        <w:lastRenderedPageBreak/>
        <w:t>Relief staffing</w:t>
      </w:r>
      <w:bookmarkEnd w:id="326"/>
      <w:bookmarkEnd w:id="327"/>
      <w:bookmarkEnd w:id="328"/>
    </w:p>
    <w:p w14:paraId="71214F9F" w14:textId="001D189F"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Funds are incorporated into the Student Resource Package (SRP) to enable schools to manage all their short and long-term relief teaching requirements.</w:t>
      </w:r>
    </w:p>
    <w:p w14:paraId="25F88385"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There are exceptions in the nominated leave items outlined below. Relief funds are incorporated throughout the SRP formulae and are not separately identified.</w:t>
      </w:r>
    </w:p>
    <w:p w14:paraId="49DA496D"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Long-term leave is defined as leave of greater than 30 consecutive school days.</w:t>
      </w:r>
    </w:p>
    <w:p w14:paraId="563FB8B5" w14:textId="77464BAC" w:rsidR="0096466B" w:rsidRPr="00260C1D" w:rsidRDefault="00F335E4"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R</w:t>
      </w:r>
      <w:r w:rsidR="0096466B" w:rsidRPr="00260C1D">
        <w:rPr>
          <w:rFonts w:eastAsia="Segoe UI" w:cstheme="minorHAnsi"/>
          <w:color w:val="011A3C"/>
          <w:sz w:val="24"/>
          <w:szCs w:val="24"/>
          <w:lang w:val="en" w:eastAsia="en-AU"/>
        </w:rPr>
        <w:t>elief planning</w:t>
      </w:r>
    </w:p>
    <w:p w14:paraId="659DD6FC" w14:textId="5ED2035D" w:rsidR="0096466B" w:rsidRPr="00260C1D" w:rsidRDefault="00F335E4"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N</w:t>
      </w:r>
      <w:r w:rsidR="0096466B" w:rsidRPr="00260C1D">
        <w:rPr>
          <w:rFonts w:eastAsia="Segoe UI" w:cstheme="minorHAnsi"/>
          <w:color w:val="011A3C"/>
          <w:sz w:val="24"/>
          <w:szCs w:val="24"/>
          <w:lang w:val="en" w:eastAsia="en-AU"/>
        </w:rPr>
        <w:t>ominated leave items</w:t>
      </w:r>
    </w:p>
    <w:p w14:paraId="734D7C94" w14:textId="39D7F501" w:rsidR="0096466B" w:rsidRPr="00260C1D" w:rsidRDefault="00F335E4"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R</w:t>
      </w:r>
      <w:r w:rsidR="0096466B" w:rsidRPr="00260C1D">
        <w:rPr>
          <w:rFonts w:eastAsia="Segoe UI" w:cstheme="minorHAnsi"/>
          <w:color w:val="011A3C"/>
          <w:sz w:val="24"/>
          <w:szCs w:val="24"/>
          <w:lang w:val="en" w:eastAsia="en-AU"/>
        </w:rPr>
        <w:t>elief funding</w:t>
      </w:r>
    </w:p>
    <w:p w14:paraId="7EB11D58"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proofErr w:type="spellStart"/>
      <w:r w:rsidRPr="00260C1D">
        <w:rPr>
          <w:rFonts w:eastAsia="Segoe UI" w:cstheme="minorHAnsi"/>
          <w:color w:val="011A3C"/>
          <w:sz w:val="24"/>
          <w:szCs w:val="24"/>
          <w:lang w:val="en" w:eastAsia="en-AU"/>
        </w:rPr>
        <w:t>Defence</w:t>
      </w:r>
      <w:proofErr w:type="spellEnd"/>
      <w:r w:rsidRPr="00260C1D">
        <w:rPr>
          <w:rFonts w:eastAsia="Segoe UI" w:cstheme="minorHAnsi"/>
          <w:color w:val="011A3C"/>
          <w:sz w:val="24"/>
          <w:szCs w:val="24"/>
          <w:lang w:val="en" w:eastAsia="en-AU"/>
        </w:rPr>
        <w:t xml:space="preserve"> Force leave</w:t>
      </w:r>
    </w:p>
    <w:p w14:paraId="6BBFA23E" w14:textId="2CDF089F" w:rsidR="0096466B" w:rsidRPr="00260C1D" w:rsidRDefault="00F335E4"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L</w:t>
      </w:r>
      <w:r w:rsidR="0096466B" w:rsidRPr="00260C1D">
        <w:rPr>
          <w:rFonts w:eastAsia="Segoe UI" w:cstheme="minorHAnsi"/>
          <w:color w:val="011A3C"/>
          <w:sz w:val="24"/>
          <w:szCs w:val="24"/>
          <w:lang w:val="en" w:eastAsia="en-AU"/>
        </w:rPr>
        <w:t>ong-term leave</w:t>
      </w:r>
    </w:p>
    <w:p w14:paraId="31C0064E" w14:textId="035A8CC3" w:rsidR="0096466B" w:rsidRPr="00260C1D" w:rsidRDefault="00F335E4"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I</w:t>
      </w:r>
      <w:r w:rsidR="0096466B" w:rsidRPr="00260C1D">
        <w:rPr>
          <w:rFonts w:eastAsia="Segoe UI" w:cstheme="minorHAnsi"/>
          <w:color w:val="011A3C"/>
          <w:sz w:val="24"/>
          <w:szCs w:val="24"/>
          <w:lang w:val="en" w:eastAsia="en-AU"/>
        </w:rPr>
        <w:t>dentification of a replacement</w:t>
      </w:r>
    </w:p>
    <w:p w14:paraId="2EBEB9D3" w14:textId="43D6D5E1" w:rsidR="0096466B" w:rsidRPr="00260C1D" w:rsidRDefault="00F335E4"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w:t>
      </w:r>
      <w:r w:rsidR="0096466B" w:rsidRPr="00260C1D">
        <w:rPr>
          <w:rFonts w:eastAsia="Segoe UI" w:cstheme="minorHAnsi"/>
          <w:color w:val="011A3C"/>
          <w:sz w:val="24"/>
          <w:szCs w:val="24"/>
          <w:lang w:val="en" w:eastAsia="en-AU"/>
        </w:rPr>
        <w:t>railing holidays</w:t>
      </w:r>
    </w:p>
    <w:p w14:paraId="65EBA52C" w14:textId="23D7E5B1" w:rsidR="0096466B" w:rsidRPr="00260C1D" w:rsidRDefault="00F335E4"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w:t>
      </w:r>
      <w:r w:rsidR="0096466B" w:rsidRPr="00260C1D">
        <w:rPr>
          <w:rFonts w:eastAsia="Segoe UI" w:cstheme="minorHAnsi"/>
          <w:color w:val="011A3C"/>
          <w:sz w:val="24"/>
          <w:szCs w:val="24"/>
          <w:lang w:val="en" w:eastAsia="en-AU"/>
        </w:rPr>
        <w:t>eaching scholarship scheme</w:t>
      </w:r>
    </w:p>
    <w:p w14:paraId="1C2C7ACE"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Relief planning</w:t>
      </w:r>
    </w:p>
    <w:p w14:paraId="716FE0F0" w14:textId="2C937FAF"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As part of the relief planning process, principals should consider the duties and expertise of all staff and allocate tasks accordingly. A re</w:t>
      </w:r>
      <w:r w:rsidR="0084460F">
        <w:rPr>
          <w:rFonts w:eastAsia="Segoe UI" w:cstheme="minorHAnsi"/>
          <w:color w:val="011A3C"/>
          <w:sz w:val="24"/>
          <w:szCs w:val="24"/>
          <w:lang w:val="en" w:eastAsia="en-AU"/>
        </w:rPr>
        <w:t>-</w:t>
      </w:r>
      <w:r w:rsidRPr="00260C1D">
        <w:rPr>
          <w:rFonts w:eastAsia="Segoe UI" w:cstheme="minorHAnsi"/>
          <w:color w:val="011A3C"/>
          <w:sz w:val="24"/>
          <w:szCs w:val="24"/>
          <w:lang w:val="en" w:eastAsia="en-AU"/>
        </w:rPr>
        <w:t>allocation of duties may be required to provide or maintain the desired curriculum or support provision in the school.</w:t>
      </w:r>
    </w:p>
    <w:p w14:paraId="6C15488D" w14:textId="319621E2"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Replacement teaching staff are to be provided only when face-to-face teaching is required and where no internal resource</w:t>
      </w:r>
      <w:r w:rsidR="0084460F">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 </w:t>
      </w:r>
      <w:r w:rsidR="0084460F">
        <w:rPr>
          <w:rFonts w:eastAsia="Segoe UI" w:cstheme="minorHAnsi"/>
          <w:color w:val="011A3C"/>
          <w:sz w:val="24"/>
          <w:szCs w:val="24"/>
          <w:lang w:val="en" w:eastAsia="en-AU"/>
        </w:rPr>
        <w:t>are</w:t>
      </w:r>
      <w:r w:rsidRPr="00260C1D">
        <w:rPr>
          <w:rFonts w:eastAsia="Segoe UI" w:cstheme="minorHAnsi"/>
          <w:color w:val="011A3C"/>
          <w:sz w:val="24"/>
          <w:szCs w:val="24"/>
          <w:lang w:val="en" w:eastAsia="en-AU"/>
        </w:rPr>
        <w:t xml:space="preserve"> available. Contingency plans should be in place to provide for </w:t>
      </w:r>
      <w:r w:rsidR="00A96E97">
        <w:rPr>
          <w:rFonts w:eastAsia="Segoe UI" w:cstheme="minorHAnsi"/>
          <w:color w:val="011A3C"/>
          <w:sz w:val="24"/>
          <w:szCs w:val="24"/>
          <w:lang w:val="en" w:eastAsia="en-AU"/>
        </w:rPr>
        <w:t xml:space="preserve">the </w:t>
      </w:r>
      <w:r w:rsidRPr="00260C1D">
        <w:rPr>
          <w:rFonts w:eastAsia="Segoe UI" w:cstheme="minorHAnsi"/>
          <w:color w:val="011A3C"/>
          <w:sz w:val="24"/>
          <w:szCs w:val="24"/>
          <w:lang w:val="en" w:eastAsia="en-AU"/>
        </w:rPr>
        <w:t>temporary re-</w:t>
      </w:r>
      <w:proofErr w:type="spellStart"/>
      <w:r w:rsidRPr="00260C1D">
        <w:rPr>
          <w:rFonts w:eastAsia="Segoe UI" w:cstheme="minorHAnsi"/>
          <w:color w:val="011A3C"/>
          <w:sz w:val="24"/>
          <w:szCs w:val="24"/>
          <w:lang w:val="en" w:eastAsia="en-AU"/>
        </w:rPr>
        <w:t>organisation</w:t>
      </w:r>
      <w:proofErr w:type="spellEnd"/>
      <w:r w:rsidRPr="00260C1D">
        <w:rPr>
          <w:rFonts w:eastAsia="Segoe UI" w:cstheme="minorHAnsi"/>
          <w:color w:val="011A3C"/>
          <w:sz w:val="24"/>
          <w:szCs w:val="24"/>
          <w:lang w:val="en" w:eastAsia="en-AU"/>
        </w:rPr>
        <w:t xml:space="preserve"> of teaching programs and extras to maintain necessary face-to-face teaching.</w:t>
      </w:r>
    </w:p>
    <w:p w14:paraId="078D42AF"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It is expected that principals will develop a school-based staff replacement plan and make adequate provision for relief costs to be met from within the total credit component of their SRP. Special support arrangements operate in respect of long-term leave via the 'Long-term Leave Support Scheme’ detailed below.</w:t>
      </w:r>
    </w:p>
    <w:p w14:paraId="5143F7FC"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Nominated leave items</w:t>
      </w:r>
    </w:p>
    <w:p w14:paraId="378D522B"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will be reimbursed for the cost of relief for the following types of leave:</w:t>
      </w:r>
    </w:p>
    <w:p w14:paraId="43960A5F" w14:textId="679EB59D" w:rsidR="0096466B" w:rsidRPr="00260C1D" w:rsidRDefault="008809CA"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L</w:t>
      </w:r>
      <w:r w:rsidR="0096466B" w:rsidRPr="00260C1D">
        <w:rPr>
          <w:rFonts w:eastAsia="Segoe UI" w:cstheme="minorHAnsi"/>
          <w:color w:val="011A3C"/>
          <w:sz w:val="24"/>
          <w:szCs w:val="24"/>
          <w:lang w:val="en" w:eastAsia="en-AU"/>
        </w:rPr>
        <w:t>ong service leave and paid parental absences, for example maternity, partner, other paid parental leave (over and under 30 days)</w:t>
      </w:r>
    </w:p>
    <w:p w14:paraId="6E18B4AD" w14:textId="4EAA320F"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Workers’ Compensation absences after the first 10 days (</w:t>
      </w:r>
      <w:proofErr w:type="spellStart"/>
      <w:r w:rsidRPr="00260C1D">
        <w:rPr>
          <w:rFonts w:eastAsia="Segoe UI" w:cstheme="minorHAnsi"/>
          <w:color w:val="011A3C"/>
          <w:sz w:val="24"/>
          <w:szCs w:val="24"/>
          <w:lang w:val="en" w:eastAsia="en-AU"/>
        </w:rPr>
        <w:t>Work</w:t>
      </w:r>
      <w:r w:rsidR="008809CA">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over</w:t>
      </w:r>
      <w:proofErr w:type="spellEnd"/>
      <w:r w:rsidRPr="00260C1D">
        <w:rPr>
          <w:rFonts w:eastAsia="Segoe UI" w:cstheme="minorHAnsi"/>
          <w:color w:val="011A3C"/>
          <w:sz w:val="24"/>
          <w:szCs w:val="24"/>
          <w:lang w:val="en" w:eastAsia="en-AU"/>
        </w:rPr>
        <w:t xml:space="preserve"> threshold)</w:t>
      </w:r>
    </w:p>
    <w:p w14:paraId="44D84CB4"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Transport Accident Commission Leave</w:t>
      </w:r>
    </w:p>
    <w:p w14:paraId="390378F9" w14:textId="724F441C" w:rsidR="0096466B" w:rsidRPr="00260C1D" w:rsidRDefault="00E20ABA"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lastRenderedPageBreak/>
        <w:t>M</w:t>
      </w:r>
      <w:r w:rsidR="0096466B" w:rsidRPr="00260C1D">
        <w:rPr>
          <w:rFonts w:eastAsia="Segoe UI" w:cstheme="minorHAnsi"/>
          <w:color w:val="011A3C"/>
          <w:sz w:val="24"/>
          <w:szCs w:val="24"/>
          <w:lang w:val="en" w:eastAsia="en-AU"/>
        </w:rPr>
        <w:t>ajor sporting competition leave</w:t>
      </w:r>
    </w:p>
    <w:p w14:paraId="5544AB4B" w14:textId="7DFA90D8"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Where leave is 30 working days or less</w:t>
      </w:r>
      <w:r w:rsidR="00E20AB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the </w:t>
      </w:r>
      <w:r w:rsidR="00E20ABA">
        <w:rPr>
          <w:rFonts w:eastAsia="Segoe UI" w:cstheme="minorHAnsi"/>
          <w:color w:val="011A3C"/>
          <w:sz w:val="24"/>
          <w:szCs w:val="24"/>
          <w:lang w:val="en" w:eastAsia="en-AU"/>
        </w:rPr>
        <w:t>department</w:t>
      </w:r>
      <w:r w:rsidRPr="00260C1D">
        <w:rPr>
          <w:rFonts w:eastAsia="Segoe UI" w:cstheme="minorHAnsi"/>
          <w:color w:val="011A3C"/>
          <w:sz w:val="24"/>
          <w:szCs w:val="24"/>
          <w:lang w:val="en" w:eastAsia="en-AU"/>
        </w:rPr>
        <w:t>’s Schools Finance and Resources Branch will approve reimbursement from contingency funds, providing that relief is required (where no internal resource</w:t>
      </w:r>
      <w:r w:rsidR="00E20ABA">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 </w:t>
      </w:r>
      <w:r w:rsidR="00E20ABA">
        <w:rPr>
          <w:rFonts w:eastAsia="Segoe UI" w:cstheme="minorHAnsi"/>
          <w:color w:val="011A3C"/>
          <w:sz w:val="24"/>
          <w:szCs w:val="24"/>
          <w:lang w:val="en" w:eastAsia="en-AU"/>
        </w:rPr>
        <w:t>are</w:t>
      </w:r>
      <w:r w:rsidRPr="00260C1D">
        <w:rPr>
          <w:rFonts w:eastAsia="Segoe UI" w:cstheme="minorHAnsi"/>
          <w:color w:val="011A3C"/>
          <w:sz w:val="24"/>
          <w:szCs w:val="24"/>
          <w:lang w:val="en" w:eastAsia="en-AU"/>
        </w:rPr>
        <w:t xml:space="preserve"> available) and is employed. For leave over 30 days, funds will be allocated to cover the range of potential replacement costs, including fixed-term appointments and higher duties.</w:t>
      </w:r>
    </w:p>
    <w:p w14:paraId="466C36FC"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Where there is insufficient overall credit surplus in the SRP to employ relief, schools must have a deficit management strategy in place to reduce the deficit and to meet relief contingencies, having a view to using both the credit and cash components of the SRP. A summary of relief fund sources is provided in the table below.</w:t>
      </w:r>
    </w:p>
    <w:p w14:paraId="40863A1D" w14:textId="1093AE26"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 replacement can be a central or local/agency employee who meets the criteria below. </w:t>
      </w:r>
      <w:r w:rsidR="0036017E">
        <w:rPr>
          <w:rFonts w:eastAsia="Segoe UI" w:cstheme="minorHAnsi"/>
          <w:color w:val="011A3C"/>
          <w:sz w:val="24"/>
          <w:szCs w:val="24"/>
          <w:lang w:val="en" w:eastAsia="en-AU"/>
        </w:rPr>
        <w:t>The r</w:t>
      </w:r>
      <w:r w:rsidRPr="00260C1D">
        <w:rPr>
          <w:rFonts w:eastAsia="Segoe UI" w:cstheme="minorHAnsi"/>
          <w:color w:val="011A3C"/>
          <w:sz w:val="24"/>
          <w:szCs w:val="24"/>
          <w:lang w:val="en" w:eastAsia="en-AU"/>
        </w:rPr>
        <w:t>eimbursement will be cash or credit depending on the type of replacement nominated by the school.  However,</w:t>
      </w:r>
      <w:r w:rsidR="00E20ABA">
        <w:rPr>
          <w:rFonts w:eastAsia="Segoe UI" w:cstheme="minorHAnsi"/>
          <w:color w:val="011A3C"/>
          <w:sz w:val="24"/>
          <w:szCs w:val="24"/>
          <w:lang w:val="en" w:eastAsia="en-AU"/>
        </w:rPr>
        <w:t xml:space="preserve"> a</w:t>
      </w:r>
      <w:r w:rsidRPr="00260C1D">
        <w:rPr>
          <w:rFonts w:eastAsia="Segoe UI" w:cstheme="minorHAnsi"/>
          <w:color w:val="011A3C"/>
          <w:sz w:val="24"/>
          <w:szCs w:val="24"/>
          <w:lang w:val="en" w:eastAsia="en-AU"/>
        </w:rPr>
        <w:t xml:space="preserve"> cash reimbursement can only be for periods up to 30 school days.</w:t>
      </w:r>
      <w:r w:rsidR="00745DC1"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Schools are required to process and submit nominated replacement details on a regular basis and need to be submitted </w:t>
      </w:r>
      <w:r w:rsidRPr="00260C1D">
        <w:rPr>
          <w:rFonts w:eastAsia="Segoe UI" w:cstheme="minorHAnsi"/>
          <w:b/>
          <w:color w:val="011A3C"/>
          <w:sz w:val="24"/>
          <w:szCs w:val="24"/>
          <w:lang w:val="en" w:eastAsia="en-AU"/>
        </w:rPr>
        <w:t>no later than by the end of the next term after the replacement took place</w:t>
      </w:r>
      <w:r w:rsidRPr="00260C1D">
        <w:rPr>
          <w:rFonts w:eastAsia="Segoe UI" w:cstheme="minorHAnsi"/>
          <w:color w:val="011A3C"/>
          <w:sz w:val="24"/>
          <w:szCs w:val="24"/>
          <w:lang w:val="en" w:eastAsia="en-AU"/>
        </w:rPr>
        <w:t>.</w:t>
      </w:r>
    </w:p>
    <w:p w14:paraId="31221154" w14:textId="0C8CAF11" w:rsidR="005A2BF2" w:rsidRPr="00260C1D" w:rsidRDefault="005A2BF2" w:rsidP="005A2BF2">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Please </w:t>
      </w:r>
      <w:r w:rsidR="0036017E">
        <w:rPr>
          <w:rFonts w:eastAsia="Segoe UI" w:cstheme="minorHAnsi"/>
          <w:color w:val="011A3C"/>
          <w:sz w:val="24"/>
          <w:szCs w:val="24"/>
          <w:lang w:val="en" w:eastAsia="en-AU"/>
        </w:rPr>
        <w:t>n</w:t>
      </w:r>
      <w:r w:rsidRPr="00260C1D">
        <w:rPr>
          <w:rFonts w:eastAsia="Segoe UI" w:cstheme="minorHAnsi"/>
          <w:color w:val="011A3C"/>
          <w:sz w:val="24"/>
          <w:szCs w:val="24"/>
          <w:lang w:val="en" w:eastAsia="en-AU"/>
        </w:rPr>
        <w:t>ote: The SRP leave reimbursement will only be provided where a teacher replaced a teacher and where an Education Support staff member replaced an Education Support staff member.</w:t>
      </w:r>
    </w:p>
    <w:p w14:paraId="787038D5" w14:textId="70A50BDB"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Cash reimbursements are subject to investigation which will be undertaken continuously throughout the year. Periodic and random checks will be made at schools to ensure the integrity of the process is maintained and schools maintain accountability for the submission process. Documentation will also be reviewed to ensure appropriate evidence is on file </w:t>
      </w:r>
      <w:r w:rsidR="00745DC1" w:rsidRPr="00260C1D">
        <w:rPr>
          <w:rFonts w:eastAsia="Segoe UI" w:cstheme="minorHAnsi"/>
          <w:color w:val="011A3C"/>
          <w:sz w:val="24"/>
          <w:szCs w:val="24"/>
          <w:lang w:val="en" w:eastAsia="en-AU"/>
        </w:rPr>
        <w:t xml:space="preserve">such as </w:t>
      </w:r>
      <w:r w:rsidRPr="00260C1D">
        <w:rPr>
          <w:rFonts w:eastAsia="Segoe UI" w:cstheme="minorHAnsi"/>
          <w:color w:val="011A3C"/>
          <w:sz w:val="24"/>
          <w:szCs w:val="24"/>
          <w:lang w:val="en" w:eastAsia="en-AU"/>
        </w:rPr>
        <w:t>time sheets and invoices.</w:t>
      </w:r>
    </w:p>
    <w:p w14:paraId="04413C78"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Relief funding</w:t>
      </w:r>
    </w:p>
    <w:p w14:paraId="55B96916"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following table </w:t>
      </w:r>
      <w:proofErr w:type="spellStart"/>
      <w:r w:rsidRPr="00260C1D">
        <w:rPr>
          <w:rFonts w:eastAsia="Segoe UI" w:cstheme="minorHAnsi"/>
          <w:color w:val="011A3C"/>
          <w:sz w:val="24"/>
          <w:szCs w:val="24"/>
          <w:lang w:val="en" w:eastAsia="en-AU"/>
        </w:rPr>
        <w:t>summarises</w:t>
      </w:r>
      <w:proofErr w:type="spellEnd"/>
      <w:r w:rsidRPr="00260C1D">
        <w:rPr>
          <w:rFonts w:eastAsia="Segoe UI" w:cstheme="minorHAnsi"/>
          <w:color w:val="011A3C"/>
          <w:sz w:val="24"/>
          <w:szCs w:val="24"/>
          <w:lang w:val="en" w:eastAsia="en-AU"/>
        </w:rPr>
        <w:t xml:space="preserve"> the funding source for each leave type for principals, teachers and education support officers: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20"/>
        <w:gridCol w:w="2163"/>
        <w:gridCol w:w="2218"/>
        <w:gridCol w:w="3555"/>
      </w:tblGrid>
      <w:tr w:rsidR="00AC2225" w:rsidRPr="00AC2225" w14:paraId="5EBD323F" w14:textId="77777777" w:rsidTr="009A1802">
        <w:trPr>
          <w:tblHeader/>
        </w:trPr>
        <w:tc>
          <w:tcPr>
            <w:tcW w:w="0" w:type="auto"/>
            <w:gridSpan w:val="4"/>
            <w:vAlign w:val="center"/>
            <w:hideMark/>
          </w:tcPr>
          <w:p w14:paraId="45015240" w14:textId="77777777" w:rsidR="0096466B" w:rsidRPr="00614B09" w:rsidRDefault="0096466B" w:rsidP="00ED4312">
            <w:pPr>
              <w:spacing w:before="100" w:beforeAutospacing="1" w:after="100" w:afterAutospacing="1" w:line="288" w:lineRule="atLeast"/>
              <w:textAlignment w:val="top"/>
              <w:outlineLvl w:val="3"/>
              <w:rPr>
                <w:rFonts w:eastAsia="Segoe UI" w:cstheme="minorHAnsi"/>
                <w:b/>
                <w:color w:val="011A3C"/>
                <w:sz w:val="24"/>
                <w:szCs w:val="24"/>
                <w:lang w:eastAsia="en-AU"/>
              </w:rPr>
            </w:pPr>
            <w:r w:rsidRPr="00614B09">
              <w:rPr>
                <w:rFonts w:eastAsia="Segoe UI" w:cstheme="minorHAnsi"/>
                <w:b/>
                <w:color w:val="011A3C"/>
                <w:sz w:val="24"/>
                <w:szCs w:val="24"/>
                <w:lang w:eastAsia="en-AU"/>
              </w:rPr>
              <w:t>Relief funding — Principals</w:t>
            </w:r>
          </w:p>
        </w:tc>
      </w:tr>
      <w:tr w:rsidR="00AC2225" w:rsidRPr="00AC2225" w14:paraId="2B6FB657" w14:textId="77777777" w:rsidTr="009A1802">
        <w:trPr>
          <w:tblHeader/>
        </w:trPr>
        <w:tc>
          <w:tcPr>
            <w:tcW w:w="0" w:type="auto"/>
            <w:hideMark/>
          </w:tcPr>
          <w:p w14:paraId="1B3D824A" w14:textId="77777777" w:rsidR="0096466B" w:rsidRPr="00614B09" w:rsidRDefault="0096466B" w:rsidP="00ED4312">
            <w:pPr>
              <w:spacing w:after="0" w:line="240" w:lineRule="atLeast"/>
              <w:rPr>
                <w:rFonts w:eastAsia="Segoe UI" w:cstheme="minorHAnsi"/>
                <w:b/>
                <w:bCs/>
                <w:color w:val="011A3C"/>
                <w:sz w:val="24"/>
                <w:szCs w:val="24"/>
                <w:lang w:eastAsia="en-AU"/>
              </w:rPr>
            </w:pPr>
            <w:r w:rsidRPr="00614B09">
              <w:rPr>
                <w:rFonts w:eastAsia="Segoe UI" w:cstheme="minorHAnsi"/>
                <w:b/>
                <w:bCs/>
                <w:color w:val="011A3C"/>
                <w:sz w:val="24"/>
                <w:szCs w:val="24"/>
                <w:lang w:eastAsia="en-AU"/>
              </w:rPr>
              <w:t>Principals</w:t>
            </w:r>
          </w:p>
        </w:tc>
        <w:tc>
          <w:tcPr>
            <w:tcW w:w="0" w:type="auto"/>
            <w:hideMark/>
          </w:tcPr>
          <w:p w14:paraId="21BC1DD6" w14:textId="77777777" w:rsidR="0096466B" w:rsidRPr="00614B09" w:rsidRDefault="0096466B" w:rsidP="00ED4312">
            <w:pPr>
              <w:spacing w:after="0" w:line="240" w:lineRule="atLeast"/>
              <w:rPr>
                <w:rFonts w:eastAsia="Segoe UI" w:cstheme="minorHAnsi"/>
                <w:b/>
                <w:bCs/>
                <w:color w:val="011A3C"/>
                <w:sz w:val="24"/>
                <w:szCs w:val="24"/>
                <w:lang w:eastAsia="en-AU"/>
              </w:rPr>
            </w:pPr>
            <w:r w:rsidRPr="00614B09">
              <w:rPr>
                <w:rFonts w:eastAsia="Segoe UI" w:cstheme="minorHAnsi"/>
                <w:b/>
                <w:bCs/>
                <w:color w:val="011A3C"/>
                <w:sz w:val="24"/>
                <w:szCs w:val="24"/>
                <w:lang w:eastAsia="en-AU"/>
              </w:rPr>
              <w:t>1-5 Days</w:t>
            </w:r>
          </w:p>
        </w:tc>
        <w:tc>
          <w:tcPr>
            <w:tcW w:w="0" w:type="auto"/>
            <w:hideMark/>
          </w:tcPr>
          <w:p w14:paraId="48D1631F" w14:textId="77777777" w:rsidR="0096466B" w:rsidRPr="00614B09" w:rsidRDefault="0096466B" w:rsidP="00ED4312">
            <w:pPr>
              <w:spacing w:after="0" w:line="240" w:lineRule="atLeast"/>
              <w:rPr>
                <w:rFonts w:eastAsia="Segoe UI" w:cstheme="minorHAnsi"/>
                <w:b/>
                <w:bCs/>
                <w:color w:val="011A3C"/>
                <w:sz w:val="24"/>
                <w:szCs w:val="24"/>
                <w:lang w:eastAsia="en-AU"/>
              </w:rPr>
            </w:pPr>
            <w:r w:rsidRPr="00614B09">
              <w:rPr>
                <w:rFonts w:eastAsia="Segoe UI" w:cstheme="minorHAnsi"/>
                <w:b/>
                <w:bCs/>
                <w:color w:val="011A3C"/>
                <w:sz w:val="24"/>
                <w:szCs w:val="24"/>
                <w:lang w:eastAsia="en-AU"/>
              </w:rPr>
              <w:t>6-30 Days</w:t>
            </w:r>
          </w:p>
        </w:tc>
        <w:tc>
          <w:tcPr>
            <w:tcW w:w="0" w:type="auto"/>
            <w:hideMark/>
          </w:tcPr>
          <w:p w14:paraId="23D487F0" w14:textId="77777777" w:rsidR="0096466B" w:rsidRPr="00614B09" w:rsidRDefault="0096466B" w:rsidP="00ED4312">
            <w:pPr>
              <w:spacing w:after="0" w:line="240" w:lineRule="atLeast"/>
              <w:rPr>
                <w:rFonts w:eastAsia="Segoe UI" w:cstheme="minorHAnsi"/>
                <w:b/>
                <w:bCs/>
                <w:color w:val="011A3C"/>
                <w:sz w:val="24"/>
                <w:szCs w:val="24"/>
                <w:lang w:eastAsia="en-AU"/>
              </w:rPr>
            </w:pPr>
            <w:r w:rsidRPr="00614B09">
              <w:rPr>
                <w:rFonts w:eastAsia="Segoe UI" w:cstheme="minorHAnsi"/>
                <w:b/>
                <w:bCs/>
                <w:color w:val="011A3C"/>
                <w:sz w:val="24"/>
                <w:szCs w:val="24"/>
                <w:lang w:eastAsia="en-AU"/>
              </w:rPr>
              <w:t>More than 30 days (31+)</w:t>
            </w:r>
          </w:p>
        </w:tc>
      </w:tr>
      <w:tr w:rsidR="00AC2225" w:rsidRPr="00AC2225" w14:paraId="28E12954" w14:textId="77777777" w:rsidTr="009A1802">
        <w:tc>
          <w:tcPr>
            <w:tcW w:w="0" w:type="auto"/>
            <w:hideMark/>
          </w:tcPr>
          <w:p w14:paraId="77B2EB43" w14:textId="77777777" w:rsidR="0096466B" w:rsidRPr="00614B09" w:rsidRDefault="0096466B" w:rsidP="00ED4312">
            <w:pPr>
              <w:spacing w:after="0"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t>Sick leave</w:t>
            </w:r>
          </w:p>
        </w:tc>
        <w:tc>
          <w:tcPr>
            <w:tcW w:w="0" w:type="auto"/>
            <w:hideMark/>
          </w:tcPr>
          <w:p w14:paraId="25F86A5E" w14:textId="77777777" w:rsidR="0096466B" w:rsidRPr="00614B09" w:rsidRDefault="0096466B" w:rsidP="00ED4312">
            <w:pPr>
              <w:spacing w:after="0"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t>No reimbursement*</w:t>
            </w:r>
          </w:p>
        </w:tc>
        <w:tc>
          <w:tcPr>
            <w:tcW w:w="0" w:type="auto"/>
            <w:hideMark/>
          </w:tcPr>
          <w:p w14:paraId="461569E5" w14:textId="77777777" w:rsidR="0096466B" w:rsidRPr="00614B09" w:rsidRDefault="0096466B" w:rsidP="00ED4312">
            <w:pPr>
              <w:spacing w:after="0"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t xml:space="preserve">For periods of more than five days, higher duties must be entered on </w:t>
            </w:r>
            <w:proofErr w:type="spellStart"/>
            <w:r w:rsidRPr="00614B09">
              <w:rPr>
                <w:rFonts w:eastAsia="Segoe UI" w:cstheme="minorHAnsi"/>
                <w:color w:val="011A3C"/>
                <w:sz w:val="24"/>
                <w:szCs w:val="24"/>
                <w:lang w:eastAsia="en-AU"/>
              </w:rPr>
              <w:t>eduPay</w:t>
            </w:r>
            <w:proofErr w:type="spellEnd"/>
            <w:r w:rsidRPr="00614B09">
              <w:rPr>
                <w:rFonts w:eastAsia="Segoe UI" w:cstheme="minorHAnsi"/>
                <w:color w:val="011A3C"/>
                <w:sz w:val="24"/>
                <w:szCs w:val="24"/>
                <w:lang w:eastAsia="en-AU"/>
              </w:rPr>
              <w:t xml:space="preserve"> for an employee paid through central payroll</w:t>
            </w:r>
          </w:p>
        </w:tc>
        <w:tc>
          <w:tcPr>
            <w:tcW w:w="0" w:type="auto"/>
            <w:hideMark/>
          </w:tcPr>
          <w:p w14:paraId="3E8C568D" w14:textId="147725E6" w:rsidR="0096466B" w:rsidRPr="00614B09" w:rsidRDefault="0096466B" w:rsidP="00ED4312">
            <w:pPr>
              <w:spacing w:after="0"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t xml:space="preserve">Leave on central payroll is automatically reimbursed to </w:t>
            </w:r>
            <w:r w:rsidR="00F75007">
              <w:rPr>
                <w:rFonts w:eastAsia="Segoe UI" w:cstheme="minorHAnsi"/>
                <w:color w:val="011A3C"/>
                <w:sz w:val="24"/>
                <w:szCs w:val="24"/>
                <w:lang w:eastAsia="en-AU"/>
              </w:rPr>
              <w:t xml:space="preserve">the </w:t>
            </w:r>
            <w:r w:rsidRPr="00614B09">
              <w:rPr>
                <w:rFonts w:eastAsia="Segoe UI" w:cstheme="minorHAnsi"/>
                <w:color w:val="011A3C"/>
                <w:sz w:val="24"/>
                <w:szCs w:val="24"/>
                <w:lang w:eastAsia="en-AU"/>
              </w:rPr>
              <w:t>SRP other than</w:t>
            </w:r>
            <w:r w:rsidR="00F75007">
              <w:rPr>
                <w:rFonts w:eastAsia="Segoe UI" w:cstheme="minorHAnsi"/>
                <w:color w:val="011A3C"/>
                <w:sz w:val="24"/>
                <w:szCs w:val="24"/>
                <w:lang w:eastAsia="en-AU"/>
              </w:rPr>
              <w:t xml:space="preserve"> for</w:t>
            </w:r>
            <w:r w:rsidRPr="00614B09">
              <w:rPr>
                <w:rFonts w:eastAsia="Segoe UI" w:cstheme="minorHAnsi"/>
                <w:color w:val="011A3C"/>
                <w:sz w:val="24"/>
                <w:szCs w:val="24"/>
                <w:lang w:eastAsia="en-AU"/>
              </w:rPr>
              <w:t xml:space="preserve"> the holiday period**. </w:t>
            </w:r>
            <w:r w:rsidR="009A1802">
              <w:rPr>
                <w:rFonts w:eastAsia="Segoe UI" w:cstheme="minorHAnsi"/>
                <w:color w:val="011A3C"/>
                <w:sz w:val="24"/>
                <w:szCs w:val="24"/>
                <w:lang w:eastAsia="en-AU"/>
              </w:rPr>
              <w:t>For any replacement of a principal position, h</w:t>
            </w:r>
            <w:r w:rsidRPr="00614B09">
              <w:rPr>
                <w:rFonts w:eastAsia="Segoe UI" w:cstheme="minorHAnsi"/>
                <w:color w:val="011A3C"/>
                <w:sz w:val="24"/>
                <w:szCs w:val="24"/>
                <w:lang w:eastAsia="en-AU"/>
              </w:rPr>
              <w:t xml:space="preserve">igher </w:t>
            </w:r>
            <w:r w:rsidR="009A1802">
              <w:rPr>
                <w:rFonts w:eastAsia="Segoe UI" w:cstheme="minorHAnsi"/>
                <w:color w:val="011A3C"/>
                <w:sz w:val="24"/>
                <w:szCs w:val="24"/>
                <w:lang w:eastAsia="en-AU"/>
              </w:rPr>
              <w:t>d</w:t>
            </w:r>
            <w:r w:rsidRPr="00614B09">
              <w:rPr>
                <w:rFonts w:eastAsia="Segoe UI" w:cstheme="minorHAnsi"/>
                <w:color w:val="011A3C"/>
                <w:sz w:val="24"/>
                <w:szCs w:val="24"/>
                <w:lang w:eastAsia="en-AU"/>
              </w:rPr>
              <w:t xml:space="preserve">uties must be entered on </w:t>
            </w:r>
            <w:proofErr w:type="spellStart"/>
            <w:r w:rsidRPr="00614B09">
              <w:rPr>
                <w:rFonts w:eastAsia="Segoe UI" w:cstheme="minorHAnsi"/>
                <w:color w:val="011A3C"/>
                <w:sz w:val="24"/>
                <w:szCs w:val="24"/>
                <w:lang w:eastAsia="en-AU"/>
              </w:rPr>
              <w:t>eduPay</w:t>
            </w:r>
            <w:proofErr w:type="spellEnd"/>
            <w:r w:rsidRPr="00614B09">
              <w:rPr>
                <w:rFonts w:eastAsia="Segoe UI" w:cstheme="minorHAnsi"/>
                <w:color w:val="011A3C"/>
                <w:sz w:val="24"/>
                <w:szCs w:val="24"/>
                <w:lang w:eastAsia="en-AU"/>
              </w:rPr>
              <w:t>. Check</w:t>
            </w:r>
            <w:r w:rsidRPr="00252650">
              <w:rPr>
                <w:rFonts w:eastAsia="Segoe UI" w:cstheme="minorHAnsi"/>
                <w:color w:val="011A3C"/>
                <w:sz w:val="24"/>
                <w:szCs w:val="24"/>
                <w:lang w:eastAsia="en-AU"/>
              </w:rPr>
              <w:t xml:space="preserve"> </w:t>
            </w:r>
            <w:hyperlink r:id="rId268" w:history="1">
              <w:r w:rsidRPr="008614E4">
                <w:rPr>
                  <w:rStyle w:val="Hyperlink"/>
                  <w:sz w:val="24"/>
                  <w:szCs w:val="24"/>
                </w:rPr>
                <w:t>Management Reports</w:t>
              </w:r>
            </w:hyperlink>
            <w:r w:rsidRPr="00252650">
              <w:rPr>
                <w:rFonts w:eastAsia="Segoe UI" w:cstheme="minorHAnsi"/>
                <w:color w:val="011A3C"/>
                <w:sz w:val="24"/>
                <w:szCs w:val="24"/>
                <w:lang w:eastAsia="en-AU"/>
              </w:rPr>
              <w:t>.</w:t>
            </w:r>
          </w:p>
        </w:tc>
      </w:tr>
      <w:tr w:rsidR="00AC2225" w:rsidRPr="00AC2225" w14:paraId="138EDF1D" w14:textId="77777777" w:rsidTr="009A1802">
        <w:tc>
          <w:tcPr>
            <w:tcW w:w="0" w:type="auto"/>
            <w:hideMark/>
          </w:tcPr>
          <w:p w14:paraId="60FB47A4" w14:textId="77777777" w:rsidR="0096466B" w:rsidRPr="00614B09" w:rsidRDefault="0096466B" w:rsidP="00ED4312">
            <w:pPr>
              <w:spacing w:after="0"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t xml:space="preserve">Nominated leave </w:t>
            </w:r>
          </w:p>
          <w:p w14:paraId="22F84D66" w14:textId="77777777" w:rsidR="0096466B" w:rsidRPr="00614B09" w:rsidRDefault="0096466B" w:rsidP="00F56244">
            <w:pPr>
              <w:numPr>
                <w:ilvl w:val="0"/>
                <w:numId w:val="21"/>
              </w:numPr>
              <w:spacing w:before="100" w:beforeAutospacing="1" w:after="100" w:afterAutospacing="1"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lastRenderedPageBreak/>
              <w:t>Long service leave</w:t>
            </w:r>
          </w:p>
          <w:p w14:paraId="2ABE0E55" w14:textId="1D86DB0E" w:rsidR="0096466B" w:rsidRPr="00614B09" w:rsidRDefault="0096466B" w:rsidP="00F56244">
            <w:pPr>
              <w:numPr>
                <w:ilvl w:val="0"/>
                <w:numId w:val="21"/>
              </w:numPr>
              <w:spacing w:before="100" w:beforeAutospacing="1" w:after="100" w:afterAutospacing="1"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t>Family</w:t>
            </w:r>
            <w:r w:rsidR="00F75007" w:rsidRPr="00260C1D">
              <w:rPr>
                <w:rFonts w:eastAsia="Segoe UI" w:cstheme="minorHAnsi"/>
                <w:color w:val="011A3C"/>
                <w:sz w:val="24"/>
                <w:szCs w:val="24"/>
                <w:lang w:val="en" w:eastAsia="en-AU"/>
              </w:rPr>
              <w:t xml:space="preserve"> – </w:t>
            </w:r>
            <w:r w:rsidRPr="00614B09">
              <w:rPr>
                <w:rFonts w:eastAsia="Segoe UI" w:cstheme="minorHAnsi"/>
                <w:color w:val="011A3C"/>
                <w:sz w:val="24"/>
                <w:szCs w:val="24"/>
                <w:lang w:eastAsia="en-AU"/>
              </w:rPr>
              <w:t>Primary Carer/Partner</w:t>
            </w:r>
            <w:r w:rsidR="00F75007" w:rsidRPr="00260C1D">
              <w:rPr>
                <w:rFonts w:eastAsia="Segoe UI" w:cstheme="minorHAnsi"/>
                <w:color w:val="011A3C"/>
                <w:sz w:val="24"/>
                <w:szCs w:val="24"/>
                <w:lang w:val="en" w:eastAsia="en-AU"/>
              </w:rPr>
              <w:t xml:space="preserve"> – </w:t>
            </w:r>
            <w:r w:rsidRPr="00614B09">
              <w:rPr>
                <w:rFonts w:eastAsia="Segoe UI" w:cstheme="minorHAnsi"/>
                <w:color w:val="011A3C"/>
                <w:sz w:val="24"/>
                <w:szCs w:val="24"/>
                <w:lang w:eastAsia="en-AU"/>
              </w:rPr>
              <w:t>Secondary Carer Leave</w:t>
            </w:r>
          </w:p>
          <w:p w14:paraId="5838A945" w14:textId="49522755" w:rsidR="0096466B" w:rsidRPr="00614B09" w:rsidRDefault="0096466B" w:rsidP="00F56244">
            <w:pPr>
              <w:numPr>
                <w:ilvl w:val="0"/>
                <w:numId w:val="21"/>
              </w:numPr>
              <w:spacing w:before="100" w:beforeAutospacing="1" w:after="100" w:afterAutospacing="1"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t>Workers’ Compensation absences after the first ten days (</w:t>
            </w:r>
            <w:proofErr w:type="spellStart"/>
            <w:r w:rsidRPr="00614B09">
              <w:rPr>
                <w:rFonts w:eastAsia="Segoe UI" w:cstheme="minorHAnsi"/>
                <w:color w:val="011A3C"/>
                <w:sz w:val="24"/>
                <w:szCs w:val="24"/>
                <w:lang w:eastAsia="en-AU"/>
              </w:rPr>
              <w:t>Work</w:t>
            </w:r>
            <w:r w:rsidR="00F75007">
              <w:rPr>
                <w:rFonts w:eastAsia="Segoe UI" w:cstheme="minorHAnsi"/>
                <w:color w:val="011A3C"/>
                <w:sz w:val="24"/>
                <w:szCs w:val="24"/>
                <w:lang w:eastAsia="en-AU"/>
              </w:rPr>
              <w:t>C</w:t>
            </w:r>
            <w:r w:rsidRPr="00614B09">
              <w:rPr>
                <w:rFonts w:eastAsia="Segoe UI" w:cstheme="minorHAnsi"/>
                <w:color w:val="011A3C"/>
                <w:sz w:val="24"/>
                <w:szCs w:val="24"/>
                <w:lang w:eastAsia="en-AU"/>
              </w:rPr>
              <w:t>over</w:t>
            </w:r>
            <w:proofErr w:type="spellEnd"/>
            <w:r w:rsidRPr="00614B09">
              <w:rPr>
                <w:rFonts w:eastAsia="Segoe UI" w:cstheme="minorHAnsi"/>
                <w:color w:val="011A3C"/>
                <w:sz w:val="24"/>
                <w:szCs w:val="24"/>
                <w:lang w:eastAsia="en-AU"/>
              </w:rPr>
              <w:t xml:space="preserve"> </w:t>
            </w:r>
            <w:r w:rsidR="00F75007">
              <w:rPr>
                <w:rFonts w:eastAsia="Segoe UI" w:cstheme="minorHAnsi"/>
                <w:color w:val="011A3C"/>
                <w:sz w:val="24"/>
                <w:szCs w:val="24"/>
                <w:lang w:eastAsia="en-AU"/>
              </w:rPr>
              <w:t>t</w:t>
            </w:r>
            <w:r w:rsidRPr="00614B09">
              <w:rPr>
                <w:rFonts w:eastAsia="Segoe UI" w:cstheme="minorHAnsi"/>
                <w:color w:val="011A3C"/>
                <w:sz w:val="24"/>
                <w:szCs w:val="24"/>
                <w:lang w:eastAsia="en-AU"/>
              </w:rPr>
              <w:t>hreshold)</w:t>
            </w:r>
          </w:p>
          <w:p w14:paraId="10C2A678" w14:textId="77777777" w:rsidR="0096466B" w:rsidRPr="00614B09" w:rsidRDefault="0096466B" w:rsidP="00F56244">
            <w:pPr>
              <w:numPr>
                <w:ilvl w:val="0"/>
                <w:numId w:val="21"/>
              </w:numPr>
              <w:spacing w:before="100" w:beforeAutospacing="1" w:after="100" w:afterAutospacing="1"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t>Transport Accident Commission Leave (after the first five days)</w:t>
            </w:r>
          </w:p>
          <w:p w14:paraId="1678FA60" w14:textId="77777777" w:rsidR="0096466B" w:rsidRPr="00614B09" w:rsidRDefault="0096466B" w:rsidP="00F56244">
            <w:pPr>
              <w:numPr>
                <w:ilvl w:val="0"/>
                <w:numId w:val="21"/>
              </w:numPr>
              <w:spacing w:before="100" w:beforeAutospacing="1" w:after="100" w:afterAutospacing="1"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t>Major sporting competition leave</w:t>
            </w:r>
          </w:p>
        </w:tc>
        <w:tc>
          <w:tcPr>
            <w:tcW w:w="0" w:type="auto"/>
            <w:hideMark/>
          </w:tcPr>
          <w:p w14:paraId="3A29F1DE" w14:textId="77777777" w:rsidR="0096466B" w:rsidRPr="00614B09" w:rsidRDefault="0096466B" w:rsidP="00ED4312">
            <w:pPr>
              <w:spacing w:after="0"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lastRenderedPageBreak/>
              <w:t xml:space="preserve">Identify replacement through the leave </w:t>
            </w:r>
            <w:r w:rsidRPr="00614B09">
              <w:rPr>
                <w:rFonts w:eastAsia="Segoe UI" w:cstheme="minorHAnsi"/>
                <w:color w:val="011A3C"/>
                <w:sz w:val="24"/>
                <w:szCs w:val="24"/>
                <w:lang w:eastAsia="en-AU"/>
              </w:rPr>
              <w:lastRenderedPageBreak/>
              <w:t xml:space="preserve">panel on the </w:t>
            </w:r>
            <w:hyperlink r:id="rId269" w:history="1">
              <w:r w:rsidRPr="008614E4">
                <w:rPr>
                  <w:rStyle w:val="Hyperlink"/>
                </w:rPr>
                <w:t>SRP Portal</w:t>
              </w:r>
            </w:hyperlink>
          </w:p>
        </w:tc>
        <w:tc>
          <w:tcPr>
            <w:tcW w:w="0" w:type="auto"/>
            <w:hideMark/>
          </w:tcPr>
          <w:p w14:paraId="7630A5F1" w14:textId="77777777" w:rsidR="0096466B" w:rsidRPr="00614B09" w:rsidRDefault="0096466B" w:rsidP="00ED4312">
            <w:pPr>
              <w:spacing w:after="0"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lastRenderedPageBreak/>
              <w:t xml:space="preserve">For periods of more than five days, higher </w:t>
            </w:r>
            <w:r w:rsidRPr="00614B09">
              <w:rPr>
                <w:rFonts w:eastAsia="Segoe UI" w:cstheme="minorHAnsi"/>
                <w:color w:val="011A3C"/>
                <w:sz w:val="24"/>
                <w:szCs w:val="24"/>
                <w:lang w:eastAsia="en-AU"/>
              </w:rPr>
              <w:lastRenderedPageBreak/>
              <w:t xml:space="preserve">duties must be entered on </w:t>
            </w:r>
            <w:proofErr w:type="spellStart"/>
            <w:r w:rsidRPr="00614B09">
              <w:rPr>
                <w:rFonts w:eastAsia="Segoe UI" w:cstheme="minorHAnsi"/>
                <w:color w:val="011A3C"/>
                <w:sz w:val="24"/>
                <w:szCs w:val="24"/>
                <w:lang w:eastAsia="en-AU"/>
              </w:rPr>
              <w:t>eduPay</w:t>
            </w:r>
            <w:proofErr w:type="spellEnd"/>
            <w:r w:rsidRPr="00614B09">
              <w:rPr>
                <w:rFonts w:eastAsia="Segoe UI" w:cstheme="minorHAnsi"/>
                <w:color w:val="011A3C"/>
                <w:sz w:val="24"/>
                <w:szCs w:val="24"/>
                <w:lang w:eastAsia="en-AU"/>
              </w:rPr>
              <w:t xml:space="preserve"> for an employee paid through central payroll</w:t>
            </w:r>
          </w:p>
        </w:tc>
        <w:tc>
          <w:tcPr>
            <w:tcW w:w="0" w:type="auto"/>
            <w:hideMark/>
          </w:tcPr>
          <w:p w14:paraId="435AF5A7" w14:textId="6FBBC456" w:rsidR="0096466B" w:rsidRPr="00614B09" w:rsidRDefault="0096466B" w:rsidP="00ED4312">
            <w:pPr>
              <w:spacing w:after="0"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lastRenderedPageBreak/>
              <w:t xml:space="preserve">Leave on central payroll is automatically reimbursed to </w:t>
            </w:r>
            <w:r w:rsidR="00F75007">
              <w:rPr>
                <w:rFonts w:eastAsia="Segoe UI" w:cstheme="minorHAnsi"/>
                <w:color w:val="011A3C"/>
                <w:sz w:val="24"/>
                <w:szCs w:val="24"/>
                <w:lang w:eastAsia="en-AU"/>
              </w:rPr>
              <w:t xml:space="preserve">the </w:t>
            </w:r>
            <w:r w:rsidRPr="00614B09">
              <w:rPr>
                <w:rFonts w:eastAsia="Segoe UI" w:cstheme="minorHAnsi"/>
                <w:color w:val="011A3C"/>
                <w:sz w:val="24"/>
                <w:szCs w:val="24"/>
                <w:lang w:eastAsia="en-AU"/>
              </w:rPr>
              <w:lastRenderedPageBreak/>
              <w:t xml:space="preserve">SRP other than </w:t>
            </w:r>
            <w:r w:rsidR="00F75007">
              <w:rPr>
                <w:rFonts w:eastAsia="Segoe UI" w:cstheme="minorHAnsi"/>
                <w:color w:val="011A3C"/>
                <w:sz w:val="24"/>
                <w:szCs w:val="24"/>
                <w:lang w:eastAsia="en-AU"/>
              </w:rPr>
              <w:t xml:space="preserve">for </w:t>
            </w:r>
            <w:r w:rsidRPr="00614B09">
              <w:rPr>
                <w:rFonts w:eastAsia="Segoe UI" w:cstheme="minorHAnsi"/>
                <w:color w:val="011A3C"/>
                <w:sz w:val="24"/>
                <w:szCs w:val="24"/>
                <w:lang w:eastAsia="en-AU"/>
              </w:rPr>
              <w:t xml:space="preserve">the holiday period**. </w:t>
            </w:r>
            <w:r w:rsidR="009A1802">
              <w:rPr>
                <w:rFonts w:eastAsia="Segoe UI" w:cstheme="minorHAnsi"/>
                <w:color w:val="011A3C"/>
                <w:sz w:val="24"/>
                <w:szCs w:val="24"/>
                <w:lang w:eastAsia="en-AU"/>
              </w:rPr>
              <w:t>For any replacement of a principal position, h</w:t>
            </w:r>
            <w:r w:rsidR="009A1802" w:rsidRPr="000844ED">
              <w:rPr>
                <w:rFonts w:eastAsia="Segoe UI" w:cstheme="minorHAnsi"/>
                <w:color w:val="011A3C"/>
                <w:sz w:val="24"/>
                <w:szCs w:val="24"/>
                <w:lang w:eastAsia="en-AU"/>
              </w:rPr>
              <w:t xml:space="preserve">igher </w:t>
            </w:r>
            <w:r w:rsidR="009A1802">
              <w:rPr>
                <w:rFonts w:eastAsia="Segoe UI" w:cstheme="minorHAnsi"/>
                <w:color w:val="011A3C"/>
                <w:sz w:val="24"/>
                <w:szCs w:val="24"/>
                <w:lang w:eastAsia="en-AU"/>
              </w:rPr>
              <w:t>d</w:t>
            </w:r>
            <w:r w:rsidR="009A1802" w:rsidRPr="000844ED">
              <w:rPr>
                <w:rFonts w:eastAsia="Segoe UI" w:cstheme="minorHAnsi"/>
                <w:color w:val="011A3C"/>
                <w:sz w:val="24"/>
                <w:szCs w:val="24"/>
                <w:lang w:eastAsia="en-AU"/>
              </w:rPr>
              <w:t xml:space="preserve">uties must be entered on </w:t>
            </w:r>
            <w:proofErr w:type="spellStart"/>
            <w:r w:rsidR="009A1802" w:rsidRPr="000844ED">
              <w:rPr>
                <w:rFonts w:eastAsia="Segoe UI" w:cstheme="minorHAnsi"/>
                <w:color w:val="011A3C"/>
                <w:sz w:val="24"/>
                <w:szCs w:val="24"/>
                <w:lang w:eastAsia="en-AU"/>
              </w:rPr>
              <w:t>eduPay</w:t>
            </w:r>
            <w:proofErr w:type="spellEnd"/>
            <w:r w:rsidR="009A1802" w:rsidRPr="000844ED">
              <w:rPr>
                <w:rFonts w:eastAsia="Segoe UI" w:cstheme="minorHAnsi"/>
                <w:color w:val="011A3C"/>
                <w:sz w:val="24"/>
                <w:szCs w:val="24"/>
                <w:lang w:eastAsia="en-AU"/>
              </w:rPr>
              <w:t xml:space="preserve">. </w:t>
            </w:r>
            <w:r w:rsidRPr="00614B09">
              <w:rPr>
                <w:rFonts w:eastAsia="Segoe UI" w:cstheme="minorHAnsi"/>
                <w:color w:val="011A3C"/>
                <w:sz w:val="24"/>
                <w:szCs w:val="24"/>
                <w:lang w:eastAsia="en-AU"/>
              </w:rPr>
              <w:t xml:space="preserve">Check </w:t>
            </w:r>
            <w:hyperlink r:id="rId270" w:history="1">
              <w:r w:rsidRPr="008614E4">
                <w:rPr>
                  <w:rStyle w:val="Hyperlink"/>
                  <w:sz w:val="24"/>
                  <w:szCs w:val="24"/>
                </w:rPr>
                <w:t>Management Reports</w:t>
              </w:r>
            </w:hyperlink>
            <w:r w:rsidRPr="00252650">
              <w:rPr>
                <w:rFonts w:eastAsia="Segoe UI" w:cstheme="minorHAnsi"/>
                <w:color w:val="011A3C"/>
                <w:sz w:val="24"/>
                <w:szCs w:val="24"/>
                <w:lang w:eastAsia="en-AU"/>
              </w:rPr>
              <w:t>.</w:t>
            </w:r>
          </w:p>
        </w:tc>
      </w:tr>
    </w:tbl>
    <w:p w14:paraId="6B120E09"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*Funding of up to 5 days already funded in SRP.</w:t>
      </w:r>
    </w:p>
    <w:p w14:paraId="2EB15972" w14:textId="47B79884"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Identify replacement through the leave portal on the SRP website to claim leave for the holiday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68"/>
        <w:gridCol w:w="1832"/>
        <w:gridCol w:w="4356"/>
      </w:tblGrid>
      <w:tr w:rsidR="00457981" w:rsidRPr="00457981" w14:paraId="61DDABE4" w14:textId="77777777" w:rsidTr="003243F4">
        <w:trPr>
          <w:tblHeader/>
        </w:trPr>
        <w:tc>
          <w:tcPr>
            <w:tcW w:w="0" w:type="auto"/>
            <w:gridSpan w:val="3"/>
            <w:vAlign w:val="center"/>
            <w:hideMark/>
          </w:tcPr>
          <w:p w14:paraId="64C12CB9" w14:textId="77777777" w:rsidR="0096466B" w:rsidRPr="00614B09" w:rsidRDefault="0096466B" w:rsidP="00ED4312">
            <w:pPr>
              <w:spacing w:before="100" w:beforeAutospacing="1" w:after="100" w:afterAutospacing="1" w:line="288" w:lineRule="atLeast"/>
              <w:textAlignment w:val="top"/>
              <w:outlineLvl w:val="3"/>
              <w:rPr>
                <w:rFonts w:eastAsia="Segoe UI" w:cstheme="minorHAnsi"/>
                <w:b/>
                <w:color w:val="011A3C"/>
                <w:sz w:val="24"/>
                <w:szCs w:val="24"/>
                <w:lang w:eastAsia="en-AU"/>
              </w:rPr>
            </w:pPr>
            <w:r w:rsidRPr="00614B09">
              <w:rPr>
                <w:rFonts w:eastAsia="Segoe UI" w:cstheme="minorHAnsi"/>
                <w:b/>
                <w:color w:val="011A3C"/>
                <w:sz w:val="24"/>
                <w:szCs w:val="24"/>
                <w:lang w:eastAsia="en-AU"/>
              </w:rPr>
              <w:t>Relief funding — Assistant Principals, Teachers, Education Support Officers, Allied Health and Victorian Public Servants</w:t>
            </w:r>
          </w:p>
        </w:tc>
      </w:tr>
      <w:tr w:rsidR="00457981" w:rsidRPr="00457981" w14:paraId="2A27D08F" w14:textId="77777777" w:rsidTr="003243F4">
        <w:trPr>
          <w:tblHeader/>
        </w:trPr>
        <w:tc>
          <w:tcPr>
            <w:tcW w:w="2041" w:type="pct"/>
            <w:hideMark/>
          </w:tcPr>
          <w:p w14:paraId="10183F3E" w14:textId="77777777" w:rsidR="0096466B" w:rsidRPr="00614B09" w:rsidRDefault="0096466B" w:rsidP="00ED4312">
            <w:pPr>
              <w:spacing w:after="0" w:line="240" w:lineRule="atLeast"/>
              <w:rPr>
                <w:rFonts w:eastAsia="Segoe UI" w:cstheme="minorHAnsi"/>
                <w:b/>
                <w:bCs/>
                <w:color w:val="011A3C"/>
                <w:sz w:val="24"/>
                <w:szCs w:val="24"/>
                <w:lang w:eastAsia="en-AU"/>
              </w:rPr>
            </w:pPr>
            <w:r w:rsidRPr="00614B09">
              <w:rPr>
                <w:rFonts w:eastAsia="Segoe UI" w:cstheme="minorHAnsi"/>
                <w:b/>
                <w:bCs/>
                <w:color w:val="011A3C"/>
                <w:sz w:val="24"/>
                <w:szCs w:val="24"/>
                <w:lang w:eastAsia="en-AU"/>
              </w:rPr>
              <w:t>Assistant Principals, Teachers, Education Support Officers, Allied Health and Victorian Public Servants</w:t>
            </w:r>
          </w:p>
        </w:tc>
        <w:tc>
          <w:tcPr>
            <w:tcW w:w="876" w:type="pct"/>
            <w:hideMark/>
          </w:tcPr>
          <w:p w14:paraId="0D3EF934" w14:textId="77777777" w:rsidR="0096466B" w:rsidRPr="00614B09" w:rsidRDefault="0096466B" w:rsidP="00ED4312">
            <w:pPr>
              <w:spacing w:after="0" w:line="240" w:lineRule="atLeast"/>
              <w:rPr>
                <w:rFonts w:eastAsia="Segoe UI" w:cstheme="minorHAnsi"/>
                <w:b/>
                <w:bCs/>
                <w:color w:val="011A3C"/>
                <w:sz w:val="24"/>
                <w:szCs w:val="24"/>
                <w:lang w:eastAsia="en-AU"/>
              </w:rPr>
            </w:pPr>
            <w:r w:rsidRPr="00614B09">
              <w:rPr>
                <w:rFonts w:eastAsia="Segoe UI" w:cstheme="minorHAnsi"/>
                <w:b/>
                <w:bCs/>
                <w:color w:val="011A3C"/>
                <w:sz w:val="24"/>
                <w:szCs w:val="24"/>
                <w:lang w:eastAsia="en-AU"/>
              </w:rPr>
              <w:t>Up to 30 days</w:t>
            </w:r>
          </w:p>
        </w:tc>
        <w:tc>
          <w:tcPr>
            <w:tcW w:w="0" w:type="auto"/>
            <w:hideMark/>
          </w:tcPr>
          <w:p w14:paraId="43EB04E6" w14:textId="77777777" w:rsidR="0096466B" w:rsidRPr="00614B09" w:rsidRDefault="0096466B" w:rsidP="00ED4312">
            <w:pPr>
              <w:spacing w:after="0" w:line="240" w:lineRule="atLeast"/>
              <w:rPr>
                <w:rFonts w:eastAsia="Segoe UI" w:cstheme="minorHAnsi"/>
                <w:b/>
                <w:bCs/>
                <w:color w:val="011A3C"/>
                <w:sz w:val="24"/>
                <w:szCs w:val="24"/>
                <w:lang w:eastAsia="en-AU"/>
              </w:rPr>
            </w:pPr>
            <w:r w:rsidRPr="00614B09">
              <w:rPr>
                <w:rFonts w:eastAsia="Segoe UI" w:cstheme="minorHAnsi"/>
                <w:b/>
                <w:bCs/>
                <w:color w:val="011A3C"/>
                <w:sz w:val="24"/>
                <w:szCs w:val="24"/>
                <w:lang w:eastAsia="en-AU"/>
              </w:rPr>
              <w:t>More than 30 days (31+)</w:t>
            </w:r>
          </w:p>
        </w:tc>
      </w:tr>
      <w:tr w:rsidR="00457981" w:rsidRPr="00457981" w14:paraId="3DF57323" w14:textId="77777777" w:rsidTr="003243F4">
        <w:tc>
          <w:tcPr>
            <w:tcW w:w="2041" w:type="pct"/>
            <w:hideMark/>
          </w:tcPr>
          <w:p w14:paraId="5478D218" w14:textId="77777777" w:rsidR="0096466B" w:rsidRPr="00614B09" w:rsidRDefault="0096466B" w:rsidP="00ED4312">
            <w:pPr>
              <w:spacing w:after="0"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t>Sick leave</w:t>
            </w:r>
          </w:p>
        </w:tc>
        <w:tc>
          <w:tcPr>
            <w:tcW w:w="876" w:type="pct"/>
            <w:hideMark/>
          </w:tcPr>
          <w:p w14:paraId="3A20BBE2" w14:textId="77777777" w:rsidR="0096466B" w:rsidRPr="00614B09" w:rsidRDefault="0096466B" w:rsidP="00ED4312">
            <w:pPr>
              <w:spacing w:after="0"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t>No reimbursement*</w:t>
            </w:r>
          </w:p>
        </w:tc>
        <w:tc>
          <w:tcPr>
            <w:tcW w:w="0" w:type="auto"/>
            <w:hideMark/>
          </w:tcPr>
          <w:p w14:paraId="14D4ACCA" w14:textId="11681CFE" w:rsidR="0096466B" w:rsidRPr="00614B09" w:rsidRDefault="0096466B" w:rsidP="003243F4">
            <w:pPr>
              <w:spacing w:after="0" w:line="240" w:lineRule="auto"/>
              <w:rPr>
                <w:rFonts w:eastAsia="Segoe UI" w:cstheme="minorHAnsi"/>
                <w:color w:val="011A3C"/>
                <w:sz w:val="24"/>
                <w:szCs w:val="24"/>
                <w:lang w:eastAsia="en-AU"/>
              </w:rPr>
            </w:pPr>
            <w:r w:rsidRPr="00614B09">
              <w:rPr>
                <w:rFonts w:eastAsia="Segoe UI" w:cstheme="minorHAnsi"/>
                <w:color w:val="011A3C"/>
                <w:sz w:val="24"/>
                <w:szCs w:val="24"/>
                <w:lang w:eastAsia="en-AU"/>
              </w:rPr>
              <w:t xml:space="preserve">Schools pay self-insurance premium under Long-term Leave Support Scheme (see below). Leave on payroll is automatically reimbursed to </w:t>
            </w:r>
            <w:r w:rsidR="008B33B9">
              <w:rPr>
                <w:rFonts w:eastAsia="Segoe UI" w:cstheme="minorHAnsi"/>
                <w:color w:val="011A3C"/>
                <w:sz w:val="24"/>
                <w:szCs w:val="24"/>
                <w:lang w:eastAsia="en-AU"/>
              </w:rPr>
              <w:t xml:space="preserve">the </w:t>
            </w:r>
            <w:r w:rsidRPr="00614B09">
              <w:rPr>
                <w:rFonts w:eastAsia="Segoe UI" w:cstheme="minorHAnsi"/>
                <w:color w:val="011A3C"/>
                <w:sz w:val="24"/>
                <w:szCs w:val="24"/>
                <w:lang w:eastAsia="en-AU"/>
              </w:rPr>
              <w:t xml:space="preserve">SRP other than </w:t>
            </w:r>
            <w:r w:rsidR="008B33B9">
              <w:rPr>
                <w:rFonts w:eastAsia="Segoe UI" w:cstheme="minorHAnsi"/>
                <w:color w:val="011A3C"/>
                <w:sz w:val="24"/>
                <w:szCs w:val="24"/>
                <w:lang w:eastAsia="en-AU"/>
              </w:rPr>
              <w:t xml:space="preserve">for </w:t>
            </w:r>
            <w:r w:rsidRPr="00614B09">
              <w:rPr>
                <w:rFonts w:eastAsia="Segoe UI" w:cstheme="minorHAnsi"/>
                <w:color w:val="011A3C"/>
                <w:sz w:val="24"/>
                <w:szCs w:val="24"/>
                <w:lang w:eastAsia="en-AU"/>
              </w:rPr>
              <w:t xml:space="preserve">the holiday period**. Leave Capping (see below) may apply. Check </w:t>
            </w:r>
            <w:hyperlink r:id="rId271" w:history="1">
              <w:r w:rsidRPr="008614E4">
                <w:rPr>
                  <w:rStyle w:val="Hyperlink"/>
                  <w:sz w:val="24"/>
                  <w:szCs w:val="24"/>
                </w:rPr>
                <w:t>Management Reports</w:t>
              </w:r>
            </w:hyperlink>
            <w:r w:rsidRPr="00252650">
              <w:rPr>
                <w:rFonts w:eastAsia="Segoe UI" w:cstheme="minorHAnsi"/>
                <w:color w:val="011A3C"/>
                <w:sz w:val="24"/>
                <w:szCs w:val="24"/>
                <w:lang w:eastAsia="en-AU"/>
              </w:rPr>
              <w:t>.</w:t>
            </w:r>
          </w:p>
        </w:tc>
      </w:tr>
      <w:tr w:rsidR="00457981" w:rsidRPr="00457981" w14:paraId="1A0FA52A" w14:textId="77777777" w:rsidTr="003243F4">
        <w:tc>
          <w:tcPr>
            <w:tcW w:w="2041" w:type="pct"/>
            <w:hideMark/>
          </w:tcPr>
          <w:p w14:paraId="0C4ED092" w14:textId="77777777" w:rsidR="0096466B" w:rsidRPr="00614B09" w:rsidRDefault="0096466B" w:rsidP="00ED4312">
            <w:pPr>
              <w:spacing w:after="0"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t xml:space="preserve">Nominated leave </w:t>
            </w:r>
          </w:p>
          <w:p w14:paraId="46A4361F" w14:textId="77777777" w:rsidR="0096466B" w:rsidRPr="00614B09" w:rsidRDefault="0096466B" w:rsidP="00F56244">
            <w:pPr>
              <w:numPr>
                <w:ilvl w:val="0"/>
                <w:numId w:val="22"/>
              </w:numPr>
              <w:spacing w:before="100" w:beforeAutospacing="1" w:after="100" w:afterAutospacing="1" w:line="240" w:lineRule="auto"/>
              <w:rPr>
                <w:rFonts w:eastAsia="Segoe UI" w:cstheme="minorHAnsi"/>
                <w:color w:val="011A3C"/>
                <w:sz w:val="24"/>
                <w:szCs w:val="24"/>
                <w:lang w:eastAsia="en-AU"/>
              </w:rPr>
            </w:pPr>
            <w:r w:rsidRPr="00614B09">
              <w:rPr>
                <w:rFonts w:eastAsia="Segoe UI" w:cstheme="minorHAnsi"/>
                <w:color w:val="011A3C"/>
                <w:sz w:val="24"/>
                <w:szCs w:val="24"/>
                <w:lang w:eastAsia="en-AU"/>
              </w:rPr>
              <w:t>Long Service Leave</w:t>
            </w:r>
          </w:p>
          <w:p w14:paraId="24BD2F3C" w14:textId="72499B29" w:rsidR="0096466B" w:rsidRPr="00614B09" w:rsidRDefault="0096466B" w:rsidP="00F56244">
            <w:pPr>
              <w:numPr>
                <w:ilvl w:val="0"/>
                <w:numId w:val="22"/>
              </w:numPr>
              <w:spacing w:before="100" w:beforeAutospacing="1" w:after="100" w:afterAutospacing="1" w:line="240" w:lineRule="auto"/>
              <w:rPr>
                <w:rFonts w:eastAsia="Segoe UI" w:cstheme="minorHAnsi"/>
                <w:color w:val="011A3C"/>
                <w:sz w:val="24"/>
                <w:szCs w:val="24"/>
                <w:lang w:eastAsia="en-AU"/>
              </w:rPr>
            </w:pPr>
            <w:r w:rsidRPr="00614B09">
              <w:rPr>
                <w:rFonts w:eastAsia="Segoe UI" w:cstheme="minorHAnsi"/>
                <w:color w:val="011A3C"/>
                <w:sz w:val="24"/>
                <w:szCs w:val="24"/>
                <w:lang w:eastAsia="en-AU"/>
              </w:rPr>
              <w:t>Family</w:t>
            </w:r>
            <w:r w:rsidR="002E5968" w:rsidRPr="00260C1D">
              <w:rPr>
                <w:rFonts w:eastAsia="Segoe UI" w:cstheme="minorHAnsi"/>
                <w:color w:val="011A3C"/>
                <w:sz w:val="24"/>
                <w:szCs w:val="24"/>
                <w:lang w:val="en" w:eastAsia="en-AU"/>
              </w:rPr>
              <w:t xml:space="preserve"> – </w:t>
            </w:r>
            <w:r w:rsidRPr="00614B09">
              <w:rPr>
                <w:rFonts w:eastAsia="Segoe UI" w:cstheme="minorHAnsi"/>
                <w:color w:val="011A3C"/>
                <w:sz w:val="24"/>
                <w:szCs w:val="24"/>
                <w:lang w:eastAsia="en-AU"/>
              </w:rPr>
              <w:t>Primary Carer/Partner</w:t>
            </w:r>
            <w:r w:rsidR="002E5968" w:rsidRPr="00260C1D">
              <w:rPr>
                <w:rFonts w:eastAsia="Segoe UI" w:cstheme="minorHAnsi"/>
                <w:color w:val="011A3C"/>
                <w:sz w:val="24"/>
                <w:szCs w:val="24"/>
                <w:lang w:val="en" w:eastAsia="en-AU"/>
              </w:rPr>
              <w:t xml:space="preserve"> – </w:t>
            </w:r>
            <w:r w:rsidRPr="00614B09">
              <w:rPr>
                <w:rFonts w:eastAsia="Segoe UI" w:cstheme="minorHAnsi"/>
                <w:color w:val="011A3C"/>
                <w:sz w:val="24"/>
                <w:szCs w:val="24"/>
                <w:lang w:eastAsia="en-AU"/>
              </w:rPr>
              <w:t>Secondary Carer Leave</w:t>
            </w:r>
          </w:p>
          <w:p w14:paraId="08C9E0D3" w14:textId="77777777" w:rsidR="0096466B" w:rsidRPr="00614B09" w:rsidRDefault="0096466B" w:rsidP="00F56244">
            <w:pPr>
              <w:numPr>
                <w:ilvl w:val="0"/>
                <w:numId w:val="22"/>
              </w:numPr>
              <w:spacing w:before="100" w:beforeAutospacing="1" w:after="100" w:afterAutospacing="1" w:line="240" w:lineRule="auto"/>
              <w:rPr>
                <w:rFonts w:eastAsia="Segoe UI" w:cstheme="minorHAnsi"/>
                <w:color w:val="011A3C"/>
                <w:sz w:val="24"/>
                <w:szCs w:val="24"/>
                <w:lang w:eastAsia="en-AU"/>
              </w:rPr>
            </w:pPr>
            <w:r w:rsidRPr="00614B09">
              <w:rPr>
                <w:rFonts w:eastAsia="Segoe UI" w:cstheme="minorHAnsi"/>
                <w:color w:val="011A3C"/>
                <w:sz w:val="24"/>
                <w:szCs w:val="24"/>
                <w:lang w:eastAsia="en-AU"/>
              </w:rPr>
              <w:lastRenderedPageBreak/>
              <w:t>Workers’ Compensation absences after the first ten days</w:t>
            </w:r>
          </w:p>
          <w:p w14:paraId="43C2B1D4" w14:textId="77777777" w:rsidR="0096466B" w:rsidRPr="00614B09" w:rsidRDefault="0096466B" w:rsidP="00F56244">
            <w:pPr>
              <w:numPr>
                <w:ilvl w:val="0"/>
                <w:numId w:val="22"/>
              </w:numPr>
              <w:spacing w:before="100" w:beforeAutospacing="1" w:after="100" w:afterAutospacing="1" w:line="240" w:lineRule="auto"/>
              <w:rPr>
                <w:rFonts w:eastAsia="Segoe UI" w:cstheme="minorHAnsi"/>
                <w:color w:val="011A3C"/>
                <w:sz w:val="24"/>
                <w:szCs w:val="24"/>
                <w:lang w:eastAsia="en-AU"/>
              </w:rPr>
            </w:pPr>
            <w:r w:rsidRPr="00614B09">
              <w:rPr>
                <w:rFonts w:eastAsia="Segoe UI" w:cstheme="minorHAnsi"/>
                <w:color w:val="011A3C"/>
                <w:sz w:val="24"/>
                <w:szCs w:val="24"/>
                <w:lang w:eastAsia="en-AU"/>
              </w:rPr>
              <w:t>Transport Accident Commission Leave (after the first five days)</w:t>
            </w:r>
          </w:p>
          <w:p w14:paraId="1F2CEE2E" w14:textId="77777777" w:rsidR="0096466B" w:rsidRPr="00614B09" w:rsidRDefault="0096466B" w:rsidP="00F56244">
            <w:pPr>
              <w:numPr>
                <w:ilvl w:val="0"/>
                <w:numId w:val="22"/>
              </w:numPr>
              <w:spacing w:before="100" w:beforeAutospacing="1" w:after="100" w:afterAutospacing="1" w:line="240" w:lineRule="auto"/>
              <w:rPr>
                <w:rFonts w:eastAsia="Segoe UI" w:cstheme="minorHAnsi"/>
                <w:color w:val="011A3C"/>
                <w:sz w:val="24"/>
                <w:szCs w:val="24"/>
                <w:lang w:eastAsia="en-AU"/>
              </w:rPr>
            </w:pPr>
            <w:r w:rsidRPr="00614B09">
              <w:rPr>
                <w:rFonts w:eastAsia="Segoe UI" w:cstheme="minorHAnsi"/>
                <w:color w:val="011A3C"/>
                <w:sz w:val="24"/>
                <w:szCs w:val="24"/>
                <w:lang w:eastAsia="en-AU"/>
              </w:rPr>
              <w:t>Major sporting competition leave</w:t>
            </w:r>
          </w:p>
        </w:tc>
        <w:tc>
          <w:tcPr>
            <w:tcW w:w="876" w:type="pct"/>
            <w:hideMark/>
          </w:tcPr>
          <w:p w14:paraId="19BA1E39" w14:textId="77777777" w:rsidR="0096466B" w:rsidRPr="00614B09" w:rsidRDefault="0096466B" w:rsidP="003243F4">
            <w:pPr>
              <w:spacing w:after="0" w:line="240" w:lineRule="auto"/>
              <w:rPr>
                <w:rFonts w:eastAsia="Segoe UI" w:cstheme="minorHAnsi"/>
                <w:color w:val="011A3C"/>
                <w:sz w:val="24"/>
                <w:szCs w:val="24"/>
                <w:lang w:eastAsia="en-AU"/>
              </w:rPr>
            </w:pPr>
            <w:r w:rsidRPr="00614B09">
              <w:rPr>
                <w:rFonts w:eastAsia="Segoe UI" w:cstheme="minorHAnsi"/>
                <w:color w:val="011A3C"/>
                <w:sz w:val="24"/>
                <w:szCs w:val="24"/>
                <w:lang w:eastAsia="en-AU"/>
              </w:rPr>
              <w:lastRenderedPageBreak/>
              <w:t>Identify replacement through the leave panel on the SRP Portal</w:t>
            </w:r>
          </w:p>
        </w:tc>
        <w:tc>
          <w:tcPr>
            <w:tcW w:w="0" w:type="auto"/>
            <w:hideMark/>
          </w:tcPr>
          <w:p w14:paraId="14263D70" w14:textId="0CD259BA" w:rsidR="0096466B" w:rsidRPr="00614B09" w:rsidRDefault="0096466B" w:rsidP="003243F4">
            <w:pPr>
              <w:spacing w:after="0" w:line="240" w:lineRule="auto"/>
              <w:rPr>
                <w:rFonts w:eastAsia="Segoe UI" w:cstheme="minorHAnsi"/>
                <w:color w:val="011A3C"/>
                <w:sz w:val="24"/>
                <w:szCs w:val="24"/>
                <w:lang w:eastAsia="en-AU"/>
              </w:rPr>
            </w:pPr>
            <w:r w:rsidRPr="00614B09">
              <w:rPr>
                <w:rFonts w:eastAsia="Segoe UI" w:cstheme="minorHAnsi"/>
                <w:color w:val="011A3C"/>
                <w:sz w:val="24"/>
                <w:szCs w:val="24"/>
                <w:lang w:eastAsia="en-AU"/>
              </w:rPr>
              <w:t xml:space="preserve">Leave on central payroll is automatically reimbursed to </w:t>
            </w:r>
            <w:r w:rsidR="002E5968">
              <w:rPr>
                <w:rFonts w:eastAsia="Segoe UI" w:cstheme="minorHAnsi"/>
                <w:color w:val="011A3C"/>
                <w:sz w:val="24"/>
                <w:szCs w:val="24"/>
                <w:lang w:eastAsia="en-AU"/>
              </w:rPr>
              <w:t xml:space="preserve">the </w:t>
            </w:r>
            <w:r w:rsidRPr="00614B09">
              <w:rPr>
                <w:rFonts w:eastAsia="Segoe UI" w:cstheme="minorHAnsi"/>
                <w:color w:val="011A3C"/>
                <w:sz w:val="24"/>
                <w:szCs w:val="24"/>
                <w:lang w:eastAsia="en-AU"/>
              </w:rPr>
              <w:t>SRP other than</w:t>
            </w:r>
            <w:r w:rsidR="00745DC1" w:rsidRPr="00614B09">
              <w:rPr>
                <w:rFonts w:eastAsia="Segoe UI" w:cstheme="minorHAnsi"/>
                <w:color w:val="011A3C"/>
                <w:sz w:val="24"/>
                <w:szCs w:val="24"/>
                <w:lang w:eastAsia="en-AU"/>
              </w:rPr>
              <w:t xml:space="preserve"> </w:t>
            </w:r>
            <w:r w:rsidR="002E5968">
              <w:rPr>
                <w:rFonts w:eastAsia="Segoe UI" w:cstheme="minorHAnsi"/>
                <w:color w:val="011A3C"/>
                <w:sz w:val="24"/>
                <w:szCs w:val="24"/>
                <w:lang w:eastAsia="en-AU"/>
              </w:rPr>
              <w:t xml:space="preserve">for </w:t>
            </w:r>
            <w:r w:rsidRPr="00614B09">
              <w:rPr>
                <w:rFonts w:eastAsia="Segoe UI" w:cstheme="minorHAnsi"/>
                <w:color w:val="011A3C"/>
                <w:sz w:val="24"/>
                <w:szCs w:val="24"/>
                <w:lang w:eastAsia="en-AU"/>
              </w:rPr>
              <w:t xml:space="preserve">the holiday period**. Leave Capping (see below) may apply. Check </w:t>
            </w:r>
            <w:hyperlink r:id="rId272" w:history="1">
              <w:r w:rsidRPr="008614E4">
                <w:rPr>
                  <w:rStyle w:val="Hyperlink"/>
                  <w:sz w:val="24"/>
                  <w:szCs w:val="24"/>
                </w:rPr>
                <w:t>Management Reports</w:t>
              </w:r>
            </w:hyperlink>
            <w:r w:rsidRPr="00252650">
              <w:rPr>
                <w:rFonts w:eastAsia="Segoe UI" w:cstheme="minorHAnsi"/>
                <w:color w:val="011A3C"/>
                <w:sz w:val="24"/>
                <w:szCs w:val="24"/>
                <w:lang w:eastAsia="en-AU"/>
              </w:rPr>
              <w:t>.</w:t>
            </w:r>
          </w:p>
        </w:tc>
      </w:tr>
      <w:tr w:rsidR="00457981" w:rsidRPr="00457981" w14:paraId="5CCE0BFC" w14:textId="77777777" w:rsidTr="003243F4">
        <w:tc>
          <w:tcPr>
            <w:tcW w:w="2041" w:type="pct"/>
            <w:hideMark/>
          </w:tcPr>
          <w:p w14:paraId="65400DED" w14:textId="77777777" w:rsidR="0096466B" w:rsidRPr="00614B09" w:rsidRDefault="0096466B" w:rsidP="00ED4312">
            <w:pPr>
              <w:spacing w:after="0"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t>Defence Force Leave</w:t>
            </w:r>
          </w:p>
        </w:tc>
        <w:tc>
          <w:tcPr>
            <w:tcW w:w="876" w:type="pct"/>
            <w:hideMark/>
          </w:tcPr>
          <w:p w14:paraId="65633CD9" w14:textId="77777777" w:rsidR="0096466B" w:rsidRPr="00614B09" w:rsidRDefault="0096466B" w:rsidP="003243F4">
            <w:pPr>
              <w:spacing w:after="0" w:line="240" w:lineRule="auto"/>
              <w:rPr>
                <w:rFonts w:eastAsia="Segoe UI" w:cstheme="minorHAnsi"/>
                <w:color w:val="011A3C"/>
                <w:sz w:val="24"/>
                <w:szCs w:val="24"/>
                <w:lang w:eastAsia="en-AU"/>
              </w:rPr>
            </w:pPr>
            <w:r w:rsidRPr="00614B09">
              <w:rPr>
                <w:rFonts w:eastAsia="Segoe UI" w:cstheme="minorHAnsi"/>
                <w:color w:val="011A3C"/>
                <w:sz w:val="24"/>
                <w:szCs w:val="24"/>
                <w:lang w:eastAsia="en-AU"/>
              </w:rPr>
              <w:t xml:space="preserve">Leave is unpaid. If charged for make-up pay, claim reimbursement via </w:t>
            </w:r>
            <w:hyperlink r:id="rId273" w:history="1">
              <w:r w:rsidRPr="008614E4">
                <w:rPr>
                  <w:rFonts w:eastAsia="Segoe UI" w:cstheme="minorHAnsi"/>
                  <w:color w:val="0563C1"/>
                  <w:sz w:val="24"/>
                  <w:szCs w:val="24"/>
                  <w:u w:val="single"/>
                  <w:lang w:eastAsia="en-AU"/>
                </w:rPr>
                <w:t>Service Desk Request</w:t>
              </w:r>
            </w:hyperlink>
          </w:p>
        </w:tc>
        <w:tc>
          <w:tcPr>
            <w:tcW w:w="0" w:type="auto"/>
            <w:hideMark/>
          </w:tcPr>
          <w:p w14:paraId="2B22456C" w14:textId="042DF0AB" w:rsidR="0096466B" w:rsidRPr="00614B09" w:rsidRDefault="0096466B" w:rsidP="003243F4">
            <w:pPr>
              <w:spacing w:after="0" w:line="240" w:lineRule="auto"/>
              <w:rPr>
                <w:rFonts w:eastAsia="Segoe UI" w:cstheme="minorHAnsi"/>
                <w:color w:val="011A3C"/>
                <w:sz w:val="24"/>
                <w:szCs w:val="24"/>
                <w:lang w:eastAsia="en-AU"/>
              </w:rPr>
            </w:pPr>
            <w:r w:rsidRPr="00614B09">
              <w:rPr>
                <w:rFonts w:eastAsia="Segoe UI" w:cstheme="minorHAnsi"/>
                <w:color w:val="011A3C"/>
                <w:sz w:val="24"/>
                <w:szCs w:val="24"/>
                <w:lang w:eastAsia="en-AU"/>
              </w:rPr>
              <w:t xml:space="preserve">Leave is unpaid. If charged for make-up pay, claim reimbursement via </w:t>
            </w:r>
            <w:hyperlink r:id="rId274" w:history="1">
              <w:r w:rsidRPr="00614B09">
                <w:rPr>
                  <w:rFonts w:eastAsia="Segoe UI" w:cstheme="minorHAnsi"/>
                  <w:color w:val="0563C1"/>
                  <w:sz w:val="24"/>
                  <w:szCs w:val="24"/>
                  <w:u w:val="single"/>
                  <w:lang w:eastAsia="en-AU"/>
                </w:rPr>
                <w:t>Service Desk Request</w:t>
              </w:r>
            </w:hyperlink>
            <w:r w:rsidR="00A72AFF" w:rsidRPr="00CE2E6D">
              <w:rPr>
                <w:rFonts w:eastAsia="Segoe UI" w:cstheme="minorHAnsi"/>
                <w:color w:val="011A3C"/>
                <w:sz w:val="24"/>
                <w:szCs w:val="24"/>
                <w:lang w:eastAsia="en-AU"/>
              </w:rPr>
              <w:t>.</w:t>
            </w:r>
          </w:p>
        </w:tc>
      </w:tr>
      <w:tr w:rsidR="00457981" w:rsidRPr="00457981" w14:paraId="06D713D8" w14:textId="77777777" w:rsidTr="003243F4">
        <w:tc>
          <w:tcPr>
            <w:tcW w:w="2041" w:type="pct"/>
            <w:hideMark/>
          </w:tcPr>
          <w:p w14:paraId="67AEB4E3" w14:textId="77777777" w:rsidR="0096466B" w:rsidRPr="00614B09" w:rsidRDefault="0096466B" w:rsidP="00ED4312">
            <w:pPr>
              <w:spacing w:after="0"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t>Annual Leave</w:t>
            </w:r>
          </w:p>
        </w:tc>
        <w:tc>
          <w:tcPr>
            <w:tcW w:w="876" w:type="pct"/>
            <w:hideMark/>
          </w:tcPr>
          <w:p w14:paraId="345E4959" w14:textId="77777777" w:rsidR="0096466B" w:rsidRPr="00614B09" w:rsidRDefault="0096466B" w:rsidP="00ED4312">
            <w:pPr>
              <w:spacing w:after="0"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t>No reimbursement*</w:t>
            </w:r>
          </w:p>
        </w:tc>
        <w:tc>
          <w:tcPr>
            <w:tcW w:w="0" w:type="auto"/>
            <w:hideMark/>
          </w:tcPr>
          <w:p w14:paraId="2030AFDA" w14:textId="77777777" w:rsidR="0096466B" w:rsidRPr="00614B09" w:rsidRDefault="0096466B" w:rsidP="00ED4312">
            <w:pPr>
              <w:spacing w:after="0"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t>No reimbursement*</w:t>
            </w:r>
          </w:p>
        </w:tc>
      </w:tr>
      <w:tr w:rsidR="00457981" w:rsidRPr="00457981" w14:paraId="2B0B7062" w14:textId="77777777" w:rsidTr="003243F4">
        <w:tc>
          <w:tcPr>
            <w:tcW w:w="2041" w:type="pct"/>
            <w:hideMark/>
          </w:tcPr>
          <w:p w14:paraId="0420EA30" w14:textId="7CC8E259" w:rsidR="0096466B" w:rsidRPr="00614B09" w:rsidRDefault="0096466B" w:rsidP="003243F4">
            <w:pPr>
              <w:spacing w:after="0" w:line="240" w:lineRule="auto"/>
              <w:rPr>
                <w:rFonts w:eastAsia="Segoe UI" w:cstheme="minorHAnsi"/>
                <w:color w:val="011A3C"/>
                <w:sz w:val="24"/>
                <w:szCs w:val="24"/>
                <w:lang w:eastAsia="en-AU"/>
              </w:rPr>
            </w:pPr>
            <w:r w:rsidRPr="00614B09">
              <w:rPr>
                <w:rFonts w:eastAsia="Segoe UI" w:cstheme="minorHAnsi"/>
                <w:color w:val="011A3C"/>
                <w:sz w:val="24"/>
                <w:szCs w:val="24"/>
                <w:lang w:eastAsia="en-AU"/>
              </w:rPr>
              <w:t>All other relief</w:t>
            </w:r>
          </w:p>
        </w:tc>
        <w:tc>
          <w:tcPr>
            <w:tcW w:w="876" w:type="pct"/>
            <w:hideMark/>
          </w:tcPr>
          <w:p w14:paraId="7DC4E70F" w14:textId="77777777" w:rsidR="0096466B" w:rsidRPr="00614B09" w:rsidRDefault="0096466B" w:rsidP="00ED4312">
            <w:pPr>
              <w:spacing w:after="0"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t>No reimbursement*</w:t>
            </w:r>
          </w:p>
        </w:tc>
        <w:tc>
          <w:tcPr>
            <w:tcW w:w="0" w:type="auto"/>
            <w:hideMark/>
          </w:tcPr>
          <w:p w14:paraId="05E1306D" w14:textId="77777777" w:rsidR="0096466B" w:rsidRPr="00614B09" w:rsidRDefault="0096466B" w:rsidP="00ED4312">
            <w:pPr>
              <w:spacing w:after="0" w:line="360" w:lineRule="atLeast"/>
              <w:rPr>
                <w:rFonts w:eastAsia="Segoe UI" w:cstheme="minorHAnsi"/>
                <w:color w:val="011A3C"/>
                <w:sz w:val="24"/>
                <w:szCs w:val="24"/>
                <w:lang w:eastAsia="en-AU"/>
              </w:rPr>
            </w:pPr>
            <w:r w:rsidRPr="00614B09">
              <w:rPr>
                <w:rFonts w:eastAsia="Segoe UI" w:cstheme="minorHAnsi"/>
                <w:color w:val="011A3C"/>
                <w:sz w:val="24"/>
                <w:szCs w:val="24"/>
                <w:lang w:eastAsia="en-AU"/>
              </w:rPr>
              <w:t>No reimbursement*</w:t>
            </w:r>
          </w:p>
        </w:tc>
      </w:tr>
    </w:tbl>
    <w:p w14:paraId="70E32E93"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*Funding of up to 30 days already funded in SRP.</w:t>
      </w:r>
    </w:p>
    <w:p w14:paraId="1913ADC3" w14:textId="41A06FDC" w:rsidR="003F6E04"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 Identify replacement through the leave portal on the SRP website to claim leave for </w:t>
      </w:r>
      <w:r w:rsidR="00745DC1" w:rsidRPr="00260C1D">
        <w:rPr>
          <w:rFonts w:eastAsia="Segoe UI" w:cstheme="minorHAnsi"/>
          <w:color w:val="011A3C"/>
          <w:sz w:val="24"/>
          <w:szCs w:val="24"/>
          <w:lang w:val="en" w:eastAsia="en-AU"/>
        </w:rPr>
        <w:t>the holiday</w:t>
      </w:r>
      <w:r w:rsidRPr="00260C1D">
        <w:rPr>
          <w:rFonts w:eastAsia="Segoe UI" w:cstheme="minorHAnsi"/>
          <w:color w:val="011A3C"/>
          <w:sz w:val="24"/>
          <w:szCs w:val="24"/>
          <w:lang w:val="en" w:eastAsia="en-AU"/>
        </w:rPr>
        <w:t xml:space="preserve"> period.</w:t>
      </w:r>
    </w:p>
    <w:p w14:paraId="54121986"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proofErr w:type="spellStart"/>
      <w:r w:rsidRPr="00260C1D">
        <w:rPr>
          <w:rFonts w:eastAsia="Segoe UI" w:cstheme="minorHAnsi"/>
          <w:b/>
          <w:color w:val="011A3C"/>
          <w:sz w:val="27"/>
          <w:szCs w:val="27"/>
          <w:lang w:val="en" w:eastAsia="en-AU"/>
        </w:rPr>
        <w:t>Defence</w:t>
      </w:r>
      <w:proofErr w:type="spellEnd"/>
      <w:r w:rsidRPr="00260C1D">
        <w:rPr>
          <w:rFonts w:eastAsia="Segoe UI" w:cstheme="minorHAnsi"/>
          <w:b/>
          <w:color w:val="011A3C"/>
          <w:sz w:val="27"/>
          <w:szCs w:val="27"/>
          <w:lang w:val="en" w:eastAsia="en-AU"/>
        </w:rPr>
        <w:t xml:space="preserve"> Force leave</w:t>
      </w:r>
    </w:p>
    <w:p w14:paraId="556A1547" w14:textId="42F02AC1"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proofErr w:type="spellStart"/>
      <w:r w:rsidRPr="00260C1D">
        <w:rPr>
          <w:rFonts w:eastAsia="Segoe UI" w:cstheme="minorHAnsi"/>
          <w:color w:val="011A3C"/>
          <w:sz w:val="24"/>
          <w:szCs w:val="24"/>
          <w:lang w:val="en" w:eastAsia="en-AU"/>
        </w:rPr>
        <w:t>Defence</w:t>
      </w:r>
      <w:proofErr w:type="spellEnd"/>
      <w:r w:rsidRPr="00260C1D">
        <w:rPr>
          <w:rFonts w:eastAsia="Segoe UI" w:cstheme="minorHAnsi"/>
          <w:color w:val="011A3C"/>
          <w:sz w:val="24"/>
          <w:szCs w:val="24"/>
          <w:lang w:val="en" w:eastAsia="en-AU"/>
        </w:rPr>
        <w:t xml:space="preserve"> Force leave is unpaid; some teachers on </w:t>
      </w:r>
      <w:proofErr w:type="spellStart"/>
      <w:r w:rsidRPr="00260C1D">
        <w:rPr>
          <w:rFonts w:eastAsia="Segoe UI" w:cstheme="minorHAnsi"/>
          <w:color w:val="011A3C"/>
          <w:sz w:val="24"/>
          <w:szCs w:val="24"/>
          <w:lang w:val="en" w:eastAsia="en-AU"/>
        </w:rPr>
        <w:t>Defence</w:t>
      </w:r>
      <w:proofErr w:type="spellEnd"/>
      <w:r w:rsidRPr="00260C1D">
        <w:rPr>
          <w:rFonts w:eastAsia="Segoe UI" w:cstheme="minorHAnsi"/>
          <w:color w:val="011A3C"/>
          <w:sz w:val="24"/>
          <w:szCs w:val="24"/>
          <w:lang w:val="en" w:eastAsia="en-AU"/>
        </w:rPr>
        <w:t xml:space="preserve"> Force leave may receive make-up pay to cover the difference between their </w:t>
      </w:r>
      <w:proofErr w:type="spellStart"/>
      <w:r w:rsidRPr="00260C1D">
        <w:rPr>
          <w:rFonts w:eastAsia="Segoe UI" w:cstheme="minorHAnsi"/>
          <w:color w:val="011A3C"/>
          <w:sz w:val="24"/>
          <w:szCs w:val="24"/>
          <w:lang w:val="en" w:eastAsia="en-AU"/>
        </w:rPr>
        <w:t>Defence</w:t>
      </w:r>
      <w:proofErr w:type="spellEnd"/>
      <w:r w:rsidRPr="00260C1D">
        <w:rPr>
          <w:rFonts w:eastAsia="Segoe UI" w:cstheme="minorHAnsi"/>
          <w:color w:val="011A3C"/>
          <w:sz w:val="24"/>
          <w:szCs w:val="24"/>
          <w:lang w:val="en" w:eastAsia="en-AU"/>
        </w:rPr>
        <w:t xml:space="preserve"> Force</w:t>
      </w:r>
      <w:r w:rsidR="00A72AFF">
        <w:rPr>
          <w:rFonts w:eastAsia="Segoe UI" w:cstheme="minorHAnsi"/>
          <w:color w:val="011A3C"/>
          <w:sz w:val="24"/>
          <w:szCs w:val="24"/>
          <w:lang w:val="en" w:eastAsia="en-AU"/>
        </w:rPr>
        <w:t xml:space="preserve"> salary</w:t>
      </w:r>
      <w:r w:rsidRPr="00260C1D">
        <w:rPr>
          <w:rFonts w:eastAsia="Segoe UI" w:cstheme="minorHAnsi"/>
          <w:color w:val="011A3C"/>
          <w:sz w:val="24"/>
          <w:szCs w:val="24"/>
          <w:lang w:val="en" w:eastAsia="en-AU"/>
        </w:rPr>
        <w:t xml:space="preserve"> and the </w:t>
      </w:r>
      <w:r w:rsidR="00A72AFF">
        <w:rPr>
          <w:rFonts w:eastAsia="Segoe UI" w:cstheme="minorHAnsi"/>
          <w:color w:val="011A3C"/>
          <w:sz w:val="24"/>
          <w:szCs w:val="24"/>
          <w:lang w:val="en" w:eastAsia="en-AU"/>
        </w:rPr>
        <w:t>d</w:t>
      </w:r>
      <w:r w:rsidRPr="00260C1D">
        <w:rPr>
          <w:rFonts w:eastAsia="Segoe UI" w:cstheme="minorHAnsi"/>
          <w:color w:val="011A3C"/>
          <w:sz w:val="24"/>
          <w:szCs w:val="24"/>
          <w:lang w:val="en" w:eastAsia="en-AU"/>
        </w:rPr>
        <w:t xml:space="preserve">epartment’s salary. Schools are to be fully reimbursed for this amount. To claim </w:t>
      </w:r>
      <w:r w:rsidR="00A72AFF">
        <w:rPr>
          <w:rFonts w:eastAsia="Segoe UI" w:cstheme="minorHAnsi"/>
          <w:color w:val="011A3C"/>
          <w:sz w:val="24"/>
          <w:szCs w:val="24"/>
          <w:lang w:val="en" w:eastAsia="en-AU"/>
        </w:rPr>
        <w:t xml:space="preserve">a </w:t>
      </w:r>
      <w:r w:rsidRPr="00260C1D">
        <w:rPr>
          <w:rFonts w:eastAsia="Segoe UI" w:cstheme="minorHAnsi"/>
          <w:color w:val="011A3C"/>
          <w:sz w:val="24"/>
          <w:szCs w:val="24"/>
          <w:lang w:val="en" w:eastAsia="en-AU"/>
        </w:rPr>
        <w:t xml:space="preserve">reimbursement, a </w:t>
      </w:r>
      <w:hyperlink r:id="rId275" w:history="1">
        <w:r w:rsidRPr="00260C1D">
          <w:rPr>
            <w:rFonts w:eastAsia="Segoe UI" w:cstheme="minorHAnsi"/>
            <w:color w:val="011A3C"/>
            <w:sz w:val="24"/>
            <w:szCs w:val="24"/>
            <w:lang w:val="en" w:eastAsia="en-AU"/>
          </w:rPr>
          <w:t>Service Desk Request</w:t>
        </w:r>
      </w:hyperlink>
      <w:r w:rsidRPr="00260C1D">
        <w:rPr>
          <w:rFonts w:eastAsia="Segoe UI" w:cstheme="minorHAnsi"/>
          <w:color w:val="011A3C"/>
          <w:sz w:val="24"/>
          <w:szCs w:val="24"/>
          <w:lang w:val="en" w:eastAsia="en-AU"/>
        </w:rPr>
        <w:t xml:space="preserve"> should be submitted to the Schools Finance and Resources Branch.</w:t>
      </w:r>
    </w:p>
    <w:p w14:paraId="3F950123" w14:textId="30845C95" w:rsidR="005833BD" w:rsidRPr="00833928" w:rsidRDefault="0096466B" w:rsidP="00833928">
      <w:pPr>
        <w:rPr>
          <w:lang w:val="en"/>
        </w:rPr>
      </w:pPr>
      <w:r w:rsidRPr="00260C1D">
        <w:rPr>
          <w:rFonts w:eastAsia="Segoe UI" w:cstheme="minorHAnsi"/>
          <w:color w:val="011A3C"/>
          <w:sz w:val="24"/>
          <w:szCs w:val="24"/>
          <w:lang w:val="en" w:eastAsia="en-AU"/>
        </w:rPr>
        <w:t xml:space="preserve">For more information on </w:t>
      </w:r>
      <w:proofErr w:type="spellStart"/>
      <w:r w:rsidRPr="00260C1D">
        <w:rPr>
          <w:rFonts w:eastAsia="Segoe UI" w:cstheme="minorHAnsi"/>
          <w:color w:val="011A3C"/>
          <w:sz w:val="24"/>
          <w:szCs w:val="24"/>
          <w:lang w:val="en" w:eastAsia="en-AU"/>
        </w:rPr>
        <w:t>Defence</w:t>
      </w:r>
      <w:proofErr w:type="spellEnd"/>
      <w:r w:rsidRPr="00260C1D">
        <w:rPr>
          <w:rFonts w:eastAsia="Segoe UI" w:cstheme="minorHAnsi"/>
          <w:color w:val="011A3C"/>
          <w:sz w:val="24"/>
          <w:szCs w:val="24"/>
          <w:lang w:val="en" w:eastAsia="en-AU"/>
        </w:rPr>
        <w:t xml:space="preserve"> Force Leave</w:t>
      </w:r>
      <w:r w:rsidR="00FC0471">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refer to </w:t>
      </w:r>
      <w:hyperlink r:id="rId276" w:history="1">
        <w:r w:rsidRPr="00260C1D">
          <w:rPr>
            <w:rFonts w:eastAsia="Segoe UI" w:cstheme="minorHAnsi"/>
            <w:color w:val="011A3C"/>
            <w:sz w:val="24"/>
            <w:szCs w:val="24"/>
            <w:lang w:val="en" w:eastAsia="en-AU"/>
          </w:rPr>
          <w:t>Leave for</w:t>
        </w:r>
        <w:r w:rsidRPr="00B148A2">
          <w:rPr>
            <w:color w:val="011A3C"/>
            <w:sz w:val="28"/>
            <w:lang w:val="en"/>
          </w:rPr>
          <w:t xml:space="preserve"> </w:t>
        </w:r>
        <w:r w:rsidRPr="00B148A2">
          <w:rPr>
            <w:rStyle w:val="Hyperlink"/>
            <w:sz w:val="24"/>
          </w:rPr>
          <w:t>Defence Reserve Service</w:t>
        </w:r>
      </w:hyperlink>
      <w:r w:rsidRPr="00260C1D">
        <w:rPr>
          <w:rFonts w:eastAsia="Segoe UI" w:cstheme="minorHAnsi"/>
          <w:color w:val="011A3C"/>
          <w:sz w:val="24"/>
          <w:szCs w:val="24"/>
          <w:lang w:val="en" w:eastAsia="en-AU"/>
        </w:rPr>
        <w:t>.</w:t>
      </w:r>
    </w:p>
    <w:p w14:paraId="7B158962" w14:textId="59C6ED93"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Long-term leave</w:t>
      </w:r>
    </w:p>
    <w:p w14:paraId="04447542"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During periods of extended paid leave for teachers, such as long service leave, there is normally an additional salary cost against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In addition to the salary of the teacher on leave, replacement costs arise from the appointment of fixed-term staff, payment of higher duties, time fraction increases or special payments.</w:t>
      </w:r>
    </w:p>
    <w:p w14:paraId="515313CE" w14:textId="12E2148C"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Funds to meet these extra costs are not included in the SRP due to the highly variable impact of extended leave on individual schools. In these instances, separate administrative arrangements are in place for funding to be provided for replacement costs when the </w:t>
      </w:r>
      <w:r w:rsidR="00745DC1" w:rsidRPr="00260C1D">
        <w:rPr>
          <w:rFonts w:eastAsia="Segoe UI" w:cstheme="minorHAnsi"/>
          <w:color w:val="011A3C"/>
          <w:sz w:val="24"/>
          <w:szCs w:val="24"/>
          <w:lang w:val="en" w:eastAsia="en-AU"/>
        </w:rPr>
        <w:t xml:space="preserve">actual </w:t>
      </w:r>
      <w:r w:rsidRPr="00260C1D">
        <w:rPr>
          <w:rFonts w:eastAsia="Segoe UI" w:cstheme="minorHAnsi"/>
          <w:color w:val="011A3C"/>
          <w:sz w:val="24"/>
          <w:szCs w:val="24"/>
          <w:lang w:val="en" w:eastAsia="en-AU"/>
        </w:rPr>
        <w:t>leave occurs.</w:t>
      </w:r>
    </w:p>
    <w:p w14:paraId="7B2BB3D4" w14:textId="3950146B"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 xml:space="preserve">For more information on </w:t>
      </w:r>
      <w:r w:rsidR="00EB23CD">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hort</w:t>
      </w:r>
      <w:r w:rsidR="0012788D">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 xml:space="preserve">erm and </w:t>
      </w:r>
      <w:r w:rsidR="00EB23CD">
        <w:rPr>
          <w:rFonts w:eastAsia="Segoe UI" w:cstheme="minorHAnsi"/>
          <w:color w:val="011A3C"/>
          <w:sz w:val="24"/>
          <w:szCs w:val="24"/>
          <w:lang w:val="en" w:eastAsia="en-AU"/>
        </w:rPr>
        <w:t>l</w:t>
      </w:r>
      <w:r w:rsidRPr="00260C1D">
        <w:rPr>
          <w:rFonts w:eastAsia="Segoe UI" w:cstheme="minorHAnsi"/>
          <w:color w:val="011A3C"/>
          <w:sz w:val="24"/>
          <w:szCs w:val="24"/>
          <w:lang w:val="en" w:eastAsia="en-AU"/>
        </w:rPr>
        <w:t>ong</w:t>
      </w:r>
      <w:r w:rsidR="0012788D">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 xml:space="preserve">erm vacancies, please refer to </w:t>
      </w:r>
      <w:hyperlink r:id="rId277" w:history="1">
        <w:r w:rsidRPr="008614E4">
          <w:rPr>
            <w:rStyle w:val="Hyperlink"/>
            <w:sz w:val="24"/>
            <w:szCs w:val="24"/>
          </w:rPr>
          <w:t>Recruitment in Schools</w:t>
        </w:r>
      </w:hyperlink>
      <w:r w:rsidRPr="00CE2E6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guidelines.</w:t>
      </w:r>
    </w:p>
    <w:p w14:paraId="569EBEBB"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Teacher relief for periods in excess of 30 working days must be through fixed-term arrangements on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If a casual relief teacher is used initially because the absence is believed to be short-term, the employment must be converted, where the teacher is absent on personal leave, to fixed-term immediately when it is </w:t>
      </w:r>
      <w:proofErr w:type="spellStart"/>
      <w:r w:rsidRPr="00260C1D">
        <w:rPr>
          <w:rFonts w:eastAsia="Segoe UI" w:cstheme="minorHAnsi"/>
          <w:color w:val="011A3C"/>
          <w:sz w:val="24"/>
          <w:szCs w:val="24"/>
          <w:lang w:val="en" w:eastAsia="en-AU"/>
        </w:rPr>
        <w:t>recognised</w:t>
      </w:r>
      <w:proofErr w:type="spellEnd"/>
      <w:r w:rsidRPr="00260C1D">
        <w:rPr>
          <w:rFonts w:eastAsia="Segoe UI" w:cstheme="minorHAnsi"/>
          <w:color w:val="011A3C"/>
          <w:sz w:val="24"/>
          <w:szCs w:val="24"/>
          <w:lang w:val="en" w:eastAsia="en-AU"/>
        </w:rPr>
        <w:t xml:space="preserve"> that the absence will extend beyond 30 days. Refer to the </w:t>
      </w:r>
      <w:hyperlink r:id="rId278" w:history="1">
        <w:r w:rsidRPr="008614E4">
          <w:rPr>
            <w:rStyle w:val="Hyperlink"/>
            <w:sz w:val="24"/>
            <w:szCs w:val="24"/>
          </w:rPr>
          <w:t>Casual Relief Teachers</w:t>
        </w:r>
      </w:hyperlink>
      <w:r w:rsidRPr="00CE2E6D">
        <w:rPr>
          <w:rFonts w:eastAsia="Segoe UI" w:cstheme="minorHAnsi"/>
          <w:color w:val="011A3C"/>
          <w:sz w:val="24"/>
          <w:szCs w:val="24"/>
          <w:lang w:val="en" w:eastAsia="en-AU"/>
        </w:rPr>
        <w:t> </w:t>
      </w:r>
      <w:r w:rsidRPr="00260C1D">
        <w:rPr>
          <w:rFonts w:eastAsia="Segoe UI" w:cstheme="minorHAnsi"/>
          <w:color w:val="011A3C"/>
          <w:sz w:val="24"/>
          <w:szCs w:val="24"/>
          <w:lang w:val="en" w:eastAsia="en-AU"/>
        </w:rPr>
        <w:t>policy.</w:t>
      </w:r>
    </w:p>
    <w:p w14:paraId="2307E95F"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following funding arrangements operate for long-term leave over 30 days, including long-service leave, paid parental absences e.g. maternity leave, partner, other paid parental, Workers’ Compensation leave, Transport Accident Commission Leave and long-term sick leave:</w:t>
      </w:r>
    </w:p>
    <w:p w14:paraId="415FD61C" w14:textId="104E724A" w:rsidR="001B3C39" w:rsidRPr="00260C1D" w:rsidRDefault="001B3C39" w:rsidP="001B3C39">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In the case of principal</w:t>
      </w:r>
      <w:r>
        <w:rPr>
          <w:rFonts w:eastAsia="Segoe UI" w:cstheme="minorHAnsi"/>
          <w:color w:val="011A3C"/>
          <w:sz w:val="24"/>
          <w:szCs w:val="24"/>
          <w:lang w:val="en" w:eastAsia="en-AU"/>
        </w:rPr>
        <w:t>s, classroom teachers</w:t>
      </w:r>
      <w:r w:rsidRPr="00260C1D">
        <w:rPr>
          <w:rFonts w:eastAsia="Segoe UI" w:cstheme="minorHAnsi"/>
          <w:color w:val="011A3C"/>
          <w:sz w:val="24"/>
          <w:szCs w:val="24"/>
          <w:lang w:val="en" w:eastAsia="en-AU"/>
        </w:rPr>
        <w:t xml:space="preserve"> and education support staff, the whole salary will be charged outside the SRP during the period of leave.</w:t>
      </w:r>
    </w:p>
    <w:p w14:paraId="2598FE17" w14:textId="442594EF"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In the case of promotion level staff, the amount charged outside the SRP will equate to a </w:t>
      </w:r>
      <w:r w:rsidR="001B5A95">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lassroom </w:t>
      </w:r>
      <w:r w:rsidR="001B5A95">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 xml:space="preserve">eacher </w:t>
      </w:r>
      <w:r w:rsidR="0077139B" w:rsidRPr="00260C1D">
        <w:rPr>
          <w:rFonts w:eastAsia="Segoe UI" w:cstheme="minorHAnsi"/>
          <w:color w:val="011A3C"/>
          <w:sz w:val="24"/>
          <w:szCs w:val="24"/>
          <w:lang w:val="en" w:eastAsia="en-AU"/>
        </w:rPr>
        <w:t>CT</w:t>
      </w:r>
      <w:r w:rsidR="0077139B">
        <w:rPr>
          <w:rFonts w:eastAsia="Segoe UI" w:cstheme="minorHAnsi"/>
          <w:color w:val="011A3C"/>
          <w:sz w:val="24"/>
          <w:szCs w:val="24"/>
          <w:lang w:val="en" w:eastAsia="en-AU"/>
        </w:rPr>
        <w:t>2</w:t>
      </w:r>
      <w:r w:rsidRPr="00260C1D">
        <w:rPr>
          <w:rFonts w:eastAsia="Segoe UI" w:cstheme="minorHAnsi"/>
          <w:color w:val="011A3C"/>
          <w:sz w:val="24"/>
          <w:szCs w:val="24"/>
          <w:lang w:val="en" w:eastAsia="en-AU"/>
        </w:rPr>
        <w:t>-</w:t>
      </w:r>
      <w:r w:rsidR="0077139B">
        <w:rPr>
          <w:rFonts w:eastAsia="Segoe UI" w:cstheme="minorHAnsi"/>
          <w:color w:val="011A3C"/>
          <w:sz w:val="24"/>
          <w:szCs w:val="24"/>
          <w:lang w:val="en" w:eastAsia="en-AU"/>
        </w:rPr>
        <w:t>6</w:t>
      </w:r>
      <w:r w:rsidR="0077139B"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plus the higher duties </w:t>
      </w:r>
      <w:r w:rsidR="0066659A">
        <w:rPr>
          <w:rFonts w:eastAsia="Segoe UI" w:cstheme="minorHAnsi"/>
          <w:color w:val="011A3C"/>
          <w:sz w:val="24"/>
          <w:szCs w:val="24"/>
          <w:lang w:val="en" w:eastAsia="en-AU"/>
        </w:rPr>
        <w:t>at the base level of the classification</w:t>
      </w:r>
      <w:r w:rsidRPr="00260C1D">
        <w:rPr>
          <w:rFonts w:eastAsia="Segoe UI" w:cstheme="minorHAnsi"/>
          <w:color w:val="011A3C"/>
          <w:sz w:val="24"/>
          <w:szCs w:val="24"/>
          <w:lang w:val="en" w:eastAsia="en-AU"/>
        </w:rPr>
        <w:t>.</w:t>
      </w:r>
    </w:p>
    <w:p w14:paraId="64043878" w14:textId="0E06F2D2" w:rsidR="005A2BF2" w:rsidRPr="00260C1D" w:rsidRDefault="005A2BF2"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salary leave loading (SLL) of the absent staff member or the replacement (smaller amount of two) will be only charged outside if the employee is on leave in the pay period SLL is paid. </w:t>
      </w:r>
    </w:p>
    <w:p w14:paraId="5121FC8F"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Under this arrangement, long-term leave will be charged outside the budget automatically when the leave occurs. The model allows budget flexibility for schools that may choose not to replace directly, who replace at lower cost, or who replace using a combination of means such as special payments and time fraction changes.</w:t>
      </w:r>
    </w:p>
    <w:p w14:paraId="485B6B58" w14:textId="6758D4E1" w:rsidR="00B70889" w:rsidRPr="009B4DE1" w:rsidRDefault="00B70889" w:rsidP="009B4DE1">
      <w:pPr>
        <w:spacing w:before="100" w:beforeAutospacing="1" w:after="100" w:afterAutospacing="1" w:line="288" w:lineRule="atLeast"/>
        <w:outlineLvl w:val="3"/>
        <w:rPr>
          <w:rFonts w:eastAsia="Segoe UI" w:cstheme="minorHAnsi"/>
          <w:color w:val="011A3C"/>
          <w:sz w:val="24"/>
          <w:szCs w:val="24"/>
        </w:rPr>
      </w:pPr>
      <w:bookmarkStart w:id="329" w:name="_Toc461461446"/>
      <w:r w:rsidRPr="009B4DE1">
        <w:rPr>
          <w:rFonts w:eastAsia="Segoe UI" w:cstheme="minorHAnsi"/>
          <w:b/>
          <w:color w:val="011A3C"/>
          <w:sz w:val="24"/>
          <w:szCs w:val="24"/>
          <w:lang w:val="en" w:eastAsia="en-AU"/>
        </w:rPr>
        <w:t>Long Term Part Time Sick Leave</w:t>
      </w:r>
      <w:bookmarkEnd w:id="329"/>
    </w:p>
    <w:p w14:paraId="7631F624" w14:textId="60711106" w:rsidR="00B70889" w:rsidRDefault="00B70889" w:rsidP="00B70889">
      <w:r w:rsidRPr="00C00087">
        <w:t>This is a special arrangement where an employee having taken a block of leave greater than 30 continuous school days is returning to school unde</w:t>
      </w:r>
      <w:r w:rsidRPr="00FE04FB">
        <w:t xml:space="preserve">r an </w:t>
      </w:r>
      <w:r>
        <w:t>agreed part time arrangement. Requests must be submitted for approval by SFRB management and must be supported by appropriate documentation.  If the submission is approved and replacements are to be placed against absences</w:t>
      </w:r>
      <w:r w:rsidR="00283214">
        <w:t>,</w:t>
      </w:r>
      <w:r>
        <w:t xml:space="preserve"> the absences must first be entered in </w:t>
      </w:r>
      <w:proofErr w:type="spellStart"/>
      <w:r>
        <w:t>eduPay</w:t>
      </w:r>
      <w:proofErr w:type="spellEnd"/>
      <w:r>
        <w:t xml:space="preserve">. Only absences entered in </w:t>
      </w:r>
      <w:proofErr w:type="spellStart"/>
      <w:r>
        <w:t>eduPay</w:t>
      </w:r>
      <w:proofErr w:type="spellEnd"/>
      <w:r>
        <w:t xml:space="preserve"> will be displayed in the leave portal.</w:t>
      </w:r>
    </w:p>
    <w:p w14:paraId="1FE2DD15" w14:textId="4371D5EA"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Long</w:t>
      </w:r>
      <w:r w:rsidR="001B66C9">
        <w:rPr>
          <w:rFonts w:eastAsia="Segoe UI" w:cstheme="minorHAnsi"/>
          <w:b/>
          <w:color w:val="011A3C"/>
          <w:sz w:val="24"/>
          <w:szCs w:val="24"/>
          <w:lang w:val="en" w:eastAsia="en-AU"/>
        </w:rPr>
        <w:t>-</w:t>
      </w:r>
      <w:r w:rsidRPr="00260C1D">
        <w:rPr>
          <w:rFonts w:eastAsia="Segoe UI" w:cstheme="minorHAnsi"/>
          <w:b/>
          <w:color w:val="011A3C"/>
          <w:sz w:val="24"/>
          <w:szCs w:val="24"/>
          <w:lang w:val="en" w:eastAsia="en-AU"/>
        </w:rPr>
        <w:t>term leave support scheme premium</w:t>
      </w:r>
    </w:p>
    <w:p w14:paraId="5D482E04" w14:textId="5CA836F1"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 long-term leave support scheme operates to support schools in the management of leave costs for both teachers and </w:t>
      </w:r>
      <w:r w:rsidR="00D05FEB">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 xml:space="preserve">ducation </w:t>
      </w:r>
      <w:r w:rsidR="00D05FEB">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upport </w:t>
      </w:r>
      <w:r w:rsidR="00D05FEB">
        <w:rPr>
          <w:rFonts w:eastAsia="Segoe UI" w:cstheme="minorHAnsi"/>
          <w:color w:val="011A3C"/>
          <w:sz w:val="24"/>
          <w:szCs w:val="24"/>
          <w:lang w:val="en" w:eastAsia="en-AU"/>
        </w:rPr>
        <w:t>s</w:t>
      </w:r>
      <w:r w:rsidR="000540F3">
        <w:rPr>
          <w:rFonts w:eastAsia="Segoe UI" w:cstheme="minorHAnsi"/>
          <w:color w:val="011A3C"/>
          <w:sz w:val="24"/>
          <w:szCs w:val="24"/>
          <w:lang w:val="en" w:eastAsia="en-AU"/>
        </w:rPr>
        <w:t>taff</w:t>
      </w:r>
      <w:r w:rsidRPr="00260C1D">
        <w:rPr>
          <w:rFonts w:eastAsia="Segoe UI" w:cstheme="minorHAnsi"/>
          <w:color w:val="011A3C"/>
          <w:sz w:val="24"/>
          <w:szCs w:val="24"/>
          <w:lang w:val="en" w:eastAsia="en-AU"/>
        </w:rPr>
        <w:t xml:space="preserve">. The scheme effectively provides for schools to contribute a fixed annual premium towards the state-wide cost, rather than deal individually with potentially significant unplanned leave costs. The annual premium is displayed as a deduction in the cash section of a school’s </w:t>
      </w:r>
      <w:hyperlink r:id="rId279" w:history="1">
        <w:r w:rsidRPr="00260C1D">
          <w:rPr>
            <w:rFonts w:eastAsia="Segoe UI" w:cstheme="minorHAnsi"/>
            <w:color w:val="011A3C"/>
            <w:sz w:val="24"/>
            <w:szCs w:val="24"/>
            <w:lang w:val="en" w:eastAsia="en-AU"/>
          </w:rPr>
          <w:t>SRP management report</w:t>
        </w:r>
      </w:hyperlink>
      <w:r w:rsidRPr="00260C1D">
        <w:rPr>
          <w:rFonts w:eastAsia="Segoe UI" w:cstheme="minorHAnsi"/>
          <w:color w:val="011A3C"/>
          <w:sz w:val="24"/>
          <w:szCs w:val="24"/>
          <w:lang w:val="en" w:eastAsia="en-AU"/>
        </w:rPr>
        <w:t>.</w:t>
      </w:r>
    </w:p>
    <w:p w14:paraId="351A42EB" w14:textId="3BF36B5D" w:rsidR="0096466B" w:rsidRPr="00260C1D" w:rsidRDefault="0096466B" w:rsidP="0096466B">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 xml:space="preserve">Long term leave support scheme rates </w:t>
      </w:r>
      <w:r w:rsidR="00DF7122" w:rsidRPr="00260C1D">
        <w:rPr>
          <w:rFonts w:eastAsia="Segoe UI" w:cstheme="minorHAnsi"/>
          <w:b/>
          <w:color w:val="011A3C"/>
          <w:sz w:val="24"/>
          <w:szCs w:val="24"/>
          <w:lang w:val="en" w:eastAsia="en-AU"/>
        </w:rPr>
        <w:t>202</w:t>
      </w:r>
      <w:r w:rsidR="00DF7122">
        <w:rPr>
          <w:rFonts w:eastAsia="Segoe UI" w:cstheme="minorHAnsi"/>
          <w:b/>
          <w:color w:val="011A3C"/>
          <w:sz w:val="24"/>
          <w:szCs w:val="24"/>
          <w:lang w:val="en" w:eastAsia="en-AU"/>
        </w:rPr>
        <w:t>4</w:t>
      </w:r>
    </w:p>
    <w:p w14:paraId="4B8607B0" w14:textId="0C46A31E"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Index-model specialist schools: $ per student (included in index): </w:t>
      </w:r>
      <w:r w:rsidR="00727EEF" w:rsidRPr="00727EEF">
        <w:rPr>
          <w:rFonts w:eastAsia="Segoe UI" w:cstheme="minorHAnsi"/>
          <w:color w:val="011A3C"/>
          <w:sz w:val="24"/>
          <w:szCs w:val="24"/>
          <w:lang w:val="en" w:eastAsia="en-AU"/>
        </w:rPr>
        <w:t>$221.13</w:t>
      </w:r>
    </w:p>
    <w:p w14:paraId="6FE1CE5D" w14:textId="0CEC6E66"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 xml:space="preserve">All other schools: % of the total credit component in the SRP: </w:t>
      </w:r>
      <w:r w:rsidR="002357F0" w:rsidRPr="002357F0">
        <w:rPr>
          <w:rFonts w:eastAsia="Segoe UI" w:cstheme="minorHAnsi"/>
          <w:color w:val="011A3C"/>
          <w:sz w:val="24"/>
          <w:szCs w:val="24"/>
          <w:lang w:val="en" w:eastAsia="en-AU"/>
        </w:rPr>
        <w:t>1.92%</w:t>
      </w:r>
    </w:p>
    <w:p w14:paraId="44B6C769" w14:textId="77777777"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bookmarkStart w:id="330" w:name="_Hlk120702953"/>
      <w:r w:rsidRPr="00260C1D">
        <w:rPr>
          <w:rFonts w:eastAsia="Segoe UI" w:cstheme="minorHAnsi"/>
          <w:b/>
          <w:color w:val="011A3C"/>
          <w:sz w:val="24"/>
          <w:szCs w:val="24"/>
          <w:lang w:val="en" w:eastAsia="en-AU"/>
        </w:rPr>
        <w:t>Leave capping</w:t>
      </w:r>
    </w:p>
    <w:p w14:paraId="330CEA47"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following funding arrangements operate for leave where a credit reimbursement is made to the school.</w:t>
      </w:r>
    </w:p>
    <w:p w14:paraId="074C988B" w14:textId="00374811" w:rsidR="00024FCD" w:rsidRPr="00260C1D" w:rsidRDefault="00024FCD"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In the case of school principal</w:t>
      </w:r>
      <w:r>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w:t>
      </w:r>
      <w:r w:rsidR="00711795">
        <w:rPr>
          <w:rFonts w:eastAsia="Segoe UI" w:cstheme="minorHAnsi"/>
          <w:color w:val="011A3C"/>
          <w:sz w:val="24"/>
          <w:szCs w:val="24"/>
          <w:lang w:val="en" w:eastAsia="en-AU"/>
        </w:rPr>
        <w:t xml:space="preserve"> </w:t>
      </w:r>
      <w:r w:rsidR="000B4B42">
        <w:rPr>
          <w:rFonts w:eastAsia="Segoe UI" w:cstheme="minorHAnsi"/>
          <w:color w:val="011A3C"/>
          <w:sz w:val="24"/>
          <w:szCs w:val="24"/>
          <w:lang w:val="en" w:eastAsia="en-AU"/>
        </w:rPr>
        <w:t>classroom teacher,</w:t>
      </w:r>
      <w:r w:rsidRPr="00260C1D">
        <w:rPr>
          <w:rFonts w:eastAsia="Segoe UI" w:cstheme="minorHAnsi"/>
          <w:color w:val="011A3C"/>
          <w:sz w:val="24"/>
          <w:szCs w:val="24"/>
          <w:lang w:val="en" w:eastAsia="en-AU"/>
        </w:rPr>
        <w:t xml:space="preserve"> education support staff, and allied health staff based in schools, the whole salary will be charged outside the SRP during the period of leave</w:t>
      </w:r>
      <w:r w:rsidR="00536859">
        <w:rPr>
          <w:rFonts w:eastAsia="Segoe UI" w:cstheme="minorHAnsi"/>
          <w:color w:val="011A3C"/>
          <w:sz w:val="24"/>
          <w:szCs w:val="24"/>
          <w:lang w:val="en" w:eastAsia="en-AU"/>
        </w:rPr>
        <w:t>.</w:t>
      </w:r>
    </w:p>
    <w:p w14:paraId="2B03616E" w14:textId="459DB4B9" w:rsidR="00B40F43"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In the case of promotion level staff</w:t>
      </w:r>
      <w:r w:rsidR="008B34BF">
        <w:rPr>
          <w:rFonts w:eastAsia="Segoe UI" w:cstheme="minorHAnsi"/>
          <w:color w:val="011A3C"/>
          <w:sz w:val="28"/>
          <w:szCs w:val="28"/>
          <w:lang w:val="en" w:eastAsia="en-AU"/>
        </w:rPr>
        <w:t xml:space="preserve"> </w:t>
      </w:r>
      <w:r w:rsidR="00C75D60" w:rsidRPr="00614B09">
        <w:rPr>
          <w:sz w:val="24"/>
          <w:szCs w:val="24"/>
        </w:rPr>
        <w:t>(Assistant Principal, Leading Teacher and Learning Specialist)</w:t>
      </w:r>
      <w:r w:rsidRPr="00260C1D">
        <w:rPr>
          <w:rFonts w:eastAsia="Segoe UI" w:cstheme="minorHAnsi"/>
          <w:color w:val="011A3C"/>
          <w:sz w:val="24"/>
          <w:szCs w:val="24"/>
          <w:lang w:val="en" w:eastAsia="en-AU"/>
        </w:rPr>
        <w:t xml:space="preserve">, the amount charged outside the SRP will equate to a Classroom Teacher </w:t>
      </w:r>
      <w:r w:rsidR="00024FCD">
        <w:rPr>
          <w:rFonts w:eastAsia="Segoe UI" w:cstheme="minorHAnsi"/>
          <w:color w:val="011A3C"/>
          <w:sz w:val="24"/>
          <w:szCs w:val="24"/>
          <w:lang w:val="en" w:eastAsia="en-AU"/>
        </w:rPr>
        <w:t>2-6</w:t>
      </w:r>
      <w:r w:rsidRPr="00260C1D">
        <w:rPr>
          <w:rFonts w:eastAsia="Segoe UI" w:cstheme="minorHAnsi"/>
          <w:color w:val="011A3C"/>
          <w:sz w:val="24"/>
          <w:szCs w:val="24"/>
          <w:lang w:val="en" w:eastAsia="en-AU"/>
        </w:rPr>
        <w:t xml:space="preserve"> plus the higher duties </w:t>
      </w:r>
      <w:r w:rsidR="00624BC9">
        <w:rPr>
          <w:rFonts w:eastAsia="Segoe UI" w:cstheme="minorHAnsi"/>
          <w:color w:val="011A3C"/>
          <w:sz w:val="24"/>
          <w:szCs w:val="24"/>
          <w:lang w:val="en" w:eastAsia="en-AU"/>
        </w:rPr>
        <w:t>at the base level of the classification</w:t>
      </w:r>
      <w:r w:rsidRPr="00260C1D">
        <w:rPr>
          <w:rFonts w:eastAsia="Segoe UI" w:cstheme="minorHAnsi"/>
          <w:color w:val="011A3C"/>
          <w:sz w:val="24"/>
          <w:szCs w:val="24"/>
          <w:lang w:val="en" w:eastAsia="en-AU"/>
        </w:rPr>
        <w:t>.</w:t>
      </w:r>
      <w:r w:rsidR="00711795">
        <w:rPr>
          <w:rFonts w:eastAsia="Segoe UI" w:cstheme="minorHAnsi"/>
          <w:color w:val="011A3C"/>
          <w:sz w:val="24"/>
          <w:szCs w:val="24"/>
          <w:lang w:val="en" w:eastAsia="en-AU"/>
        </w:rPr>
        <w:t xml:space="preserve"> </w:t>
      </w:r>
    </w:p>
    <w:p w14:paraId="1F2A892E" w14:textId="7F83FC4E" w:rsidR="0096466B" w:rsidRPr="00260C1D" w:rsidRDefault="001C1A1F" w:rsidP="0096466B">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Whe</w:t>
      </w:r>
      <w:r w:rsidR="00C52031">
        <w:rPr>
          <w:rFonts w:eastAsia="Segoe UI" w:cstheme="minorHAnsi"/>
          <w:color w:val="011A3C"/>
          <w:sz w:val="24"/>
          <w:szCs w:val="24"/>
          <w:lang w:val="en" w:eastAsia="en-AU"/>
        </w:rPr>
        <w:t>re</w:t>
      </w:r>
      <w:r>
        <w:rPr>
          <w:rFonts w:eastAsia="Segoe UI" w:cstheme="minorHAnsi"/>
          <w:color w:val="011A3C"/>
          <w:sz w:val="24"/>
          <w:szCs w:val="24"/>
          <w:lang w:val="en" w:eastAsia="en-AU"/>
        </w:rPr>
        <w:t xml:space="preserve"> the </w:t>
      </w:r>
      <w:r w:rsidR="00C52031">
        <w:rPr>
          <w:rFonts w:eastAsia="Segoe UI" w:cstheme="minorHAnsi"/>
          <w:color w:val="011A3C"/>
          <w:sz w:val="24"/>
          <w:szCs w:val="24"/>
          <w:lang w:val="en" w:eastAsia="en-AU"/>
        </w:rPr>
        <w:t>absent</w:t>
      </w:r>
      <w:r w:rsidR="002A3B6D">
        <w:rPr>
          <w:rFonts w:eastAsia="Segoe UI" w:cstheme="minorHAnsi"/>
          <w:color w:val="011A3C"/>
          <w:sz w:val="24"/>
          <w:szCs w:val="24"/>
          <w:lang w:val="en" w:eastAsia="en-AU"/>
        </w:rPr>
        <w:t xml:space="preserve"> </w:t>
      </w:r>
      <w:r>
        <w:rPr>
          <w:rFonts w:eastAsia="Segoe UI" w:cstheme="minorHAnsi"/>
          <w:color w:val="011A3C"/>
          <w:sz w:val="24"/>
          <w:szCs w:val="24"/>
          <w:lang w:val="en" w:eastAsia="en-AU"/>
        </w:rPr>
        <w:t>staff</w:t>
      </w:r>
      <w:r w:rsidR="002A3B6D">
        <w:rPr>
          <w:rFonts w:eastAsia="Segoe UI" w:cstheme="minorHAnsi"/>
          <w:color w:val="011A3C"/>
          <w:sz w:val="24"/>
          <w:szCs w:val="24"/>
          <w:lang w:val="en" w:eastAsia="en-AU"/>
        </w:rPr>
        <w:t xml:space="preserve"> member</w:t>
      </w:r>
      <w:r>
        <w:rPr>
          <w:rFonts w:eastAsia="Segoe UI" w:cstheme="minorHAnsi"/>
          <w:color w:val="011A3C"/>
          <w:sz w:val="24"/>
          <w:szCs w:val="24"/>
          <w:lang w:val="en" w:eastAsia="en-AU"/>
        </w:rPr>
        <w:t xml:space="preserve"> is not at the base level</w:t>
      </w:r>
      <w:r w:rsidR="00B40F43">
        <w:rPr>
          <w:rFonts w:eastAsia="Segoe UI" w:cstheme="minorHAnsi"/>
          <w:color w:val="011A3C"/>
          <w:sz w:val="24"/>
          <w:szCs w:val="24"/>
          <w:lang w:val="en" w:eastAsia="en-AU"/>
        </w:rPr>
        <w:t xml:space="preserve"> </w:t>
      </w:r>
      <w:r w:rsidR="00D52F56">
        <w:rPr>
          <w:rFonts w:eastAsia="Segoe UI" w:cstheme="minorHAnsi"/>
          <w:color w:val="011A3C"/>
          <w:sz w:val="24"/>
          <w:szCs w:val="24"/>
          <w:lang w:val="en" w:eastAsia="en-AU"/>
        </w:rPr>
        <w:t>of the classification</w:t>
      </w:r>
      <w:r>
        <w:rPr>
          <w:rFonts w:eastAsia="Segoe UI" w:cstheme="minorHAnsi"/>
          <w:color w:val="011A3C"/>
          <w:sz w:val="24"/>
          <w:szCs w:val="24"/>
          <w:lang w:val="en" w:eastAsia="en-AU"/>
        </w:rPr>
        <w:t xml:space="preserve"> the school will still incur </w:t>
      </w:r>
      <w:r w:rsidR="00F04F08">
        <w:rPr>
          <w:rFonts w:eastAsia="Segoe UI" w:cstheme="minorHAnsi"/>
          <w:color w:val="011A3C"/>
          <w:sz w:val="24"/>
          <w:szCs w:val="24"/>
          <w:lang w:val="en" w:eastAsia="en-AU"/>
        </w:rPr>
        <w:t>a</w:t>
      </w:r>
      <w:r>
        <w:rPr>
          <w:rFonts w:eastAsia="Segoe UI" w:cstheme="minorHAnsi"/>
          <w:color w:val="011A3C"/>
          <w:sz w:val="24"/>
          <w:szCs w:val="24"/>
          <w:lang w:val="en" w:eastAsia="en-AU"/>
        </w:rPr>
        <w:t xml:space="preserve"> residual cost</w:t>
      </w:r>
      <w:r w:rsidR="00821206">
        <w:rPr>
          <w:rFonts w:eastAsia="Segoe UI" w:cstheme="minorHAnsi"/>
          <w:color w:val="011A3C"/>
          <w:sz w:val="24"/>
          <w:szCs w:val="24"/>
          <w:lang w:val="en" w:eastAsia="en-AU"/>
        </w:rPr>
        <w:t xml:space="preserve"> due to the gap between the reimbursement rate and actual salary cost</w:t>
      </w:r>
      <w:r>
        <w:rPr>
          <w:rFonts w:eastAsia="Segoe UI" w:cstheme="minorHAnsi"/>
          <w:color w:val="011A3C"/>
          <w:sz w:val="24"/>
          <w:szCs w:val="24"/>
          <w:lang w:val="en" w:eastAsia="en-A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12"/>
        <w:gridCol w:w="6844"/>
      </w:tblGrid>
      <w:tr w:rsidR="0096466B" w:rsidRPr="00260C1D" w14:paraId="6FC5B22F" w14:textId="77777777" w:rsidTr="003243F4">
        <w:tc>
          <w:tcPr>
            <w:tcW w:w="0" w:type="auto"/>
            <w:gridSpan w:val="2"/>
            <w:vAlign w:val="center"/>
            <w:hideMark/>
          </w:tcPr>
          <w:bookmarkEnd w:id="330"/>
          <w:p w14:paraId="3DDD59AA" w14:textId="77777777" w:rsidR="0096466B" w:rsidRPr="00260C1D" w:rsidRDefault="0096466B" w:rsidP="003243F4">
            <w:pPr>
              <w:spacing w:before="100" w:beforeAutospacing="1" w:after="100" w:afterAutospacing="1" w:line="360" w:lineRule="atLeast"/>
              <w:rPr>
                <w:rFonts w:eastAsia="Segoe UI" w:cstheme="minorHAnsi"/>
                <w:sz w:val="24"/>
                <w:szCs w:val="24"/>
                <w:lang w:eastAsia="en-AU"/>
              </w:rPr>
            </w:pPr>
            <w:r w:rsidRPr="00260C1D">
              <w:rPr>
                <w:rFonts w:eastAsia="Segoe UI" w:cstheme="minorHAnsi"/>
                <w:b/>
                <w:color w:val="011A3C"/>
                <w:sz w:val="24"/>
                <w:szCs w:val="24"/>
                <w:lang w:val="en" w:eastAsia="en-AU"/>
              </w:rPr>
              <w:t>Leave capping</w:t>
            </w:r>
          </w:p>
        </w:tc>
      </w:tr>
      <w:tr w:rsidR="000B1FF1" w:rsidRPr="00260C1D" w14:paraId="3909E849" w14:textId="77777777" w:rsidTr="003243F4">
        <w:tc>
          <w:tcPr>
            <w:tcW w:w="1727" w:type="pct"/>
            <w:hideMark/>
          </w:tcPr>
          <w:p w14:paraId="0E51B6B4" w14:textId="77777777" w:rsidR="0096466B" w:rsidRPr="00260C1D" w:rsidRDefault="0096466B" w:rsidP="00ED4312">
            <w:pPr>
              <w:spacing w:after="0" w:line="24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Salary of person on leave</w:t>
            </w:r>
          </w:p>
        </w:tc>
        <w:tc>
          <w:tcPr>
            <w:tcW w:w="3273" w:type="pct"/>
            <w:hideMark/>
          </w:tcPr>
          <w:p w14:paraId="6FDAD428" w14:textId="77777777" w:rsidR="0096466B" w:rsidRPr="00260C1D" w:rsidRDefault="0096466B" w:rsidP="003243F4">
            <w:pPr>
              <w:spacing w:after="0" w:line="240" w:lineRule="auto"/>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Equivalent value of a person's salary charged outside the SRP</w:t>
            </w:r>
          </w:p>
        </w:tc>
      </w:tr>
      <w:tr w:rsidR="000B1FF1" w:rsidRPr="00260C1D" w14:paraId="26C8657B" w14:textId="77777777" w:rsidTr="003243F4">
        <w:tc>
          <w:tcPr>
            <w:tcW w:w="1727" w:type="pct"/>
            <w:hideMark/>
          </w:tcPr>
          <w:p w14:paraId="4C2105C5" w14:textId="77777777" w:rsidR="0096466B" w:rsidRPr="00260C1D" w:rsidRDefault="0096466B" w:rsidP="00ED4312">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Principal</w:t>
            </w:r>
          </w:p>
        </w:tc>
        <w:tc>
          <w:tcPr>
            <w:tcW w:w="3273" w:type="pct"/>
            <w:hideMark/>
          </w:tcPr>
          <w:p w14:paraId="29E73AD2" w14:textId="77777777" w:rsidR="0096466B" w:rsidRPr="00260C1D" w:rsidRDefault="0096466B" w:rsidP="003243F4">
            <w:pPr>
              <w:spacing w:after="0" w:line="240" w:lineRule="auto"/>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Full salary</w:t>
            </w:r>
          </w:p>
        </w:tc>
      </w:tr>
      <w:tr w:rsidR="000B1FF1" w:rsidRPr="00260C1D" w14:paraId="74E19BF7" w14:textId="77777777" w:rsidTr="003243F4">
        <w:tc>
          <w:tcPr>
            <w:tcW w:w="1727" w:type="pct"/>
            <w:hideMark/>
          </w:tcPr>
          <w:p w14:paraId="70E9D554" w14:textId="77777777" w:rsidR="0096466B" w:rsidRPr="00260C1D" w:rsidRDefault="0096466B" w:rsidP="00ED4312">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Assistant Principal</w:t>
            </w:r>
          </w:p>
        </w:tc>
        <w:tc>
          <w:tcPr>
            <w:tcW w:w="3273" w:type="pct"/>
            <w:hideMark/>
          </w:tcPr>
          <w:p w14:paraId="55A9F9D1" w14:textId="4E2AF10D" w:rsidR="0096466B" w:rsidRPr="00260C1D" w:rsidRDefault="0096466B" w:rsidP="003243F4">
            <w:pPr>
              <w:spacing w:after="0" w:line="240" w:lineRule="auto"/>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 xml:space="preserve">Classroom Teacher </w:t>
            </w:r>
            <w:r w:rsidR="00711795">
              <w:rPr>
                <w:rFonts w:eastAsia="Segoe UI" w:cstheme="minorHAnsi"/>
                <w:color w:val="323E4F" w:themeColor="text2" w:themeShade="BF"/>
                <w:sz w:val="24"/>
                <w:szCs w:val="24"/>
                <w:lang w:eastAsia="en-AU"/>
              </w:rPr>
              <w:t>2-6</w:t>
            </w:r>
            <w:r w:rsidRPr="00260C1D">
              <w:rPr>
                <w:rFonts w:eastAsia="Segoe UI" w:cstheme="minorHAnsi"/>
                <w:color w:val="323E4F" w:themeColor="text2" w:themeShade="BF"/>
                <w:sz w:val="24"/>
                <w:szCs w:val="24"/>
                <w:lang w:eastAsia="en-AU"/>
              </w:rPr>
              <w:t xml:space="preserve"> + </w:t>
            </w:r>
            <w:r w:rsidR="00804BCA">
              <w:rPr>
                <w:rFonts w:eastAsia="Segoe UI" w:cstheme="minorHAnsi"/>
                <w:color w:val="323E4F" w:themeColor="text2" w:themeShade="BF"/>
                <w:sz w:val="24"/>
                <w:szCs w:val="24"/>
                <w:lang w:eastAsia="en-AU"/>
              </w:rPr>
              <w:t>higher duties</w:t>
            </w:r>
            <w:r w:rsidR="00804BCA" w:rsidRPr="00260C1D">
              <w:rPr>
                <w:rFonts w:eastAsia="Segoe UI" w:cstheme="minorHAnsi"/>
                <w:color w:val="323E4F" w:themeColor="text2" w:themeShade="BF"/>
                <w:sz w:val="24"/>
                <w:szCs w:val="24"/>
                <w:lang w:eastAsia="en-AU"/>
              </w:rPr>
              <w:t xml:space="preserve"> </w:t>
            </w:r>
            <w:r w:rsidRPr="00260C1D">
              <w:rPr>
                <w:rFonts w:eastAsia="Segoe UI" w:cstheme="minorHAnsi"/>
                <w:color w:val="323E4F" w:themeColor="text2" w:themeShade="BF"/>
                <w:sz w:val="24"/>
                <w:szCs w:val="24"/>
                <w:lang w:eastAsia="en-AU"/>
              </w:rPr>
              <w:t>gap (base of Assistant Principal range minus Classroom Teacher 2-6)</w:t>
            </w:r>
          </w:p>
        </w:tc>
      </w:tr>
      <w:tr w:rsidR="000B1FF1" w:rsidRPr="00260C1D" w14:paraId="42AC3231" w14:textId="77777777" w:rsidTr="003243F4">
        <w:tc>
          <w:tcPr>
            <w:tcW w:w="1727" w:type="pct"/>
            <w:hideMark/>
          </w:tcPr>
          <w:p w14:paraId="0E295928" w14:textId="77777777" w:rsidR="0096466B" w:rsidRPr="00260C1D" w:rsidRDefault="0096466B" w:rsidP="00ED4312">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Leading Teacher or Learning Specialist</w:t>
            </w:r>
          </w:p>
        </w:tc>
        <w:tc>
          <w:tcPr>
            <w:tcW w:w="3273" w:type="pct"/>
            <w:hideMark/>
          </w:tcPr>
          <w:p w14:paraId="634E01E9" w14:textId="606E6360" w:rsidR="0096466B" w:rsidRPr="00260C1D" w:rsidRDefault="0096466B" w:rsidP="003243F4">
            <w:pPr>
              <w:spacing w:after="0" w:line="240" w:lineRule="auto"/>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 xml:space="preserve">Classroom Teacher </w:t>
            </w:r>
            <w:r w:rsidR="00711795">
              <w:rPr>
                <w:rFonts w:eastAsia="Segoe UI" w:cstheme="minorHAnsi"/>
                <w:color w:val="323E4F" w:themeColor="text2" w:themeShade="BF"/>
                <w:sz w:val="24"/>
                <w:szCs w:val="24"/>
                <w:lang w:eastAsia="en-AU"/>
              </w:rPr>
              <w:t>2-6</w:t>
            </w:r>
            <w:r w:rsidRPr="00260C1D">
              <w:rPr>
                <w:rFonts w:eastAsia="Segoe UI" w:cstheme="minorHAnsi"/>
                <w:color w:val="323E4F" w:themeColor="text2" w:themeShade="BF"/>
                <w:sz w:val="24"/>
                <w:szCs w:val="24"/>
                <w:lang w:eastAsia="en-AU"/>
              </w:rPr>
              <w:t xml:space="preserve"> + </w:t>
            </w:r>
            <w:r w:rsidR="00804BCA">
              <w:rPr>
                <w:rFonts w:eastAsia="Segoe UI" w:cstheme="minorHAnsi"/>
                <w:color w:val="323E4F" w:themeColor="text2" w:themeShade="BF"/>
                <w:sz w:val="24"/>
                <w:szCs w:val="24"/>
                <w:lang w:eastAsia="en-AU"/>
              </w:rPr>
              <w:t>higher duties</w:t>
            </w:r>
            <w:r w:rsidR="00804BCA" w:rsidRPr="00260C1D">
              <w:rPr>
                <w:rFonts w:eastAsia="Segoe UI" w:cstheme="minorHAnsi"/>
                <w:color w:val="323E4F" w:themeColor="text2" w:themeShade="BF"/>
                <w:sz w:val="24"/>
                <w:szCs w:val="24"/>
                <w:lang w:eastAsia="en-AU"/>
              </w:rPr>
              <w:t xml:space="preserve"> </w:t>
            </w:r>
            <w:r w:rsidRPr="00260C1D">
              <w:rPr>
                <w:rFonts w:eastAsia="Segoe UI" w:cstheme="minorHAnsi"/>
                <w:color w:val="323E4F" w:themeColor="text2" w:themeShade="BF"/>
                <w:sz w:val="24"/>
                <w:szCs w:val="24"/>
                <w:lang w:eastAsia="en-AU"/>
              </w:rPr>
              <w:t>gap (base of Leading Teacher range minus Classroom Teacher 2-6)</w:t>
            </w:r>
          </w:p>
        </w:tc>
      </w:tr>
      <w:tr w:rsidR="000B1FF1" w:rsidRPr="00260C1D" w14:paraId="6660A03D" w14:textId="77777777" w:rsidTr="003243F4">
        <w:tc>
          <w:tcPr>
            <w:tcW w:w="1727" w:type="pct"/>
            <w:hideMark/>
          </w:tcPr>
          <w:p w14:paraId="630E66E1" w14:textId="05E74A0C" w:rsidR="0096466B" w:rsidRPr="00260C1D" w:rsidRDefault="0096466B" w:rsidP="003243F4">
            <w:pPr>
              <w:spacing w:after="0" w:line="240" w:lineRule="auto"/>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 xml:space="preserve">Classroom Teacher 1 Levels </w:t>
            </w:r>
            <w:r w:rsidR="00371517">
              <w:rPr>
                <w:rFonts w:eastAsia="Segoe UI" w:cstheme="minorHAnsi"/>
                <w:color w:val="323E4F" w:themeColor="text2" w:themeShade="BF"/>
                <w:sz w:val="24"/>
                <w:szCs w:val="24"/>
                <w:lang w:eastAsia="en-AU"/>
              </w:rPr>
              <w:t>1</w:t>
            </w:r>
            <w:r w:rsidRPr="00260C1D">
              <w:rPr>
                <w:rFonts w:eastAsia="Segoe UI" w:cstheme="minorHAnsi"/>
                <w:color w:val="323E4F" w:themeColor="text2" w:themeShade="BF"/>
                <w:sz w:val="24"/>
                <w:szCs w:val="24"/>
                <w:lang w:eastAsia="en-AU"/>
              </w:rPr>
              <w:t>-5</w:t>
            </w:r>
            <w:r w:rsidRPr="00260C1D">
              <w:rPr>
                <w:rFonts w:eastAsia="Segoe UI" w:cstheme="minorHAnsi"/>
                <w:color w:val="323E4F" w:themeColor="text2" w:themeShade="BF"/>
                <w:sz w:val="24"/>
                <w:szCs w:val="24"/>
                <w:lang w:eastAsia="en-AU"/>
              </w:rPr>
              <w:br/>
              <w:t>Classroom Teacher 2 Levels 1-6</w:t>
            </w:r>
          </w:p>
        </w:tc>
        <w:tc>
          <w:tcPr>
            <w:tcW w:w="3273" w:type="pct"/>
            <w:hideMark/>
          </w:tcPr>
          <w:p w14:paraId="3A8DA0DA" w14:textId="1EC2929A" w:rsidR="0096466B" w:rsidRPr="00260C1D" w:rsidRDefault="00371517" w:rsidP="00ED4312">
            <w:pPr>
              <w:spacing w:after="0" w:line="360" w:lineRule="atLeast"/>
              <w:rPr>
                <w:rFonts w:eastAsia="Segoe UI" w:cstheme="minorHAnsi"/>
                <w:color w:val="323E4F" w:themeColor="text2" w:themeShade="BF"/>
                <w:sz w:val="24"/>
                <w:szCs w:val="24"/>
                <w:lang w:eastAsia="en-AU"/>
              </w:rPr>
            </w:pPr>
            <w:r>
              <w:rPr>
                <w:rFonts w:eastAsia="Segoe UI" w:cstheme="minorHAnsi"/>
                <w:color w:val="323E4F" w:themeColor="text2" w:themeShade="BF"/>
                <w:sz w:val="24"/>
                <w:szCs w:val="24"/>
                <w:lang w:eastAsia="en-AU"/>
              </w:rPr>
              <w:t>Full Salary</w:t>
            </w:r>
          </w:p>
        </w:tc>
      </w:tr>
      <w:tr w:rsidR="000B1FF1" w:rsidRPr="00260C1D" w14:paraId="6DAFB51B" w14:textId="77777777" w:rsidTr="003243F4">
        <w:tc>
          <w:tcPr>
            <w:tcW w:w="1727" w:type="pct"/>
            <w:hideMark/>
          </w:tcPr>
          <w:p w14:paraId="32A98CE7" w14:textId="5D3C152C" w:rsidR="0096466B" w:rsidRPr="00260C1D" w:rsidRDefault="0096466B" w:rsidP="00ED4312">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 xml:space="preserve">Education Support </w:t>
            </w:r>
            <w:r w:rsidR="00D05FEB">
              <w:rPr>
                <w:rFonts w:eastAsia="Segoe UI" w:cstheme="minorHAnsi"/>
                <w:color w:val="323E4F" w:themeColor="text2" w:themeShade="BF"/>
                <w:sz w:val="24"/>
                <w:szCs w:val="24"/>
                <w:lang w:eastAsia="en-AU"/>
              </w:rPr>
              <w:t>Staff</w:t>
            </w:r>
          </w:p>
        </w:tc>
        <w:tc>
          <w:tcPr>
            <w:tcW w:w="3273" w:type="pct"/>
            <w:hideMark/>
          </w:tcPr>
          <w:p w14:paraId="2D8F4DFD" w14:textId="77777777" w:rsidR="0096466B" w:rsidRPr="00260C1D" w:rsidRDefault="0096466B" w:rsidP="00ED4312">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Full salary</w:t>
            </w:r>
          </w:p>
        </w:tc>
      </w:tr>
      <w:tr w:rsidR="000B1FF1" w:rsidRPr="00260C1D" w14:paraId="07E9F6AC" w14:textId="77777777" w:rsidTr="003243F4">
        <w:tc>
          <w:tcPr>
            <w:tcW w:w="1727" w:type="pct"/>
            <w:hideMark/>
          </w:tcPr>
          <w:p w14:paraId="08C3B09E" w14:textId="77777777" w:rsidR="0096466B" w:rsidRPr="00260C1D" w:rsidRDefault="0096466B" w:rsidP="00ED4312">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VPS and Allied Health</w:t>
            </w:r>
          </w:p>
        </w:tc>
        <w:tc>
          <w:tcPr>
            <w:tcW w:w="3273" w:type="pct"/>
            <w:hideMark/>
          </w:tcPr>
          <w:p w14:paraId="565B4EC6" w14:textId="65052EEB" w:rsidR="0096466B" w:rsidRPr="00260C1D" w:rsidRDefault="0096466B" w:rsidP="00ED4312">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 xml:space="preserve">Full </w:t>
            </w:r>
            <w:r w:rsidR="000540F3">
              <w:rPr>
                <w:rFonts w:eastAsia="Segoe UI" w:cstheme="minorHAnsi"/>
                <w:color w:val="323E4F" w:themeColor="text2" w:themeShade="BF"/>
                <w:sz w:val="24"/>
                <w:szCs w:val="24"/>
                <w:lang w:eastAsia="en-AU"/>
              </w:rPr>
              <w:t>s</w:t>
            </w:r>
            <w:r w:rsidRPr="00260C1D">
              <w:rPr>
                <w:rFonts w:eastAsia="Segoe UI" w:cstheme="minorHAnsi"/>
                <w:color w:val="323E4F" w:themeColor="text2" w:themeShade="BF"/>
                <w:sz w:val="24"/>
                <w:szCs w:val="24"/>
                <w:lang w:eastAsia="en-AU"/>
              </w:rPr>
              <w:t>alary</w:t>
            </w:r>
          </w:p>
        </w:tc>
      </w:tr>
    </w:tbl>
    <w:p w14:paraId="12B0F13A" w14:textId="5A3D144D"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Leave reimbursement cash (short</w:t>
      </w:r>
      <w:r w:rsidR="00910423">
        <w:rPr>
          <w:rFonts w:eastAsia="Segoe UI" w:cstheme="minorHAnsi"/>
          <w:b/>
          <w:color w:val="011A3C"/>
          <w:sz w:val="27"/>
          <w:szCs w:val="27"/>
          <w:lang w:val="en" w:eastAsia="en-AU"/>
        </w:rPr>
        <w:t>-</w:t>
      </w:r>
      <w:r w:rsidRPr="00260C1D">
        <w:rPr>
          <w:rFonts w:eastAsia="Segoe UI" w:cstheme="minorHAnsi"/>
          <w:b/>
          <w:color w:val="011A3C"/>
          <w:sz w:val="27"/>
          <w:szCs w:val="27"/>
          <w:lang w:val="en" w:eastAsia="en-AU"/>
        </w:rPr>
        <w:t>term leave)</w:t>
      </w:r>
    </w:p>
    <w:p w14:paraId="2923058E" w14:textId="0464B6B0"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Leave </w:t>
      </w:r>
      <w:r w:rsidR="00910423">
        <w:rPr>
          <w:rFonts w:eastAsia="Segoe UI" w:cstheme="minorHAnsi"/>
          <w:color w:val="011A3C"/>
          <w:sz w:val="24"/>
          <w:szCs w:val="24"/>
          <w:lang w:val="en" w:eastAsia="en-AU"/>
        </w:rPr>
        <w:t>r</w:t>
      </w:r>
      <w:r w:rsidRPr="00260C1D">
        <w:rPr>
          <w:rFonts w:eastAsia="Segoe UI" w:cstheme="minorHAnsi"/>
          <w:color w:val="011A3C"/>
          <w:sz w:val="24"/>
          <w:szCs w:val="24"/>
          <w:lang w:val="en" w:eastAsia="en-AU"/>
        </w:rPr>
        <w:t xml:space="preserve">eimbursement </w:t>
      </w:r>
      <w:r w:rsidR="00910423">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ash (short</w:t>
      </w:r>
      <w:r w:rsidR="00910423">
        <w:rPr>
          <w:rFonts w:eastAsia="Segoe UI" w:cstheme="minorHAnsi"/>
          <w:color w:val="011A3C"/>
          <w:sz w:val="24"/>
          <w:szCs w:val="24"/>
          <w:lang w:val="en" w:eastAsia="en-AU"/>
        </w:rPr>
        <w:t>-</w:t>
      </w:r>
      <w:r w:rsidRPr="00260C1D">
        <w:rPr>
          <w:rFonts w:eastAsia="Segoe UI" w:cstheme="minorHAnsi"/>
          <w:color w:val="011A3C"/>
          <w:sz w:val="24"/>
          <w:szCs w:val="24"/>
          <w:lang w:val="en" w:eastAsia="en-AU"/>
        </w:rPr>
        <w:t>term leave) is a process whereby schools can apply for</w:t>
      </w:r>
      <w:r w:rsidR="00910423">
        <w:rPr>
          <w:rFonts w:eastAsia="Segoe UI" w:cstheme="minorHAnsi"/>
          <w:color w:val="011A3C"/>
          <w:sz w:val="24"/>
          <w:szCs w:val="24"/>
          <w:lang w:val="en" w:eastAsia="en-AU"/>
        </w:rPr>
        <w:t xml:space="preserve"> the</w:t>
      </w:r>
      <w:r w:rsidRPr="00260C1D">
        <w:rPr>
          <w:rFonts w:eastAsia="Segoe UI" w:cstheme="minorHAnsi"/>
          <w:color w:val="011A3C"/>
          <w:sz w:val="24"/>
          <w:szCs w:val="24"/>
          <w:lang w:val="en" w:eastAsia="en-AU"/>
        </w:rPr>
        <w:t xml:space="preserve"> reimbursement </w:t>
      </w:r>
      <w:r w:rsidR="00910423">
        <w:rPr>
          <w:rFonts w:eastAsia="Segoe UI" w:cstheme="minorHAnsi"/>
          <w:color w:val="011A3C"/>
          <w:sz w:val="24"/>
          <w:szCs w:val="24"/>
          <w:lang w:val="en" w:eastAsia="en-AU"/>
        </w:rPr>
        <w:t>of</w:t>
      </w:r>
      <w:r w:rsidR="00910423" w:rsidRPr="00260C1D">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nominated leave items </w:t>
      </w:r>
      <w:r w:rsidR="00910423">
        <w:rPr>
          <w:rFonts w:eastAsia="Segoe UI" w:cstheme="minorHAnsi"/>
          <w:color w:val="011A3C"/>
          <w:sz w:val="24"/>
          <w:szCs w:val="24"/>
          <w:lang w:val="en" w:eastAsia="en-AU"/>
        </w:rPr>
        <w:t xml:space="preserve">that are </w:t>
      </w:r>
      <w:r w:rsidRPr="00260C1D">
        <w:rPr>
          <w:rFonts w:eastAsia="Segoe UI" w:cstheme="minorHAnsi"/>
          <w:color w:val="011A3C"/>
          <w:sz w:val="24"/>
          <w:szCs w:val="24"/>
          <w:lang w:val="en" w:eastAsia="en-AU"/>
        </w:rPr>
        <w:t>less than 30 continuous working days.</w:t>
      </w:r>
    </w:p>
    <w:p w14:paraId="38F57E44" w14:textId="366E215A" w:rsidR="00997D75" w:rsidRPr="00260C1D" w:rsidRDefault="00997D75" w:rsidP="00997D7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If schools experience extraordinary periods of short</w:t>
      </w:r>
      <w:r w:rsidR="007D68B8">
        <w:rPr>
          <w:rFonts w:eastAsia="Segoe UI" w:cstheme="minorHAnsi"/>
          <w:color w:val="011A3C"/>
          <w:sz w:val="24"/>
          <w:szCs w:val="24"/>
          <w:lang w:val="en" w:eastAsia="en-AU"/>
        </w:rPr>
        <w:t>-</w:t>
      </w:r>
      <w:r w:rsidRPr="00260C1D">
        <w:rPr>
          <w:rFonts w:eastAsia="Segoe UI" w:cstheme="minorHAnsi"/>
          <w:color w:val="011A3C"/>
          <w:sz w:val="24"/>
          <w:szCs w:val="24"/>
          <w:lang w:val="en" w:eastAsia="en-AU"/>
        </w:rPr>
        <w:t>term paid leave</w:t>
      </w:r>
      <w:r w:rsidR="007D68B8">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they should log a call  for alternative support with the Schools Finance and Resources Branch at </w:t>
      </w:r>
      <w:r w:rsidR="00DD69C8">
        <w:rPr>
          <w:rFonts w:eastAsia="Segoe UI" w:cstheme="minorHAnsi"/>
          <w:color w:val="011A3C"/>
          <w:sz w:val="24"/>
          <w:szCs w:val="24"/>
          <w:lang w:val="en" w:eastAsia="en-AU"/>
        </w:rPr>
        <w:t xml:space="preserve">the </w:t>
      </w:r>
      <w:hyperlink r:id="rId280" w:history="1">
        <w:r w:rsidR="00DD69C8">
          <w:rPr>
            <w:rStyle w:val="Hyperlink"/>
            <w:rFonts w:eastAsia="Segoe UI" w:cstheme="minorHAnsi"/>
            <w:sz w:val="24"/>
            <w:szCs w:val="24"/>
            <w:lang w:val="en" w:eastAsia="en-AU"/>
          </w:rPr>
          <w:t>S</w:t>
        </w:r>
        <w:r w:rsidRPr="00260C1D">
          <w:rPr>
            <w:rStyle w:val="Hyperlink"/>
            <w:rFonts w:eastAsia="Segoe UI" w:cstheme="minorHAnsi"/>
            <w:sz w:val="24"/>
            <w:szCs w:val="24"/>
            <w:lang w:val="en" w:eastAsia="en-AU"/>
          </w:rPr>
          <w:t>ervice</w:t>
        </w:r>
        <w:r w:rsidR="005A184B">
          <w:rPr>
            <w:rStyle w:val="Hyperlink"/>
            <w:rFonts w:eastAsia="Segoe UI" w:cstheme="minorHAnsi"/>
            <w:sz w:val="24"/>
            <w:szCs w:val="24"/>
            <w:lang w:val="en" w:eastAsia="en-AU"/>
          </w:rPr>
          <w:t>s</w:t>
        </w:r>
        <w:r w:rsidRPr="00260C1D">
          <w:rPr>
            <w:rStyle w:val="Hyperlink"/>
            <w:rFonts w:eastAsia="Segoe UI" w:cstheme="minorHAnsi"/>
            <w:sz w:val="24"/>
            <w:szCs w:val="24"/>
            <w:lang w:val="en" w:eastAsia="en-AU"/>
          </w:rPr>
          <w:t xml:space="preserve"> </w:t>
        </w:r>
        <w:r w:rsidR="00DD69C8">
          <w:rPr>
            <w:rStyle w:val="Hyperlink"/>
            <w:rFonts w:eastAsia="Segoe UI" w:cstheme="minorHAnsi"/>
            <w:sz w:val="24"/>
            <w:szCs w:val="24"/>
            <w:lang w:val="en" w:eastAsia="en-AU"/>
          </w:rPr>
          <w:t>Portal</w:t>
        </w:r>
      </w:hyperlink>
      <w:r w:rsidRPr="00260C1D">
        <w:rPr>
          <w:rFonts w:eastAsia="Segoe UI" w:cstheme="minorHAnsi"/>
          <w:color w:val="011A3C"/>
          <w:sz w:val="24"/>
          <w:szCs w:val="24"/>
          <w:lang w:val="en" w:eastAsia="en-AU"/>
        </w:rPr>
        <w:t xml:space="preserve"> or call on </w:t>
      </w:r>
      <w:hyperlink r:id="rId281" w:history="1">
        <w:r w:rsidRPr="00260C1D">
          <w:rPr>
            <w:rFonts w:eastAsia="Segoe UI" w:cstheme="minorHAnsi"/>
            <w:color w:val="011A3C"/>
            <w:sz w:val="24"/>
            <w:szCs w:val="24"/>
            <w:lang w:val="en" w:eastAsia="en-AU"/>
          </w:rPr>
          <w:t>1800 641 943</w:t>
        </w:r>
      </w:hyperlink>
      <w:r w:rsidRPr="00260C1D">
        <w:rPr>
          <w:rFonts w:eastAsia="Segoe UI" w:cstheme="minorHAnsi"/>
          <w:color w:val="011A3C"/>
          <w:sz w:val="24"/>
          <w:szCs w:val="24"/>
          <w:lang w:val="en" w:eastAsia="en-AU"/>
        </w:rPr>
        <w:t>.</w:t>
      </w:r>
    </w:p>
    <w:p w14:paraId="657D009A" w14:textId="2F1BF1AF"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 xml:space="preserve">Leave </w:t>
      </w:r>
      <w:r w:rsidR="0059622D" w:rsidRPr="00260C1D">
        <w:rPr>
          <w:rFonts w:eastAsia="Segoe UI" w:cstheme="minorHAnsi"/>
          <w:b/>
          <w:color w:val="011A3C"/>
          <w:sz w:val="24"/>
          <w:szCs w:val="24"/>
          <w:lang w:val="en" w:eastAsia="en-AU"/>
        </w:rPr>
        <w:t>r</w:t>
      </w:r>
      <w:r w:rsidRPr="00260C1D">
        <w:rPr>
          <w:rFonts w:eastAsia="Segoe UI" w:cstheme="minorHAnsi"/>
          <w:b/>
          <w:color w:val="011A3C"/>
          <w:sz w:val="24"/>
          <w:szCs w:val="24"/>
          <w:lang w:val="en" w:eastAsia="en-AU"/>
        </w:rPr>
        <w:t xml:space="preserve">eimbursement </w:t>
      </w:r>
      <w:r w:rsidR="0059622D" w:rsidRPr="00260C1D">
        <w:rPr>
          <w:rFonts w:eastAsia="Segoe UI" w:cstheme="minorHAnsi"/>
          <w:b/>
          <w:color w:val="011A3C"/>
          <w:sz w:val="24"/>
          <w:szCs w:val="24"/>
          <w:lang w:val="en" w:eastAsia="en-AU"/>
        </w:rPr>
        <w:t>c</w:t>
      </w:r>
      <w:r w:rsidRPr="00260C1D">
        <w:rPr>
          <w:rFonts w:eastAsia="Segoe UI" w:cstheme="minorHAnsi"/>
          <w:b/>
          <w:color w:val="011A3C"/>
          <w:sz w:val="24"/>
          <w:szCs w:val="24"/>
          <w:lang w:val="en" w:eastAsia="en-AU"/>
        </w:rPr>
        <w:t xml:space="preserve">ash </w:t>
      </w:r>
      <w:r w:rsidR="0059622D" w:rsidRPr="00260C1D">
        <w:rPr>
          <w:rFonts w:eastAsia="Segoe UI" w:cstheme="minorHAnsi"/>
          <w:b/>
          <w:color w:val="011A3C"/>
          <w:sz w:val="24"/>
          <w:szCs w:val="24"/>
          <w:lang w:val="en" w:eastAsia="en-AU"/>
        </w:rPr>
        <w:t>r</w:t>
      </w:r>
      <w:r w:rsidRPr="00260C1D">
        <w:rPr>
          <w:rFonts w:eastAsia="Segoe UI" w:cstheme="minorHAnsi"/>
          <w:b/>
          <w:color w:val="011A3C"/>
          <w:sz w:val="24"/>
          <w:szCs w:val="24"/>
          <w:lang w:val="en" w:eastAsia="en-AU"/>
        </w:rPr>
        <w:t>ates</w:t>
      </w:r>
    </w:p>
    <w:p w14:paraId="078CF97A"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following table contains the rates at which schools will be reimbursed for relief staff; these figures include superannuation and other on-costs.</w:t>
      </w:r>
    </w:p>
    <w:p w14:paraId="464B7584" w14:textId="5B7D8D98" w:rsidR="0096466B" w:rsidRPr="00260C1D" w:rsidRDefault="0096466B" w:rsidP="00F87843">
      <w:pPr>
        <w:spacing w:after="0" w:line="24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For information on payment rates for relief staff, please refer to </w:t>
      </w:r>
      <w:hyperlink r:id="rId282" w:history="1">
        <w:r w:rsidRPr="00614B09">
          <w:rPr>
            <w:rFonts w:eastAsia="Segoe UI" w:cstheme="minorHAnsi"/>
            <w:color w:val="0563C1"/>
            <w:sz w:val="24"/>
            <w:szCs w:val="24"/>
            <w:u w:val="single"/>
            <w:lang w:eastAsia="en-AU"/>
          </w:rPr>
          <w:t xml:space="preserve">Salary </w:t>
        </w:r>
        <w:r w:rsidR="00553856">
          <w:rPr>
            <w:rFonts w:eastAsia="Segoe UI" w:cstheme="minorHAnsi"/>
            <w:color w:val="0563C1"/>
            <w:sz w:val="24"/>
            <w:szCs w:val="24"/>
            <w:u w:val="single"/>
            <w:lang w:eastAsia="en-AU"/>
          </w:rPr>
          <w:t>r</w:t>
        </w:r>
        <w:r w:rsidRPr="00614B09">
          <w:rPr>
            <w:rFonts w:eastAsia="Segoe UI" w:cstheme="minorHAnsi"/>
            <w:color w:val="0563C1"/>
            <w:sz w:val="24"/>
            <w:szCs w:val="24"/>
            <w:u w:val="single"/>
            <w:lang w:eastAsia="en-AU"/>
          </w:rPr>
          <w:t>ates</w:t>
        </w:r>
      </w:hyperlink>
      <w:r w:rsidRPr="00260C1D">
        <w:rPr>
          <w:rFonts w:eastAsia="Segoe UI" w:cstheme="minorHAnsi"/>
          <w:color w:val="323E4F" w:themeColor="text2" w:themeShade="BF"/>
          <w:sz w:val="24"/>
          <w:szCs w:val="24"/>
          <w:lang w:eastAsia="en-AU"/>
        </w:rPr>
        <w:t>.</w:t>
      </w:r>
    </w:p>
    <w:p w14:paraId="00CD6B5D" w14:textId="77777777" w:rsidR="00F87843" w:rsidRPr="00260C1D" w:rsidRDefault="00F87843" w:rsidP="00992D99">
      <w:pPr>
        <w:spacing w:after="0" w:line="240" w:lineRule="atLeast"/>
        <w:rPr>
          <w:rFonts w:eastAsia="Segoe UI" w:cstheme="minorHAnsi"/>
          <w:color w:val="323E4F" w:themeColor="text2" w:themeShade="BF"/>
          <w:sz w:val="24"/>
          <w:szCs w:val="24"/>
          <w:lang w:eastAsia="en-AU"/>
        </w:rPr>
      </w:pPr>
    </w:p>
    <w:tbl>
      <w:tblPr>
        <w:tblW w:w="9903" w:type="dxa"/>
        <w:tblInd w:w="-5" w:type="dxa"/>
        <w:tblCellMar>
          <w:left w:w="0" w:type="dxa"/>
          <w:right w:w="0" w:type="dxa"/>
        </w:tblCellMar>
        <w:tblLook w:val="04A0" w:firstRow="1" w:lastRow="0" w:firstColumn="1" w:lastColumn="0" w:noHBand="0" w:noVBand="1"/>
      </w:tblPr>
      <w:tblGrid>
        <w:gridCol w:w="3550"/>
        <w:gridCol w:w="2723"/>
        <w:gridCol w:w="3630"/>
      </w:tblGrid>
      <w:tr w:rsidR="00F87843" w:rsidRPr="00260C1D" w14:paraId="70AA5454" w14:textId="77777777" w:rsidTr="61484B2C">
        <w:trPr>
          <w:trHeight w:val="133"/>
          <w:tblHeader/>
        </w:trPr>
        <w:tc>
          <w:tcPr>
            <w:tcW w:w="9903" w:type="dxa"/>
            <w:gridSpan w:val="3"/>
            <w:tcBorders>
              <w:top w:val="single" w:sz="8" w:space="0" w:color="auto"/>
              <w:left w:val="single" w:sz="8" w:space="0" w:color="auto"/>
              <w:bottom w:val="single" w:sz="8" w:space="0" w:color="auto"/>
              <w:right w:val="single" w:sz="8" w:space="0" w:color="auto"/>
            </w:tcBorders>
            <w:shd w:val="clear" w:color="auto" w:fill="F6F6F9"/>
            <w:tcMar>
              <w:top w:w="15" w:type="dxa"/>
              <w:left w:w="15" w:type="dxa"/>
              <w:bottom w:w="15" w:type="dxa"/>
              <w:right w:w="15" w:type="dxa"/>
            </w:tcMar>
            <w:vAlign w:val="center"/>
            <w:hideMark/>
          </w:tcPr>
          <w:p w14:paraId="34350269" w14:textId="26EE826D" w:rsidR="00F87843" w:rsidRPr="00614B09" w:rsidRDefault="00F87843" w:rsidP="00992D99">
            <w:pPr>
              <w:spacing w:after="0" w:line="240" w:lineRule="atLeas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 xml:space="preserve">Reimbursement </w:t>
            </w:r>
            <w:r w:rsidR="007D68B8">
              <w:rPr>
                <w:rFonts w:eastAsia="Segoe UI" w:cstheme="minorHAnsi"/>
                <w:b/>
                <w:bCs/>
                <w:color w:val="323E4F" w:themeColor="text2" w:themeShade="BF"/>
                <w:sz w:val="24"/>
                <w:szCs w:val="24"/>
                <w:lang w:eastAsia="en-AU"/>
              </w:rPr>
              <w:t>r</w:t>
            </w:r>
            <w:r w:rsidRPr="00614B09">
              <w:rPr>
                <w:rFonts w:eastAsia="Segoe UI" w:cstheme="minorHAnsi"/>
                <w:b/>
                <w:bCs/>
                <w:color w:val="323E4F" w:themeColor="text2" w:themeShade="BF"/>
                <w:sz w:val="24"/>
                <w:szCs w:val="24"/>
                <w:lang w:eastAsia="en-AU"/>
              </w:rPr>
              <w:t xml:space="preserve">ates for </w:t>
            </w:r>
            <w:r w:rsidR="00BD1D66" w:rsidRPr="00614B09">
              <w:rPr>
                <w:rFonts w:eastAsia="Segoe UI" w:cstheme="minorHAnsi"/>
                <w:b/>
                <w:bCs/>
                <w:color w:val="323E4F" w:themeColor="text2" w:themeShade="BF"/>
                <w:sz w:val="24"/>
                <w:szCs w:val="24"/>
                <w:lang w:eastAsia="en-AU"/>
              </w:rPr>
              <w:t>202</w:t>
            </w:r>
            <w:r w:rsidR="00C95D9E">
              <w:rPr>
                <w:rFonts w:eastAsia="Segoe UI" w:cstheme="minorHAnsi"/>
                <w:b/>
                <w:bCs/>
                <w:color w:val="323E4F" w:themeColor="text2" w:themeShade="BF"/>
                <w:sz w:val="24"/>
                <w:szCs w:val="24"/>
                <w:lang w:eastAsia="en-AU"/>
              </w:rPr>
              <w:t>4</w:t>
            </w:r>
          </w:p>
        </w:tc>
      </w:tr>
      <w:tr w:rsidR="00F87843" w:rsidRPr="00260C1D" w14:paraId="1A42043B" w14:textId="77777777" w:rsidTr="61484B2C">
        <w:trPr>
          <w:trHeight w:val="404"/>
          <w:tblHeader/>
        </w:trPr>
        <w:tc>
          <w:tcPr>
            <w:tcW w:w="3550" w:type="dxa"/>
            <w:tcBorders>
              <w:top w:val="nil"/>
              <w:left w:val="single" w:sz="8" w:space="0" w:color="auto"/>
              <w:bottom w:val="single" w:sz="8" w:space="0" w:color="auto"/>
              <w:right w:val="single" w:sz="8" w:space="0" w:color="auto"/>
            </w:tcBorders>
            <w:shd w:val="clear" w:color="auto" w:fill="F6F6F9"/>
            <w:tcMar>
              <w:top w:w="15" w:type="dxa"/>
              <w:left w:w="15" w:type="dxa"/>
              <w:bottom w:w="15" w:type="dxa"/>
              <w:right w:w="15" w:type="dxa"/>
            </w:tcMar>
            <w:hideMark/>
          </w:tcPr>
          <w:p w14:paraId="517200B8" w14:textId="77777777" w:rsidR="00F87843" w:rsidRPr="00614B09" w:rsidRDefault="00F87843" w:rsidP="00992D99">
            <w:pPr>
              <w:spacing w:after="0" w:line="240" w:lineRule="atLeas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Effective dates</w:t>
            </w:r>
          </w:p>
        </w:tc>
        <w:tc>
          <w:tcPr>
            <w:tcW w:w="2723" w:type="dxa"/>
            <w:tcBorders>
              <w:top w:val="nil"/>
              <w:left w:val="nil"/>
              <w:bottom w:val="single" w:sz="8" w:space="0" w:color="auto"/>
              <w:right w:val="single" w:sz="8" w:space="0" w:color="auto"/>
            </w:tcBorders>
            <w:shd w:val="clear" w:color="auto" w:fill="F6F6F9"/>
            <w:tcMar>
              <w:top w:w="15" w:type="dxa"/>
              <w:left w:w="15" w:type="dxa"/>
              <w:bottom w:w="15" w:type="dxa"/>
              <w:right w:w="15" w:type="dxa"/>
            </w:tcMar>
            <w:hideMark/>
          </w:tcPr>
          <w:p w14:paraId="1D926365" w14:textId="78337531" w:rsidR="00F87843" w:rsidRPr="00614B09" w:rsidRDefault="00F87843" w:rsidP="00992D99">
            <w:pPr>
              <w:spacing w:after="0" w:line="240" w:lineRule="atLeas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 xml:space="preserve">Education Support </w:t>
            </w:r>
            <w:r w:rsidR="007D68B8">
              <w:rPr>
                <w:rFonts w:eastAsia="Segoe UI" w:cstheme="minorHAnsi"/>
                <w:b/>
                <w:bCs/>
                <w:color w:val="323E4F" w:themeColor="text2" w:themeShade="BF"/>
                <w:sz w:val="24"/>
                <w:szCs w:val="24"/>
                <w:lang w:eastAsia="en-AU"/>
              </w:rPr>
              <w:t>Staff</w:t>
            </w:r>
            <w:r w:rsidRPr="00614B09">
              <w:rPr>
                <w:rFonts w:eastAsia="Segoe UI" w:cstheme="minorHAnsi"/>
                <w:b/>
                <w:bCs/>
                <w:color w:val="323E4F" w:themeColor="text2" w:themeShade="BF"/>
                <w:sz w:val="24"/>
                <w:szCs w:val="24"/>
                <w:lang w:eastAsia="en-AU"/>
              </w:rPr>
              <w:t xml:space="preserve"> Relief (</w:t>
            </w:r>
            <w:r w:rsidR="007D68B8">
              <w:rPr>
                <w:rFonts w:eastAsia="Segoe UI" w:cstheme="minorHAnsi"/>
                <w:b/>
                <w:bCs/>
                <w:color w:val="323E4F" w:themeColor="text2" w:themeShade="BF"/>
                <w:sz w:val="24"/>
                <w:szCs w:val="24"/>
                <w:lang w:eastAsia="en-AU"/>
              </w:rPr>
              <w:t>h</w:t>
            </w:r>
            <w:r w:rsidRPr="00614B09">
              <w:rPr>
                <w:rFonts w:eastAsia="Segoe UI" w:cstheme="minorHAnsi"/>
                <w:b/>
                <w:bCs/>
                <w:color w:val="323E4F" w:themeColor="text2" w:themeShade="BF"/>
                <w:sz w:val="24"/>
                <w:szCs w:val="24"/>
                <w:lang w:eastAsia="en-AU"/>
              </w:rPr>
              <w:t xml:space="preserve">ourly </w:t>
            </w:r>
            <w:r w:rsidR="007D68B8">
              <w:rPr>
                <w:rFonts w:eastAsia="Segoe UI" w:cstheme="minorHAnsi"/>
                <w:b/>
                <w:bCs/>
                <w:color w:val="323E4F" w:themeColor="text2" w:themeShade="BF"/>
                <w:sz w:val="24"/>
                <w:szCs w:val="24"/>
                <w:lang w:eastAsia="en-AU"/>
              </w:rPr>
              <w:t>r</w:t>
            </w:r>
            <w:r w:rsidRPr="00614B09">
              <w:rPr>
                <w:rFonts w:eastAsia="Segoe UI" w:cstheme="minorHAnsi"/>
                <w:b/>
                <w:bCs/>
                <w:color w:val="323E4F" w:themeColor="text2" w:themeShade="BF"/>
                <w:sz w:val="24"/>
                <w:szCs w:val="24"/>
                <w:lang w:eastAsia="en-AU"/>
              </w:rPr>
              <w:t>ate)</w:t>
            </w:r>
          </w:p>
        </w:tc>
        <w:tc>
          <w:tcPr>
            <w:tcW w:w="3630" w:type="dxa"/>
            <w:tcBorders>
              <w:top w:val="nil"/>
              <w:left w:val="nil"/>
              <w:bottom w:val="single" w:sz="8" w:space="0" w:color="auto"/>
              <w:right w:val="single" w:sz="8" w:space="0" w:color="auto"/>
            </w:tcBorders>
            <w:shd w:val="clear" w:color="auto" w:fill="F6F6F9"/>
            <w:tcMar>
              <w:top w:w="15" w:type="dxa"/>
              <w:left w:w="15" w:type="dxa"/>
              <w:bottom w:w="15" w:type="dxa"/>
              <w:right w:w="15" w:type="dxa"/>
            </w:tcMar>
            <w:hideMark/>
          </w:tcPr>
          <w:p w14:paraId="13FBD749" w14:textId="33922B71" w:rsidR="00F87843" w:rsidRPr="00614B09" w:rsidRDefault="00F87843" w:rsidP="00992D99">
            <w:pPr>
              <w:spacing w:after="0" w:line="240" w:lineRule="atLeas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Casual Relief Teacher (</w:t>
            </w:r>
            <w:r w:rsidR="007D68B8">
              <w:rPr>
                <w:rFonts w:eastAsia="Segoe UI" w:cstheme="minorHAnsi"/>
                <w:b/>
                <w:bCs/>
                <w:color w:val="323E4F" w:themeColor="text2" w:themeShade="BF"/>
                <w:sz w:val="24"/>
                <w:szCs w:val="24"/>
                <w:lang w:eastAsia="en-AU"/>
              </w:rPr>
              <w:t>m</w:t>
            </w:r>
            <w:r w:rsidRPr="00614B09">
              <w:rPr>
                <w:rFonts w:eastAsia="Segoe UI" w:cstheme="minorHAnsi"/>
                <w:b/>
                <w:bCs/>
                <w:color w:val="323E4F" w:themeColor="text2" w:themeShade="BF"/>
                <w:sz w:val="24"/>
                <w:szCs w:val="24"/>
                <w:lang w:eastAsia="en-AU"/>
              </w:rPr>
              <w:t xml:space="preserve">aximum </w:t>
            </w:r>
            <w:r w:rsidR="007D68B8">
              <w:rPr>
                <w:rFonts w:eastAsia="Segoe UI" w:cstheme="minorHAnsi"/>
                <w:b/>
                <w:bCs/>
                <w:color w:val="323E4F" w:themeColor="text2" w:themeShade="BF"/>
                <w:sz w:val="24"/>
                <w:szCs w:val="24"/>
                <w:lang w:eastAsia="en-AU"/>
              </w:rPr>
              <w:t>d</w:t>
            </w:r>
            <w:r w:rsidRPr="00614B09">
              <w:rPr>
                <w:rFonts w:eastAsia="Segoe UI" w:cstheme="minorHAnsi"/>
                <w:b/>
                <w:bCs/>
                <w:color w:val="323E4F" w:themeColor="text2" w:themeShade="BF"/>
                <w:sz w:val="24"/>
                <w:szCs w:val="24"/>
                <w:lang w:eastAsia="en-AU"/>
              </w:rPr>
              <w:t xml:space="preserve">aily </w:t>
            </w:r>
            <w:r w:rsidR="007D68B8">
              <w:rPr>
                <w:rFonts w:eastAsia="Segoe UI" w:cstheme="minorHAnsi"/>
                <w:b/>
                <w:bCs/>
                <w:color w:val="323E4F" w:themeColor="text2" w:themeShade="BF"/>
                <w:sz w:val="24"/>
                <w:szCs w:val="24"/>
                <w:lang w:eastAsia="en-AU"/>
              </w:rPr>
              <w:t>r</w:t>
            </w:r>
            <w:r w:rsidRPr="00614B09">
              <w:rPr>
                <w:rFonts w:eastAsia="Segoe UI" w:cstheme="minorHAnsi"/>
                <w:b/>
                <w:bCs/>
                <w:color w:val="323E4F" w:themeColor="text2" w:themeShade="BF"/>
                <w:sz w:val="24"/>
                <w:szCs w:val="24"/>
                <w:lang w:eastAsia="en-AU"/>
              </w:rPr>
              <w:t>ate)</w:t>
            </w:r>
          </w:p>
        </w:tc>
      </w:tr>
      <w:tr w:rsidR="008A14C9" w:rsidRPr="00260C1D" w14:paraId="62FF729C" w14:textId="77777777" w:rsidTr="008A14C9">
        <w:trPr>
          <w:trHeight w:val="315"/>
        </w:trPr>
        <w:tc>
          <w:tcPr>
            <w:tcW w:w="3550" w:type="dxa"/>
            <w:tcBorders>
              <w:top w:val="nil"/>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hideMark/>
          </w:tcPr>
          <w:p w14:paraId="7E3839DF" w14:textId="6C15A035" w:rsidR="005E13E3" w:rsidRPr="00260C1D" w:rsidRDefault="005E13E3" w:rsidP="005E13E3">
            <w:pPr>
              <w:spacing w:after="0" w:line="24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 xml:space="preserve">1 </w:t>
            </w:r>
            <w:r w:rsidR="00925D29">
              <w:rPr>
                <w:rFonts w:eastAsia="Segoe UI" w:cstheme="minorHAnsi"/>
                <w:color w:val="323E4F" w:themeColor="text2" w:themeShade="BF"/>
                <w:sz w:val="24"/>
                <w:szCs w:val="24"/>
                <w:lang w:eastAsia="en-AU"/>
              </w:rPr>
              <w:t xml:space="preserve">February </w:t>
            </w:r>
            <w:r w:rsidRPr="00260C1D">
              <w:rPr>
                <w:rFonts w:eastAsia="Segoe UI" w:cstheme="minorHAnsi"/>
                <w:color w:val="323E4F" w:themeColor="text2" w:themeShade="BF"/>
                <w:sz w:val="24"/>
                <w:szCs w:val="24"/>
                <w:lang w:eastAsia="en-AU"/>
              </w:rPr>
              <w:t>202</w:t>
            </w:r>
            <w:r w:rsidR="00925D29">
              <w:rPr>
                <w:rFonts w:eastAsia="Segoe UI" w:cstheme="minorHAnsi"/>
                <w:color w:val="323E4F" w:themeColor="text2" w:themeShade="BF"/>
                <w:sz w:val="24"/>
                <w:szCs w:val="24"/>
                <w:lang w:eastAsia="en-AU"/>
              </w:rPr>
              <w:t>4</w:t>
            </w:r>
            <w:r w:rsidRPr="00260C1D">
              <w:rPr>
                <w:rFonts w:eastAsia="Segoe UI" w:cstheme="minorHAnsi"/>
                <w:color w:val="323E4F" w:themeColor="text2" w:themeShade="BF"/>
                <w:sz w:val="24"/>
                <w:szCs w:val="24"/>
                <w:lang w:eastAsia="en-AU"/>
              </w:rPr>
              <w:t xml:space="preserve"> to 30 June 202</w:t>
            </w:r>
            <w:r w:rsidR="00925D29">
              <w:rPr>
                <w:rFonts w:eastAsia="Segoe UI" w:cstheme="minorHAnsi"/>
                <w:color w:val="323E4F" w:themeColor="text2" w:themeShade="BF"/>
                <w:sz w:val="24"/>
                <w:szCs w:val="24"/>
                <w:lang w:eastAsia="en-AU"/>
              </w:rPr>
              <w:t>4</w:t>
            </w:r>
            <w:r w:rsidRPr="00260C1D">
              <w:rPr>
                <w:rFonts w:eastAsia="Segoe UI" w:cstheme="minorHAnsi"/>
                <w:color w:val="323E4F" w:themeColor="text2" w:themeShade="BF"/>
                <w:sz w:val="24"/>
                <w:szCs w:val="24"/>
                <w:lang w:eastAsia="en-AU"/>
              </w:rPr>
              <w:t xml:space="preserve"> </w:t>
            </w:r>
          </w:p>
        </w:tc>
        <w:tc>
          <w:tcPr>
            <w:tcW w:w="2723" w:type="dxa"/>
            <w:tcBorders>
              <w:top w:val="nil"/>
              <w:left w:val="nil"/>
              <w:bottom w:val="single" w:sz="8" w:space="0" w:color="auto"/>
              <w:right w:val="single" w:sz="8" w:space="0" w:color="auto"/>
            </w:tcBorders>
            <w:shd w:val="clear" w:color="auto" w:fill="FFFFFF" w:themeFill="background1"/>
            <w:tcMar>
              <w:top w:w="15" w:type="dxa"/>
              <w:left w:w="15" w:type="dxa"/>
              <w:bottom w:w="15" w:type="dxa"/>
              <w:right w:w="15" w:type="dxa"/>
            </w:tcMar>
            <w:hideMark/>
          </w:tcPr>
          <w:p w14:paraId="4E1120D0" w14:textId="14AFF596" w:rsidR="005E13E3" w:rsidRPr="00260C1D" w:rsidRDefault="005E13E3" w:rsidP="005E13E3">
            <w:pPr>
              <w:spacing w:after="0" w:line="240" w:lineRule="atLeast"/>
              <w:jc w:val="right"/>
              <w:rPr>
                <w:rFonts w:eastAsia="Segoe UI" w:cstheme="minorHAnsi"/>
                <w:color w:val="323E4F" w:themeColor="text2" w:themeShade="BF"/>
                <w:sz w:val="24"/>
                <w:szCs w:val="24"/>
                <w:lang w:eastAsia="en-AU"/>
              </w:rPr>
            </w:pPr>
            <w:r w:rsidRPr="008614E4">
              <w:rPr>
                <w:rFonts w:eastAsia="Segoe UI" w:cstheme="minorHAnsi"/>
                <w:color w:val="323E4F" w:themeColor="text2" w:themeShade="BF"/>
                <w:sz w:val="24"/>
                <w:szCs w:val="24"/>
                <w:lang w:eastAsia="en-AU"/>
              </w:rPr>
              <w:t>$4</w:t>
            </w:r>
            <w:r w:rsidR="00C95D9E">
              <w:rPr>
                <w:rFonts w:eastAsia="Segoe UI" w:cstheme="minorHAnsi"/>
                <w:color w:val="323E4F" w:themeColor="text2" w:themeShade="BF"/>
                <w:sz w:val="24"/>
                <w:szCs w:val="24"/>
                <w:lang w:eastAsia="en-AU"/>
              </w:rPr>
              <w:t>7</w:t>
            </w:r>
            <w:r w:rsidRPr="008614E4">
              <w:rPr>
                <w:rFonts w:eastAsia="Segoe UI" w:cstheme="minorHAnsi"/>
                <w:color w:val="323E4F" w:themeColor="text2" w:themeShade="BF"/>
                <w:sz w:val="24"/>
                <w:szCs w:val="24"/>
                <w:lang w:eastAsia="en-AU"/>
              </w:rPr>
              <w:t>.</w:t>
            </w:r>
            <w:r w:rsidR="00C95D9E">
              <w:rPr>
                <w:rFonts w:eastAsia="Segoe UI" w:cstheme="minorHAnsi"/>
                <w:color w:val="323E4F" w:themeColor="text2" w:themeShade="BF"/>
                <w:sz w:val="24"/>
                <w:szCs w:val="24"/>
                <w:lang w:eastAsia="en-AU"/>
              </w:rPr>
              <w:t>34</w:t>
            </w:r>
          </w:p>
        </w:tc>
        <w:tc>
          <w:tcPr>
            <w:tcW w:w="3630" w:type="dxa"/>
            <w:tcBorders>
              <w:top w:val="nil"/>
              <w:left w:val="nil"/>
              <w:bottom w:val="single" w:sz="8" w:space="0" w:color="auto"/>
              <w:right w:val="single" w:sz="8" w:space="0" w:color="auto"/>
            </w:tcBorders>
            <w:shd w:val="clear" w:color="auto" w:fill="FFFFFF" w:themeFill="background1"/>
            <w:tcMar>
              <w:top w:w="15" w:type="dxa"/>
              <w:left w:w="15" w:type="dxa"/>
              <w:bottom w:w="15" w:type="dxa"/>
              <w:right w:w="15" w:type="dxa"/>
            </w:tcMar>
            <w:hideMark/>
          </w:tcPr>
          <w:p w14:paraId="0224AEB2" w14:textId="3D6D375C" w:rsidR="005E13E3" w:rsidRPr="00260C1D" w:rsidRDefault="005E13E3" w:rsidP="005E13E3">
            <w:pPr>
              <w:spacing w:after="0" w:line="24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3C3A85">
              <w:rPr>
                <w:rFonts w:eastAsia="Segoe UI" w:cstheme="minorHAnsi"/>
                <w:color w:val="323E4F" w:themeColor="text2" w:themeShade="BF"/>
                <w:sz w:val="24"/>
                <w:szCs w:val="24"/>
                <w:lang w:eastAsia="en-AU"/>
              </w:rPr>
              <w:t>467.83</w:t>
            </w:r>
          </w:p>
        </w:tc>
      </w:tr>
      <w:tr w:rsidR="008A14C9" w:rsidRPr="00260C1D" w14:paraId="484896F3" w14:textId="77777777" w:rsidTr="008A14C9">
        <w:trPr>
          <w:trHeight w:val="284"/>
        </w:trPr>
        <w:tc>
          <w:tcPr>
            <w:tcW w:w="3550" w:type="dxa"/>
            <w:tcBorders>
              <w:top w:val="nil"/>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hideMark/>
          </w:tcPr>
          <w:p w14:paraId="67ABC030" w14:textId="4E11D959" w:rsidR="005E13E3" w:rsidRPr="00260C1D" w:rsidRDefault="005E13E3" w:rsidP="005E13E3">
            <w:pPr>
              <w:spacing w:after="0" w:line="24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1 July 202</w:t>
            </w:r>
            <w:r w:rsidR="00925D29">
              <w:rPr>
                <w:rFonts w:eastAsia="Segoe UI" w:cstheme="minorHAnsi"/>
                <w:color w:val="323E4F" w:themeColor="text2" w:themeShade="BF"/>
                <w:sz w:val="24"/>
                <w:szCs w:val="24"/>
                <w:lang w:eastAsia="en-AU"/>
              </w:rPr>
              <w:t>4</w:t>
            </w:r>
            <w:r w:rsidRPr="00260C1D">
              <w:rPr>
                <w:rFonts w:eastAsia="Segoe UI" w:cstheme="minorHAnsi"/>
                <w:color w:val="323E4F" w:themeColor="text2" w:themeShade="BF"/>
                <w:sz w:val="24"/>
                <w:szCs w:val="24"/>
                <w:lang w:eastAsia="en-AU"/>
              </w:rPr>
              <w:t xml:space="preserve"> to 31 December 202</w:t>
            </w:r>
            <w:r w:rsidR="00925D29">
              <w:rPr>
                <w:rFonts w:eastAsia="Segoe UI" w:cstheme="minorHAnsi"/>
                <w:color w:val="323E4F" w:themeColor="text2" w:themeShade="BF"/>
                <w:sz w:val="24"/>
                <w:szCs w:val="24"/>
                <w:lang w:eastAsia="en-AU"/>
              </w:rPr>
              <w:t>4</w:t>
            </w:r>
          </w:p>
        </w:tc>
        <w:tc>
          <w:tcPr>
            <w:tcW w:w="2723" w:type="dxa"/>
            <w:tcBorders>
              <w:top w:val="nil"/>
              <w:left w:val="nil"/>
              <w:bottom w:val="single" w:sz="8" w:space="0" w:color="auto"/>
              <w:right w:val="single" w:sz="8" w:space="0" w:color="auto"/>
            </w:tcBorders>
            <w:shd w:val="clear" w:color="auto" w:fill="FFFFFF" w:themeFill="background1"/>
            <w:tcMar>
              <w:top w:w="15" w:type="dxa"/>
              <w:left w:w="15" w:type="dxa"/>
              <w:bottom w:w="15" w:type="dxa"/>
              <w:right w:w="15" w:type="dxa"/>
            </w:tcMar>
            <w:hideMark/>
          </w:tcPr>
          <w:p w14:paraId="42F8DEC2" w14:textId="1DCBFD28" w:rsidR="005E13E3" w:rsidRPr="00260C1D" w:rsidRDefault="005E13E3" w:rsidP="005E13E3">
            <w:pPr>
              <w:spacing w:after="0" w:line="240" w:lineRule="atLeast"/>
              <w:jc w:val="right"/>
              <w:rPr>
                <w:rFonts w:eastAsia="Segoe UI" w:cstheme="minorHAnsi"/>
                <w:color w:val="323E4F" w:themeColor="text2" w:themeShade="BF"/>
                <w:sz w:val="24"/>
                <w:szCs w:val="24"/>
                <w:lang w:eastAsia="en-AU"/>
              </w:rPr>
            </w:pPr>
            <w:r w:rsidRPr="008614E4">
              <w:rPr>
                <w:rFonts w:eastAsia="Segoe UI" w:cstheme="minorHAnsi"/>
                <w:color w:val="323E4F" w:themeColor="text2" w:themeShade="BF"/>
                <w:sz w:val="24"/>
                <w:szCs w:val="24"/>
                <w:lang w:eastAsia="en-AU"/>
              </w:rPr>
              <w:t>$</w:t>
            </w:r>
            <w:r w:rsidR="00C95D9E">
              <w:rPr>
                <w:rFonts w:eastAsia="Segoe UI" w:cstheme="minorHAnsi"/>
                <w:color w:val="323E4F" w:themeColor="text2" w:themeShade="BF"/>
                <w:sz w:val="24"/>
                <w:szCs w:val="24"/>
                <w:lang w:eastAsia="en-AU"/>
              </w:rPr>
              <w:t>48.03</w:t>
            </w:r>
          </w:p>
        </w:tc>
        <w:tc>
          <w:tcPr>
            <w:tcW w:w="3630" w:type="dxa"/>
            <w:tcBorders>
              <w:top w:val="nil"/>
              <w:left w:val="nil"/>
              <w:bottom w:val="single" w:sz="8" w:space="0" w:color="auto"/>
              <w:right w:val="single" w:sz="8" w:space="0" w:color="auto"/>
            </w:tcBorders>
            <w:shd w:val="clear" w:color="auto" w:fill="FFFFFF" w:themeFill="background1"/>
            <w:tcMar>
              <w:top w:w="15" w:type="dxa"/>
              <w:left w:w="15" w:type="dxa"/>
              <w:bottom w:w="15" w:type="dxa"/>
              <w:right w:w="15" w:type="dxa"/>
            </w:tcMar>
            <w:hideMark/>
          </w:tcPr>
          <w:p w14:paraId="608692D7" w14:textId="35BBA87F" w:rsidR="005E13E3" w:rsidRPr="00260C1D" w:rsidRDefault="005E13E3" w:rsidP="005E13E3">
            <w:pPr>
              <w:spacing w:after="0" w:line="24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3C3A85">
              <w:rPr>
                <w:rFonts w:eastAsia="Segoe UI" w:cstheme="minorHAnsi"/>
                <w:color w:val="323E4F" w:themeColor="text2" w:themeShade="BF"/>
                <w:sz w:val="24"/>
                <w:szCs w:val="24"/>
                <w:lang w:eastAsia="en-AU"/>
              </w:rPr>
              <w:t>474.59</w:t>
            </w:r>
          </w:p>
        </w:tc>
      </w:tr>
    </w:tbl>
    <w:p w14:paraId="486AADE2" w14:textId="2BBC2E2D" w:rsidR="0096466B" w:rsidRPr="00260C1D" w:rsidRDefault="0096466B" w:rsidP="00A9180D">
      <w:pPr>
        <w:keepNext/>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Identification of a replacement</w:t>
      </w:r>
    </w:p>
    <w:p w14:paraId="3F9DA386"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Central (credit) replacements are identified by any of the following methods using data from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w:t>
      </w:r>
    </w:p>
    <w:p w14:paraId="1D971F27" w14:textId="099962F3" w:rsidR="0096466B" w:rsidRPr="00260C1D" w:rsidRDefault="00C256B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I</w:t>
      </w:r>
      <w:r w:rsidR="0096466B" w:rsidRPr="00260C1D">
        <w:rPr>
          <w:rFonts w:eastAsia="Segoe UI" w:cstheme="minorHAnsi"/>
          <w:color w:val="011A3C"/>
          <w:sz w:val="24"/>
          <w:szCs w:val="24"/>
          <w:lang w:val="en" w:eastAsia="en-AU"/>
        </w:rPr>
        <w:t>ncrease in time fraction</w:t>
      </w:r>
    </w:p>
    <w:p w14:paraId="4992DBFB" w14:textId="5C75B009" w:rsidR="0096466B" w:rsidRPr="00260C1D" w:rsidRDefault="00C256B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w:t>
      </w:r>
      <w:r w:rsidR="0096466B" w:rsidRPr="00260C1D">
        <w:rPr>
          <w:rFonts w:eastAsia="Segoe UI" w:cstheme="minorHAnsi"/>
          <w:color w:val="011A3C"/>
          <w:sz w:val="24"/>
          <w:szCs w:val="24"/>
          <w:lang w:val="en" w:eastAsia="en-AU"/>
        </w:rPr>
        <w:t>ransfer from another school</w:t>
      </w:r>
    </w:p>
    <w:p w14:paraId="220E0A98" w14:textId="29EF261B" w:rsidR="0096466B" w:rsidRPr="00260C1D" w:rsidRDefault="00C256B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w:t>
      </w:r>
      <w:r w:rsidR="0096466B" w:rsidRPr="00260C1D">
        <w:rPr>
          <w:rFonts w:eastAsia="Segoe UI" w:cstheme="minorHAnsi"/>
          <w:color w:val="011A3C"/>
          <w:sz w:val="24"/>
          <w:szCs w:val="24"/>
          <w:lang w:val="en" w:eastAsia="en-AU"/>
        </w:rPr>
        <w:t>emporary resumption from unpaid leave</w:t>
      </w:r>
    </w:p>
    <w:p w14:paraId="0FB93DF7" w14:textId="5695B5AB" w:rsidR="0096466B" w:rsidRPr="00260C1D" w:rsidRDefault="00C256B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F</w:t>
      </w:r>
      <w:r w:rsidR="0096466B" w:rsidRPr="00260C1D">
        <w:rPr>
          <w:rFonts w:eastAsia="Segoe UI" w:cstheme="minorHAnsi"/>
          <w:color w:val="011A3C"/>
          <w:sz w:val="24"/>
          <w:szCs w:val="24"/>
          <w:lang w:val="en" w:eastAsia="en-AU"/>
        </w:rPr>
        <w:t>ixed-term contract</w:t>
      </w:r>
    </w:p>
    <w:p w14:paraId="508AF0EA"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Local (cash) replacements are identified by any of the following methods using data from CASES21:</w:t>
      </w:r>
    </w:p>
    <w:p w14:paraId="7D492615" w14:textId="4867557C" w:rsidR="0096466B" w:rsidRPr="00260C1D" w:rsidRDefault="00D301BF"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L</w:t>
      </w:r>
      <w:r w:rsidR="0096466B" w:rsidRPr="00260C1D">
        <w:rPr>
          <w:rFonts w:eastAsia="Segoe UI" w:cstheme="minorHAnsi"/>
          <w:color w:val="011A3C"/>
          <w:sz w:val="24"/>
          <w:szCs w:val="24"/>
          <w:lang w:val="en" w:eastAsia="en-AU"/>
        </w:rPr>
        <w:t>ocal payroll payment (</w:t>
      </w:r>
      <w:proofErr w:type="spellStart"/>
      <w:r w:rsidR="0096466B" w:rsidRPr="00260C1D">
        <w:rPr>
          <w:rFonts w:eastAsia="Segoe UI" w:cstheme="minorHAnsi"/>
          <w:color w:val="011A3C"/>
          <w:sz w:val="24"/>
          <w:szCs w:val="24"/>
          <w:lang w:val="en" w:eastAsia="en-AU"/>
        </w:rPr>
        <w:t>eduPay</w:t>
      </w:r>
      <w:proofErr w:type="spellEnd"/>
      <w:r w:rsidR="0096466B" w:rsidRPr="00260C1D">
        <w:rPr>
          <w:rFonts w:eastAsia="Segoe UI" w:cstheme="minorHAnsi"/>
          <w:color w:val="011A3C"/>
          <w:sz w:val="24"/>
          <w:szCs w:val="24"/>
          <w:lang w:val="en" w:eastAsia="en-AU"/>
        </w:rPr>
        <w:t xml:space="preserve"> school local payroll)</w:t>
      </w:r>
    </w:p>
    <w:p w14:paraId="7A46F51A" w14:textId="3F475342" w:rsidR="0096466B" w:rsidRPr="00260C1D" w:rsidRDefault="00D301BF"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C</w:t>
      </w:r>
      <w:r w:rsidR="0096466B" w:rsidRPr="00260C1D">
        <w:rPr>
          <w:rFonts w:eastAsia="Segoe UI" w:cstheme="minorHAnsi"/>
          <w:color w:val="011A3C"/>
          <w:sz w:val="24"/>
          <w:szCs w:val="24"/>
          <w:lang w:val="en" w:eastAsia="en-AU"/>
        </w:rPr>
        <w:t>reditor invoice payment (agency)</w:t>
      </w:r>
    </w:p>
    <w:p w14:paraId="0F35E1DB" w14:textId="106F2E71"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Supporting documentation</w:t>
      </w:r>
    </w:p>
    <w:p w14:paraId="21264855" w14:textId="77777777" w:rsidR="0096466B" w:rsidRPr="00260C1D" w:rsidRDefault="00000000"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hyperlink r:id="rId283" w:history="1">
        <w:r w:rsidR="0096466B" w:rsidRPr="00614B09">
          <w:rPr>
            <w:rFonts w:eastAsia="Segoe UI" w:cstheme="minorHAnsi"/>
            <w:color w:val="0563C1"/>
            <w:sz w:val="24"/>
            <w:szCs w:val="24"/>
            <w:u w:val="single"/>
            <w:lang w:val="en" w:eastAsia="en-AU"/>
          </w:rPr>
          <w:t>SRP Leave Portal User Guide (PDF)</w:t>
        </w:r>
      </w:hyperlink>
    </w:p>
    <w:p w14:paraId="54B19A14" w14:textId="77777777" w:rsidR="0096466B" w:rsidRPr="00260C1D" w:rsidRDefault="00000000"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hyperlink r:id="rId284" w:history="1">
        <w:r w:rsidR="0096466B" w:rsidRPr="00614B09">
          <w:rPr>
            <w:rFonts w:eastAsia="Segoe UI" w:cstheme="minorHAnsi"/>
            <w:color w:val="0563C1"/>
            <w:sz w:val="24"/>
            <w:szCs w:val="24"/>
            <w:u w:val="single"/>
            <w:lang w:val="en" w:eastAsia="en-AU"/>
          </w:rPr>
          <w:t>SRP Leave Portal User Guide (Word)</w:t>
        </w:r>
      </w:hyperlink>
    </w:p>
    <w:p w14:paraId="3B830488" w14:textId="2E51E352" w:rsidR="000B1FF1" w:rsidRPr="00CE2E6D" w:rsidRDefault="00000000"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hyperlink r:id="rId285" w:history="1">
        <w:r w:rsidR="0096466B" w:rsidRPr="00614B09">
          <w:rPr>
            <w:rFonts w:eastAsia="Segoe UI" w:cstheme="minorHAnsi"/>
            <w:color w:val="0563C1"/>
            <w:sz w:val="24"/>
            <w:szCs w:val="24"/>
            <w:u w:val="single"/>
            <w:lang w:val="en" w:eastAsia="en-AU"/>
          </w:rPr>
          <w:t>Sample Spread sheet for Leave Replacements (Excel)</w:t>
        </w:r>
      </w:hyperlink>
    </w:p>
    <w:p w14:paraId="4DF8DECF" w14:textId="77777777"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Trailing holidays</w:t>
      </w:r>
    </w:p>
    <w:p w14:paraId="5F88820A"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Where a staff member is absent during the term and vacation period, and the replacement staff member is employed throughout that term and into the following vacation period, this is referred to in the SRP system as a ‘trailing holiday’.</w:t>
      </w:r>
    </w:p>
    <w:p w14:paraId="12F1A77B"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This leave type is only applicable to replacements for absences of 30 days or more of continuous leave, where the replacement is a centrally paid staff member, and where the leave covers the last day of term. This option can be selected from the SRP leave replacement portal.</w:t>
      </w:r>
    </w:p>
    <w:p w14:paraId="5BB2D819" w14:textId="77777777"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Example 1 — Term 2 Break:</w:t>
      </w:r>
    </w:p>
    <w:p w14:paraId="77191CAF" w14:textId="1258D9C3"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John Teacher is an ongoing staff member at Blue Primary School who took long service leave for the whole of Term 2. During his absence</w:t>
      </w:r>
      <w:r w:rsidR="00CD1732">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Elizabeth Teacher was hired into a fixed-term position. Although John’s leave ended on the last day of term, he will not actually return to the school until the first day of Term 3. At the same time, Elizabeth is entitled to be paid for the Term 2 vacation period.</w:t>
      </w:r>
    </w:p>
    <w:p w14:paraId="196E4B1B"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Charging both staff to the school would result in a double charge. Blue Primary School recorded Elizabeth as the central replacement for the full period of leave including the vacation period (trailing holidays). The school was charged as follows:</w:t>
      </w:r>
    </w:p>
    <w:p w14:paraId="37440315"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From the first day of Term 2 to the last day of Term 2 John’s salary will be charged outside the Blue Primary School's budget. Elizabeth's salary in the same period will be charged to Blue Primary School.</w:t>
      </w:r>
    </w:p>
    <w:p w14:paraId="4736FFEA"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John's salary will continue to be charged outside Blue Primary School's budget between the first day of Term 2 vacation until the last day of Term 2 vacation. Elizabeth's salary in the same period will be charged to Blue Primary School.    </w:t>
      </w:r>
    </w:p>
    <w:p w14:paraId="24049232" w14:textId="168A7A30"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Note: </w:t>
      </w:r>
      <w:r w:rsidR="00CD1732">
        <w:rPr>
          <w:rFonts w:eastAsia="Segoe UI" w:cstheme="minorHAnsi"/>
          <w:color w:val="011A3C"/>
          <w:sz w:val="24"/>
          <w:szCs w:val="24"/>
          <w:lang w:val="en" w:eastAsia="en-AU"/>
        </w:rPr>
        <w:t>L</w:t>
      </w:r>
      <w:r w:rsidRPr="00260C1D">
        <w:rPr>
          <w:rFonts w:eastAsia="Segoe UI" w:cstheme="minorHAnsi"/>
          <w:color w:val="011A3C"/>
          <w:sz w:val="24"/>
          <w:szCs w:val="24"/>
          <w:lang w:val="en" w:eastAsia="en-AU"/>
        </w:rPr>
        <w:t>eave charging rules apply, refer to Leave Capping (above).</w:t>
      </w:r>
    </w:p>
    <w:p w14:paraId="5E694800" w14:textId="77777777"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Example 2 — End of year break:</w:t>
      </w:r>
    </w:p>
    <w:p w14:paraId="07FC1EEA"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Jane Teacher is an ongoing staff member at Orange Primary School who was absent on long service leave for the last 7 weeks of Term 4 (greater than 30 continuous working days). During her absence she was replaced by Fred Teacher, a fixed-term teacher who was employed at Orange in a different capacity to the end of Term 3. He was retained at the school through Term 4 to cover the absence of Jane.</w:t>
      </w:r>
    </w:p>
    <w:p w14:paraId="6E3AB499"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Jane’s leave ended on the last day of term, but she will not actually return to the school until the first day of Term 1. Fred is entitled to be paid for the end of year vacation. Charging both staff to the school would result in a double charge. Orange Primary recorded Fred as the central replacement for the full period of leave including the vacation period (trailing holidays). The school was charged as follows:</w:t>
      </w:r>
    </w:p>
    <w:p w14:paraId="5D2F3742" w14:textId="54479E32"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From the first day of Term 4 to the day before Jane goes on leave, Orange Primary School will </w:t>
      </w:r>
      <w:r w:rsidR="002E5AC9" w:rsidRPr="00260C1D">
        <w:rPr>
          <w:rFonts w:eastAsia="Segoe UI" w:cstheme="minorHAnsi"/>
          <w:color w:val="011A3C"/>
          <w:sz w:val="24"/>
          <w:szCs w:val="24"/>
          <w:lang w:val="en" w:eastAsia="en-AU"/>
        </w:rPr>
        <w:t xml:space="preserve">be </w:t>
      </w:r>
      <w:r w:rsidRPr="00260C1D">
        <w:rPr>
          <w:rFonts w:eastAsia="Segoe UI" w:cstheme="minorHAnsi"/>
          <w:color w:val="011A3C"/>
          <w:sz w:val="24"/>
          <w:szCs w:val="24"/>
          <w:lang w:val="en" w:eastAsia="en-AU"/>
        </w:rPr>
        <w:t>charged for her salary. Fred’s salary will also be charged to Orange Primary School during this time.</w:t>
      </w:r>
    </w:p>
    <w:p w14:paraId="7767CB8B"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From the first day Jane is on leave to the last day in Term 4, her salary will be charged outside of Orange Primary School's budget. During this time, Fred’s salary will be charged to Orange Primary School.</w:t>
      </w:r>
    </w:p>
    <w:p w14:paraId="63F89B44" w14:textId="12459DFF"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Additionally, from the first day of </w:t>
      </w:r>
      <w:r w:rsidR="002E5AC9" w:rsidRPr="00260C1D">
        <w:rPr>
          <w:rFonts w:eastAsia="Segoe UI" w:cstheme="minorHAnsi"/>
          <w:color w:val="011A3C"/>
          <w:sz w:val="24"/>
          <w:szCs w:val="24"/>
          <w:lang w:val="en" w:eastAsia="en-AU"/>
        </w:rPr>
        <w:t xml:space="preserve">the </w:t>
      </w:r>
      <w:r w:rsidRPr="00260C1D">
        <w:rPr>
          <w:rFonts w:eastAsia="Segoe UI" w:cstheme="minorHAnsi"/>
          <w:color w:val="011A3C"/>
          <w:sz w:val="24"/>
          <w:szCs w:val="24"/>
          <w:lang w:val="en" w:eastAsia="en-AU"/>
        </w:rPr>
        <w:t>end of year vacation to the last day of end of year vacation, Jane's salary will continue to be charged outside Orange Primary School's budget. Fred's salary during this period will continue to be charged to Orange Primary School.</w:t>
      </w:r>
    </w:p>
    <w:p w14:paraId="0C607261" w14:textId="597E3C28" w:rsidR="0096466B" w:rsidRPr="00260C1D" w:rsidRDefault="0096466B" w:rsidP="00A9180D">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Note: </w:t>
      </w:r>
      <w:r w:rsidR="003500AF">
        <w:rPr>
          <w:rFonts w:eastAsia="Segoe UI" w:cstheme="minorHAnsi"/>
          <w:color w:val="011A3C"/>
          <w:sz w:val="24"/>
          <w:szCs w:val="24"/>
          <w:lang w:val="en" w:eastAsia="en-AU"/>
        </w:rPr>
        <w:t>L</w:t>
      </w:r>
      <w:r w:rsidRPr="00260C1D">
        <w:rPr>
          <w:rFonts w:eastAsia="Segoe UI" w:cstheme="minorHAnsi"/>
          <w:color w:val="011A3C"/>
          <w:sz w:val="24"/>
          <w:szCs w:val="24"/>
          <w:lang w:val="en" w:eastAsia="en-AU"/>
        </w:rPr>
        <w:t>eave charging rules apply, refer to Leave Capping (above).</w:t>
      </w:r>
    </w:p>
    <w:p w14:paraId="420A89D3" w14:textId="77777777" w:rsidR="00034C16" w:rsidRDefault="00034C16" w:rsidP="00532A33">
      <w:pPr>
        <w:pStyle w:val="Heading2"/>
      </w:pPr>
      <w:r>
        <w:br w:type="page"/>
      </w:r>
    </w:p>
    <w:p w14:paraId="437B0295" w14:textId="106306DA" w:rsidR="00CE2E6D" w:rsidRPr="00260C1D" w:rsidRDefault="00CE2E6D" w:rsidP="00532A33">
      <w:pPr>
        <w:pStyle w:val="Heading2"/>
      </w:pPr>
      <w:bookmarkStart w:id="331" w:name="_Toc141965311"/>
      <w:bookmarkStart w:id="332" w:name="_Toc145339639"/>
      <w:bookmarkStart w:id="333" w:name="_Toc153791962"/>
      <w:r w:rsidRPr="00260C1D">
        <w:lastRenderedPageBreak/>
        <w:t>Surplus or deficit</w:t>
      </w:r>
      <w:bookmarkEnd w:id="331"/>
      <w:bookmarkEnd w:id="332"/>
      <w:bookmarkEnd w:id="333"/>
    </w:p>
    <w:p w14:paraId="5DF68B45" w14:textId="7090AED4"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w:t>
      </w:r>
      <w:r w:rsidR="00491E94">
        <w:rPr>
          <w:rFonts w:eastAsia="Segoe UI" w:cstheme="minorHAnsi"/>
          <w:color w:val="011A3C"/>
          <w:sz w:val="24"/>
          <w:szCs w:val="24"/>
          <w:lang w:val="en" w:eastAsia="en-AU"/>
        </w:rPr>
        <w:t xml:space="preserve">section provides information on the </w:t>
      </w:r>
      <w:r w:rsidRPr="00260C1D">
        <w:rPr>
          <w:rFonts w:eastAsia="Segoe UI" w:cstheme="minorHAnsi"/>
          <w:color w:val="011A3C"/>
          <w:sz w:val="24"/>
          <w:szCs w:val="24"/>
          <w:lang w:val="en" w:eastAsia="en-AU"/>
        </w:rPr>
        <w:t>annual pay cycle and rollover of surplus/deficit from one year to the next for the Student Resource Package (SRP).</w:t>
      </w:r>
    </w:p>
    <w:p w14:paraId="5649B466" w14:textId="77777777"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Annual pay cycle</w:t>
      </w:r>
    </w:p>
    <w:p w14:paraId="649AA131"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Allocations in the SRP for salaries are based on a full calendar year, which is 260.893 working days per year. This equates to 365.25 calendar days, taking account of the leap-year cycle.</w:t>
      </w:r>
    </w:p>
    <w:p w14:paraId="1B26C379" w14:textId="798FE3B0"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Actual salary costs </w:t>
      </w:r>
      <w:r w:rsidR="002764F9">
        <w:rPr>
          <w:rFonts w:eastAsia="Segoe UI" w:cstheme="minorHAnsi"/>
          <w:color w:val="011A3C"/>
          <w:sz w:val="24"/>
          <w:szCs w:val="24"/>
          <w:lang w:val="en" w:eastAsia="en-AU"/>
        </w:rPr>
        <w:t>i</w:t>
      </w:r>
      <w:r w:rsidRPr="00260C1D">
        <w:rPr>
          <w:rFonts w:eastAsia="Segoe UI" w:cstheme="minorHAnsi"/>
          <w:color w:val="011A3C"/>
          <w:sz w:val="24"/>
          <w:szCs w:val="24"/>
          <w:lang w:val="en" w:eastAsia="en-AU"/>
        </w:rPr>
        <w:t xml:space="preserve">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are charged to schools each year according to the actual number of working days in the year. This may be 260, 261 or 262 working days in any given year.</w:t>
      </w:r>
    </w:p>
    <w:p w14:paraId="3925B74C" w14:textId="58C6221E"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must take account of these minor variations as part of their normal budget planning. SRP financial reports, including the </w:t>
      </w:r>
      <w:hyperlink r:id="rId286" w:history="1">
        <w:r w:rsidRPr="00614B09">
          <w:rPr>
            <w:rFonts w:eastAsia="Segoe UI" w:cstheme="minorHAnsi"/>
            <w:color w:val="0563C1"/>
            <w:sz w:val="24"/>
            <w:szCs w:val="24"/>
            <w:u w:val="single"/>
            <w:lang w:val="en" w:eastAsia="en-AU"/>
          </w:rPr>
          <w:t>SRP Management Report</w:t>
        </w:r>
      </w:hyperlink>
      <w:r w:rsidRPr="00260C1D">
        <w:rPr>
          <w:rFonts w:eastAsia="Segoe UI" w:cstheme="minorHAnsi"/>
          <w:color w:val="011A3C"/>
          <w:sz w:val="24"/>
          <w:szCs w:val="24"/>
          <w:lang w:val="en" w:eastAsia="en-AU"/>
        </w:rPr>
        <w:t xml:space="preserve"> and </w:t>
      </w:r>
      <w:hyperlink r:id="rId287" w:history="1">
        <w:r w:rsidRPr="00614B09">
          <w:rPr>
            <w:rFonts w:eastAsia="Segoe UI" w:cstheme="minorHAnsi"/>
            <w:color w:val="0563C1"/>
            <w:sz w:val="24"/>
            <w:szCs w:val="24"/>
            <w:u w:val="single"/>
            <w:lang w:val="en" w:eastAsia="en-AU"/>
          </w:rPr>
          <w:t>Salaries Fortnightly Transaction Report</w:t>
        </w:r>
      </w:hyperlink>
      <w:r w:rsidRPr="00260C1D">
        <w:rPr>
          <w:rFonts w:eastAsia="Segoe UI" w:cstheme="minorHAnsi"/>
          <w:color w:val="011A3C"/>
          <w:sz w:val="24"/>
          <w:szCs w:val="24"/>
          <w:lang w:val="en" w:eastAsia="en-AU"/>
        </w:rPr>
        <w:t xml:space="preserve"> (both available from the </w:t>
      </w:r>
      <w:hyperlink r:id="rId288" w:history="1">
        <w:r w:rsidRPr="00614B09">
          <w:rPr>
            <w:rFonts w:eastAsia="Segoe UI" w:cstheme="minorHAnsi"/>
            <w:color w:val="0563C1"/>
            <w:sz w:val="24"/>
            <w:szCs w:val="24"/>
            <w:u w:val="single"/>
            <w:lang w:val="en" w:eastAsia="en-AU"/>
          </w:rPr>
          <w:t>SRP Portal</w:t>
        </w:r>
      </w:hyperlink>
      <w:r w:rsidRPr="00260C1D">
        <w:rPr>
          <w:rFonts w:eastAsia="Segoe UI" w:cstheme="minorHAnsi"/>
          <w:color w:val="011A3C"/>
          <w:sz w:val="24"/>
          <w:szCs w:val="24"/>
          <w:lang w:val="en" w:eastAsia="en-AU"/>
        </w:rPr>
        <w:t xml:space="preserve">), and the SRP Planner (accessible from the </w:t>
      </w:r>
      <w:hyperlink r:id="rId289" w:history="1">
        <w:r w:rsidRPr="00614B09">
          <w:rPr>
            <w:rFonts w:eastAsia="Segoe UI" w:cstheme="minorHAnsi"/>
            <w:color w:val="0563C1"/>
            <w:sz w:val="24"/>
            <w:szCs w:val="24"/>
            <w:u w:val="single"/>
            <w:lang w:val="en" w:eastAsia="en-AU"/>
          </w:rPr>
          <w:t>SRP Portal</w:t>
        </w:r>
      </w:hyperlink>
      <w:r w:rsidRPr="00260C1D">
        <w:rPr>
          <w:rFonts w:eastAsia="Segoe UI" w:cstheme="minorHAnsi"/>
          <w:color w:val="011A3C"/>
          <w:sz w:val="24"/>
          <w:szCs w:val="24"/>
          <w:lang w:val="en" w:eastAsia="en-AU"/>
        </w:rPr>
        <w:t>) are programmed to take account of these annual variations.</w:t>
      </w:r>
    </w:p>
    <w:p w14:paraId="5EF67A90" w14:textId="77777777"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End of year deficit</w:t>
      </w:r>
    </w:p>
    <w:p w14:paraId="30C8D4FC" w14:textId="58B3BECC"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Any credit deficit remaining against the school will be recovered from the school’s cash component in the following year. This recovery will occur against the first quarterly cash grant (QCG) </w:t>
      </w:r>
      <w:r w:rsidR="00B016C5">
        <w:rPr>
          <w:rFonts w:eastAsia="Segoe UI" w:cstheme="minorHAnsi"/>
          <w:color w:val="011A3C"/>
          <w:sz w:val="24"/>
          <w:szCs w:val="24"/>
          <w:lang w:val="en" w:eastAsia="en-AU"/>
        </w:rPr>
        <w:t xml:space="preserve">after the </w:t>
      </w:r>
      <w:r w:rsidRPr="00260C1D">
        <w:rPr>
          <w:rFonts w:eastAsia="Segoe UI" w:cstheme="minorHAnsi"/>
          <w:color w:val="011A3C"/>
          <w:sz w:val="24"/>
          <w:szCs w:val="24"/>
          <w:lang w:val="en" w:eastAsia="en-AU"/>
        </w:rPr>
        <w:t xml:space="preserve">reconciliation </w:t>
      </w:r>
      <w:r w:rsidR="00B016C5">
        <w:rPr>
          <w:rFonts w:eastAsia="Segoe UI" w:cstheme="minorHAnsi"/>
          <w:color w:val="011A3C"/>
          <w:sz w:val="24"/>
          <w:szCs w:val="24"/>
          <w:lang w:val="en" w:eastAsia="en-AU"/>
        </w:rPr>
        <w:t xml:space="preserve">is </w:t>
      </w:r>
      <w:proofErr w:type="spellStart"/>
      <w:r w:rsidR="00B016C5">
        <w:rPr>
          <w:rFonts w:eastAsia="Segoe UI" w:cstheme="minorHAnsi"/>
          <w:color w:val="011A3C"/>
          <w:sz w:val="24"/>
          <w:szCs w:val="24"/>
          <w:lang w:val="en" w:eastAsia="en-AU"/>
        </w:rPr>
        <w:t>finalised</w:t>
      </w:r>
      <w:proofErr w:type="spellEnd"/>
      <w:r w:rsidR="00B016C5">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 xml:space="preserve">for all schools. If there are insufficient funds available in the first QCG to cover the outstanding deficit amount, the balance will be recovered from the next QCG(s). If there remains an outstanding deficit amount after the Term 4 QCG, the school will be </w:t>
      </w:r>
      <w:r w:rsidR="002E5AC9" w:rsidRPr="00260C1D">
        <w:rPr>
          <w:rFonts w:eastAsia="Segoe UI" w:cstheme="minorHAnsi"/>
          <w:color w:val="011A3C"/>
          <w:sz w:val="24"/>
          <w:szCs w:val="24"/>
          <w:lang w:val="en" w:eastAsia="en-AU"/>
        </w:rPr>
        <w:t>contacted,</w:t>
      </w:r>
      <w:r w:rsidRPr="00260C1D">
        <w:rPr>
          <w:rFonts w:eastAsia="Segoe UI" w:cstheme="minorHAnsi"/>
          <w:color w:val="011A3C"/>
          <w:sz w:val="24"/>
          <w:szCs w:val="24"/>
          <w:lang w:val="en" w:eastAsia="en-AU"/>
        </w:rPr>
        <w:t xml:space="preserve"> and arrangements made for the balance to be paid</w:t>
      </w:r>
      <w:r w:rsidR="002E5AC9" w:rsidRPr="00260C1D">
        <w:rPr>
          <w:rFonts w:eastAsia="Segoe UI" w:cstheme="minorHAnsi"/>
          <w:color w:val="011A3C"/>
          <w:sz w:val="24"/>
          <w:szCs w:val="24"/>
          <w:lang w:val="en" w:eastAsia="en-AU"/>
        </w:rPr>
        <w:t xml:space="preserve">, </w:t>
      </w:r>
      <w:r w:rsidR="002E5AC9" w:rsidRPr="00260C1D">
        <w:rPr>
          <w:rFonts w:eastAsia="Segoe UI" w:cstheme="minorHAnsi"/>
          <w:color w:val="011A3C"/>
          <w:sz w:val="24"/>
          <w:szCs w:val="24"/>
          <w:lang w:eastAsia="en-AU"/>
        </w:rPr>
        <w:t>preferably</w:t>
      </w:r>
      <w:r w:rsidR="002E5AC9" w:rsidRPr="00260C1D">
        <w:rPr>
          <w:rFonts w:eastAsia="Segoe UI" w:cstheme="minorHAnsi"/>
          <w:color w:val="011A3C"/>
          <w:sz w:val="24"/>
          <w:szCs w:val="24"/>
          <w:lang w:val="en" w:eastAsia="en-AU"/>
        </w:rPr>
        <w:t xml:space="preserve"> via Electronic Funds Transfer (EFT)</w:t>
      </w:r>
      <w:r w:rsidRPr="00260C1D">
        <w:rPr>
          <w:rFonts w:eastAsia="Segoe UI" w:cstheme="minorHAnsi"/>
          <w:color w:val="011A3C"/>
          <w:sz w:val="24"/>
          <w:szCs w:val="24"/>
          <w:lang w:val="en" w:eastAsia="en-A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20"/>
        <w:gridCol w:w="1425"/>
        <w:gridCol w:w="2131"/>
        <w:gridCol w:w="2131"/>
        <w:gridCol w:w="2149"/>
      </w:tblGrid>
      <w:tr w:rsidR="000B1FF1" w:rsidRPr="00260C1D" w14:paraId="39E0341A" w14:textId="77777777" w:rsidTr="003243F4">
        <w:trPr>
          <w:tblHeader/>
        </w:trPr>
        <w:tc>
          <w:tcPr>
            <w:tcW w:w="0" w:type="auto"/>
            <w:gridSpan w:val="5"/>
            <w:vAlign w:val="center"/>
            <w:hideMark/>
          </w:tcPr>
          <w:p w14:paraId="239F85E4" w14:textId="77777777" w:rsidR="0096466B" w:rsidRPr="00260C1D" w:rsidRDefault="0096466B" w:rsidP="003243F4">
            <w:pPr>
              <w:spacing w:before="100" w:beforeAutospacing="1" w:after="100" w:afterAutospacing="1" w:line="360" w:lineRule="atLeast"/>
              <w:rPr>
                <w:rFonts w:eastAsia="Segoe UI" w:cstheme="minorHAnsi"/>
                <w:color w:val="323E4F" w:themeColor="text2" w:themeShade="BF"/>
                <w:sz w:val="24"/>
                <w:szCs w:val="24"/>
                <w:lang w:eastAsia="en-AU"/>
              </w:rPr>
            </w:pPr>
            <w:r w:rsidRPr="00260C1D">
              <w:rPr>
                <w:rFonts w:eastAsia="Segoe UI" w:cstheme="minorHAnsi"/>
                <w:b/>
                <w:color w:val="323E4F" w:themeColor="text2" w:themeShade="BF"/>
                <w:sz w:val="24"/>
                <w:szCs w:val="24"/>
                <w:lang w:val="en" w:eastAsia="en-AU"/>
              </w:rPr>
              <w:t>Example 1: Recovery from Term 3 QCG</w:t>
            </w:r>
          </w:p>
        </w:tc>
      </w:tr>
      <w:tr w:rsidR="000B1FF1" w:rsidRPr="00260C1D" w14:paraId="79DD10BF" w14:textId="77777777" w:rsidTr="003243F4">
        <w:trPr>
          <w:tblHeader/>
        </w:trPr>
        <w:tc>
          <w:tcPr>
            <w:tcW w:w="0" w:type="auto"/>
            <w:hideMark/>
          </w:tcPr>
          <w:p w14:paraId="693B8CBB" w14:textId="77777777" w:rsidR="0096466B" w:rsidRPr="00260C1D" w:rsidRDefault="0096466B" w:rsidP="00ED4312">
            <w:pPr>
              <w:spacing w:after="0" w:line="240" w:lineRule="auto"/>
              <w:rPr>
                <w:rFonts w:eastAsia="Segoe UI" w:cstheme="minorHAnsi"/>
                <w:color w:val="323E4F" w:themeColor="text2" w:themeShade="BF"/>
                <w:sz w:val="24"/>
                <w:szCs w:val="24"/>
                <w:lang w:eastAsia="en-AU"/>
              </w:rPr>
            </w:pPr>
          </w:p>
        </w:tc>
        <w:tc>
          <w:tcPr>
            <w:tcW w:w="0" w:type="auto"/>
            <w:hideMark/>
          </w:tcPr>
          <w:p w14:paraId="2C92C01F" w14:textId="77777777" w:rsidR="0096466B" w:rsidRPr="00260C1D" w:rsidRDefault="0096466B" w:rsidP="00ED4312">
            <w:pPr>
              <w:spacing w:after="0" w:line="240" w:lineRule="atLeast"/>
              <w:rPr>
                <w:rFonts w:eastAsia="Segoe UI" w:cstheme="minorHAnsi"/>
                <w:color w:val="323E4F" w:themeColor="text2" w:themeShade="BF"/>
                <w:sz w:val="20"/>
                <w:szCs w:val="20"/>
                <w:lang w:eastAsia="en-AU"/>
              </w:rPr>
            </w:pPr>
          </w:p>
        </w:tc>
        <w:tc>
          <w:tcPr>
            <w:tcW w:w="0" w:type="auto"/>
            <w:hideMark/>
          </w:tcPr>
          <w:p w14:paraId="14E1251B" w14:textId="77777777" w:rsidR="0096466B" w:rsidRPr="00614B09" w:rsidRDefault="0096466B"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Term 3 QCG</w:t>
            </w:r>
          </w:p>
        </w:tc>
        <w:tc>
          <w:tcPr>
            <w:tcW w:w="0" w:type="auto"/>
            <w:hideMark/>
          </w:tcPr>
          <w:p w14:paraId="1C5926FF" w14:textId="77777777" w:rsidR="0096466B" w:rsidRPr="00614B09" w:rsidRDefault="0096466B"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Term 4 QCG</w:t>
            </w:r>
          </w:p>
        </w:tc>
        <w:tc>
          <w:tcPr>
            <w:tcW w:w="0" w:type="auto"/>
            <w:hideMark/>
          </w:tcPr>
          <w:p w14:paraId="2339C23B" w14:textId="6FC2829C" w:rsidR="0096466B" w:rsidRPr="00614B09" w:rsidRDefault="002E5AC9"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EFT/</w:t>
            </w:r>
            <w:r w:rsidR="0096466B" w:rsidRPr="00614B09">
              <w:rPr>
                <w:rFonts w:eastAsia="Segoe UI" w:cstheme="minorHAnsi"/>
                <w:b/>
                <w:bCs/>
                <w:color w:val="323E4F" w:themeColor="text2" w:themeShade="BF"/>
                <w:sz w:val="24"/>
                <w:szCs w:val="24"/>
                <w:lang w:eastAsia="en-AU"/>
              </w:rPr>
              <w:t>Cheque</w:t>
            </w:r>
          </w:p>
        </w:tc>
      </w:tr>
      <w:tr w:rsidR="000B1FF1" w:rsidRPr="00260C1D" w14:paraId="32CE3F30" w14:textId="77777777" w:rsidTr="002E5AC9">
        <w:tc>
          <w:tcPr>
            <w:tcW w:w="0" w:type="auto"/>
            <w:tcBorders>
              <w:bottom w:val="single" w:sz="4" w:space="0" w:color="auto"/>
            </w:tcBorders>
            <w:hideMark/>
          </w:tcPr>
          <w:p w14:paraId="30D85BE2" w14:textId="77777777" w:rsidR="0096466B" w:rsidRPr="00260C1D" w:rsidRDefault="0096466B" w:rsidP="00ED4312">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QCG Amount</w:t>
            </w:r>
          </w:p>
        </w:tc>
        <w:tc>
          <w:tcPr>
            <w:tcW w:w="0" w:type="auto"/>
            <w:tcBorders>
              <w:bottom w:val="single" w:sz="4" w:space="0" w:color="auto"/>
            </w:tcBorders>
            <w:hideMark/>
          </w:tcPr>
          <w:p w14:paraId="7749C789" w14:textId="77777777" w:rsidR="0096466B" w:rsidRPr="00260C1D" w:rsidRDefault="0096466B" w:rsidP="00ED4312">
            <w:pPr>
              <w:spacing w:after="0" w:line="360" w:lineRule="atLeast"/>
              <w:rPr>
                <w:rFonts w:eastAsia="Segoe UI" w:cstheme="minorHAnsi"/>
                <w:color w:val="323E4F" w:themeColor="text2" w:themeShade="BF"/>
                <w:sz w:val="24"/>
                <w:szCs w:val="24"/>
                <w:lang w:eastAsia="en-AU"/>
              </w:rPr>
            </w:pPr>
          </w:p>
        </w:tc>
        <w:tc>
          <w:tcPr>
            <w:tcW w:w="0" w:type="auto"/>
            <w:hideMark/>
          </w:tcPr>
          <w:p w14:paraId="6478DC30" w14:textId="41758F44" w:rsidR="0096466B" w:rsidRPr="00260C1D" w:rsidRDefault="002E5AC9"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466B" w:rsidRPr="00260C1D">
              <w:rPr>
                <w:rFonts w:eastAsia="Segoe UI" w:cstheme="minorHAnsi"/>
                <w:color w:val="323E4F" w:themeColor="text2" w:themeShade="BF"/>
                <w:sz w:val="24"/>
                <w:szCs w:val="24"/>
                <w:lang w:eastAsia="en-AU"/>
              </w:rPr>
              <w:t>50,000</w:t>
            </w:r>
          </w:p>
        </w:tc>
        <w:tc>
          <w:tcPr>
            <w:tcW w:w="0" w:type="auto"/>
            <w:hideMark/>
          </w:tcPr>
          <w:p w14:paraId="0BA3FC60" w14:textId="56060CFA" w:rsidR="0096466B" w:rsidRPr="00260C1D" w:rsidRDefault="002E5AC9"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466B" w:rsidRPr="00260C1D">
              <w:rPr>
                <w:rFonts w:eastAsia="Segoe UI" w:cstheme="minorHAnsi"/>
                <w:color w:val="323E4F" w:themeColor="text2" w:themeShade="BF"/>
                <w:sz w:val="24"/>
                <w:szCs w:val="24"/>
                <w:lang w:eastAsia="en-AU"/>
              </w:rPr>
              <w:t>50,000</w:t>
            </w:r>
          </w:p>
        </w:tc>
        <w:tc>
          <w:tcPr>
            <w:tcW w:w="0" w:type="auto"/>
            <w:hideMark/>
          </w:tcPr>
          <w:p w14:paraId="2D15A7AC" w14:textId="77777777" w:rsidR="0096466B" w:rsidRPr="00260C1D" w:rsidRDefault="0096466B" w:rsidP="00614B09">
            <w:pPr>
              <w:spacing w:after="0" w:line="360" w:lineRule="atLeast"/>
              <w:jc w:val="right"/>
              <w:rPr>
                <w:rFonts w:eastAsia="Segoe UI" w:cstheme="minorHAnsi"/>
                <w:color w:val="323E4F" w:themeColor="text2" w:themeShade="BF"/>
                <w:sz w:val="24"/>
                <w:szCs w:val="24"/>
                <w:lang w:eastAsia="en-AU"/>
              </w:rPr>
            </w:pPr>
          </w:p>
        </w:tc>
      </w:tr>
      <w:tr w:rsidR="000B1FF1" w:rsidRPr="00260C1D" w14:paraId="22293A55" w14:textId="77777777" w:rsidTr="002E5AC9">
        <w:tc>
          <w:tcPr>
            <w:tcW w:w="0" w:type="auto"/>
            <w:tcBorders>
              <w:right w:val="nil"/>
            </w:tcBorders>
            <w:hideMark/>
          </w:tcPr>
          <w:p w14:paraId="2D5AD5C7" w14:textId="77777777" w:rsidR="0096466B" w:rsidRPr="00260C1D" w:rsidRDefault="0096466B" w:rsidP="00ED4312">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Deficit Amount</w:t>
            </w:r>
          </w:p>
        </w:tc>
        <w:tc>
          <w:tcPr>
            <w:tcW w:w="0" w:type="auto"/>
            <w:tcBorders>
              <w:left w:val="nil"/>
            </w:tcBorders>
            <w:hideMark/>
          </w:tcPr>
          <w:p w14:paraId="10C7F5C2" w14:textId="57595115" w:rsidR="0096466B" w:rsidRPr="00260C1D" w:rsidRDefault="002E5AC9" w:rsidP="00ED4312">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466B" w:rsidRPr="00260C1D">
              <w:rPr>
                <w:rFonts w:eastAsia="Segoe UI" w:cstheme="minorHAnsi"/>
                <w:color w:val="323E4F" w:themeColor="text2" w:themeShade="BF"/>
                <w:sz w:val="24"/>
                <w:szCs w:val="24"/>
                <w:lang w:eastAsia="en-AU"/>
              </w:rPr>
              <w:t>10,000</w:t>
            </w:r>
          </w:p>
        </w:tc>
        <w:tc>
          <w:tcPr>
            <w:tcW w:w="0" w:type="auto"/>
            <w:hideMark/>
          </w:tcPr>
          <w:p w14:paraId="622BCB5F" w14:textId="6B16737C" w:rsidR="0096466B" w:rsidRPr="00260C1D" w:rsidRDefault="002E5AC9"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466B" w:rsidRPr="00260C1D">
              <w:rPr>
                <w:rFonts w:eastAsia="Segoe UI" w:cstheme="minorHAnsi"/>
                <w:color w:val="323E4F" w:themeColor="text2" w:themeShade="BF"/>
                <w:sz w:val="24"/>
                <w:szCs w:val="24"/>
                <w:lang w:eastAsia="en-AU"/>
              </w:rPr>
              <w:t>10,000</w:t>
            </w:r>
          </w:p>
        </w:tc>
        <w:tc>
          <w:tcPr>
            <w:tcW w:w="0" w:type="auto"/>
            <w:hideMark/>
          </w:tcPr>
          <w:p w14:paraId="4525E8AF" w14:textId="412CB487" w:rsidR="0096466B" w:rsidRPr="00260C1D" w:rsidRDefault="002E5AC9"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466B" w:rsidRPr="00260C1D">
              <w:rPr>
                <w:rFonts w:eastAsia="Segoe UI" w:cstheme="minorHAnsi"/>
                <w:color w:val="323E4F" w:themeColor="text2" w:themeShade="BF"/>
                <w:sz w:val="24"/>
                <w:szCs w:val="24"/>
                <w:lang w:eastAsia="en-AU"/>
              </w:rPr>
              <w:t>0</w:t>
            </w:r>
          </w:p>
        </w:tc>
        <w:tc>
          <w:tcPr>
            <w:tcW w:w="0" w:type="auto"/>
            <w:hideMark/>
          </w:tcPr>
          <w:p w14:paraId="5A5C4E00" w14:textId="18888858" w:rsidR="0096466B" w:rsidRPr="00260C1D" w:rsidRDefault="002E5AC9"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466B" w:rsidRPr="00260C1D">
              <w:rPr>
                <w:rFonts w:eastAsia="Segoe UI" w:cstheme="minorHAnsi"/>
                <w:color w:val="323E4F" w:themeColor="text2" w:themeShade="BF"/>
                <w:sz w:val="24"/>
                <w:szCs w:val="24"/>
                <w:lang w:eastAsia="en-AU"/>
              </w:rPr>
              <w:t>0</w:t>
            </w:r>
          </w:p>
        </w:tc>
      </w:tr>
      <w:tr w:rsidR="000B1FF1" w:rsidRPr="00260C1D" w14:paraId="4367C060" w14:textId="77777777" w:rsidTr="003243F4">
        <w:trPr>
          <w:tblHeader/>
        </w:trPr>
        <w:tc>
          <w:tcPr>
            <w:tcW w:w="0" w:type="auto"/>
            <w:gridSpan w:val="5"/>
            <w:vAlign w:val="center"/>
            <w:hideMark/>
          </w:tcPr>
          <w:p w14:paraId="22AF8AAC" w14:textId="77777777" w:rsidR="0096466B" w:rsidRPr="00260C1D" w:rsidRDefault="0096466B" w:rsidP="00ED4312">
            <w:pPr>
              <w:spacing w:before="100" w:beforeAutospacing="1" w:after="100" w:afterAutospacing="1" w:line="288" w:lineRule="atLeast"/>
              <w:textAlignment w:val="top"/>
              <w:outlineLvl w:val="3"/>
              <w:rPr>
                <w:rFonts w:eastAsia="Segoe UI" w:cstheme="minorHAnsi"/>
                <w:b/>
                <w:color w:val="323E4F" w:themeColor="text2" w:themeShade="BF"/>
                <w:sz w:val="24"/>
                <w:szCs w:val="24"/>
                <w:lang w:eastAsia="en-AU"/>
              </w:rPr>
            </w:pPr>
            <w:r w:rsidRPr="00260C1D">
              <w:rPr>
                <w:rFonts w:eastAsia="Segoe UI" w:cstheme="minorHAnsi"/>
                <w:b/>
                <w:color w:val="323E4F" w:themeColor="text2" w:themeShade="BF"/>
                <w:sz w:val="24"/>
                <w:szCs w:val="24"/>
                <w:lang w:eastAsia="en-AU"/>
              </w:rPr>
              <w:t>Example 2: Recovery starting in Term 3 and finishing Term 4 QCG</w:t>
            </w:r>
          </w:p>
        </w:tc>
      </w:tr>
      <w:tr w:rsidR="000B1FF1" w:rsidRPr="00260C1D" w14:paraId="2B2DFE5B" w14:textId="77777777" w:rsidTr="003243F4">
        <w:trPr>
          <w:tblHeader/>
        </w:trPr>
        <w:tc>
          <w:tcPr>
            <w:tcW w:w="0" w:type="auto"/>
            <w:hideMark/>
          </w:tcPr>
          <w:p w14:paraId="7E4BFF2F" w14:textId="77777777" w:rsidR="0096466B" w:rsidRPr="00260C1D" w:rsidRDefault="0096466B" w:rsidP="00ED4312">
            <w:pPr>
              <w:spacing w:after="0" w:line="240" w:lineRule="auto"/>
              <w:rPr>
                <w:rFonts w:eastAsia="Segoe UI" w:cstheme="minorHAnsi"/>
                <w:color w:val="323E4F" w:themeColor="text2" w:themeShade="BF"/>
                <w:sz w:val="24"/>
                <w:szCs w:val="24"/>
                <w:lang w:eastAsia="en-AU"/>
              </w:rPr>
            </w:pPr>
          </w:p>
        </w:tc>
        <w:tc>
          <w:tcPr>
            <w:tcW w:w="0" w:type="auto"/>
            <w:hideMark/>
          </w:tcPr>
          <w:p w14:paraId="4489A5E2" w14:textId="77777777" w:rsidR="0096466B" w:rsidRPr="00260C1D" w:rsidRDefault="0096466B" w:rsidP="00ED4312">
            <w:pPr>
              <w:spacing w:after="0" w:line="240" w:lineRule="atLeast"/>
              <w:rPr>
                <w:rFonts w:eastAsia="Segoe UI" w:cstheme="minorHAnsi"/>
                <w:b/>
                <w:color w:val="323E4F" w:themeColor="text2" w:themeShade="BF"/>
                <w:sz w:val="20"/>
                <w:szCs w:val="20"/>
                <w:lang w:eastAsia="en-AU"/>
              </w:rPr>
            </w:pPr>
          </w:p>
        </w:tc>
        <w:tc>
          <w:tcPr>
            <w:tcW w:w="0" w:type="auto"/>
            <w:hideMark/>
          </w:tcPr>
          <w:p w14:paraId="6FADBA06" w14:textId="77777777" w:rsidR="0096466B" w:rsidRPr="00614B09" w:rsidRDefault="0096466B"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Term 3 QCG</w:t>
            </w:r>
          </w:p>
        </w:tc>
        <w:tc>
          <w:tcPr>
            <w:tcW w:w="0" w:type="auto"/>
            <w:hideMark/>
          </w:tcPr>
          <w:p w14:paraId="76C659BC" w14:textId="77777777" w:rsidR="0096466B" w:rsidRPr="00614B09" w:rsidRDefault="0096466B"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Term 4 QCG</w:t>
            </w:r>
          </w:p>
        </w:tc>
        <w:tc>
          <w:tcPr>
            <w:tcW w:w="0" w:type="auto"/>
            <w:hideMark/>
          </w:tcPr>
          <w:p w14:paraId="326D6E52" w14:textId="74F17CCD" w:rsidR="0096466B" w:rsidRPr="00614B09" w:rsidRDefault="002E5AC9"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EFT/</w:t>
            </w:r>
            <w:r w:rsidR="0096466B" w:rsidRPr="00614B09">
              <w:rPr>
                <w:rFonts w:eastAsia="Segoe UI" w:cstheme="minorHAnsi"/>
                <w:b/>
                <w:bCs/>
                <w:color w:val="323E4F" w:themeColor="text2" w:themeShade="BF"/>
                <w:sz w:val="24"/>
                <w:szCs w:val="24"/>
                <w:lang w:eastAsia="en-AU"/>
              </w:rPr>
              <w:t>Cheque</w:t>
            </w:r>
          </w:p>
        </w:tc>
      </w:tr>
      <w:tr w:rsidR="000B1FF1" w:rsidRPr="00260C1D" w14:paraId="734A20BE" w14:textId="77777777" w:rsidTr="002E5AC9">
        <w:tc>
          <w:tcPr>
            <w:tcW w:w="0" w:type="auto"/>
            <w:tcBorders>
              <w:bottom w:val="single" w:sz="4" w:space="0" w:color="auto"/>
            </w:tcBorders>
            <w:hideMark/>
          </w:tcPr>
          <w:p w14:paraId="1E83B63D" w14:textId="77777777" w:rsidR="0096466B" w:rsidRPr="00260C1D" w:rsidRDefault="0096466B" w:rsidP="00ED4312">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QCG Amount</w:t>
            </w:r>
          </w:p>
        </w:tc>
        <w:tc>
          <w:tcPr>
            <w:tcW w:w="0" w:type="auto"/>
            <w:tcBorders>
              <w:bottom w:val="single" w:sz="4" w:space="0" w:color="auto"/>
            </w:tcBorders>
            <w:hideMark/>
          </w:tcPr>
          <w:p w14:paraId="3DF2F915" w14:textId="77777777" w:rsidR="0096466B" w:rsidRPr="00260C1D" w:rsidRDefault="0096466B" w:rsidP="00ED4312">
            <w:pPr>
              <w:spacing w:after="0" w:line="360" w:lineRule="atLeast"/>
              <w:rPr>
                <w:rFonts w:eastAsia="Segoe UI" w:cstheme="minorHAnsi"/>
                <w:color w:val="323E4F" w:themeColor="text2" w:themeShade="BF"/>
                <w:sz w:val="24"/>
                <w:szCs w:val="24"/>
                <w:lang w:eastAsia="en-AU"/>
              </w:rPr>
            </w:pPr>
          </w:p>
        </w:tc>
        <w:tc>
          <w:tcPr>
            <w:tcW w:w="0" w:type="auto"/>
            <w:hideMark/>
          </w:tcPr>
          <w:p w14:paraId="2D4A79F0" w14:textId="02E4B893" w:rsidR="0096466B" w:rsidRPr="00260C1D" w:rsidRDefault="002E5AC9"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466B" w:rsidRPr="00260C1D">
              <w:rPr>
                <w:rFonts w:eastAsia="Segoe UI" w:cstheme="minorHAnsi"/>
                <w:color w:val="323E4F" w:themeColor="text2" w:themeShade="BF"/>
                <w:sz w:val="24"/>
                <w:szCs w:val="24"/>
                <w:lang w:eastAsia="en-AU"/>
              </w:rPr>
              <w:t>50,000</w:t>
            </w:r>
          </w:p>
        </w:tc>
        <w:tc>
          <w:tcPr>
            <w:tcW w:w="0" w:type="auto"/>
            <w:hideMark/>
          </w:tcPr>
          <w:p w14:paraId="1D34C7D4" w14:textId="3CB90E2A" w:rsidR="0096466B" w:rsidRPr="00260C1D" w:rsidRDefault="002E5AC9"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466B" w:rsidRPr="00260C1D">
              <w:rPr>
                <w:rFonts w:eastAsia="Segoe UI" w:cstheme="minorHAnsi"/>
                <w:color w:val="323E4F" w:themeColor="text2" w:themeShade="BF"/>
                <w:sz w:val="24"/>
                <w:szCs w:val="24"/>
                <w:lang w:eastAsia="en-AU"/>
              </w:rPr>
              <w:t>50,000</w:t>
            </w:r>
          </w:p>
        </w:tc>
        <w:tc>
          <w:tcPr>
            <w:tcW w:w="0" w:type="auto"/>
            <w:hideMark/>
          </w:tcPr>
          <w:p w14:paraId="0CE2C91D" w14:textId="77777777" w:rsidR="0096466B" w:rsidRPr="00260C1D" w:rsidRDefault="0096466B" w:rsidP="00614B09">
            <w:pPr>
              <w:spacing w:after="0" w:line="360" w:lineRule="atLeast"/>
              <w:jc w:val="right"/>
              <w:rPr>
                <w:rFonts w:eastAsia="Segoe UI" w:cstheme="minorHAnsi"/>
                <w:color w:val="323E4F" w:themeColor="text2" w:themeShade="BF"/>
                <w:sz w:val="24"/>
                <w:szCs w:val="24"/>
                <w:lang w:eastAsia="en-AU"/>
              </w:rPr>
            </w:pPr>
          </w:p>
        </w:tc>
      </w:tr>
      <w:tr w:rsidR="000B1FF1" w:rsidRPr="00260C1D" w14:paraId="50C2122D" w14:textId="77777777" w:rsidTr="002E5AC9">
        <w:tc>
          <w:tcPr>
            <w:tcW w:w="0" w:type="auto"/>
            <w:tcBorders>
              <w:right w:val="nil"/>
            </w:tcBorders>
            <w:hideMark/>
          </w:tcPr>
          <w:p w14:paraId="7DD7169A" w14:textId="77777777" w:rsidR="0096466B" w:rsidRPr="00260C1D" w:rsidRDefault="0096466B" w:rsidP="00ED4312">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Deficit Amount</w:t>
            </w:r>
          </w:p>
        </w:tc>
        <w:tc>
          <w:tcPr>
            <w:tcW w:w="0" w:type="auto"/>
            <w:tcBorders>
              <w:left w:val="nil"/>
            </w:tcBorders>
            <w:hideMark/>
          </w:tcPr>
          <w:p w14:paraId="3F8AFC45" w14:textId="0F246934" w:rsidR="0096466B" w:rsidRPr="00260C1D" w:rsidRDefault="002E5AC9" w:rsidP="00ED4312">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466B" w:rsidRPr="00260C1D">
              <w:rPr>
                <w:rFonts w:eastAsia="Segoe UI" w:cstheme="minorHAnsi"/>
                <w:color w:val="323E4F" w:themeColor="text2" w:themeShade="BF"/>
                <w:sz w:val="24"/>
                <w:szCs w:val="24"/>
                <w:lang w:eastAsia="en-AU"/>
              </w:rPr>
              <w:t>60,000</w:t>
            </w:r>
          </w:p>
        </w:tc>
        <w:tc>
          <w:tcPr>
            <w:tcW w:w="0" w:type="auto"/>
            <w:hideMark/>
          </w:tcPr>
          <w:p w14:paraId="51FCB350" w14:textId="1B899A39" w:rsidR="0096466B" w:rsidRPr="00260C1D" w:rsidRDefault="002E5AC9"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466B" w:rsidRPr="00260C1D">
              <w:rPr>
                <w:rFonts w:eastAsia="Segoe UI" w:cstheme="minorHAnsi"/>
                <w:color w:val="323E4F" w:themeColor="text2" w:themeShade="BF"/>
                <w:sz w:val="24"/>
                <w:szCs w:val="24"/>
                <w:lang w:eastAsia="en-AU"/>
              </w:rPr>
              <w:t>50,000</w:t>
            </w:r>
          </w:p>
        </w:tc>
        <w:tc>
          <w:tcPr>
            <w:tcW w:w="0" w:type="auto"/>
            <w:hideMark/>
          </w:tcPr>
          <w:p w14:paraId="6677F281" w14:textId="22612DFD" w:rsidR="0096466B" w:rsidRPr="00260C1D" w:rsidRDefault="002E5AC9"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466B" w:rsidRPr="00260C1D">
              <w:rPr>
                <w:rFonts w:eastAsia="Segoe UI" w:cstheme="minorHAnsi"/>
                <w:color w:val="323E4F" w:themeColor="text2" w:themeShade="BF"/>
                <w:sz w:val="24"/>
                <w:szCs w:val="24"/>
                <w:lang w:eastAsia="en-AU"/>
              </w:rPr>
              <w:t>10,000</w:t>
            </w:r>
          </w:p>
        </w:tc>
        <w:tc>
          <w:tcPr>
            <w:tcW w:w="0" w:type="auto"/>
            <w:hideMark/>
          </w:tcPr>
          <w:p w14:paraId="229F3507" w14:textId="052DF664" w:rsidR="0096466B" w:rsidRPr="00260C1D" w:rsidRDefault="002E5AC9"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466B" w:rsidRPr="00260C1D">
              <w:rPr>
                <w:rFonts w:eastAsia="Segoe UI" w:cstheme="minorHAnsi"/>
                <w:color w:val="323E4F" w:themeColor="text2" w:themeShade="BF"/>
                <w:sz w:val="24"/>
                <w:szCs w:val="24"/>
                <w:lang w:eastAsia="en-AU"/>
              </w:rPr>
              <w:t>0</w:t>
            </w:r>
          </w:p>
        </w:tc>
      </w:tr>
    </w:tbl>
    <w:p w14:paraId="404030DF" w14:textId="77777777" w:rsidR="0096466B" w:rsidRPr="00260C1D" w:rsidRDefault="0096466B" w:rsidP="0096466B">
      <w:pPr>
        <w:spacing w:after="0" w:line="360" w:lineRule="atLeast"/>
        <w:rPr>
          <w:rFonts w:eastAsia="Segoe UI" w:cstheme="minorHAnsi"/>
          <w:vanish/>
          <w:color w:val="323E4F" w:themeColor="text2" w:themeShade="BF"/>
          <w:sz w:val="24"/>
          <w:szCs w:val="24"/>
          <w:lang w:val="en"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0"/>
        <w:gridCol w:w="1605"/>
        <w:gridCol w:w="2088"/>
        <w:gridCol w:w="2088"/>
        <w:gridCol w:w="2105"/>
      </w:tblGrid>
      <w:tr w:rsidR="000B1FF1" w:rsidRPr="00260C1D" w14:paraId="0125E723" w14:textId="77777777" w:rsidTr="003243F4">
        <w:trPr>
          <w:tblHeader/>
        </w:trPr>
        <w:tc>
          <w:tcPr>
            <w:tcW w:w="0" w:type="auto"/>
            <w:gridSpan w:val="5"/>
            <w:vAlign w:val="center"/>
            <w:hideMark/>
          </w:tcPr>
          <w:p w14:paraId="799FC3C2" w14:textId="77777777" w:rsidR="0096466B" w:rsidRPr="00260C1D" w:rsidRDefault="0096466B" w:rsidP="00ED4312">
            <w:pPr>
              <w:spacing w:before="100" w:beforeAutospacing="1" w:after="100" w:afterAutospacing="1" w:line="288" w:lineRule="atLeast"/>
              <w:textAlignment w:val="top"/>
              <w:outlineLvl w:val="3"/>
              <w:rPr>
                <w:rFonts w:eastAsia="Segoe UI" w:cstheme="minorHAnsi"/>
                <w:b/>
                <w:color w:val="323E4F" w:themeColor="text2" w:themeShade="BF"/>
                <w:sz w:val="24"/>
                <w:szCs w:val="24"/>
                <w:lang w:eastAsia="en-AU"/>
              </w:rPr>
            </w:pPr>
            <w:r w:rsidRPr="00260C1D">
              <w:rPr>
                <w:rFonts w:eastAsia="Segoe UI" w:cstheme="minorHAnsi"/>
                <w:b/>
                <w:color w:val="323E4F" w:themeColor="text2" w:themeShade="BF"/>
                <w:sz w:val="24"/>
                <w:szCs w:val="24"/>
                <w:lang w:eastAsia="en-AU"/>
              </w:rPr>
              <w:t>Example 3: Recovery starting in Term 3 QCG and requiring repayment by cheque</w:t>
            </w:r>
          </w:p>
        </w:tc>
      </w:tr>
      <w:tr w:rsidR="000B1FF1" w:rsidRPr="00260C1D" w14:paraId="06D443F7" w14:textId="77777777" w:rsidTr="003243F4">
        <w:trPr>
          <w:tblHeader/>
        </w:trPr>
        <w:tc>
          <w:tcPr>
            <w:tcW w:w="0" w:type="auto"/>
            <w:hideMark/>
          </w:tcPr>
          <w:p w14:paraId="2620CE5B" w14:textId="77777777" w:rsidR="0096466B" w:rsidRPr="00260C1D" w:rsidRDefault="0096466B" w:rsidP="00ED4312">
            <w:pPr>
              <w:spacing w:after="0" w:line="240" w:lineRule="auto"/>
              <w:rPr>
                <w:rFonts w:eastAsia="Segoe UI" w:cstheme="minorHAnsi"/>
                <w:color w:val="323E4F" w:themeColor="text2" w:themeShade="BF"/>
                <w:sz w:val="24"/>
                <w:szCs w:val="24"/>
                <w:lang w:eastAsia="en-AU"/>
              </w:rPr>
            </w:pPr>
          </w:p>
        </w:tc>
        <w:tc>
          <w:tcPr>
            <w:tcW w:w="0" w:type="auto"/>
            <w:hideMark/>
          </w:tcPr>
          <w:p w14:paraId="53994C14" w14:textId="77777777" w:rsidR="0096466B" w:rsidRPr="00260C1D" w:rsidRDefault="0096466B" w:rsidP="00ED4312">
            <w:pPr>
              <w:spacing w:after="0" w:line="240" w:lineRule="atLeast"/>
              <w:rPr>
                <w:rFonts w:eastAsia="Segoe UI" w:cstheme="minorHAnsi"/>
                <w:color w:val="323E4F" w:themeColor="text2" w:themeShade="BF"/>
                <w:sz w:val="20"/>
                <w:szCs w:val="20"/>
                <w:lang w:eastAsia="en-AU"/>
              </w:rPr>
            </w:pPr>
          </w:p>
        </w:tc>
        <w:tc>
          <w:tcPr>
            <w:tcW w:w="0" w:type="auto"/>
            <w:hideMark/>
          </w:tcPr>
          <w:p w14:paraId="3B088A7F" w14:textId="77777777" w:rsidR="0096466B" w:rsidRPr="00614B09" w:rsidRDefault="0096466B"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Term 3 QCG</w:t>
            </w:r>
          </w:p>
        </w:tc>
        <w:tc>
          <w:tcPr>
            <w:tcW w:w="0" w:type="auto"/>
            <w:hideMark/>
          </w:tcPr>
          <w:p w14:paraId="51B60998" w14:textId="77777777" w:rsidR="0096466B" w:rsidRPr="00614B09" w:rsidRDefault="0096466B"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Term 4 QCG</w:t>
            </w:r>
          </w:p>
        </w:tc>
        <w:tc>
          <w:tcPr>
            <w:tcW w:w="0" w:type="auto"/>
            <w:hideMark/>
          </w:tcPr>
          <w:p w14:paraId="4F9AF5CB" w14:textId="36E2F6CB" w:rsidR="0096466B" w:rsidRPr="00614B09" w:rsidRDefault="002E5AC9" w:rsidP="00614B09">
            <w:pPr>
              <w:spacing w:after="0" w:line="240" w:lineRule="atLeast"/>
              <w:jc w:val="right"/>
              <w:rPr>
                <w:rFonts w:eastAsia="Segoe UI" w:cstheme="minorHAnsi"/>
                <w:b/>
                <w:bCs/>
                <w:color w:val="323E4F" w:themeColor="text2" w:themeShade="BF"/>
                <w:sz w:val="24"/>
                <w:szCs w:val="24"/>
                <w:lang w:eastAsia="en-AU"/>
              </w:rPr>
            </w:pPr>
            <w:r w:rsidRPr="00614B09">
              <w:rPr>
                <w:rFonts w:eastAsia="Segoe UI" w:cstheme="minorHAnsi"/>
                <w:b/>
                <w:bCs/>
                <w:color w:val="323E4F" w:themeColor="text2" w:themeShade="BF"/>
                <w:sz w:val="24"/>
                <w:szCs w:val="24"/>
                <w:lang w:eastAsia="en-AU"/>
              </w:rPr>
              <w:t>EFT/</w:t>
            </w:r>
            <w:r w:rsidR="0096466B" w:rsidRPr="00614B09">
              <w:rPr>
                <w:rFonts w:eastAsia="Segoe UI" w:cstheme="minorHAnsi"/>
                <w:b/>
                <w:bCs/>
                <w:color w:val="323E4F" w:themeColor="text2" w:themeShade="BF"/>
                <w:sz w:val="24"/>
                <w:szCs w:val="24"/>
                <w:lang w:eastAsia="en-AU"/>
              </w:rPr>
              <w:t>Cheque</w:t>
            </w:r>
          </w:p>
        </w:tc>
      </w:tr>
      <w:tr w:rsidR="000B1FF1" w:rsidRPr="00260C1D" w14:paraId="1E45F162" w14:textId="77777777" w:rsidTr="002E5AC9">
        <w:tc>
          <w:tcPr>
            <w:tcW w:w="0" w:type="auto"/>
            <w:tcBorders>
              <w:bottom w:val="single" w:sz="4" w:space="0" w:color="auto"/>
            </w:tcBorders>
            <w:hideMark/>
          </w:tcPr>
          <w:p w14:paraId="18401EB1" w14:textId="77777777" w:rsidR="0096466B" w:rsidRPr="00260C1D" w:rsidRDefault="0096466B" w:rsidP="00ED4312">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QCG Amount</w:t>
            </w:r>
          </w:p>
        </w:tc>
        <w:tc>
          <w:tcPr>
            <w:tcW w:w="0" w:type="auto"/>
            <w:tcBorders>
              <w:bottom w:val="single" w:sz="4" w:space="0" w:color="auto"/>
            </w:tcBorders>
            <w:hideMark/>
          </w:tcPr>
          <w:p w14:paraId="6EE63C79" w14:textId="77777777" w:rsidR="0096466B" w:rsidRPr="00260C1D" w:rsidRDefault="0096466B" w:rsidP="00ED4312">
            <w:pPr>
              <w:spacing w:after="0" w:line="360" w:lineRule="atLeast"/>
              <w:rPr>
                <w:rFonts w:eastAsia="Segoe UI" w:cstheme="minorHAnsi"/>
                <w:color w:val="323E4F" w:themeColor="text2" w:themeShade="BF"/>
                <w:sz w:val="24"/>
                <w:szCs w:val="24"/>
                <w:lang w:eastAsia="en-AU"/>
              </w:rPr>
            </w:pPr>
          </w:p>
        </w:tc>
        <w:tc>
          <w:tcPr>
            <w:tcW w:w="0" w:type="auto"/>
            <w:hideMark/>
          </w:tcPr>
          <w:p w14:paraId="11AAD570" w14:textId="1EDC4A86" w:rsidR="0096466B" w:rsidRPr="00260C1D" w:rsidRDefault="002E5AC9"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466B" w:rsidRPr="00260C1D">
              <w:rPr>
                <w:rFonts w:eastAsia="Segoe UI" w:cstheme="minorHAnsi"/>
                <w:color w:val="323E4F" w:themeColor="text2" w:themeShade="BF"/>
                <w:sz w:val="24"/>
                <w:szCs w:val="24"/>
                <w:lang w:eastAsia="en-AU"/>
              </w:rPr>
              <w:t>50,000</w:t>
            </w:r>
          </w:p>
        </w:tc>
        <w:tc>
          <w:tcPr>
            <w:tcW w:w="0" w:type="auto"/>
            <w:hideMark/>
          </w:tcPr>
          <w:p w14:paraId="61CAD751" w14:textId="023DF088" w:rsidR="0096466B" w:rsidRPr="00260C1D" w:rsidRDefault="002E5AC9"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466B" w:rsidRPr="00260C1D">
              <w:rPr>
                <w:rFonts w:eastAsia="Segoe UI" w:cstheme="minorHAnsi"/>
                <w:color w:val="323E4F" w:themeColor="text2" w:themeShade="BF"/>
                <w:sz w:val="24"/>
                <w:szCs w:val="24"/>
                <w:lang w:eastAsia="en-AU"/>
              </w:rPr>
              <w:t>50,000</w:t>
            </w:r>
          </w:p>
        </w:tc>
        <w:tc>
          <w:tcPr>
            <w:tcW w:w="0" w:type="auto"/>
            <w:hideMark/>
          </w:tcPr>
          <w:p w14:paraId="3DB33004" w14:textId="77777777" w:rsidR="0096466B" w:rsidRPr="00260C1D" w:rsidRDefault="0096466B" w:rsidP="00614B09">
            <w:pPr>
              <w:spacing w:after="0" w:line="360" w:lineRule="atLeast"/>
              <w:jc w:val="right"/>
              <w:rPr>
                <w:rFonts w:eastAsia="Segoe UI" w:cstheme="minorHAnsi"/>
                <w:color w:val="323E4F" w:themeColor="text2" w:themeShade="BF"/>
                <w:sz w:val="24"/>
                <w:szCs w:val="24"/>
                <w:lang w:eastAsia="en-AU"/>
              </w:rPr>
            </w:pPr>
          </w:p>
        </w:tc>
      </w:tr>
      <w:tr w:rsidR="000B1FF1" w:rsidRPr="00260C1D" w14:paraId="29D397E3" w14:textId="77777777" w:rsidTr="002E5AC9">
        <w:tc>
          <w:tcPr>
            <w:tcW w:w="0" w:type="auto"/>
            <w:tcBorders>
              <w:right w:val="nil"/>
            </w:tcBorders>
            <w:hideMark/>
          </w:tcPr>
          <w:p w14:paraId="7C49ED9A" w14:textId="77777777" w:rsidR="0096466B" w:rsidRPr="00260C1D" w:rsidRDefault="0096466B" w:rsidP="00ED4312">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Deficit Amount</w:t>
            </w:r>
          </w:p>
        </w:tc>
        <w:tc>
          <w:tcPr>
            <w:tcW w:w="0" w:type="auto"/>
            <w:tcBorders>
              <w:left w:val="nil"/>
            </w:tcBorders>
            <w:hideMark/>
          </w:tcPr>
          <w:p w14:paraId="3B2D2535" w14:textId="10296389" w:rsidR="0096466B" w:rsidRPr="00260C1D" w:rsidRDefault="002E5AC9" w:rsidP="00ED4312">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466B" w:rsidRPr="00260C1D">
              <w:rPr>
                <w:rFonts w:eastAsia="Segoe UI" w:cstheme="minorHAnsi"/>
                <w:color w:val="323E4F" w:themeColor="text2" w:themeShade="BF"/>
                <w:sz w:val="24"/>
                <w:szCs w:val="24"/>
                <w:lang w:eastAsia="en-AU"/>
              </w:rPr>
              <w:t>110,000</w:t>
            </w:r>
          </w:p>
        </w:tc>
        <w:tc>
          <w:tcPr>
            <w:tcW w:w="0" w:type="auto"/>
            <w:hideMark/>
          </w:tcPr>
          <w:p w14:paraId="4DF92A42" w14:textId="0423C2A9" w:rsidR="0096466B" w:rsidRPr="00260C1D" w:rsidRDefault="002E5AC9"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466B" w:rsidRPr="00260C1D">
              <w:rPr>
                <w:rFonts w:eastAsia="Segoe UI" w:cstheme="minorHAnsi"/>
                <w:color w:val="323E4F" w:themeColor="text2" w:themeShade="BF"/>
                <w:sz w:val="24"/>
                <w:szCs w:val="24"/>
                <w:lang w:eastAsia="en-AU"/>
              </w:rPr>
              <w:t>50,000</w:t>
            </w:r>
          </w:p>
        </w:tc>
        <w:tc>
          <w:tcPr>
            <w:tcW w:w="0" w:type="auto"/>
            <w:hideMark/>
          </w:tcPr>
          <w:p w14:paraId="6AD7152B" w14:textId="6AEF87E9" w:rsidR="0096466B" w:rsidRPr="00260C1D" w:rsidRDefault="002E5AC9"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466B" w:rsidRPr="00260C1D">
              <w:rPr>
                <w:rFonts w:eastAsia="Segoe UI" w:cstheme="minorHAnsi"/>
                <w:color w:val="323E4F" w:themeColor="text2" w:themeShade="BF"/>
                <w:sz w:val="24"/>
                <w:szCs w:val="24"/>
                <w:lang w:eastAsia="en-AU"/>
              </w:rPr>
              <w:t>50,000</w:t>
            </w:r>
          </w:p>
        </w:tc>
        <w:tc>
          <w:tcPr>
            <w:tcW w:w="0" w:type="auto"/>
            <w:hideMark/>
          </w:tcPr>
          <w:p w14:paraId="585401BD" w14:textId="1D4140B0" w:rsidR="0096466B" w:rsidRPr="00260C1D" w:rsidRDefault="002E5AC9" w:rsidP="00614B09">
            <w:pPr>
              <w:spacing w:after="0" w:line="360" w:lineRule="atLeast"/>
              <w:jc w:val="righ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w:t>
            </w:r>
            <w:r w:rsidR="0096466B" w:rsidRPr="00260C1D">
              <w:rPr>
                <w:rFonts w:eastAsia="Segoe UI" w:cstheme="minorHAnsi"/>
                <w:color w:val="323E4F" w:themeColor="text2" w:themeShade="BF"/>
                <w:sz w:val="24"/>
                <w:szCs w:val="24"/>
                <w:lang w:eastAsia="en-AU"/>
              </w:rPr>
              <w:t>10,000</w:t>
            </w:r>
          </w:p>
        </w:tc>
      </w:tr>
    </w:tbl>
    <w:p w14:paraId="3576AC58" w14:textId="77777777" w:rsidR="0096466B" w:rsidRPr="00EF450D" w:rsidRDefault="0096466B" w:rsidP="00EF450D">
      <w:pPr>
        <w:spacing w:before="100" w:beforeAutospacing="1" w:after="100" w:afterAutospacing="1" w:line="360" w:lineRule="atLeast"/>
        <w:rPr>
          <w:b/>
          <w:color w:val="011A3C"/>
          <w:sz w:val="24"/>
          <w:lang w:val="en"/>
        </w:rPr>
      </w:pPr>
    </w:p>
    <w:p w14:paraId="41ECD680" w14:textId="77777777" w:rsidR="0096466B" w:rsidRPr="00260C1D" w:rsidRDefault="000D325A" w:rsidP="00C474BD">
      <w:pPr>
        <w:pStyle w:val="Heading2"/>
        <w:rPr>
          <w:rFonts w:eastAsia="Segoe UI" w:cstheme="minorHAnsi"/>
          <w:color w:val="011A3C"/>
          <w:sz w:val="24"/>
          <w:szCs w:val="24"/>
        </w:rPr>
      </w:pPr>
      <w:bookmarkStart w:id="334" w:name="_Toc153791963"/>
      <w:r w:rsidRPr="004576F9">
        <w:t>Credit Carryover Policy</w:t>
      </w:r>
      <w:bookmarkEnd w:id="334"/>
    </w:p>
    <w:p w14:paraId="35EDD181" w14:textId="77777777" w:rsidR="00B323F5" w:rsidRDefault="00B323F5" w:rsidP="00B323F5">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Any credit surplus remaining against the school after the reconciliation process is completed </w:t>
      </w:r>
      <w:r>
        <w:rPr>
          <w:rFonts w:eastAsia="Segoe UI" w:cstheme="minorHAnsi"/>
          <w:color w:val="011A3C"/>
          <w:sz w:val="24"/>
          <w:szCs w:val="24"/>
          <w:lang w:val="en" w:eastAsia="en-AU"/>
        </w:rPr>
        <w:t>has historically been</w:t>
      </w:r>
      <w:r w:rsidRPr="00260C1D">
        <w:rPr>
          <w:rFonts w:eastAsia="Segoe UI" w:cstheme="minorHAnsi"/>
          <w:color w:val="011A3C"/>
          <w:sz w:val="24"/>
          <w:szCs w:val="24"/>
          <w:lang w:val="en" w:eastAsia="en-AU"/>
        </w:rPr>
        <w:t xml:space="preserve"> carried forward to the following year. </w:t>
      </w:r>
    </w:p>
    <w:p w14:paraId="7F8B1601" w14:textId="77777777" w:rsidR="00B323F5" w:rsidRPr="00173F88" w:rsidRDefault="00B323F5" w:rsidP="00B323F5">
      <w:pPr>
        <w:pStyle w:val="ListParagraph"/>
        <w:numPr>
          <w:ilvl w:val="0"/>
          <w:numId w:val="18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From 2024, under a staged transition plan, schools will no longer be able to carry forward the full amount of unspent credit funds into future years. The amount of carryover allowed will be capped based on a proportion of the total credit component of their SRP funding. Any surplus carried forward to the following year will form part of the total credit component for that year, noting that: </w:t>
      </w:r>
      <w:r w:rsidRPr="00173F88">
        <w:rPr>
          <w:rFonts w:eastAsia="Segoe UI" w:cstheme="minorHAnsi"/>
          <w:color w:val="011A3C"/>
          <w:sz w:val="24"/>
          <w:szCs w:val="24"/>
          <w:lang w:val="en" w:eastAsia="en-AU"/>
        </w:rPr>
        <w:t xml:space="preserve">In 2024, schools will be allowed to carry over up to 7.5% of the total credit component of their SRP into 2025. Any amount of surplus above that threshold will be withheld by the department. </w:t>
      </w:r>
    </w:p>
    <w:p w14:paraId="15D823E5" w14:textId="77777777" w:rsidR="00B323F5" w:rsidRDefault="00B323F5" w:rsidP="00B323F5">
      <w:pPr>
        <w:pStyle w:val="ListParagraph"/>
        <w:numPr>
          <w:ilvl w:val="0"/>
          <w:numId w:val="18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In 2025, schools will be allowed to carry over up to 5% of the total credit component of their SRP in 2026. Any amount of surplus above that threshold will be withheld by the department. </w:t>
      </w:r>
    </w:p>
    <w:p w14:paraId="1FE5C1AA" w14:textId="77777777" w:rsidR="00B323F5" w:rsidRDefault="00B323F5" w:rsidP="00B323F5">
      <w:pPr>
        <w:pStyle w:val="ListParagraph"/>
        <w:numPr>
          <w:ilvl w:val="0"/>
          <w:numId w:val="18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In 2026, the threshold will remain at 5% of the total credit component into 2027, with the remaining balance to be withheld by the department. </w:t>
      </w:r>
    </w:p>
    <w:p w14:paraId="4C435672" w14:textId="77777777" w:rsidR="00B323F5" w:rsidRDefault="00B323F5" w:rsidP="00B323F5">
      <w:pPr>
        <w:pStyle w:val="ListParagraph"/>
        <w:numPr>
          <w:ilvl w:val="0"/>
          <w:numId w:val="18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In 2027, the threshold will reduce to 3% of the total credit component of their SRP and remain at 3% ongoing. </w:t>
      </w:r>
    </w:p>
    <w:p w14:paraId="4E583C63" w14:textId="77777777" w:rsidR="00B323F5" w:rsidRDefault="00B323F5" w:rsidP="00B323F5">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The carryover threshold represents the maximum amount of funds a school can carry over at any given time. </w:t>
      </w:r>
    </w:p>
    <w:p w14:paraId="2A118E2A" w14:textId="77777777" w:rsidR="00B323F5" w:rsidRDefault="00B323F5" w:rsidP="00B323F5">
      <w:pPr>
        <w:spacing w:before="100" w:beforeAutospacing="1" w:after="100" w:afterAutospacing="1" w:line="360" w:lineRule="atLeast"/>
        <w:rPr>
          <w:rFonts w:eastAsia="Segoe UI" w:cstheme="minorHAnsi"/>
          <w:b/>
          <w:bCs/>
          <w:color w:val="011A3C"/>
          <w:sz w:val="24"/>
          <w:szCs w:val="24"/>
          <w:lang w:val="en" w:eastAsia="en-AU"/>
        </w:rPr>
      </w:pPr>
      <w:r w:rsidRPr="00173F88">
        <w:rPr>
          <w:rFonts w:eastAsia="Segoe UI" w:cstheme="minorHAnsi"/>
          <w:b/>
          <w:bCs/>
          <w:color w:val="011A3C"/>
          <w:sz w:val="24"/>
          <w:szCs w:val="24"/>
          <w:lang w:val="en" w:eastAsia="en-AU"/>
        </w:rPr>
        <w:t xml:space="preserve">Carryover threshold for small schools </w:t>
      </w:r>
    </w:p>
    <w:p w14:paraId="7E879FD2" w14:textId="77777777" w:rsidR="00B323F5" w:rsidRPr="00173F88" w:rsidRDefault="00B323F5" w:rsidP="00B323F5">
      <w:pPr>
        <w:spacing w:before="100" w:beforeAutospacing="1" w:after="100" w:afterAutospacing="1" w:line="360" w:lineRule="atLeast"/>
        <w:rPr>
          <w:rFonts w:eastAsia="Segoe UI" w:cstheme="minorHAnsi"/>
          <w:b/>
          <w:bCs/>
          <w:color w:val="011A3C"/>
          <w:sz w:val="24"/>
          <w:szCs w:val="24"/>
          <w:lang w:val="en" w:eastAsia="en-AU"/>
        </w:rPr>
      </w:pPr>
      <w:r>
        <w:rPr>
          <w:rFonts w:eastAsia="Segoe UI" w:cstheme="minorHAnsi"/>
          <w:bCs/>
          <w:color w:val="011A3C"/>
          <w:sz w:val="24"/>
          <w:szCs w:val="24"/>
          <w:lang w:val="en" w:eastAsia="en-AU"/>
        </w:rPr>
        <w:t>In line with Small Schools Base Funding, small schools are defined as either primary schools with less than 80.1 students or secondary schools with less than 400 students.</w:t>
      </w:r>
    </w:p>
    <w:p w14:paraId="340B2ED4" w14:textId="77777777" w:rsidR="00B323F5" w:rsidRDefault="00B323F5" w:rsidP="00B323F5">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In order to give protection to small schools and ensure they have sufficient flexibility to manage year-on-year enrolment and funding fluctuations, schools that have surplus balances that exceed the percentage threshold requirements will not have their surpluses reduced below $100,000. </w:t>
      </w:r>
    </w:p>
    <w:p w14:paraId="2C105874" w14:textId="77777777" w:rsidR="00B323F5" w:rsidRDefault="00B323F5" w:rsidP="00B323F5">
      <w:pPr>
        <w:spacing w:before="100" w:beforeAutospacing="1" w:after="100" w:afterAutospacing="1" w:line="360" w:lineRule="atLeast"/>
        <w:rPr>
          <w:rFonts w:eastAsia="Segoe UI" w:cstheme="minorHAnsi"/>
          <w:b/>
          <w:bCs/>
          <w:color w:val="011A3C"/>
          <w:sz w:val="24"/>
          <w:szCs w:val="24"/>
          <w:lang w:val="en" w:eastAsia="en-AU"/>
        </w:rPr>
      </w:pPr>
      <w:r w:rsidRPr="00BD3D85">
        <w:rPr>
          <w:rFonts w:eastAsia="Segoe UI" w:cstheme="minorHAnsi"/>
          <w:b/>
          <w:bCs/>
          <w:color w:val="011A3C"/>
          <w:sz w:val="24"/>
          <w:szCs w:val="24"/>
          <w:lang w:val="en" w:eastAsia="en-AU"/>
        </w:rPr>
        <w:t>Carryover threshold for s</w:t>
      </w:r>
      <w:r>
        <w:rPr>
          <w:rFonts w:eastAsia="Segoe UI" w:cstheme="minorHAnsi"/>
          <w:b/>
          <w:bCs/>
          <w:color w:val="011A3C"/>
          <w:sz w:val="24"/>
          <w:szCs w:val="24"/>
          <w:lang w:val="en" w:eastAsia="en-AU"/>
        </w:rPr>
        <w:t xml:space="preserve">pecialist schools </w:t>
      </w:r>
    </w:p>
    <w:p w14:paraId="0A1E2107" w14:textId="77777777" w:rsidR="00B323F5" w:rsidRDefault="00B323F5" w:rsidP="00B323F5">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A higher carryover threshold for specialist schools will be allowed to </w:t>
      </w:r>
      <w:proofErr w:type="spellStart"/>
      <w:r>
        <w:rPr>
          <w:rFonts w:eastAsia="Segoe UI" w:cstheme="minorHAnsi"/>
          <w:color w:val="011A3C"/>
          <w:sz w:val="24"/>
          <w:szCs w:val="24"/>
          <w:lang w:val="en" w:eastAsia="en-AU"/>
        </w:rPr>
        <w:t>recognise</w:t>
      </w:r>
      <w:proofErr w:type="spellEnd"/>
      <w:r>
        <w:rPr>
          <w:rFonts w:eastAsia="Segoe UI" w:cstheme="minorHAnsi"/>
          <w:color w:val="011A3C"/>
          <w:sz w:val="24"/>
          <w:szCs w:val="24"/>
          <w:lang w:val="en" w:eastAsia="en-AU"/>
        </w:rPr>
        <w:t xml:space="preserve"> the more unpredictable nature of their expenditure patterns. </w:t>
      </w:r>
    </w:p>
    <w:p w14:paraId="40E5B693" w14:textId="77777777" w:rsidR="00B323F5" w:rsidRDefault="00B323F5" w:rsidP="00B323F5">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From 2024, specialist schools will be permitted to carry over up to 10% of the total credit component of their SRP into future years. The 10% threshold will not change and will remain ongoing, though in common with mainstream schools, specialist schools will no longer be able to accumulate unspent credit funds over multiple years. </w:t>
      </w:r>
    </w:p>
    <w:p w14:paraId="479A059C" w14:textId="77777777" w:rsidR="00B323F5" w:rsidRDefault="00B323F5" w:rsidP="00B323F5">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lastRenderedPageBreak/>
        <w:t xml:space="preserve">The threshold represents the maximum amount of funds a specialist school can have carried over at any given time. </w:t>
      </w:r>
    </w:p>
    <w:p w14:paraId="7AD61433" w14:textId="77777777" w:rsidR="00B323F5" w:rsidRDefault="00B323F5" w:rsidP="00B323F5">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Specialist schools that have surplus balances that meet the threshold requirements will not have their surpluses reduced below $200,000. </w:t>
      </w:r>
    </w:p>
    <w:p w14:paraId="01D1E344" w14:textId="77777777" w:rsidR="00B323F5" w:rsidRPr="00173F88" w:rsidRDefault="00B323F5" w:rsidP="00B323F5">
      <w:pPr>
        <w:spacing w:before="100" w:beforeAutospacing="1" w:after="100" w:afterAutospacing="1" w:line="360" w:lineRule="atLeast"/>
        <w:rPr>
          <w:rFonts w:eastAsia="Segoe UI" w:cstheme="minorHAnsi"/>
          <w:b/>
          <w:bCs/>
          <w:color w:val="011A3C"/>
          <w:sz w:val="24"/>
          <w:szCs w:val="24"/>
          <w:lang w:val="en" w:eastAsia="en-AU"/>
        </w:rPr>
      </w:pPr>
      <w:r w:rsidRPr="00173F88">
        <w:rPr>
          <w:rFonts w:eastAsia="Segoe UI" w:cstheme="minorHAnsi"/>
          <w:b/>
          <w:bCs/>
          <w:color w:val="011A3C"/>
          <w:sz w:val="24"/>
          <w:szCs w:val="24"/>
          <w:lang w:val="en" w:eastAsia="en-AU"/>
        </w:rPr>
        <w:t xml:space="preserve">Credit surplus retention rate </w:t>
      </w:r>
    </w:p>
    <w:tbl>
      <w:tblPr>
        <w:tblStyle w:val="TableGrid"/>
        <w:tblW w:w="0" w:type="auto"/>
        <w:tblInd w:w="0" w:type="dxa"/>
        <w:tblLook w:val="04A0" w:firstRow="1" w:lastRow="0" w:firstColumn="1" w:lastColumn="0" w:noHBand="0" w:noVBand="1"/>
      </w:tblPr>
      <w:tblGrid>
        <w:gridCol w:w="2122"/>
        <w:gridCol w:w="1666"/>
        <w:gridCol w:w="1667"/>
        <w:gridCol w:w="1667"/>
        <w:gridCol w:w="1667"/>
        <w:gridCol w:w="1667"/>
      </w:tblGrid>
      <w:tr w:rsidR="00113AE3" w14:paraId="3CD2F192" w14:textId="77777777" w:rsidTr="00173F88">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C084932" w14:textId="77777777" w:rsidR="00B323F5" w:rsidRPr="00173F88" w:rsidRDefault="00B323F5" w:rsidP="00173F88">
            <w:pPr>
              <w:pStyle w:val="NoSpacing"/>
              <w:rPr>
                <w:sz w:val="24"/>
                <w:szCs w:val="32"/>
                <w:lang w:val="en" w:eastAsia="en-AU"/>
              </w:rPr>
            </w:pPr>
            <w:r w:rsidRPr="00173F88">
              <w:rPr>
                <w:sz w:val="24"/>
                <w:szCs w:val="32"/>
                <w:lang w:val="en" w:eastAsia="en-AU"/>
              </w:rPr>
              <w:t>Credit surplus retention rate</w:t>
            </w:r>
          </w:p>
        </w:tc>
        <w:tc>
          <w:tcPr>
            <w:tcW w:w="1666" w:type="dxa"/>
            <w:vAlign w:val="center"/>
          </w:tcPr>
          <w:p w14:paraId="14ECE46D" w14:textId="77777777" w:rsidR="00B323F5" w:rsidRPr="00173F88" w:rsidRDefault="00B323F5" w:rsidP="00173F88">
            <w:pPr>
              <w:pStyle w:val="NoSpacing"/>
              <w:jc w:val="center"/>
              <w:cnfStyle w:val="100000000000" w:firstRow="1" w:lastRow="0" w:firstColumn="0" w:lastColumn="0" w:oddVBand="0" w:evenVBand="0" w:oddHBand="0" w:evenHBand="0" w:firstRowFirstColumn="0" w:firstRowLastColumn="0" w:lastRowFirstColumn="0" w:lastRowLastColumn="0"/>
              <w:rPr>
                <w:b w:val="0"/>
                <w:sz w:val="24"/>
                <w:szCs w:val="32"/>
                <w:lang w:val="en" w:eastAsia="en-AU"/>
              </w:rPr>
            </w:pPr>
            <w:r w:rsidRPr="00173F88">
              <w:rPr>
                <w:sz w:val="24"/>
                <w:szCs w:val="32"/>
                <w:lang w:val="en" w:eastAsia="en-AU"/>
              </w:rPr>
              <w:t>Year 1</w:t>
            </w:r>
          </w:p>
          <w:p w14:paraId="5F03EB4F" w14:textId="77777777" w:rsidR="00B323F5" w:rsidRPr="00173F88" w:rsidRDefault="00B323F5" w:rsidP="00173F88">
            <w:pPr>
              <w:pStyle w:val="NoSpacing"/>
              <w:jc w:val="center"/>
              <w:cnfStyle w:val="100000000000" w:firstRow="1" w:lastRow="0" w:firstColumn="0" w:lastColumn="0" w:oddVBand="0" w:evenVBand="0" w:oddHBand="0" w:evenHBand="0" w:firstRowFirstColumn="0" w:firstRowLastColumn="0" w:lastRowFirstColumn="0" w:lastRowLastColumn="0"/>
              <w:rPr>
                <w:sz w:val="24"/>
                <w:szCs w:val="32"/>
                <w:lang w:val="en" w:eastAsia="en-AU"/>
              </w:rPr>
            </w:pPr>
            <w:r w:rsidRPr="00173F88">
              <w:rPr>
                <w:sz w:val="24"/>
                <w:szCs w:val="32"/>
                <w:lang w:val="en" w:eastAsia="en-AU"/>
              </w:rPr>
              <w:t>(2024)</w:t>
            </w:r>
          </w:p>
        </w:tc>
        <w:tc>
          <w:tcPr>
            <w:tcW w:w="1667" w:type="dxa"/>
            <w:vAlign w:val="center"/>
          </w:tcPr>
          <w:p w14:paraId="34671B01" w14:textId="77777777" w:rsidR="00B323F5" w:rsidRPr="00173F88" w:rsidRDefault="00B323F5" w:rsidP="00173F88">
            <w:pPr>
              <w:pStyle w:val="NoSpacing"/>
              <w:jc w:val="center"/>
              <w:cnfStyle w:val="100000000000" w:firstRow="1" w:lastRow="0" w:firstColumn="0" w:lastColumn="0" w:oddVBand="0" w:evenVBand="0" w:oddHBand="0" w:evenHBand="0" w:firstRowFirstColumn="0" w:firstRowLastColumn="0" w:lastRowFirstColumn="0" w:lastRowLastColumn="0"/>
              <w:rPr>
                <w:b w:val="0"/>
                <w:sz w:val="24"/>
                <w:szCs w:val="32"/>
                <w:lang w:val="en" w:eastAsia="en-AU"/>
              </w:rPr>
            </w:pPr>
            <w:r w:rsidRPr="00173F88">
              <w:rPr>
                <w:sz w:val="24"/>
                <w:szCs w:val="32"/>
                <w:lang w:val="en" w:eastAsia="en-AU"/>
              </w:rPr>
              <w:t>Year 2</w:t>
            </w:r>
          </w:p>
          <w:p w14:paraId="7283BF04" w14:textId="77777777" w:rsidR="00B323F5" w:rsidRPr="00173F88" w:rsidRDefault="00B323F5" w:rsidP="00173F88">
            <w:pPr>
              <w:pStyle w:val="NoSpacing"/>
              <w:jc w:val="center"/>
              <w:cnfStyle w:val="100000000000" w:firstRow="1" w:lastRow="0" w:firstColumn="0" w:lastColumn="0" w:oddVBand="0" w:evenVBand="0" w:oddHBand="0" w:evenHBand="0" w:firstRowFirstColumn="0" w:firstRowLastColumn="0" w:lastRowFirstColumn="0" w:lastRowLastColumn="0"/>
              <w:rPr>
                <w:sz w:val="24"/>
                <w:szCs w:val="32"/>
                <w:lang w:val="en" w:eastAsia="en-AU"/>
              </w:rPr>
            </w:pPr>
            <w:r w:rsidRPr="00173F88">
              <w:rPr>
                <w:sz w:val="24"/>
                <w:szCs w:val="32"/>
                <w:lang w:val="en" w:eastAsia="en-AU"/>
              </w:rPr>
              <w:t>(2025)</w:t>
            </w:r>
          </w:p>
        </w:tc>
        <w:tc>
          <w:tcPr>
            <w:tcW w:w="1667" w:type="dxa"/>
            <w:vAlign w:val="center"/>
          </w:tcPr>
          <w:p w14:paraId="4343EB7F" w14:textId="77777777" w:rsidR="00B323F5" w:rsidRPr="00173F88" w:rsidRDefault="00B323F5" w:rsidP="00173F88">
            <w:pPr>
              <w:pStyle w:val="NoSpacing"/>
              <w:jc w:val="center"/>
              <w:cnfStyle w:val="100000000000" w:firstRow="1" w:lastRow="0" w:firstColumn="0" w:lastColumn="0" w:oddVBand="0" w:evenVBand="0" w:oddHBand="0" w:evenHBand="0" w:firstRowFirstColumn="0" w:firstRowLastColumn="0" w:lastRowFirstColumn="0" w:lastRowLastColumn="0"/>
              <w:rPr>
                <w:b w:val="0"/>
                <w:sz w:val="24"/>
                <w:szCs w:val="32"/>
                <w:lang w:val="en" w:eastAsia="en-AU"/>
              </w:rPr>
            </w:pPr>
            <w:r w:rsidRPr="00173F88">
              <w:rPr>
                <w:sz w:val="24"/>
                <w:szCs w:val="32"/>
                <w:lang w:val="en" w:eastAsia="en-AU"/>
              </w:rPr>
              <w:t>Year 3</w:t>
            </w:r>
          </w:p>
          <w:p w14:paraId="1FAE4879" w14:textId="77777777" w:rsidR="00B323F5" w:rsidRPr="00173F88" w:rsidRDefault="00B323F5" w:rsidP="00173F88">
            <w:pPr>
              <w:pStyle w:val="NoSpacing"/>
              <w:jc w:val="center"/>
              <w:cnfStyle w:val="100000000000" w:firstRow="1" w:lastRow="0" w:firstColumn="0" w:lastColumn="0" w:oddVBand="0" w:evenVBand="0" w:oddHBand="0" w:evenHBand="0" w:firstRowFirstColumn="0" w:firstRowLastColumn="0" w:lastRowFirstColumn="0" w:lastRowLastColumn="0"/>
              <w:rPr>
                <w:sz w:val="24"/>
                <w:szCs w:val="32"/>
                <w:lang w:val="en" w:eastAsia="en-AU"/>
              </w:rPr>
            </w:pPr>
            <w:r w:rsidRPr="00173F88">
              <w:rPr>
                <w:sz w:val="24"/>
                <w:szCs w:val="32"/>
                <w:lang w:val="en" w:eastAsia="en-AU"/>
              </w:rPr>
              <w:t>(2026)</w:t>
            </w:r>
          </w:p>
        </w:tc>
        <w:tc>
          <w:tcPr>
            <w:tcW w:w="1667" w:type="dxa"/>
            <w:vAlign w:val="center"/>
          </w:tcPr>
          <w:p w14:paraId="7C1EFB8E" w14:textId="77777777" w:rsidR="00B323F5" w:rsidRPr="00173F88" w:rsidRDefault="00B323F5" w:rsidP="00173F88">
            <w:pPr>
              <w:pStyle w:val="NoSpacing"/>
              <w:jc w:val="center"/>
              <w:cnfStyle w:val="100000000000" w:firstRow="1" w:lastRow="0" w:firstColumn="0" w:lastColumn="0" w:oddVBand="0" w:evenVBand="0" w:oddHBand="0" w:evenHBand="0" w:firstRowFirstColumn="0" w:firstRowLastColumn="0" w:lastRowFirstColumn="0" w:lastRowLastColumn="0"/>
              <w:rPr>
                <w:b w:val="0"/>
                <w:sz w:val="24"/>
                <w:szCs w:val="32"/>
                <w:lang w:val="en" w:eastAsia="en-AU"/>
              </w:rPr>
            </w:pPr>
            <w:r w:rsidRPr="00173F88">
              <w:rPr>
                <w:sz w:val="24"/>
                <w:szCs w:val="32"/>
                <w:lang w:val="en" w:eastAsia="en-AU"/>
              </w:rPr>
              <w:t>Year 4</w:t>
            </w:r>
          </w:p>
          <w:p w14:paraId="4BA5803B" w14:textId="77777777" w:rsidR="00B323F5" w:rsidRPr="00173F88" w:rsidRDefault="00B323F5" w:rsidP="00173F88">
            <w:pPr>
              <w:pStyle w:val="NoSpacing"/>
              <w:jc w:val="center"/>
              <w:cnfStyle w:val="100000000000" w:firstRow="1" w:lastRow="0" w:firstColumn="0" w:lastColumn="0" w:oddVBand="0" w:evenVBand="0" w:oddHBand="0" w:evenHBand="0" w:firstRowFirstColumn="0" w:firstRowLastColumn="0" w:lastRowFirstColumn="0" w:lastRowLastColumn="0"/>
              <w:rPr>
                <w:sz w:val="24"/>
                <w:szCs w:val="32"/>
                <w:lang w:val="en" w:eastAsia="en-AU"/>
              </w:rPr>
            </w:pPr>
            <w:r w:rsidRPr="00173F88">
              <w:rPr>
                <w:sz w:val="24"/>
                <w:szCs w:val="32"/>
                <w:lang w:val="en" w:eastAsia="en-AU"/>
              </w:rPr>
              <w:t>(2027)</w:t>
            </w:r>
          </w:p>
        </w:tc>
        <w:tc>
          <w:tcPr>
            <w:tcW w:w="1667" w:type="dxa"/>
            <w:vAlign w:val="center"/>
          </w:tcPr>
          <w:p w14:paraId="273524D6" w14:textId="77777777" w:rsidR="00B323F5" w:rsidRPr="00173F88" w:rsidRDefault="00B323F5" w:rsidP="00173F88">
            <w:pPr>
              <w:pStyle w:val="NoSpacing"/>
              <w:jc w:val="center"/>
              <w:cnfStyle w:val="100000000000" w:firstRow="1" w:lastRow="0" w:firstColumn="0" w:lastColumn="0" w:oddVBand="0" w:evenVBand="0" w:oddHBand="0" w:evenHBand="0" w:firstRowFirstColumn="0" w:firstRowLastColumn="0" w:lastRowFirstColumn="0" w:lastRowLastColumn="0"/>
              <w:rPr>
                <w:sz w:val="24"/>
                <w:szCs w:val="32"/>
                <w:lang w:val="en" w:eastAsia="en-AU"/>
              </w:rPr>
            </w:pPr>
            <w:r w:rsidRPr="00173F88">
              <w:rPr>
                <w:sz w:val="24"/>
                <w:szCs w:val="32"/>
                <w:lang w:val="en" w:eastAsia="en-AU"/>
              </w:rPr>
              <w:t>Ongoing</w:t>
            </w:r>
          </w:p>
        </w:tc>
      </w:tr>
      <w:tr w:rsidR="00113AE3" w14:paraId="472ACF02" w14:textId="77777777" w:rsidTr="00173F88">
        <w:trPr>
          <w:trHeight w:val="7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38A40FD" w14:textId="77777777" w:rsidR="00B323F5" w:rsidRDefault="00B323F5" w:rsidP="00173F88">
            <w:pPr>
              <w:spacing w:before="100" w:beforeAutospacing="1" w:line="360" w:lineRule="atLeast"/>
              <w:rPr>
                <w:rFonts w:eastAsia="Segoe UI" w:cstheme="minorHAnsi"/>
                <w:color w:val="011A3C"/>
                <w:sz w:val="24"/>
                <w:lang w:val="en" w:eastAsia="en-AU"/>
              </w:rPr>
            </w:pPr>
            <w:r>
              <w:rPr>
                <w:rFonts w:eastAsia="Segoe UI" w:cstheme="minorHAnsi"/>
                <w:color w:val="011A3C"/>
                <w:sz w:val="24"/>
                <w:lang w:val="en" w:eastAsia="en-AU"/>
              </w:rPr>
              <w:t>All schools (except specialist schools)</w:t>
            </w:r>
          </w:p>
        </w:tc>
        <w:tc>
          <w:tcPr>
            <w:tcW w:w="1666" w:type="dxa"/>
            <w:vAlign w:val="center"/>
          </w:tcPr>
          <w:p w14:paraId="69EBE04E" w14:textId="77777777" w:rsidR="00B323F5" w:rsidRDefault="00B323F5" w:rsidP="00173F88">
            <w:pPr>
              <w:spacing w:before="100" w:beforeAutospacing="1" w:line="360" w:lineRule="atLeast"/>
              <w:jc w:val="center"/>
              <w:cnfStyle w:val="000000000000" w:firstRow="0" w:lastRow="0" w:firstColumn="0" w:lastColumn="0" w:oddVBand="0" w:evenVBand="0" w:oddHBand="0" w:evenHBand="0" w:firstRowFirstColumn="0" w:firstRowLastColumn="0" w:lastRowFirstColumn="0" w:lastRowLastColumn="0"/>
              <w:rPr>
                <w:rFonts w:eastAsia="Segoe UI" w:cstheme="minorHAnsi"/>
                <w:color w:val="011A3C"/>
                <w:sz w:val="24"/>
                <w:lang w:val="en" w:eastAsia="en-AU"/>
              </w:rPr>
            </w:pPr>
            <w:r>
              <w:rPr>
                <w:rFonts w:eastAsia="Segoe UI" w:cstheme="minorHAnsi"/>
                <w:color w:val="011A3C"/>
                <w:sz w:val="24"/>
                <w:lang w:val="en" w:eastAsia="en-AU"/>
              </w:rPr>
              <w:t>7.5%</w:t>
            </w:r>
          </w:p>
        </w:tc>
        <w:tc>
          <w:tcPr>
            <w:tcW w:w="1667" w:type="dxa"/>
            <w:vAlign w:val="center"/>
          </w:tcPr>
          <w:p w14:paraId="19090B98" w14:textId="77777777" w:rsidR="00B323F5" w:rsidRDefault="00B323F5" w:rsidP="00173F88">
            <w:pPr>
              <w:spacing w:before="100" w:beforeAutospacing="1" w:line="360" w:lineRule="atLeast"/>
              <w:jc w:val="center"/>
              <w:cnfStyle w:val="000000000000" w:firstRow="0" w:lastRow="0" w:firstColumn="0" w:lastColumn="0" w:oddVBand="0" w:evenVBand="0" w:oddHBand="0" w:evenHBand="0" w:firstRowFirstColumn="0" w:firstRowLastColumn="0" w:lastRowFirstColumn="0" w:lastRowLastColumn="0"/>
              <w:rPr>
                <w:rFonts w:eastAsia="Segoe UI" w:cstheme="minorHAnsi"/>
                <w:color w:val="011A3C"/>
                <w:sz w:val="24"/>
                <w:lang w:val="en" w:eastAsia="en-AU"/>
              </w:rPr>
            </w:pPr>
            <w:r>
              <w:rPr>
                <w:rFonts w:eastAsia="Segoe UI" w:cstheme="minorHAnsi"/>
                <w:color w:val="011A3C"/>
                <w:sz w:val="24"/>
                <w:lang w:val="en" w:eastAsia="en-AU"/>
              </w:rPr>
              <w:t>5%</w:t>
            </w:r>
          </w:p>
        </w:tc>
        <w:tc>
          <w:tcPr>
            <w:tcW w:w="1667" w:type="dxa"/>
            <w:vAlign w:val="center"/>
          </w:tcPr>
          <w:p w14:paraId="0B0E9858" w14:textId="77777777" w:rsidR="00B323F5" w:rsidRDefault="00B323F5" w:rsidP="00173F88">
            <w:pPr>
              <w:spacing w:before="100" w:beforeAutospacing="1" w:line="360" w:lineRule="atLeast"/>
              <w:jc w:val="center"/>
              <w:cnfStyle w:val="000000000000" w:firstRow="0" w:lastRow="0" w:firstColumn="0" w:lastColumn="0" w:oddVBand="0" w:evenVBand="0" w:oddHBand="0" w:evenHBand="0" w:firstRowFirstColumn="0" w:firstRowLastColumn="0" w:lastRowFirstColumn="0" w:lastRowLastColumn="0"/>
              <w:rPr>
                <w:rFonts w:eastAsia="Segoe UI" w:cstheme="minorHAnsi"/>
                <w:color w:val="011A3C"/>
                <w:sz w:val="24"/>
                <w:lang w:val="en" w:eastAsia="en-AU"/>
              </w:rPr>
            </w:pPr>
            <w:r>
              <w:rPr>
                <w:rFonts w:eastAsia="Segoe UI" w:cstheme="minorHAnsi"/>
                <w:color w:val="011A3C"/>
                <w:sz w:val="24"/>
                <w:lang w:val="en" w:eastAsia="en-AU"/>
              </w:rPr>
              <w:t>5%</w:t>
            </w:r>
          </w:p>
        </w:tc>
        <w:tc>
          <w:tcPr>
            <w:tcW w:w="1667" w:type="dxa"/>
            <w:vAlign w:val="center"/>
          </w:tcPr>
          <w:p w14:paraId="49F71E71" w14:textId="77777777" w:rsidR="00B323F5" w:rsidRDefault="00B323F5" w:rsidP="00173F88">
            <w:pPr>
              <w:spacing w:before="100" w:beforeAutospacing="1" w:line="360" w:lineRule="atLeast"/>
              <w:jc w:val="center"/>
              <w:cnfStyle w:val="000000000000" w:firstRow="0" w:lastRow="0" w:firstColumn="0" w:lastColumn="0" w:oddVBand="0" w:evenVBand="0" w:oddHBand="0" w:evenHBand="0" w:firstRowFirstColumn="0" w:firstRowLastColumn="0" w:lastRowFirstColumn="0" w:lastRowLastColumn="0"/>
              <w:rPr>
                <w:rFonts w:eastAsia="Segoe UI" w:cstheme="minorHAnsi"/>
                <w:color w:val="011A3C"/>
                <w:sz w:val="24"/>
                <w:lang w:val="en" w:eastAsia="en-AU"/>
              </w:rPr>
            </w:pPr>
            <w:r>
              <w:rPr>
                <w:rFonts w:eastAsia="Segoe UI" w:cstheme="minorHAnsi"/>
                <w:color w:val="011A3C"/>
                <w:sz w:val="24"/>
                <w:lang w:val="en" w:eastAsia="en-AU"/>
              </w:rPr>
              <w:t>3%</w:t>
            </w:r>
          </w:p>
        </w:tc>
        <w:tc>
          <w:tcPr>
            <w:tcW w:w="1667" w:type="dxa"/>
            <w:vAlign w:val="center"/>
          </w:tcPr>
          <w:p w14:paraId="2857B0EA" w14:textId="77777777" w:rsidR="00B323F5" w:rsidRDefault="00B323F5" w:rsidP="00173F88">
            <w:pPr>
              <w:spacing w:before="100" w:beforeAutospacing="1" w:line="360" w:lineRule="atLeast"/>
              <w:jc w:val="center"/>
              <w:cnfStyle w:val="000000000000" w:firstRow="0" w:lastRow="0" w:firstColumn="0" w:lastColumn="0" w:oddVBand="0" w:evenVBand="0" w:oddHBand="0" w:evenHBand="0" w:firstRowFirstColumn="0" w:firstRowLastColumn="0" w:lastRowFirstColumn="0" w:lastRowLastColumn="0"/>
              <w:rPr>
                <w:rFonts w:eastAsia="Segoe UI" w:cstheme="minorHAnsi"/>
                <w:color w:val="011A3C"/>
                <w:sz w:val="24"/>
                <w:lang w:val="en" w:eastAsia="en-AU"/>
              </w:rPr>
            </w:pPr>
            <w:r>
              <w:rPr>
                <w:rFonts w:eastAsia="Segoe UI" w:cstheme="minorHAnsi"/>
                <w:color w:val="011A3C"/>
                <w:sz w:val="24"/>
                <w:lang w:val="en" w:eastAsia="en-AU"/>
              </w:rPr>
              <w:t>3%</w:t>
            </w:r>
          </w:p>
        </w:tc>
      </w:tr>
      <w:tr w:rsidR="00113AE3" w14:paraId="43D069D2" w14:textId="77777777" w:rsidTr="00173F88">
        <w:trPr>
          <w:trHeight w:val="7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0545CF0" w14:textId="77777777" w:rsidR="00B323F5" w:rsidRDefault="00B323F5" w:rsidP="00173F88">
            <w:pPr>
              <w:spacing w:before="100" w:beforeAutospacing="1" w:line="360" w:lineRule="atLeast"/>
              <w:rPr>
                <w:rFonts w:eastAsia="Segoe UI" w:cstheme="minorHAnsi"/>
                <w:color w:val="011A3C"/>
                <w:sz w:val="24"/>
                <w:lang w:val="en" w:eastAsia="en-AU"/>
              </w:rPr>
            </w:pPr>
            <w:r>
              <w:rPr>
                <w:rFonts w:eastAsia="Segoe UI" w:cstheme="minorHAnsi"/>
                <w:color w:val="011A3C"/>
                <w:sz w:val="24"/>
                <w:lang w:val="en" w:eastAsia="en-AU"/>
              </w:rPr>
              <w:t>Specialist schools</w:t>
            </w:r>
          </w:p>
        </w:tc>
        <w:tc>
          <w:tcPr>
            <w:tcW w:w="1666" w:type="dxa"/>
            <w:vAlign w:val="center"/>
          </w:tcPr>
          <w:p w14:paraId="4F7E3B87" w14:textId="77777777" w:rsidR="00B323F5" w:rsidRDefault="00B323F5" w:rsidP="00173F88">
            <w:pPr>
              <w:spacing w:before="100" w:beforeAutospacing="1" w:line="360" w:lineRule="atLeast"/>
              <w:jc w:val="center"/>
              <w:cnfStyle w:val="000000000000" w:firstRow="0" w:lastRow="0" w:firstColumn="0" w:lastColumn="0" w:oddVBand="0" w:evenVBand="0" w:oddHBand="0" w:evenHBand="0" w:firstRowFirstColumn="0" w:firstRowLastColumn="0" w:lastRowFirstColumn="0" w:lastRowLastColumn="0"/>
              <w:rPr>
                <w:rFonts w:eastAsia="Segoe UI" w:cstheme="minorHAnsi"/>
                <w:color w:val="011A3C"/>
                <w:sz w:val="24"/>
                <w:lang w:val="en" w:eastAsia="en-AU"/>
              </w:rPr>
            </w:pPr>
            <w:r>
              <w:rPr>
                <w:rFonts w:eastAsia="Segoe UI" w:cstheme="minorHAnsi"/>
                <w:color w:val="011A3C"/>
                <w:sz w:val="24"/>
                <w:lang w:val="en" w:eastAsia="en-AU"/>
              </w:rPr>
              <w:t>10%</w:t>
            </w:r>
          </w:p>
        </w:tc>
        <w:tc>
          <w:tcPr>
            <w:tcW w:w="1667" w:type="dxa"/>
            <w:vAlign w:val="center"/>
          </w:tcPr>
          <w:p w14:paraId="38BE89CD" w14:textId="77777777" w:rsidR="00B323F5" w:rsidRDefault="00B323F5" w:rsidP="00173F88">
            <w:pPr>
              <w:spacing w:before="100" w:beforeAutospacing="1" w:line="360" w:lineRule="atLeast"/>
              <w:jc w:val="center"/>
              <w:cnfStyle w:val="000000000000" w:firstRow="0" w:lastRow="0" w:firstColumn="0" w:lastColumn="0" w:oddVBand="0" w:evenVBand="0" w:oddHBand="0" w:evenHBand="0" w:firstRowFirstColumn="0" w:firstRowLastColumn="0" w:lastRowFirstColumn="0" w:lastRowLastColumn="0"/>
              <w:rPr>
                <w:rFonts w:eastAsia="Segoe UI" w:cstheme="minorHAnsi"/>
                <w:color w:val="011A3C"/>
                <w:sz w:val="24"/>
                <w:lang w:val="en" w:eastAsia="en-AU"/>
              </w:rPr>
            </w:pPr>
            <w:r>
              <w:rPr>
                <w:rFonts w:eastAsia="Segoe UI" w:cstheme="minorHAnsi"/>
                <w:color w:val="011A3C"/>
                <w:sz w:val="24"/>
                <w:lang w:val="en" w:eastAsia="en-AU"/>
              </w:rPr>
              <w:t>10%</w:t>
            </w:r>
          </w:p>
        </w:tc>
        <w:tc>
          <w:tcPr>
            <w:tcW w:w="1667" w:type="dxa"/>
            <w:vAlign w:val="center"/>
          </w:tcPr>
          <w:p w14:paraId="00B95C90" w14:textId="77777777" w:rsidR="00B323F5" w:rsidRDefault="00B323F5" w:rsidP="00173F88">
            <w:pPr>
              <w:spacing w:before="100" w:beforeAutospacing="1" w:line="360" w:lineRule="atLeast"/>
              <w:jc w:val="center"/>
              <w:cnfStyle w:val="000000000000" w:firstRow="0" w:lastRow="0" w:firstColumn="0" w:lastColumn="0" w:oddVBand="0" w:evenVBand="0" w:oddHBand="0" w:evenHBand="0" w:firstRowFirstColumn="0" w:firstRowLastColumn="0" w:lastRowFirstColumn="0" w:lastRowLastColumn="0"/>
              <w:rPr>
                <w:rFonts w:eastAsia="Segoe UI" w:cstheme="minorHAnsi"/>
                <w:color w:val="011A3C"/>
                <w:sz w:val="24"/>
                <w:lang w:val="en" w:eastAsia="en-AU"/>
              </w:rPr>
            </w:pPr>
            <w:r>
              <w:rPr>
                <w:rFonts w:eastAsia="Segoe UI" w:cstheme="minorHAnsi"/>
                <w:color w:val="011A3C"/>
                <w:sz w:val="24"/>
                <w:lang w:val="en" w:eastAsia="en-AU"/>
              </w:rPr>
              <w:t>10%</w:t>
            </w:r>
          </w:p>
        </w:tc>
        <w:tc>
          <w:tcPr>
            <w:tcW w:w="1667" w:type="dxa"/>
            <w:vAlign w:val="center"/>
          </w:tcPr>
          <w:p w14:paraId="6220A0AE" w14:textId="77777777" w:rsidR="00B323F5" w:rsidRDefault="00B323F5" w:rsidP="00173F88">
            <w:pPr>
              <w:spacing w:before="100" w:beforeAutospacing="1" w:line="360" w:lineRule="atLeast"/>
              <w:jc w:val="center"/>
              <w:cnfStyle w:val="000000000000" w:firstRow="0" w:lastRow="0" w:firstColumn="0" w:lastColumn="0" w:oddVBand="0" w:evenVBand="0" w:oddHBand="0" w:evenHBand="0" w:firstRowFirstColumn="0" w:firstRowLastColumn="0" w:lastRowFirstColumn="0" w:lastRowLastColumn="0"/>
              <w:rPr>
                <w:rFonts w:eastAsia="Segoe UI" w:cstheme="minorHAnsi"/>
                <w:color w:val="011A3C"/>
                <w:sz w:val="24"/>
                <w:lang w:val="en" w:eastAsia="en-AU"/>
              </w:rPr>
            </w:pPr>
            <w:r>
              <w:rPr>
                <w:rFonts w:eastAsia="Segoe UI" w:cstheme="minorHAnsi"/>
                <w:color w:val="011A3C"/>
                <w:sz w:val="24"/>
                <w:lang w:val="en" w:eastAsia="en-AU"/>
              </w:rPr>
              <w:t>10%</w:t>
            </w:r>
          </w:p>
        </w:tc>
        <w:tc>
          <w:tcPr>
            <w:tcW w:w="1667" w:type="dxa"/>
            <w:vAlign w:val="center"/>
          </w:tcPr>
          <w:p w14:paraId="18C11F09" w14:textId="77777777" w:rsidR="00B323F5" w:rsidRDefault="00B323F5" w:rsidP="00173F88">
            <w:pPr>
              <w:spacing w:before="100" w:beforeAutospacing="1" w:line="360" w:lineRule="atLeast"/>
              <w:jc w:val="center"/>
              <w:cnfStyle w:val="000000000000" w:firstRow="0" w:lastRow="0" w:firstColumn="0" w:lastColumn="0" w:oddVBand="0" w:evenVBand="0" w:oddHBand="0" w:evenHBand="0" w:firstRowFirstColumn="0" w:firstRowLastColumn="0" w:lastRowFirstColumn="0" w:lastRowLastColumn="0"/>
              <w:rPr>
                <w:rFonts w:eastAsia="Segoe UI" w:cstheme="minorHAnsi"/>
                <w:color w:val="011A3C"/>
                <w:sz w:val="24"/>
                <w:lang w:val="en" w:eastAsia="en-AU"/>
              </w:rPr>
            </w:pPr>
            <w:r>
              <w:rPr>
                <w:rFonts w:eastAsia="Segoe UI" w:cstheme="minorHAnsi"/>
                <w:color w:val="011A3C"/>
                <w:sz w:val="24"/>
                <w:lang w:val="en" w:eastAsia="en-AU"/>
              </w:rPr>
              <w:t>10%</w:t>
            </w:r>
          </w:p>
        </w:tc>
      </w:tr>
    </w:tbl>
    <w:p w14:paraId="2D78770E" w14:textId="77777777" w:rsidR="00B323F5" w:rsidRDefault="00B323F5" w:rsidP="00B323F5">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Schools will not be permitted to transfer credit funds to cash without a legitimate reason. </w:t>
      </w:r>
    </w:p>
    <w:p w14:paraId="017C1ECB" w14:textId="77777777" w:rsidR="00B323F5" w:rsidRDefault="00B323F5" w:rsidP="00B323F5">
      <w:pPr>
        <w:spacing w:before="100" w:beforeAutospacing="1" w:after="100" w:afterAutospacing="1" w:line="360" w:lineRule="atLeast"/>
        <w:rPr>
          <w:rFonts w:eastAsia="Segoe UI" w:cstheme="minorHAnsi"/>
          <w:b/>
          <w:bCs/>
          <w:color w:val="011A3C"/>
          <w:sz w:val="24"/>
          <w:szCs w:val="24"/>
          <w:lang w:val="en" w:eastAsia="en-AU"/>
        </w:rPr>
      </w:pPr>
      <w:r>
        <w:rPr>
          <w:rFonts w:eastAsia="Segoe UI" w:cstheme="minorHAnsi"/>
          <w:b/>
          <w:bCs/>
          <w:color w:val="011A3C"/>
          <w:sz w:val="24"/>
          <w:szCs w:val="24"/>
          <w:lang w:val="en" w:eastAsia="en-AU"/>
        </w:rPr>
        <w:t>Formula</w:t>
      </w:r>
    </w:p>
    <w:p w14:paraId="11B608E5" w14:textId="77777777" w:rsidR="00B323F5" w:rsidRPr="000F7306" w:rsidRDefault="00B323F5" w:rsidP="00B323F5">
      <w:pPr>
        <w:spacing w:before="100" w:beforeAutospacing="1" w:after="100" w:afterAutospacing="1" w:line="360" w:lineRule="atLeast"/>
        <w:rPr>
          <w:rFonts w:eastAsia="Segoe UI" w:cstheme="minorHAnsi"/>
          <w:color w:val="011A3C"/>
          <w:sz w:val="24"/>
          <w:szCs w:val="24"/>
          <w:lang w:val="en" w:eastAsia="en-AU"/>
        </w:rPr>
      </w:pPr>
      <w:r w:rsidRPr="000F7306">
        <w:rPr>
          <w:rFonts w:eastAsia="Segoe UI" w:cstheme="minorHAnsi"/>
          <w:color w:val="011A3C"/>
          <w:sz w:val="24"/>
          <w:szCs w:val="24"/>
          <w:lang w:val="en" w:eastAsia="en-AU"/>
        </w:rPr>
        <w:t xml:space="preserve">Any school that has a surplus balance that exceeds the threshold requirements will not have their surplus reduced to below $100,000, or $200,000 for specialist schools. </w:t>
      </w:r>
    </w:p>
    <w:p w14:paraId="0F80070C" w14:textId="77777777" w:rsidR="00B323F5" w:rsidRPr="000F7306" w:rsidRDefault="00B323F5" w:rsidP="00B323F5">
      <w:pPr>
        <w:spacing w:before="100" w:beforeAutospacing="1" w:after="100" w:afterAutospacing="1" w:line="360" w:lineRule="atLeast"/>
        <w:rPr>
          <w:rFonts w:eastAsia="Segoe UI" w:cstheme="minorHAnsi"/>
          <w:color w:val="011A3C"/>
          <w:sz w:val="24"/>
          <w:szCs w:val="24"/>
          <w:lang w:val="en" w:eastAsia="en-AU"/>
        </w:rPr>
      </w:pPr>
      <w:r w:rsidRPr="000F7306">
        <w:rPr>
          <w:rFonts w:eastAsia="Segoe UI" w:cstheme="minorHAnsi"/>
          <w:color w:val="011A3C"/>
          <w:sz w:val="24"/>
          <w:szCs w:val="24"/>
          <w:lang w:val="en" w:eastAsia="en-AU"/>
        </w:rPr>
        <w:t>In other words, in year one of th</w:t>
      </w:r>
      <w:r>
        <w:rPr>
          <w:rFonts w:eastAsia="Segoe UI" w:cstheme="minorHAnsi"/>
          <w:color w:val="011A3C"/>
          <w:sz w:val="24"/>
          <w:szCs w:val="24"/>
          <w:lang w:val="en" w:eastAsia="en-AU"/>
        </w:rPr>
        <w:t>is</w:t>
      </w:r>
      <w:r w:rsidRPr="000F7306">
        <w:rPr>
          <w:rFonts w:eastAsia="Segoe UI" w:cstheme="minorHAnsi"/>
          <w:color w:val="011A3C"/>
          <w:sz w:val="24"/>
          <w:szCs w:val="24"/>
          <w:lang w:val="en" w:eastAsia="en-AU"/>
        </w:rPr>
        <w:t xml:space="preserve"> policy: </w:t>
      </w:r>
    </w:p>
    <w:p w14:paraId="3D9B0BC6" w14:textId="77777777" w:rsidR="00B323F5" w:rsidRPr="00173F88" w:rsidRDefault="00B323F5" w:rsidP="00B323F5">
      <w:pPr>
        <w:spacing w:before="100" w:beforeAutospacing="1" w:after="100" w:afterAutospacing="1" w:line="360" w:lineRule="atLeast"/>
        <w:jc w:val="center"/>
        <w:rPr>
          <w:rFonts w:eastAsia="Segoe UI" w:cstheme="minorHAnsi"/>
          <w:i/>
          <w:iCs/>
          <w:color w:val="011A3C"/>
          <w:sz w:val="24"/>
          <w:szCs w:val="24"/>
          <w:lang w:val="en" w:eastAsia="en-AU"/>
        </w:rPr>
      </w:pPr>
      <w:r w:rsidRPr="00173F88">
        <w:rPr>
          <w:rFonts w:eastAsia="Segoe UI" w:cstheme="minorHAnsi"/>
          <w:b/>
          <w:bCs/>
          <w:color w:val="011A3C"/>
          <w:sz w:val="24"/>
          <w:szCs w:val="24"/>
          <w:lang w:val="en" w:eastAsia="en-AU"/>
        </w:rPr>
        <w:t>All schools:</w:t>
      </w:r>
      <w:r w:rsidRPr="000F7306">
        <w:rPr>
          <w:rFonts w:eastAsia="Segoe UI" w:cstheme="minorHAnsi"/>
          <w:color w:val="011A3C"/>
          <w:sz w:val="24"/>
          <w:szCs w:val="24"/>
          <w:lang w:val="en" w:eastAsia="en-AU"/>
        </w:rPr>
        <w:t xml:space="preserve"> </w:t>
      </w:r>
      <w:r w:rsidRPr="00173F88">
        <w:rPr>
          <w:rFonts w:eastAsia="Segoe UI" w:cstheme="minorHAnsi"/>
          <w:i/>
          <w:iCs/>
          <w:color w:val="011A3C"/>
          <w:sz w:val="24"/>
          <w:szCs w:val="24"/>
          <w:lang w:val="en" w:eastAsia="en-AU"/>
        </w:rPr>
        <w:t>Maximum SRP credit that can be retained = the greater of:</w:t>
      </w:r>
    </w:p>
    <w:p w14:paraId="001F73CD" w14:textId="77777777" w:rsidR="00B323F5" w:rsidRPr="00173F88" w:rsidRDefault="00B323F5" w:rsidP="00B323F5">
      <w:pPr>
        <w:spacing w:before="100" w:beforeAutospacing="1" w:after="100" w:afterAutospacing="1" w:line="360" w:lineRule="atLeast"/>
        <w:jc w:val="center"/>
        <w:rPr>
          <w:rFonts w:eastAsia="Segoe UI" w:cstheme="minorHAnsi"/>
          <w:i/>
          <w:iCs/>
          <w:color w:val="011A3C"/>
          <w:sz w:val="24"/>
          <w:szCs w:val="24"/>
          <w:lang w:val="en" w:eastAsia="en-AU"/>
        </w:rPr>
      </w:pPr>
      <w:r w:rsidRPr="00173F88">
        <w:rPr>
          <w:rFonts w:eastAsia="Segoe UI" w:cstheme="minorHAnsi"/>
          <w:i/>
          <w:iCs/>
          <w:color w:val="011A3C"/>
          <w:sz w:val="24"/>
          <w:szCs w:val="24"/>
          <w:lang w:val="en" w:eastAsia="en-AU"/>
        </w:rPr>
        <w:t xml:space="preserve">Total Annual SRP Credit x 7.5% </w:t>
      </w:r>
      <w:r w:rsidRPr="00173F88">
        <w:rPr>
          <w:rFonts w:eastAsia="Segoe UI" w:cstheme="minorHAnsi"/>
          <w:i/>
          <w:iCs/>
          <w:color w:val="011A3C"/>
          <w:sz w:val="24"/>
          <w:szCs w:val="24"/>
          <w:u w:val="single"/>
          <w:lang w:val="en" w:eastAsia="en-AU"/>
        </w:rPr>
        <w:t>OR</w:t>
      </w:r>
      <w:r w:rsidRPr="00173F88">
        <w:rPr>
          <w:rFonts w:eastAsia="Segoe UI" w:cstheme="minorHAnsi"/>
          <w:i/>
          <w:iCs/>
          <w:color w:val="011A3C"/>
          <w:sz w:val="24"/>
          <w:szCs w:val="24"/>
          <w:lang w:val="en" w:eastAsia="en-AU"/>
        </w:rPr>
        <w:t xml:space="preserve"> $100,000</w:t>
      </w:r>
    </w:p>
    <w:p w14:paraId="51AA3891" w14:textId="77777777" w:rsidR="00B323F5" w:rsidRDefault="00B323F5" w:rsidP="00B323F5">
      <w:pPr>
        <w:spacing w:before="100" w:beforeAutospacing="1" w:after="100" w:afterAutospacing="1" w:line="360" w:lineRule="atLeast"/>
        <w:rPr>
          <w:rFonts w:eastAsia="Segoe UI" w:cstheme="minorHAnsi"/>
          <w:color w:val="011A3C"/>
          <w:sz w:val="24"/>
          <w:szCs w:val="24"/>
          <w:lang w:val="en" w:eastAsia="en-AU"/>
        </w:rPr>
      </w:pPr>
    </w:p>
    <w:p w14:paraId="0A48FC41" w14:textId="77777777" w:rsidR="00B323F5" w:rsidRPr="00173F88" w:rsidRDefault="00B323F5" w:rsidP="00B323F5">
      <w:pPr>
        <w:spacing w:before="100" w:beforeAutospacing="1" w:after="100" w:afterAutospacing="1" w:line="360" w:lineRule="atLeast"/>
        <w:jc w:val="center"/>
        <w:rPr>
          <w:rFonts w:eastAsia="Segoe UI" w:cstheme="minorHAnsi"/>
          <w:i/>
          <w:iCs/>
          <w:color w:val="011A3C"/>
          <w:sz w:val="24"/>
          <w:szCs w:val="24"/>
          <w:lang w:val="en" w:eastAsia="en-AU"/>
        </w:rPr>
      </w:pPr>
      <w:r w:rsidRPr="00173F88">
        <w:rPr>
          <w:rFonts w:eastAsia="Segoe UI" w:cstheme="minorHAnsi"/>
          <w:b/>
          <w:bCs/>
          <w:color w:val="011A3C"/>
          <w:sz w:val="24"/>
          <w:szCs w:val="24"/>
          <w:lang w:val="en" w:eastAsia="en-AU"/>
        </w:rPr>
        <w:t>Specialist schools:</w:t>
      </w:r>
      <w:r w:rsidRPr="000F7306">
        <w:rPr>
          <w:rFonts w:eastAsia="Segoe UI" w:cstheme="minorHAnsi"/>
          <w:color w:val="011A3C"/>
          <w:sz w:val="24"/>
          <w:szCs w:val="24"/>
          <w:lang w:val="en" w:eastAsia="en-AU"/>
        </w:rPr>
        <w:t xml:space="preserve"> </w:t>
      </w:r>
      <w:r w:rsidRPr="00173F88">
        <w:rPr>
          <w:rFonts w:eastAsia="Segoe UI" w:cstheme="minorHAnsi"/>
          <w:i/>
          <w:iCs/>
          <w:color w:val="011A3C"/>
          <w:sz w:val="24"/>
          <w:szCs w:val="24"/>
          <w:lang w:val="en" w:eastAsia="en-AU"/>
        </w:rPr>
        <w:t>Maximum SRP credit that can be retained = the greater of:</w:t>
      </w:r>
    </w:p>
    <w:p w14:paraId="2D0208DB" w14:textId="77777777" w:rsidR="00B323F5" w:rsidRPr="00173F88" w:rsidRDefault="00B323F5" w:rsidP="00B323F5">
      <w:pPr>
        <w:spacing w:before="100" w:beforeAutospacing="1" w:after="100" w:afterAutospacing="1" w:line="360" w:lineRule="atLeast"/>
        <w:jc w:val="center"/>
        <w:rPr>
          <w:rFonts w:eastAsia="Segoe UI" w:cstheme="minorHAnsi"/>
          <w:i/>
          <w:iCs/>
          <w:color w:val="011A3C"/>
          <w:sz w:val="24"/>
          <w:szCs w:val="24"/>
          <w:lang w:val="en" w:eastAsia="en-AU"/>
        </w:rPr>
      </w:pPr>
      <w:r w:rsidRPr="00173F88">
        <w:rPr>
          <w:rFonts w:eastAsia="Segoe UI" w:cstheme="minorHAnsi"/>
          <w:i/>
          <w:iCs/>
          <w:color w:val="011A3C"/>
          <w:sz w:val="24"/>
          <w:szCs w:val="24"/>
          <w:lang w:val="en" w:eastAsia="en-AU"/>
        </w:rPr>
        <w:t xml:space="preserve">Total Annual SRP Credit x 10% </w:t>
      </w:r>
      <w:r w:rsidRPr="00173F88">
        <w:rPr>
          <w:rFonts w:eastAsia="Segoe UI" w:cstheme="minorHAnsi"/>
          <w:i/>
          <w:iCs/>
          <w:color w:val="011A3C"/>
          <w:sz w:val="24"/>
          <w:szCs w:val="24"/>
          <w:u w:val="single"/>
          <w:lang w:val="en" w:eastAsia="en-AU"/>
        </w:rPr>
        <w:t>OR</w:t>
      </w:r>
      <w:r w:rsidRPr="00173F88">
        <w:rPr>
          <w:rFonts w:eastAsia="Segoe UI" w:cstheme="minorHAnsi"/>
          <w:i/>
          <w:iCs/>
          <w:color w:val="011A3C"/>
          <w:sz w:val="24"/>
          <w:szCs w:val="24"/>
          <w:lang w:val="en" w:eastAsia="en-AU"/>
        </w:rPr>
        <w:t xml:space="preserve"> $200,000</w:t>
      </w:r>
    </w:p>
    <w:p w14:paraId="421A78B9" w14:textId="77777777" w:rsidR="00B323F5" w:rsidRPr="00173F88" w:rsidRDefault="00B323F5" w:rsidP="00B323F5">
      <w:pPr>
        <w:spacing w:before="100" w:beforeAutospacing="1" w:after="100" w:afterAutospacing="1" w:line="360" w:lineRule="atLeast"/>
        <w:rPr>
          <w:rFonts w:eastAsia="Segoe UI" w:cstheme="minorHAnsi"/>
          <w:b/>
          <w:color w:val="011A3C"/>
          <w:sz w:val="24"/>
          <w:szCs w:val="24"/>
          <w:lang w:val="en" w:eastAsia="en-AU"/>
        </w:rPr>
      </w:pPr>
      <w:r w:rsidRPr="00173F88">
        <w:rPr>
          <w:rFonts w:eastAsia="Segoe UI" w:cstheme="minorHAnsi"/>
          <w:b/>
          <w:color w:val="011A3C"/>
          <w:sz w:val="24"/>
          <w:szCs w:val="24"/>
          <w:lang w:val="en" w:eastAsia="en-AU"/>
        </w:rPr>
        <w:t>Accumulated balances</w:t>
      </w:r>
    </w:p>
    <w:p w14:paraId="0C962FC5" w14:textId="77777777" w:rsidR="00B323F5" w:rsidRDefault="00B323F5" w:rsidP="00B323F5">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All credit surplus funds accumulated up until 2023 reconciliation will be quarantined from being withheld, but schools must spend all accumulated funds by the end of transition period (end of 2027 school year). </w:t>
      </w:r>
    </w:p>
    <w:p w14:paraId="78B354E1" w14:textId="77777777" w:rsidR="00B323F5" w:rsidRDefault="00B323F5" w:rsidP="00B323F5">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Any funds remaining from the accumulated balance after 2027 will be withheld by the department. </w:t>
      </w:r>
    </w:p>
    <w:p w14:paraId="12CC4469" w14:textId="77777777" w:rsidR="00B323F5" w:rsidRDefault="00B323F5" w:rsidP="00B323F5">
      <w:pPr>
        <w:spacing w:before="100" w:beforeAutospacing="1" w:after="100" w:afterAutospacing="1" w:line="360" w:lineRule="atLeast"/>
        <w:rPr>
          <w:rFonts w:eastAsia="Segoe UI" w:cstheme="minorHAnsi"/>
          <w:b/>
          <w:color w:val="011A3C"/>
          <w:sz w:val="24"/>
          <w:szCs w:val="24"/>
          <w:lang w:val="en" w:eastAsia="en-AU"/>
        </w:rPr>
      </w:pPr>
      <w:r w:rsidRPr="00173F88">
        <w:rPr>
          <w:rFonts w:eastAsia="Segoe UI" w:cstheme="minorHAnsi"/>
          <w:b/>
          <w:color w:val="011A3C"/>
          <w:sz w:val="24"/>
          <w:szCs w:val="24"/>
          <w:lang w:val="en" w:eastAsia="en-AU"/>
        </w:rPr>
        <w:t>Deficit write-off incentive</w:t>
      </w:r>
      <w:r>
        <w:rPr>
          <w:rFonts w:eastAsia="Segoe UI" w:cstheme="minorHAnsi"/>
          <w:b/>
          <w:color w:val="011A3C"/>
          <w:sz w:val="24"/>
          <w:szCs w:val="24"/>
          <w:lang w:val="en" w:eastAsia="en-AU"/>
        </w:rPr>
        <w:t xml:space="preserve"> for small schools </w:t>
      </w:r>
    </w:p>
    <w:p w14:paraId="41692F9C" w14:textId="77777777" w:rsidR="00B323F5" w:rsidRDefault="00B323F5" w:rsidP="00B323F5">
      <w:pPr>
        <w:spacing w:before="100" w:beforeAutospacing="1" w:after="100" w:afterAutospacing="1" w:line="360" w:lineRule="atLeast"/>
        <w:rPr>
          <w:rFonts w:eastAsia="Segoe UI" w:cstheme="minorHAnsi"/>
          <w:bCs/>
          <w:color w:val="011A3C"/>
          <w:sz w:val="24"/>
          <w:szCs w:val="24"/>
          <w:lang w:val="en" w:eastAsia="en-AU"/>
        </w:rPr>
      </w:pPr>
      <w:r>
        <w:rPr>
          <w:rFonts w:eastAsia="Segoe UI" w:cstheme="minorHAnsi"/>
          <w:bCs/>
          <w:color w:val="011A3C"/>
          <w:sz w:val="24"/>
          <w:szCs w:val="24"/>
          <w:lang w:val="en" w:eastAsia="en-AU"/>
        </w:rPr>
        <w:lastRenderedPageBreak/>
        <w:t xml:space="preserve">In recognition of the difficulty in recruitment and managing staffing in small schools, coupled with the requirement to balance staffing over multiple years with smaller budgets, there will be an opportunity to have small deficits written off by the department. </w:t>
      </w:r>
    </w:p>
    <w:p w14:paraId="7B5447BD" w14:textId="77777777" w:rsidR="00B323F5" w:rsidRDefault="00B323F5" w:rsidP="00B323F5">
      <w:pPr>
        <w:spacing w:before="100" w:beforeAutospacing="1" w:after="100" w:afterAutospacing="1" w:line="360" w:lineRule="atLeast"/>
        <w:rPr>
          <w:rFonts w:eastAsia="Segoe UI" w:cstheme="minorHAnsi"/>
          <w:bCs/>
          <w:color w:val="011A3C"/>
          <w:sz w:val="24"/>
          <w:szCs w:val="24"/>
          <w:lang w:val="en" w:eastAsia="en-AU"/>
        </w:rPr>
      </w:pPr>
      <w:r>
        <w:rPr>
          <w:rFonts w:eastAsia="Segoe UI" w:cstheme="minorHAnsi"/>
          <w:bCs/>
          <w:color w:val="011A3C"/>
          <w:sz w:val="24"/>
          <w:szCs w:val="24"/>
          <w:lang w:val="en" w:eastAsia="en-AU"/>
        </w:rPr>
        <w:t xml:space="preserve">Small schools that, in the spirit of trying to spend their SRP credit allocation in full for the benefit of the existing students, exceed their full allocation, thus pushing the school into a small deficit, will have an opportunity to have their deficits reduced by the department up to $50,000. </w:t>
      </w:r>
    </w:p>
    <w:p w14:paraId="6B511638" w14:textId="77777777" w:rsidR="00B323F5" w:rsidRDefault="00B323F5" w:rsidP="00B323F5">
      <w:pPr>
        <w:spacing w:before="100" w:beforeAutospacing="1" w:after="100" w:afterAutospacing="1" w:line="360" w:lineRule="atLeast"/>
        <w:rPr>
          <w:rFonts w:eastAsia="Segoe UI" w:cstheme="minorHAnsi"/>
          <w:bCs/>
          <w:color w:val="011A3C"/>
          <w:sz w:val="24"/>
          <w:szCs w:val="24"/>
          <w:lang w:val="en" w:eastAsia="en-AU"/>
        </w:rPr>
      </w:pPr>
      <w:r>
        <w:rPr>
          <w:rFonts w:eastAsia="Segoe UI" w:cstheme="minorHAnsi"/>
          <w:bCs/>
          <w:color w:val="011A3C"/>
          <w:sz w:val="24"/>
          <w:szCs w:val="24"/>
          <w:lang w:val="en" w:eastAsia="en-AU"/>
        </w:rPr>
        <w:t>This incentive only applies to very small and small schools (in line with Small Schools Base Funding which defines small schools as either primary schools with less than 80.1 students or secondary schools with less than 400 students).</w:t>
      </w:r>
    </w:p>
    <w:p w14:paraId="20CE463A" w14:textId="77777777" w:rsidR="00B323F5" w:rsidRDefault="00B323F5" w:rsidP="00B323F5">
      <w:pPr>
        <w:spacing w:before="100" w:beforeAutospacing="1" w:after="100" w:afterAutospacing="1" w:line="360" w:lineRule="atLeast"/>
        <w:rPr>
          <w:rFonts w:eastAsia="Segoe UI" w:cstheme="minorHAnsi"/>
          <w:bCs/>
          <w:color w:val="011A3C"/>
          <w:sz w:val="24"/>
          <w:szCs w:val="24"/>
          <w:lang w:val="en" w:eastAsia="en-AU"/>
        </w:rPr>
      </w:pPr>
      <w:r>
        <w:rPr>
          <w:rFonts w:eastAsia="Segoe UI" w:cstheme="minorHAnsi"/>
          <w:bCs/>
          <w:color w:val="011A3C"/>
          <w:sz w:val="24"/>
          <w:szCs w:val="24"/>
          <w:lang w:val="en" w:eastAsia="en-AU"/>
        </w:rPr>
        <w:t>For this incentive to apply, small schools must demonstrate that the deficit:</w:t>
      </w:r>
    </w:p>
    <w:p w14:paraId="2468D77E" w14:textId="77777777" w:rsidR="00B323F5" w:rsidRDefault="00B323F5" w:rsidP="00B323F5">
      <w:pPr>
        <w:pStyle w:val="ListParagraph"/>
        <w:numPr>
          <w:ilvl w:val="0"/>
          <w:numId w:val="185"/>
        </w:numPr>
        <w:spacing w:before="100" w:beforeAutospacing="1" w:after="100" w:afterAutospacing="1" w:line="360" w:lineRule="atLeast"/>
        <w:rPr>
          <w:rFonts w:eastAsia="Segoe UI" w:cstheme="minorHAnsi"/>
          <w:bCs/>
          <w:color w:val="011A3C"/>
          <w:sz w:val="24"/>
          <w:szCs w:val="24"/>
          <w:lang w:val="en" w:eastAsia="en-AU"/>
        </w:rPr>
      </w:pPr>
      <w:r w:rsidRPr="00173F88">
        <w:rPr>
          <w:rFonts w:eastAsia="Segoe UI" w:cstheme="minorHAnsi"/>
          <w:bCs/>
          <w:color w:val="011A3C"/>
          <w:sz w:val="24"/>
          <w:szCs w:val="24"/>
          <w:lang w:val="en" w:eastAsia="en-AU"/>
        </w:rPr>
        <w:t>was caused by adding additional staff</w:t>
      </w:r>
      <w:r>
        <w:rPr>
          <w:rFonts w:eastAsia="Segoe UI" w:cstheme="minorHAnsi"/>
          <w:bCs/>
          <w:color w:val="011A3C"/>
          <w:sz w:val="24"/>
          <w:szCs w:val="24"/>
          <w:lang w:val="en" w:eastAsia="en-AU"/>
        </w:rPr>
        <w:t xml:space="preserve">, </w:t>
      </w:r>
      <w:r w:rsidRPr="00173F88">
        <w:rPr>
          <w:rFonts w:eastAsia="Segoe UI" w:cstheme="minorHAnsi"/>
          <w:bCs/>
          <w:color w:val="011A3C"/>
          <w:sz w:val="24"/>
          <w:szCs w:val="24"/>
          <w:lang w:val="en" w:eastAsia="en-AU"/>
        </w:rPr>
        <w:t xml:space="preserve">and </w:t>
      </w:r>
    </w:p>
    <w:p w14:paraId="651FCDFE" w14:textId="77777777" w:rsidR="00B323F5" w:rsidRDefault="00B323F5" w:rsidP="00B323F5">
      <w:pPr>
        <w:pStyle w:val="ListParagraph"/>
        <w:numPr>
          <w:ilvl w:val="0"/>
          <w:numId w:val="185"/>
        </w:numPr>
        <w:spacing w:before="100" w:beforeAutospacing="1" w:after="100" w:afterAutospacing="1" w:line="360" w:lineRule="atLeast"/>
        <w:rPr>
          <w:rFonts w:eastAsia="Segoe UI" w:cstheme="minorHAnsi"/>
          <w:bCs/>
          <w:color w:val="011A3C"/>
          <w:sz w:val="24"/>
          <w:szCs w:val="24"/>
          <w:lang w:val="en" w:eastAsia="en-AU"/>
        </w:rPr>
      </w:pPr>
      <w:r w:rsidRPr="00173F88">
        <w:rPr>
          <w:rFonts w:eastAsia="Segoe UI" w:cstheme="minorHAnsi"/>
          <w:bCs/>
          <w:color w:val="011A3C"/>
          <w:sz w:val="24"/>
          <w:szCs w:val="24"/>
          <w:lang w:val="en" w:eastAsia="en-AU"/>
        </w:rPr>
        <w:t xml:space="preserve">is not offset by significant amounts of locally raised funds. </w:t>
      </w:r>
    </w:p>
    <w:p w14:paraId="102E8595" w14:textId="77777777" w:rsidR="00B323F5" w:rsidRPr="00173F88" w:rsidRDefault="00B323F5" w:rsidP="00B323F5">
      <w:pPr>
        <w:spacing w:before="100" w:beforeAutospacing="1" w:after="100" w:afterAutospacing="1" w:line="360" w:lineRule="atLeast"/>
        <w:rPr>
          <w:rFonts w:eastAsia="Segoe UI" w:cstheme="minorHAnsi"/>
          <w:bCs/>
          <w:color w:val="011A3C"/>
          <w:sz w:val="24"/>
          <w:szCs w:val="24"/>
          <w:lang w:val="en" w:eastAsia="en-AU"/>
        </w:rPr>
      </w:pPr>
      <w:r w:rsidRPr="00173F88">
        <w:rPr>
          <w:rFonts w:eastAsia="Segoe UI" w:cstheme="minorHAnsi"/>
          <w:bCs/>
          <w:color w:val="011A3C"/>
          <w:sz w:val="24"/>
          <w:szCs w:val="24"/>
          <w:lang w:val="en" w:eastAsia="en-AU"/>
        </w:rPr>
        <w:t xml:space="preserve">Schools should contact the Schools Finance and Resources Branch for further information on the deficit write off incentive via </w:t>
      </w:r>
      <w:hyperlink r:id="rId290" w:history="1">
        <w:r w:rsidRPr="00DF1D3D">
          <w:rPr>
            <w:rStyle w:val="Hyperlink"/>
            <w:rFonts w:eastAsia="Segoe UI" w:cstheme="minorHAnsi"/>
            <w:bCs/>
            <w:sz w:val="24"/>
            <w:szCs w:val="24"/>
            <w:lang w:val="en" w:eastAsia="en-AU"/>
          </w:rPr>
          <w:t>schools.finance.support@education.vic.gov.au</w:t>
        </w:r>
      </w:hyperlink>
      <w:r w:rsidRPr="00173F88">
        <w:rPr>
          <w:rFonts w:eastAsia="Segoe UI" w:cstheme="minorHAnsi"/>
          <w:bCs/>
          <w:color w:val="011A3C"/>
          <w:sz w:val="24"/>
          <w:szCs w:val="24"/>
          <w:lang w:val="en" w:eastAsia="en-AU"/>
        </w:rPr>
        <w:t xml:space="preserve">. </w:t>
      </w:r>
    </w:p>
    <w:p w14:paraId="63C765B7" w14:textId="77777777" w:rsidR="00B323F5" w:rsidRDefault="00B323F5" w:rsidP="00B323F5">
      <w:pPr>
        <w:spacing w:before="100" w:beforeAutospacing="1" w:after="100" w:afterAutospacing="1" w:line="360" w:lineRule="atLeast"/>
        <w:rPr>
          <w:rFonts w:eastAsia="Segoe UI" w:cstheme="minorHAnsi"/>
          <w:bCs/>
          <w:color w:val="011A3C"/>
          <w:sz w:val="24"/>
          <w:szCs w:val="24"/>
          <w:lang w:val="en" w:eastAsia="en-AU"/>
        </w:rPr>
      </w:pPr>
      <w:r>
        <w:rPr>
          <w:rFonts w:eastAsia="Segoe UI" w:cstheme="minorHAnsi"/>
          <w:bCs/>
          <w:color w:val="011A3C"/>
          <w:sz w:val="24"/>
          <w:szCs w:val="24"/>
          <w:lang w:val="en" w:eastAsia="en-AU"/>
        </w:rPr>
        <w:t xml:space="preserve">Additionally, small schools that have submitted a credit-to-cash transfer in the calendar year will not be eligible for the incentive. </w:t>
      </w:r>
    </w:p>
    <w:p w14:paraId="73960D58" w14:textId="77777777" w:rsidR="00B323F5" w:rsidRPr="00173F88" w:rsidRDefault="00B323F5" w:rsidP="00B323F5">
      <w:pPr>
        <w:spacing w:before="100" w:beforeAutospacing="1" w:after="100" w:afterAutospacing="1" w:line="360" w:lineRule="atLeast"/>
        <w:rPr>
          <w:rFonts w:eastAsia="Segoe UI" w:cstheme="minorHAnsi"/>
          <w:b/>
          <w:color w:val="011A3C"/>
          <w:sz w:val="24"/>
          <w:szCs w:val="24"/>
          <w:lang w:val="en" w:eastAsia="en-AU"/>
        </w:rPr>
      </w:pPr>
      <w:r w:rsidRPr="00173F88">
        <w:rPr>
          <w:rFonts w:eastAsia="Segoe UI" w:cstheme="minorHAnsi"/>
          <w:b/>
          <w:color w:val="011A3C"/>
          <w:sz w:val="24"/>
          <w:szCs w:val="24"/>
          <w:lang w:val="en" w:eastAsia="en-AU"/>
        </w:rPr>
        <w:t>Support</w:t>
      </w:r>
    </w:p>
    <w:p w14:paraId="5E8AF070" w14:textId="77777777" w:rsidR="00B323F5" w:rsidRDefault="00B323F5" w:rsidP="00B323F5">
      <w:pPr>
        <w:spacing w:before="100" w:beforeAutospacing="1" w:after="100" w:afterAutospacing="1" w:line="360" w:lineRule="atLeast"/>
        <w:rPr>
          <w:rFonts w:eastAsia="Segoe UI" w:cstheme="minorHAnsi"/>
          <w:bCs/>
          <w:color w:val="011A3C"/>
          <w:sz w:val="24"/>
          <w:szCs w:val="24"/>
          <w:lang w:val="en" w:eastAsia="en-AU"/>
        </w:rPr>
      </w:pPr>
      <w:r>
        <w:rPr>
          <w:rFonts w:eastAsia="Segoe UI" w:cstheme="minorHAnsi"/>
          <w:bCs/>
          <w:color w:val="011A3C"/>
          <w:sz w:val="24"/>
          <w:szCs w:val="24"/>
          <w:lang w:val="en" w:eastAsia="en-AU"/>
        </w:rPr>
        <w:t xml:space="preserve">Schools will be supported in managing their credit budgets and expenditure to ensure that, as far as possible, current year funds benefit current year students. </w:t>
      </w:r>
    </w:p>
    <w:p w14:paraId="1336E21D" w14:textId="77777777" w:rsidR="00B323F5" w:rsidRDefault="00B323F5" w:rsidP="00B323F5">
      <w:pPr>
        <w:spacing w:before="100" w:beforeAutospacing="1" w:after="100" w:afterAutospacing="1" w:line="360" w:lineRule="atLeast"/>
        <w:rPr>
          <w:rFonts w:eastAsia="Segoe UI" w:cstheme="minorHAnsi"/>
          <w:bCs/>
          <w:color w:val="011A3C"/>
          <w:sz w:val="24"/>
          <w:szCs w:val="24"/>
          <w:lang w:val="en" w:eastAsia="en-AU"/>
        </w:rPr>
      </w:pPr>
      <w:r>
        <w:rPr>
          <w:rFonts w:eastAsia="Segoe UI" w:cstheme="minorHAnsi"/>
          <w:bCs/>
          <w:color w:val="011A3C"/>
          <w:sz w:val="24"/>
          <w:szCs w:val="24"/>
          <w:lang w:val="en" w:eastAsia="en-AU"/>
        </w:rPr>
        <w:t xml:space="preserve">Schools can see their surplus through budget management reports and can contact their Strategic Financial Management Advisor (SFMA) if they wish to seek support and advice on managing their credit budgets. Each SFMA is an experienced former principal with an established record leading school improvement supported by highly developed technical financial leadership skills. </w:t>
      </w:r>
    </w:p>
    <w:p w14:paraId="3B8D3BD1" w14:textId="77777777" w:rsidR="00B323F5" w:rsidRDefault="00B323F5" w:rsidP="00B323F5">
      <w:pPr>
        <w:spacing w:before="100" w:beforeAutospacing="1" w:after="100" w:afterAutospacing="1" w:line="360" w:lineRule="atLeast"/>
        <w:rPr>
          <w:rFonts w:eastAsia="Segoe UI" w:cstheme="minorHAnsi"/>
          <w:bCs/>
          <w:color w:val="011A3C"/>
          <w:sz w:val="24"/>
          <w:szCs w:val="24"/>
          <w:lang w:val="en" w:eastAsia="en-AU"/>
        </w:rPr>
      </w:pPr>
      <w:r>
        <w:rPr>
          <w:rFonts w:eastAsia="Segoe UI" w:cstheme="minorHAnsi"/>
          <w:bCs/>
          <w:color w:val="011A3C"/>
          <w:sz w:val="24"/>
          <w:szCs w:val="24"/>
          <w:lang w:val="en" w:eastAsia="en-AU"/>
        </w:rPr>
        <w:t xml:space="preserve">Schools that are likely to incur the most material credit underspends (either through their accumulated balances or through in-year underspend) will be identified through central tracking and offered assistance from an SFMA. </w:t>
      </w:r>
    </w:p>
    <w:p w14:paraId="343C8D21" w14:textId="77777777" w:rsidR="00B323F5" w:rsidRDefault="00B323F5" w:rsidP="00B323F5">
      <w:pPr>
        <w:spacing w:before="100" w:beforeAutospacing="1" w:after="100" w:afterAutospacing="1" w:line="360" w:lineRule="atLeast"/>
        <w:rPr>
          <w:rFonts w:eastAsia="Segoe UI" w:cstheme="minorHAnsi"/>
          <w:bCs/>
          <w:color w:val="011A3C"/>
          <w:sz w:val="24"/>
          <w:szCs w:val="24"/>
          <w:lang w:val="en" w:eastAsia="en-AU"/>
        </w:rPr>
      </w:pPr>
      <w:r>
        <w:rPr>
          <w:rFonts w:eastAsia="Segoe UI" w:cstheme="minorHAnsi"/>
          <w:bCs/>
          <w:color w:val="011A3C"/>
          <w:sz w:val="24"/>
          <w:szCs w:val="24"/>
          <w:lang w:val="en" w:eastAsia="en-AU"/>
        </w:rPr>
        <w:t xml:space="preserve">Support documentation, including FAQs are available on PAL.  </w:t>
      </w:r>
    </w:p>
    <w:p w14:paraId="11FEFA6A" w14:textId="77777777" w:rsidR="0096466B" w:rsidRPr="00260C1D" w:rsidRDefault="00B323F5" w:rsidP="00B323F5">
      <w:pPr>
        <w:rPr>
          <w:rFonts w:cstheme="minorHAnsi"/>
        </w:rPr>
      </w:pPr>
      <w:r>
        <w:rPr>
          <w:rFonts w:eastAsia="Segoe UI" w:cstheme="minorHAnsi"/>
          <w:bCs/>
          <w:color w:val="011A3C"/>
          <w:sz w:val="24"/>
          <w:szCs w:val="24"/>
          <w:lang w:val="en" w:eastAsia="en-AU"/>
        </w:rPr>
        <w:t xml:space="preserve">Any queries or concerns regarding the policy can be directed to the Schools Finance and Resources Branch via </w:t>
      </w:r>
      <w:hyperlink r:id="rId291" w:history="1">
        <w:r w:rsidRPr="002473F6">
          <w:rPr>
            <w:rStyle w:val="Hyperlink"/>
            <w:rFonts w:eastAsia="Segoe UI" w:cstheme="minorHAnsi"/>
            <w:bCs/>
            <w:sz w:val="24"/>
            <w:szCs w:val="24"/>
            <w:lang w:val="en" w:eastAsia="en-AU"/>
          </w:rPr>
          <w:t>schools.finance.support@education.vic.gov.au</w:t>
        </w:r>
      </w:hyperlink>
      <w:r>
        <w:rPr>
          <w:rFonts w:eastAsia="Segoe UI" w:cstheme="minorHAnsi"/>
          <w:bCs/>
          <w:color w:val="011A3C"/>
          <w:sz w:val="24"/>
          <w:szCs w:val="24"/>
          <w:lang w:val="en" w:eastAsia="en-AU"/>
        </w:rPr>
        <w:t>.</w:t>
      </w:r>
    </w:p>
    <w:p w14:paraId="24BE6D62" w14:textId="77777777" w:rsidR="0096466B" w:rsidRPr="00260C1D" w:rsidRDefault="0096466B" w:rsidP="0096466B">
      <w:pPr>
        <w:rPr>
          <w:rFonts w:cstheme="minorHAnsi"/>
        </w:rPr>
      </w:pPr>
      <w:r w:rsidRPr="00260C1D">
        <w:rPr>
          <w:rFonts w:cstheme="minorHAnsi"/>
        </w:rPr>
        <w:br w:type="page"/>
      </w:r>
    </w:p>
    <w:p w14:paraId="38771208" w14:textId="55A77E54" w:rsidR="0096466B" w:rsidRPr="00260C1D" w:rsidRDefault="0096466B" w:rsidP="00532A33">
      <w:pPr>
        <w:pStyle w:val="Heading2"/>
      </w:pPr>
      <w:bookmarkStart w:id="335" w:name="_Toc141965312"/>
      <w:bookmarkStart w:id="336" w:name="_Toc145339640"/>
      <w:bookmarkStart w:id="337" w:name="_Toc153791964"/>
      <w:r w:rsidRPr="00260C1D">
        <w:lastRenderedPageBreak/>
        <w:t>Reports</w:t>
      </w:r>
      <w:bookmarkEnd w:id="335"/>
      <w:bookmarkEnd w:id="336"/>
      <w:bookmarkEnd w:id="337"/>
    </w:p>
    <w:p w14:paraId="4AFB970B"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Some of the SRP reports are listed and described below.</w:t>
      </w:r>
    </w:p>
    <w:p w14:paraId="30DE6E8B"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School Budget Management Report</w:t>
      </w:r>
    </w:p>
    <w:p w14:paraId="60439366" w14:textId="77777777"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Summary</w:t>
      </w:r>
    </w:p>
    <w:p w14:paraId="1B7AA625" w14:textId="6FB484FA"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School Budget Management Report is a </w:t>
      </w:r>
      <w:r w:rsidR="0091293B" w:rsidRPr="00260C1D">
        <w:rPr>
          <w:rFonts w:eastAsia="Segoe UI" w:cstheme="minorHAnsi"/>
          <w:color w:val="011A3C"/>
          <w:sz w:val="24"/>
          <w:szCs w:val="24"/>
          <w:lang w:val="en" w:eastAsia="en-AU"/>
        </w:rPr>
        <w:t>one-page</w:t>
      </w:r>
      <w:r w:rsidRPr="00260C1D">
        <w:rPr>
          <w:rFonts w:eastAsia="Segoe UI" w:cstheme="minorHAnsi"/>
          <w:color w:val="011A3C"/>
          <w:sz w:val="24"/>
          <w:szCs w:val="24"/>
          <w:lang w:val="en" w:eastAsia="en-AU"/>
        </w:rPr>
        <w:t xml:space="preserve"> summary of budget allocations and projected expenditure for your school relating to the current calendar year. It shows the school’s financial position including the projected surplus, or deficit, as at 31 December based on current salary commitments.</w:t>
      </w:r>
    </w:p>
    <w:p w14:paraId="4B44971B"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report also provides information on:</w:t>
      </w:r>
    </w:p>
    <w:p w14:paraId="2165D375" w14:textId="02AB7A7F" w:rsidR="0096466B" w:rsidRPr="00260C1D" w:rsidRDefault="00DC0465"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w:t>
      </w:r>
      <w:r w:rsidR="0096466B" w:rsidRPr="00260C1D">
        <w:rPr>
          <w:rFonts w:eastAsia="Segoe UI" w:cstheme="minorHAnsi"/>
          <w:color w:val="011A3C"/>
          <w:sz w:val="24"/>
          <w:szCs w:val="24"/>
          <w:lang w:val="en" w:eastAsia="en-AU"/>
        </w:rPr>
        <w:t>he surplus from previous year</w:t>
      </w:r>
    </w:p>
    <w:p w14:paraId="5A6DF184" w14:textId="0786FA36" w:rsidR="0096466B" w:rsidRPr="00260C1D" w:rsidRDefault="00DC0465"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w:t>
      </w:r>
      <w:r w:rsidR="0096466B" w:rsidRPr="00260C1D">
        <w:rPr>
          <w:rFonts w:eastAsia="Segoe UI" w:cstheme="minorHAnsi"/>
          <w:color w:val="011A3C"/>
          <w:sz w:val="24"/>
          <w:szCs w:val="24"/>
          <w:lang w:val="en" w:eastAsia="en-AU"/>
        </w:rPr>
        <w:t>otal credit to cash transfers</w:t>
      </w:r>
    </w:p>
    <w:p w14:paraId="46D72FC4" w14:textId="60399334" w:rsidR="0096466B" w:rsidRPr="00260C1D" w:rsidRDefault="00DC0465"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w:t>
      </w:r>
      <w:r w:rsidR="0096466B" w:rsidRPr="00260C1D">
        <w:rPr>
          <w:rFonts w:eastAsia="Segoe UI" w:cstheme="minorHAnsi"/>
          <w:color w:val="011A3C"/>
          <w:sz w:val="24"/>
          <w:szCs w:val="24"/>
          <w:lang w:val="en" w:eastAsia="en-AU"/>
        </w:rPr>
        <w:t>otal cash to credit transfers</w:t>
      </w:r>
    </w:p>
    <w:p w14:paraId="4D6CBEC7" w14:textId="77777777" w:rsidR="00B61A85" w:rsidRPr="00260C1D" w:rsidRDefault="00B61A85"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Total accumulated surplus balance (if applicable)</w:t>
      </w:r>
      <w:r w:rsidR="00260173">
        <w:rPr>
          <w:rFonts w:eastAsia="Segoe UI" w:cstheme="minorHAnsi"/>
          <w:color w:val="011A3C"/>
          <w:sz w:val="24"/>
          <w:szCs w:val="24"/>
          <w:lang w:val="en" w:eastAsia="en-AU"/>
        </w:rPr>
        <w:t>.</w:t>
      </w:r>
    </w:p>
    <w:p w14:paraId="485051BD" w14:textId="1BD11B75"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 xml:space="preserve">Credit </w:t>
      </w:r>
      <w:r w:rsidR="007F1FAA">
        <w:rPr>
          <w:rFonts w:eastAsia="Segoe UI" w:cstheme="minorHAnsi"/>
          <w:b/>
          <w:color w:val="011A3C"/>
          <w:sz w:val="24"/>
          <w:szCs w:val="24"/>
          <w:lang w:val="en" w:eastAsia="en-AU"/>
        </w:rPr>
        <w:t>i</w:t>
      </w:r>
      <w:r w:rsidRPr="00260C1D">
        <w:rPr>
          <w:rFonts w:eastAsia="Segoe UI" w:cstheme="minorHAnsi"/>
          <w:b/>
          <w:color w:val="011A3C"/>
          <w:sz w:val="24"/>
          <w:szCs w:val="24"/>
          <w:lang w:val="en" w:eastAsia="en-AU"/>
        </w:rPr>
        <w:t>tems</w:t>
      </w:r>
    </w:p>
    <w:p w14:paraId="4C5C89D7"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This is a report for analysis of expenditure against budget. The report provides:</w:t>
      </w:r>
    </w:p>
    <w:p w14:paraId="1520D034" w14:textId="40171F6F" w:rsidR="0096466B" w:rsidRPr="00260C1D" w:rsidRDefault="007F1FAA"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Y</w:t>
      </w:r>
      <w:r w:rsidR="0096466B" w:rsidRPr="00260C1D">
        <w:rPr>
          <w:rFonts w:eastAsia="Segoe UI" w:cstheme="minorHAnsi"/>
          <w:color w:val="011A3C"/>
          <w:sz w:val="24"/>
          <w:szCs w:val="24"/>
          <w:lang w:val="en" w:eastAsia="en-AU"/>
        </w:rPr>
        <w:t>ear-to-date expenditure broken down into staffing</w:t>
      </w:r>
    </w:p>
    <w:p w14:paraId="26E01F3A" w14:textId="521DCD8C" w:rsidR="0096466B" w:rsidRPr="00260C1D" w:rsidRDefault="007F1FAA"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C</w:t>
      </w:r>
      <w:r w:rsidR="0096466B" w:rsidRPr="00260C1D">
        <w:rPr>
          <w:rFonts w:eastAsia="Segoe UI" w:cstheme="minorHAnsi"/>
          <w:color w:val="011A3C"/>
          <w:sz w:val="24"/>
          <w:szCs w:val="24"/>
          <w:lang w:val="en" w:eastAsia="en-AU"/>
        </w:rPr>
        <w:t>lassifications and on-costs</w:t>
      </w:r>
    </w:p>
    <w:p w14:paraId="7F1AC0B8" w14:textId="5C636719" w:rsidR="0096466B" w:rsidRPr="00260C1D" w:rsidRDefault="007F1FAA"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w:t>
      </w:r>
      <w:r w:rsidR="0096466B" w:rsidRPr="00260C1D">
        <w:rPr>
          <w:rFonts w:eastAsia="Segoe UI" w:cstheme="minorHAnsi"/>
          <w:color w:val="011A3C"/>
          <w:sz w:val="24"/>
          <w:szCs w:val="24"/>
          <w:lang w:val="en" w:eastAsia="en-AU"/>
        </w:rPr>
        <w:t>he projected credit budget position by offsetting projected salary commitments</w:t>
      </w:r>
    </w:p>
    <w:p w14:paraId="40604C14" w14:textId="6C7711DB" w:rsidR="0096466B" w:rsidRPr="00260C1D" w:rsidRDefault="007F1FAA"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P</w:t>
      </w:r>
      <w:r w:rsidR="0096466B" w:rsidRPr="00260C1D">
        <w:rPr>
          <w:rFonts w:eastAsia="Segoe UI" w:cstheme="minorHAnsi"/>
          <w:color w:val="011A3C"/>
          <w:sz w:val="24"/>
          <w:szCs w:val="24"/>
          <w:lang w:val="en" w:eastAsia="en-AU"/>
        </w:rPr>
        <w:t>revious year surplus brought forward</w:t>
      </w:r>
    </w:p>
    <w:p w14:paraId="49537135" w14:textId="2EF4EE5A" w:rsidR="0096466B" w:rsidRPr="00260C1D" w:rsidRDefault="007F1FAA"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C</w:t>
      </w:r>
      <w:r w:rsidR="0096466B" w:rsidRPr="00260C1D">
        <w:rPr>
          <w:rFonts w:eastAsia="Segoe UI" w:cstheme="minorHAnsi"/>
          <w:color w:val="011A3C"/>
          <w:sz w:val="24"/>
          <w:szCs w:val="24"/>
          <w:lang w:val="en" w:eastAsia="en-AU"/>
        </w:rPr>
        <w:t>redit to cash and/or cash to credit transfers undertaken</w:t>
      </w:r>
    </w:p>
    <w:p w14:paraId="0C6A3C6F" w14:textId="77777777" w:rsidR="00B61A85" w:rsidRPr="00260C1D" w:rsidRDefault="00B61A85"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Total accumulated surplus </w:t>
      </w:r>
      <w:r w:rsidR="00260173">
        <w:rPr>
          <w:rFonts w:eastAsia="Segoe UI" w:cstheme="minorHAnsi"/>
          <w:color w:val="011A3C"/>
          <w:sz w:val="24"/>
          <w:szCs w:val="24"/>
          <w:lang w:val="en" w:eastAsia="en-AU"/>
        </w:rPr>
        <w:t>balance (if applicable).</w:t>
      </w:r>
    </w:p>
    <w:p w14:paraId="212AE535" w14:textId="6BECC896"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that finish the year in a deficit will have </w:t>
      </w:r>
      <w:r w:rsidR="0091293B" w:rsidRPr="00260C1D">
        <w:rPr>
          <w:rFonts w:eastAsia="Segoe UI" w:cstheme="minorHAnsi"/>
          <w:color w:val="011A3C"/>
          <w:sz w:val="24"/>
          <w:szCs w:val="24"/>
          <w:lang w:val="en" w:eastAsia="en-AU"/>
        </w:rPr>
        <w:t xml:space="preserve">that </w:t>
      </w:r>
      <w:r w:rsidRPr="00260C1D">
        <w:rPr>
          <w:rFonts w:eastAsia="Segoe UI" w:cstheme="minorHAnsi"/>
          <w:color w:val="011A3C"/>
          <w:sz w:val="24"/>
          <w:szCs w:val="24"/>
          <w:lang w:val="en" w:eastAsia="en-AU"/>
        </w:rPr>
        <w:t xml:space="preserve">amount deducted from </w:t>
      </w:r>
      <w:r w:rsidR="0091293B" w:rsidRPr="00260C1D">
        <w:rPr>
          <w:rFonts w:eastAsia="Segoe UI" w:cstheme="minorHAnsi"/>
          <w:color w:val="011A3C"/>
          <w:sz w:val="24"/>
          <w:szCs w:val="24"/>
          <w:lang w:val="en" w:eastAsia="en-AU"/>
        </w:rPr>
        <w:t xml:space="preserve">the next </w:t>
      </w:r>
      <w:r w:rsidRPr="00260C1D">
        <w:rPr>
          <w:rFonts w:eastAsia="Segoe UI" w:cstheme="minorHAnsi"/>
          <w:color w:val="011A3C"/>
          <w:sz w:val="24"/>
          <w:szCs w:val="24"/>
          <w:lang w:val="en" w:eastAsia="en-AU"/>
        </w:rPr>
        <w:t>cash grant after the annual reconciliation.</w:t>
      </w:r>
    </w:p>
    <w:p w14:paraId="05A7EBC3" w14:textId="0568CCD7"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 xml:space="preserve">Cash </w:t>
      </w:r>
      <w:r w:rsidR="007F1FAA">
        <w:rPr>
          <w:rFonts w:eastAsia="Segoe UI" w:cstheme="minorHAnsi"/>
          <w:b/>
          <w:color w:val="011A3C"/>
          <w:sz w:val="24"/>
          <w:szCs w:val="24"/>
          <w:lang w:val="en" w:eastAsia="en-AU"/>
        </w:rPr>
        <w:t>i</w:t>
      </w:r>
      <w:r w:rsidRPr="00260C1D">
        <w:rPr>
          <w:rFonts w:eastAsia="Segoe UI" w:cstheme="minorHAnsi"/>
          <w:b/>
          <w:color w:val="011A3C"/>
          <w:sz w:val="24"/>
          <w:szCs w:val="24"/>
          <w:lang w:val="en" w:eastAsia="en-AU"/>
        </w:rPr>
        <w:t>tems</w:t>
      </w:r>
    </w:p>
    <w:p w14:paraId="4F0BD90E" w14:textId="2086F4ED" w:rsidR="00F85311"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This report details the annual cash grant budget items provided to the school. It also includes processed credit to cash, cash to credit transfers and the long-term leave premium deduction. ‘Outside Global Budget Items — Section 3’ is included in this report and provides information relating to staff on long</w:t>
      </w:r>
      <w:r w:rsidR="007F1FAA">
        <w:rPr>
          <w:rFonts w:eastAsia="Segoe UI" w:cstheme="minorHAnsi"/>
          <w:color w:val="011A3C"/>
          <w:sz w:val="24"/>
          <w:szCs w:val="24"/>
          <w:lang w:val="en" w:eastAsia="en-AU"/>
        </w:rPr>
        <w:t>-</w:t>
      </w:r>
      <w:r w:rsidRPr="00260C1D">
        <w:rPr>
          <w:rFonts w:eastAsia="Segoe UI" w:cstheme="minorHAnsi"/>
          <w:color w:val="011A3C"/>
          <w:sz w:val="24"/>
          <w:szCs w:val="24"/>
          <w:lang w:val="en" w:eastAsia="en-AU"/>
        </w:rPr>
        <w:t>term leave or pay in lieu of long service leave. Outside global budget items are not charged to the school.</w:t>
      </w:r>
    </w:p>
    <w:p w14:paraId="71C9078D" w14:textId="6D38CC91"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Salaries Fortnightly Transaction Report</w:t>
      </w:r>
    </w:p>
    <w:p w14:paraId="48339BDE"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 xml:space="preserve">The </w:t>
      </w:r>
      <w:hyperlink r:id="rId292" w:history="1">
        <w:r w:rsidRPr="00614B09">
          <w:rPr>
            <w:rFonts w:eastAsia="Segoe UI" w:cstheme="minorHAnsi"/>
            <w:color w:val="0563C1"/>
            <w:sz w:val="24"/>
            <w:szCs w:val="24"/>
            <w:u w:val="single"/>
            <w:lang w:val="en" w:eastAsia="en-AU"/>
          </w:rPr>
          <w:t>Salaries Fortnightly Transaction Report</w:t>
        </w:r>
      </w:hyperlink>
      <w:r w:rsidRPr="00260C1D">
        <w:rPr>
          <w:rFonts w:eastAsia="Segoe UI" w:cstheme="minorHAnsi"/>
          <w:color w:val="011A3C"/>
          <w:sz w:val="24"/>
          <w:szCs w:val="24"/>
          <w:lang w:val="en" w:eastAsia="en-AU"/>
        </w:rPr>
        <w:t xml:space="preserve"> (available through the </w:t>
      </w:r>
      <w:hyperlink r:id="rId293" w:history="1">
        <w:r w:rsidRPr="00614B09">
          <w:rPr>
            <w:rFonts w:eastAsia="Segoe UI" w:cstheme="minorHAnsi"/>
            <w:color w:val="0563C1"/>
            <w:sz w:val="24"/>
            <w:szCs w:val="24"/>
            <w:u w:val="single"/>
            <w:lang w:val="en" w:eastAsia="en-AU"/>
          </w:rPr>
          <w:t>SRP Portal</w:t>
        </w:r>
      </w:hyperlink>
      <w:r w:rsidRPr="00260C1D">
        <w:rPr>
          <w:rFonts w:eastAsia="Segoe UI" w:cstheme="minorHAnsi"/>
          <w:color w:val="011A3C"/>
          <w:sz w:val="24"/>
          <w:szCs w:val="24"/>
          <w:lang w:val="en" w:eastAsia="en-AU"/>
        </w:rPr>
        <w:t xml:space="preserve">) displays the salary transactions for each staff member and the year-to-date salary expenditure and payroll liability projected to the end of the calendar year. The payroll liability is based on current information recorded in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Included at the end of the report are items that have been charged outside SRP, that is not charged to the school.</w:t>
      </w:r>
    </w:p>
    <w:p w14:paraId="7EEF5FFF" w14:textId="77777777"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Employee Charging History Report</w:t>
      </w:r>
    </w:p>
    <w:p w14:paraId="5B6758D9" w14:textId="4D00C173" w:rsidR="0096466B" w:rsidRPr="00260C1D" w:rsidRDefault="0096466B" w:rsidP="00A9180D">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w:t>
      </w:r>
      <w:hyperlink r:id="rId294" w:history="1">
        <w:r w:rsidRPr="00614B09">
          <w:rPr>
            <w:rFonts w:eastAsia="Segoe UI" w:cstheme="minorHAnsi"/>
            <w:color w:val="0563C1"/>
            <w:sz w:val="24"/>
            <w:szCs w:val="24"/>
            <w:u w:val="single"/>
            <w:lang w:val="en" w:eastAsia="en-AU"/>
          </w:rPr>
          <w:t>Employee Charging History Report</w:t>
        </w:r>
      </w:hyperlink>
      <w:r w:rsidRPr="00260C1D">
        <w:rPr>
          <w:rFonts w:eastAsia="Segoe UI" w:cstheme="minorHAnsi"/>
          <w:color w:val="011A3C"/>
          <w:sz w:val="24"/>
          <w:szCs w:val="24"/>
          <w:lang w:val="en" w:eastAsia="en-AU"/>
        </w:rPr>
        <w:t xml:space="preserve"> (available through the </w:t>
      </w:r>
      <w:hyperlink r:id="rId295" w:history="1">
        <w:r w:rsidRPr="00614B09">
          <w:rPr>
            <w:rFonts w:eastAsia="Segoe UI" w:cstheme="minorHAnsi"/>
            <w:color w:val="0563C1"/>
            <w:sz w:val="24"/>
            <w:szCs w:val="24"/>
            <w:u w:val="single"/>
            <w:lang w:val="en" w:eastAsia="en-AU"/>
          </w:rPr>
          <w:t>SRP Portal</w:t>
        </w:r>
      </w:hyperlink>
      <w:r w:rsidRPr="00260C1D">
        <w:rPr>
          <w:rFonts w:eastAsia="Segoe UI" w:cstheme="minorHAnsi"/>
          <w:color w:val="011A3C"/>
          <w:sz w:val="24"/>
          <w:szCs w:val="24"/>
          <w:lang w:val="en" w:eastAsia="en-AU"/>
        </w:rPr>
        <w:t>) </w:t>
      </w:r>
      <w:proofErr w:type="spellStart"/>
      <w:r w:rsidRPr="00260C1D">
        <w:rPr>
          <w:rFonts w:eastAsia="Segoe UI" w:cstheme="minorHAnsi"/>
          <w:color w:val="011A3C"/>
          <w:sz w:val="24"/>
          <w:szCs w:val="24"/>
          <w:lang w:val="en" w:eastAsia="en-AU"/>
        </w:rPr>
        <w:t>itemises</w:t>
      </w:r>
      <w:proofErr w:type="spellEnd"/>
      <w:r w:rsidRPr="00260C1D">
        <w:rPr>
          <w:rFonts w:eastAsia="Segoe UI" w:cstheme="minorHAnsi"/>
          <w:color w:val="011A3C"/>
          <w:sz w:val="24"/>
          <w:szCs w:val="24"/>
          <w:lang w:val="en" w:eastAsia="en-AU"/>
        </w:rPr>
        <w:t xml:space="preserve"> the history of salary charges for individual employees, for each fortnight, expenditure year to date and a projection to the end of the year. The report is based on current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information.</w:t>
      </w:r>
    </w:p>
    <w:p w14:paraId="26C86249" w14:textId="77777777" w:rsidR="0096466B" w:rsidRPr="00260C1D" w:rsidRDefault="0096466B" w:rsidP="0096466B">
      <w:pPr>
        <w:rPr>
          <w:rFonts w:cstheme="minorHAnsi"/>
        </w:rPr>
      </w:pPr>
      <w:r w:rsidRPr="00260C1D">
        <w:rPr>
          <w:rFonts w:cstheme="minorHAnsi"/>
        </w:rPr>
        <w:br w:type="page"/>
      </w:r>
    </w:p>
    <w:p w14:paraId="706F621C" w14:textId="776C58BB" w:rsidR="0096466B" w:rsidRPr="00260C1D" w:rsidRDefault="0096466B" w:rsidP="00532A33">
      <w:pPr>
        <w:pStyle w:val="Heading2"/>
      </w:pPr>
      <w:bookmarkStart w:id="338" w:name="_Toc141965313"/>
      <w:bookmarkStart w:id="339" w:name="_Toc145339641"/>
      <w:bookmarkStart w:id="340" w:name="_Toc153791965"/>
      <w:r w:rsidRPr="00260C1D">
        <w:lastRenderedPageBreak/>
        <w:t>Planning</w:t>
      </w:r>
      <w:bookmarkEnd w:id="338"/>
      <w:bookmarkEnd w:id="339"/>
      <w:bookmarkEnd w:id="340"/>
    </w:p>
    <w:p w14:paraId="7C13B2F8" w14:textId="77777777"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SRP budget planner</w:t>
      </w:r>
    </w:p>
    <w:p w14:paraId="1AC5DC64"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SRP budget planner (available through the </w:t>
      </w:r>
      <w:hyperlink r:id="rId296" w:history="1">
        <w:r w:rsidRPr="00614B09">
          <w:rPr>
            <w:rFonts w:eastAsia="Segoe UI" w:cstheme="minorHAnsi"/>
            <w:color w:val="0563C1"/>
            <w:sz w:val="24"/>
            <w:szCs w:val="24"/>
            <w:u w:val="single"/>
            <w:lang w:val="en" w:eastAsia="en-AU"/>
          </w:rPr>
          <w:t>SRP Portal</w:t>
        </w:r>
      </w:hyperlink>
      <w:r w:rsidRPr="00260C1D">
        <w:rPr>
          <w:rFonts w:eastAsia="Segoe UI" w:cstheme="minorHAnsi"/>
          <w:color w:val="011A3C"/>
          <w:sz w:val="24"/>
          <w:szCs w:val="24"/>
          <w:lang w:val="en" w:eastAsia="en-AU"/>
        </w:rPr>
        <w:t>) is a modelling tool to allow principals and other school planners to model the impact of enrolment variations and other changes impacting the Student Resource Package (SRP), and build an overall workforce plan that acknowledges current salary commitments for staff and considers the affordability of planned changes. The planner allows schools to develop three-year plans. It includes useful analytical tools and graphical information.</w:t>
      </w:r>
    </w:p>
    <w:p w14:paraId="33A4AB64" w14:textId="746EF100"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It is important to remember that the SRP budget planner is a modelling tool, not a personnel or payroll system. It can model a school’s planning scenarios, but it does not interact with the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payroll to amend personnel and payroll data. Actual payroll amendments need to be made directly </w:t>
      </w:r>
      <w:r w:rsidR="00D56881">
        <w:rPr>
          <w:rFonts w:eastAsia="Segoe UI" w:cstheme="minorHAnsi"/>
          <w:color w:val="011A3C"/>
          <w:sz w:val="24"/>
          <w:szCs w:val="24"/>
          <w:lang w:val="en" w:eastAsia="en-AU"/>
        </w:rPr>
        <w:t>in</w:t>
      </w:r>
      <w:r w:rsidRPr="00260C1D">
        <w:rPr>
          <w:rFonts w:eastAsia="Segoe UI" w:cstheme="minorHAnsi"/>
          <w:color w:val="011A3C"/>
          <w:sz w:val="24"/>
          <w:szCs w:val="24"/>
          <w:lang w:val="en" w:eastAsia="en-AU"/>
        </w:rPr>
        <w:t xml:space="preserve">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w:t>
      </w:r>
    </w:p>
    <w:p w14:paraId="4F4FE49B"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planner provides salary projections and estimates using current payroll parameters, such as classifications, time fractions, increment dates and appointment dates. Certain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xml:space="preserve"> entries may not be reflected in the cost projections, particularly those relating to salary reassessments, arrears, or other payments that are independent of these payroll parameters. For this reason, the 'current' year-to-date figures shown in the planner may, on occasion, vary slightly from the actual expenditure shown in the School Budget Management Report.</w:t>
      </w:r>
    </w:p>
    <w:p w14:paraId="32E860CD" w14:textId="5524CBD2" w:rsidR="0096466B" w:rsidRPr="00260C1D" w:rsidRDefault="0096466B" w:rsidP="00A9180D">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For more information refer to </w:t>
      </w:r>
      <w:hyperlink r:id="rId297" w:history="1">
        <w:r w:rsidRPr="008614E4">
          <w:rPr>
            <w:rFonts w:eastAsia="Segoe UI" w:cstheme="minorHAnsi"/>
            <w:color w:val="0563C1"/>
            <w:sz w:val="24"/>
            <w:szCs w:val="24"/>
            <w:u w:val="single"/>
            <w:lang w:val="en" w:eastAsia="en-AU"/>
          </w:rPr>
          <w:t>Planner Overview</w:t>
        </w:r>
      </w:hyperlink>
      <w:r w:rsidR="00D56881">
        <w:rPr>
          <w:rFonts w:eastAsia="Segoe UI" w:cstheme="minorHAnsi"/>
          <w:color w:val="011A3C"/>
          <w:sz w:val="24"/>
          <w:szCs w:val="24"/>
          <w:lang w:val="en" w:eastAsia="en-AU"/>
        </w:rPr>
        <w:t>.</w:t>
      </w:r>
    </w:p>
    <w:p w14:paraId="17D660A2" w14:textId="77777777" w:rsidR="0096466B" w:rsidRPr="00260C1D" w:rsidRDefault="0096466B" w:rsidP="0096466B">
      <w:pPr>
        <w:rPr>
          <w:rFonts w:cstheme="minorHAnsi"/>
        </w:rPr>
      </w:pPr>
      <w:r w:rsidRPr="00260C1D">
        <w:rPr>
          <w:rFonts w:cstheme="minorHAnsi"/>
        </w:rPr>
        <w:br w:type="page"/>
      </w:r>
    </w:p>
    <w:p w14:paraId="1645D742" w14:textId="07293AB1" w:rsidR="0096466B" w:rsidRPr="00260C1D" w:rsidRDefault="0096466B" w:rsidP="00532A33">
      <w:pPr>
        <w:pStyle w:val="Heading2"/>
      </w:pPr>
      <w:bookmarkStart w:id="341" w:name="_Toc141965314"/>
      <w:bookmarkStart w:id="342" w:name="_Toc145339642"/>
      <w:bookmarkStart w:id="343" w:name="_Toc153791966"/>
      <w:r w:rsidRPr="00260C1D">
        <w:lastRenderedPageBreak/>
        <w:t>Reconciliation</w:t>
      </w:r>
      <w:bookmarkEnd w:id="341"/>
      <w:bookmarkEnd w:id="342"/>
      <w:bookmarkEnd w:id="343"/>
    </w:p>
    <w:p w14:paraId="105FBF7E"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 reconciliation process is undertaken at the end of the calendar year to verify each school’s Student Resource Package (SRP) budget and expenditure position. This process is completed in order to </w:t>
      </w:r>
      <w:proofErr w:type="spellStart"/>
      <w:r w:rsidRPr="00260C1D">
        <w:rPr>
          <w:rFonts w:eastAsia="Segoe UI" w:cstheme="minorHAnsi"/>
          <w:color w:val="011A3C"/>
          <w:sz w:val="24"/>
          <w:szCs w:val="24"/>
          <w:lang w:val="en" w:eastAsia="en-AU"/>
        </w:rPr>
        <w:t>finalise</w:t>
      </w:r>
      <w:proofErr w:type="spellEnd"/>
      <w:r w:rsidRPr="00260C1D">
        <w:rPr>
          <w:rFonts w:eastAsia="Segoe UI" w:cstheme="minorHAnsi"/>
          <w:color w:val="011A3C"/>
          <w:sz w:val="24"/>
          <w:szCs w:val="24"/>
          <w:lang w:val="en" w:eastAsia="en-AU"/>
        </w:rPr>
        <w:t xml:space="preserve"> any surplus amount to be carried forward, or deficit amount to be recovered.</w:t>
      </w:r>
    </w:p>
    <w:p w14:paraId="4442074F" w14:textId="6A0B2BE2"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that do not sign off their school’s position hold up the process state</w:t>
      </w:r>
      <w:r w:rsidR="003C292B">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wide, as the reconciliation requires every school in the state to </w:t>
      </w:r>
      <w:proofErr w:type="spellStart"/>
      <w:r w:rsidRPr="00260C1D">
        <w:rPr>
          <w:rFonts w:eastAsia="Segoe UI" w:cstheme="minorHAnsi"/>
          <w:color w:val="011A3C"/>
          <w:sz w:val="24"/>
          <w:szCs w:val="24"/>
          <w:lang w:val="en" w:eastAsia="en-AU"/>
        </w:rPr>
        <w:t>finalise</w:t>
      </w:r>
      <w:proofErr w:type="spellEnd"/>
      <w:r w:rsidRPr="00260C1D">
        <w:rPr>
          <w:rFonts w:eastAsia="Segoe UI" w:cstheme="minorHAnsi"/>
          <w:color w:val="011A3C"/>
          <w:sz w:val="24"/>
          <w:szCs w:val="24"/>
          <w:lang w:val="en" w:eastAsia="en-AU"/>
        </w:rPr>
        <w:t xml:space="preserve"> the process before surpluses and deficits can be confirmed.</w:t>
      </w:r>
    </w:p>
    <w:p w14:paraId="341F46EE"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What to check</w:t>
      </w:r>
    </w:p>
    <w:p w14:paraId="2EF0DB26"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Attestation</w:t>
      </w:r>
    </w:p>
    <w:p w14:paraId="69140D9B" w14:textId="77777777"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What to check</w:t>
      </w:r>
    </w:p>
    <w:p w14:paraId="415AD41E" w14:textId="77777777"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Budget</w:t>
      </w:r>
    </w:p>
    <w:p w14:paraId="54885073"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should review their budget details report after any change and forward enquiries to the relevant contact in the policy unit or region.</w:t>
      </w:r>
    </w:p>
    <w:p w14:paraId="0C83258B" w14:textId="7D51C705"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 xml:space="preserve">Program for </w:t>
      </w:r>
      <w:r w:rsidR="005C3CB0">
        <w:rPr>
          <w:rFonts w:eastAsia="Segoe UI" w:cstheme="minorHAnsi"/>
          <w:b/>
          <w:color w:val="011A3C"/>
          <w:sz w:val="24"/>
          <w:szCs w:val="24"/>
          <w:lang w:val="en" w:eastAsia="en-AU"/>
        </w:rPr>
        <w:t>S</w:t>
      </w:r>
      <w:r w:rsidRPr="00260C1D">
        <w:rPr>
          <w:rFonts w:eastAsia="Segoe UI" w:cstheme="minorHAnsi"/>
          <w:b/>
          <w:color w:val="011A3C"/>
          <w:sz w:val="24"/>
          <w:szCs w:val="24"/>
          <w:lang w:val="en" w:eastAsia="en-AU"/>
        </w:rPr>
        <w:t xml:space="preserve">tudents with </w:t>
      </w:r>
      <w:r w:rsidR="005C3CB0">
        <w:rPr>
          <w:rFonts w:eastAsia="Segoe UI" w:cstheme="minorHAnsi"/>
          <w:b/>
          <w:color w:val="011A3C"/>
          <w:sz w:val="24"/>
          <w:szCs w:val="24"/>
          <w:lang w:val="en" w:eastAsia="en-AU"/>
        </w:rPr>
        <w:t>D</w:t>
      </w:r>
      <w:r w:rsidRPr="00260C1D">
        <w:rPr>
          <w:rFonts w:eastAsia="Segoe UI" w:cstheme="minorHAnsi"/>
          <w:b/>
          <w:color w:val="011A3C"/>
          <w:sz w:val="24"/>
          <w:szCs w:val="24"/>
          <w:lang w:val="en" w:eastAsia="en-AU"/>
        </w:rPr>
        <w:t>isabilities</w:t>
      </w:r>
    </w:p>
    <w:p w14:paraId="1E441034" w14:textId="324E059B"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may be provided with funding through the </w:t>
      </w:r>
      <w:hyperlink r:id="rId298" w:history="1">
        <w:r w:rsidRPr="008614E4">
          <w:rPr>
            <w:rFonts w:eastAsia="Segoe UI" w:cstheme="minorHAnsi"/>
            <w:color w:val="0563C1"/>
            <w:sz w:val="24"/>
            <w:szCs w:val="24"/>
            <w:u w:val="single"/>
            <w:lang w:val="en" w:eastAsia="en-AU"/>
          </w:rPr>
          <w:t>Program for Students with Disabilities (PSD)</w:t>
        </w:r>
      </w:hyperlink>
      <w:r w:rsidRPr="00260C1D">
        <w:rPr>
          <w:rFonts w:eastAsia="Segoe UI" w:cstheme="minorHAnsi"/>
          <w:color w:val="011A3C"/>
          <w:sz w:val="24"/>
          <w:szCs w:val="24"/>
          <w:lang w:val="en" w:eastAsia="en-AU"/>
        </w:rPr>
        <w:t xml:space="preserve">. This information should be reviewed in the </w:t>
      </w:r>
      <w:hyperlink r:id="rId299" w:history="1">
        <w:r w:rsidRPr="008614E4">
          <w:rPr>
            <w:rFonts w:eastAsia="Segoe UI" w:cstheme="minorHAnsi"/>
            <w:color w:val="0563C1"/>
            <w:sz w:val="24"/>
            <w:szCs w:val="24"/>
            <w:u w:val="single"/>
            <w:lang w:val="en" w:eastAsia="en-AU"/>
          </w:rPr>
          <w:t>Program for Students with Disabilities Management System (PSDMS)</w:t>
        </w:r>
      </w:hyperlink>
      <w:r w:rsidRPr="00260C1D">
        <w:rPr>
          <w:rFonts w:eastAsia="Segoe UI" w:cstheme="minorHAnsi"/>
          <w:color w:val="011A3C"/>
          <w:sz w:val="24"/>
          <w:szCs w:val="24"/>
          <w:lang w:val="en" w:eastAsia="en-AU"/>
        </w:rPr>
        <w:t xml:space="preserve">. All PSD funding queries can be submitted via the </w:t>
      </w:r>
      <w:hyperlink r:id="rId300" w:history="1">
        <w:r w:rsidRPr="008614E4">
          <w:rPr>
            <w:rFonts w:eastAsia="Segoe UI" w:cstheme="minorHAnsi"/>
            <w:color w:val="0563C1"/>
            <w:sz w:val="24"/>
            <w:szCs w:val="24"/>
            <w:u w:val="single"/>
            <w:lang w:val="en" w:eastAsia="en-AU"/>
          </w:rPr>
          <w:t>DET Service</w:t>
        </w:r>
        <w:r w:rsidR="00557B7E" w:rsidRPr="008614E4">
          <w:rPr>
            <w:rFonts w:eastAsia="Segoe UI" w:cstheme="minorHAnsi"/>
            <w:color w:val="0563C1"/>
            <w:sz w:val="24"/>
            <w:szCs w:val="24"/>
            <w:u w:val="single"/>
            <w:lang w:val="en" w:eastAsia="en-AU"/>
          </w:rPr>
          <w:t>s</w:t>
        </w:r>
        <w:r w:rsidRPr="008614E4">
          <w:rPr>
            <w:rFonts w:eastAsia="Segoe UI" w:cstheme="minorHAnsi"/>
            <w:color w:val="0563C1"/>
            <w:sz w:val="24"/>
            <w:szCs w:val="24"/>
            <w:u w:val="single"/>
            <w:lang w:val="en" w:eastAsia="en-AU"/>
          </w:rPr>
          <w:t xml:space="preserve"> </w:t>
        </w:r>
        <w:r w:rsidR="00557B7E" w:rsidRPr="008614E4">
          <w:rPr>
            <w:rFonts w:eastAsia="Segoe UI" w:cstheme="minorHAnsi"/>
            <w:color w:val="0563C1"/>
            <w:sz w:val="24"/>
            <w:szCs w:val="24"/>
            <w:u w:val="single"/>
            <w:lang w:val="en" w:eastAsia="en-AU"/>
          </w:rPr>
          <w:t>Portal</w:t>
        </w:r>
      </w:hyperlink>
      <w:r w:rsidRPr="00260C1D">
        <w:rPr>
          <w:rFonts w:eastAsia="Segoe UI" w:cstheme="minorHAnsi"/>
          <w:color w:val="011A3C"/>
          <w:sz w:val="24"/>
          <w:szCs w:val="24"/>
          <w:lang w:val="en" w:eastAsia="en-AU"/>
        </w:rPr>
        <w:t xml:space="preserve"> (select 'log a request' and choose 'PSDMS').</w:t>
      </w:r>
    </w:p>
    <w:p w14:paraId="342E520A" w14:textId="77777777"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Cleaning</w:t>
      </w:r>
    </w:p>
    <w:p w14:paraId="700E177B"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cleaning allocation for a school is based on the physical dimensions of the buildings and the schools enrolments (visit </w:t>
      </w:r>
      <w:hyperlink r:id="rId301" w:history="1">
        <w:r w:rsidRPr="00614B09">
          <w:rPr>
            <w:rFonts w:eastAsia="Segoe UI" w:cstheme="minorHAnsi"/>
            <w:color w:val="0563C1"/>
            <w:sz w:val="24"/>
            <w:szCs w:val="24"/>
            <w:u w:val="single"/>
            <w:lang w:val="en" w:eastAsia="en-AU"/>
          </w:rPr>
          <w:t>Contract Cleaning</w:t>
        </w:r>
      </w:hyperlink>
      <w:r w:rsidRPr="00260C1D">
        <w:rPr>
          <w:rFonts w:eastAsia="Segoe UI" w:cstheme="minorHAnsi"/>
          <w:color w:val="011A3C"/>
          <w:sz w:val="24"/>
          <w:szCs w:val="24"/>
          <w:lang w:val="en" w:eastAsia="en-AU"/>
        </w:rPr>
        <w:t>). Schools should ensure that their school information in the Atrium system is correct to ensure that they are receiving the correct cleaning budget. </w:t>
      </w:r>
    </w:p>
    <w:p w14:paraId="67A7BF52" w14:textId="77777777"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Salary expenditure</w:t>
      </w:r>
    </w:p>
    <w:p w14:paraId="29638D86" w14:textId="75D80C83"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should ensure that they have been charged correctly for all staff at their school in their SRP</w:t>
      </w:r>
      <w:r w:rsidR="0091293B" w:rsidRPr="00260C1D">
        <w:rPr>
          <w:rFonts w:eastAsia="Segoe UI" w:cstheme="minorHAnsi"/>
          <w:color w:val="011A3C"/>
          <w:sz w:val="24"/>
          <w:szCs w:val="24"/>
          <w:lang w:val="en" w:eastAsia="en-AU"/>
        </w:rPr>
        <w:t xml:space="preserve"> by monitoring fortnightly reports when they are published.</w:t>
      </w:r>
    </w:p>
    <w:p w14:paraId="6B391443" w14:textId="77777777" w:rsidR="0096466B" w:rsidRPr="00260C1D" w:rsidRDefault="0096466B" w:rsidP="003243F4">
      <w:pPr>
        <w:spacing w:before="100" w:beforeAutospacing="1" w:after="100" w:afterAutospacing="1" w:line="360" w:lineRule="atLeast"/>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Credit to cash or Cash to credit</w:t>
      </w:r>
    </w:p>
    <w:p w14:paraId="07CB2C3B"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should ensure that there are no outstanding cash to credit or credit to cash amounts remaining at the end of the year. This can be done by checking the Credit and Cash Transfer Status report for your school. If there are outstanding requests, a correction should be made during the reconciliation attestation process to cancel the outstanding amount of the request.</w:t>
      </w:r>
    </w:p>
    <w:p w14:paraId="186C777A"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lastRenderedPageBreak/>
        <w:t>Attestation</w:t>
      </w:r>
    </w:p>
    <w:p w14:paraId="143044F6" w14:textId="454CF776"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end of year attestation process represents recognition by the school principal that the school</w:t>
      </w:r>
      <w:r w:rsidR="00C12678">
        <w:rPr>
          <w:rFonts w:eastAsia="Segoe UI" w:cstheme="minorHAnsi"/>
          <w:color w:val="011A3C"/>
          <w:sz w:val="24"/>
          <w:szCs w:val="24"/>
          <w:lang w:val="en" w:eastAsia="en-AU"/>
        </w:rPr>
        <w:t>’</w:t>
      </w:r>
      <w:r w:rsidR="00FD4E48" w:rsidRPr="00260C1D">
        <w:rPr>
          <w:rFonts w:eastAsia="Segoe UI" w:cstheme="minorHAnsi"/>
          <w:color w:val="011A3C"/>
          <w:sz w:val="24"/>
          <w:szCs w:val="24"/>
          <w:lang w:val="en" w:eastAsia="en-AU"/>
        </w:rPr>
        <w:t>s</w:t>
      </w:r>
      <w:r w:rsidR="00C12678">
        <w:rPr>
          <w:rFonts w:eastAsia="Segoe UI" w:cstheme="minorHAnsi"/>
          <w:color w:val="011A3C"/>
          <w:sz w:val="24"/>
          <w:szCs w:val="24"/>
          <w:lang w:val="en" w:eastAsia="en-AU"/>
        </w:rPr>
        <w:t xml:space="preserve"> </w:t>
      </w:r>
      <w:r w:rsidR="00FD4E48" w:rsidRPr="00260C1D">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RP position is correctly shown in the reports or that the position will be represented correctly factoring in nominated corrections and amendments. </w:t>
      </w:r>
    </w:p>
    <w:p w14:paraId="1AD24957"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During the reconciliation period, only adjustments submitted via the reconciliation attestation process will be investigated, and no adjustments will be made to the school reports until after the reconciliation is submitted. When completing the attestation process, a principal has two options:</w:t>
      </w:r>
    </w:p>
    <w:p w14:paraId="10545C62" w14:textId="77777777" w:rsidR="0096466B" w:rsidRPr="00260C1D" w:rsidRDefault="0096466B" w:rsidP="00F56244">
      <w:pPr>
        <w:numPr>
          <w:ilvl w:val="0"/>
          <w:numId w:val="23"/>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Attest </w:t>
      </w:r>
      <w:r w:rsidRPr="00260C1D">
        <w:rPr>
          <w:rFonts w:eastAsia="Segoe UI" w:cstheme="minorHAnsi"/>
          <w:color w:val="011A3C"/>
          <w:sz w:val="24"/>
          <w:szCs w:val="24"/>
          <w:lang w:val="en" w:eastAsia="en-AU"/>
        </w:rPr>
        <w:br/>
        <w:t>The SRP reports, as shown, accurately reflect the end of year position for the school and no amendments need to be made.</w:t>
      </w:r>
    </w:p>
    <w:p w14:paraId="45FC1FFC" w14:textId="502B44DF" w:rsidR="0096466B" w:rsidRPr="00260C1D" w:rsidRDefault="0096466B" w:rsidP="00F56244">
      <w:pPr>
        <w:numPr>
          <w:ilvl w:val="0"/>
          <w:numId w:val="23"/>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b/>
          <w:color w:val="011A3C"/>
          <w:sz w:val="24"/>
          <w:szCs w:val="24"/>
          <w:lang w:val="en" w:eastAsia="en-AU"/>
        </w:rPr>
        <w:t>Attest with corrections and amendments</w:t>
      </w:r>
      <w:r w:rsidRPr="00260C1D">
        <w:rPr>
          <w:rFonts w:eastAsia="Segoe UI" w:cstheme="minorHAnsi"/>
          <w:color w:val="011A3C"/>
          <w:sz w:val="24"/>
          <w:szCs w:val="24"/>
          <w:lang w:val="en" w:eastAsia="en-AU"/>
        </w:rPr>
        <w:br/>
        <w:t>If corrections or amendments need to be made, you can submit your attestation with corrections or amendments attached. These corrections or amendments will then be investigated by Schools Finance and Resources Branch staff and appropriate action taken.</w:t>
      </w:r>
    </w:p>
    <w:p w14:paraId="7463E52E" w14:textId="77777777" w:rsidR="0096466B" w:rsidRPr="00260C1D" w:rsidRDefault="0096466B" w:rsidP="0096466B">
      <w:pPr>
        <w:rPr>
          <w:rFonts w:cstheme="minorHAnsi"/>
        </w:rPr>
      </w:pPr>
      <w:r w:rsidRPr="00260C1D">
        <w:rPr>
          <w:rFonts w:cstheme="minorHAnsi"/>
        </w:rPr>
        <w:br w:type="page"/>
      </w:r>
    </w:p>
    <w:p w14:paraId="375BFF5C" w14:textId="3B370038" w:rsidR="0096466B" w:rsidRPr="00260C1D" w:rsidRDefault="0096466B" w:rsidP="00532A33">
      <w:pPr>
        <w:pStyle w:val="Heading2"/>
      </w:pPr>
      <w:bookmarkStart w:id="344" w:name="_Toc141965315"/>
      <w:bookmarkStart w:id="345" w:name="_Toc145339643"/>
      <w:bookmarkStart w:id="346" w:name="_Toc153791967"/>
      <w:r w:rsidRPr="00260C1D">
        <w:lastRenderedPageBreak/>
        <w:t>Cash</w:t>
      </w:r>
      <w:bookmarkEnd w:id="344"/>
      <w:bookmarkEnd w:id="345"/>
      <w:bookmarkEnd w:id="346"/>
    </w:p>
    <w:p w14:paraId="5F604AC1"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Quarterly cash grant</w:t>
      </w:r>
    </w:p>
    <w:p w14:paraId="0C20C241"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cash component of the Student Resource Package (SRP) is paid over four quarterly cash grant (QCG) payments on the first day of each term. These payments are based on:</w:t>
      </w:r>
    </w:p>
    <w:p w14:paraId="5FC8FFEB"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Term 1 grant — Indicative SRP using projected enrolments</w:t>
      </w:r>
    </w:p>
    <w:p w14:paraId="3D0EBF13"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Term 2 grant — Confirmed SRP using February census enrolments, with a retrospective adjustment (increase or decrease) for Term 1</w:t>
      </w:r>
    </w:p>
    <w:p w14:paraId="79C51A89"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Term 3 grant — Revised SRP using audit corrections to the February enrolments</w:t>
      </w:r>
    </w:p>
    <w:p w14:paraId="1997E36C"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Term 4 grant — Revised SRP using audit corrections to the February enrolments</w:t>
      </w:r>
    </w:p>
    <w:p w14:paraId="72FC5E34"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Note: Census enrolments are subject to audit corrections. In this event both credit allocations and cash grants are adjusted.</w:t>
      </w:r>
    </w:p>
    <w:p w14:paraId="56B6E507"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QCG can include:</w:t>
      </w:r>
    </w:p>
    <w:p w14:paraId="417D2C5D"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Cash allocations from the SRP</w:t>
      </w:r>
    </w:p>
    <w:p w14:paraId="7A1BB80F" w14:textId="7A4DA0B0"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Credit to cash transfer amounts from </w:t>
      </w:r>
      <w:r w:rsidR="00F53E6B">
        <w:rPr>
          <w:rFonts w:eastAsia="Segoe UI" w:cstheme="minorHAnsi"/>
          <w:color w:val="011A3C"/>
          <w:sz w:val="24"/>
          <w:szCs w:val="24"/>
          <w:lang w:val="en" w:eastAsia="en-AU"/>
        </w:rPr>
        <w:t xml:space="preserve">the </w:t>
      </w:r>
      <w:r w:rsidRPr="00260C1D">
        <w:rPr>
          <w:rFonts w:eastAsia="Segoe UI" w:cstheme="minorHAnsi"/>
          <w:color w:val="011A3C"/>
          <w:sz w:val="24"/>
          <w:szCs w:val="24"/>
          <w:lang w:val="en" w:eastAsia="en-AU"/>
        </w:rPr>
        <w:t>SRP</w:t>
      </w:r>
    </w:p>
    <w:p w14:paraId="14711435"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Other cash grant amounts such as school support</w:t>
      </w:r>
    </w:p>
    <w:p w14:paraId="5120F95D" w14:textId="34BE5265"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Deductions for long</w:t>
      </w:r>
      <w:r w:rsidR="00710E68">
        <w:rPr>
          <w:rFonts w:eastAsia="Segoe UI" w:cstheme="minorHAnsi"/>
          <w:color w:val="011A3C"/>
          <w:sz w:val="24"/>
          <w:szCs w:val="24"/>
          <w:lang w:val="en" w:eastAsia="en-AU"/>
        </w:rPr>
        <w:t>-</w:t>
      </w:r>
      <w:r w:rsidRPr="00260C1D">
        <w:rPr>
          <w:rFonts w:eastAsia="Segoe UI" w:cstheme="minorHAnsi"/>
          <w:color w:val="011A3C"/>
          <w:sz w:val="24"/>
          <w:szCs w:val="24"/>
          <w:lang w:val="en" w:eastAsia="en-AU"/>
        </w:rPr>
        <w:t>term sick leave premium</w:t>
      </w:r>
    </w:p>
    <w:p w14:paraId="790B42E4" w14:textId="6BABA22B"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Other departmental deductions</w:t>
      </w:r>
    </w:p>
    <w:p w14:paraId="40122A6D" w14:textId="77777777" w:rsidR="0096466B" w:rsidRPr="00260C1D" w:rsidRDefault="0096466B" w:rsidP="0096466B">
      <w:pPr>
        <w:spacing w:before="100" w:beforeAutospacing="1" w:after="100" w:afterAutospacing="1" w:line="288" w:lineRule="atLeast"/>
        <w:outlineLvl w:val="2"/>
        <w:rPr>
          <w:rFonts w:eastAsia="Segoe UI" w:cstheme="minorHAnsi"/>
          <w:color w:val="011A3C"/>
          <w:sz w:val="27"/>
          <w:szCs w:val="27"/>
          <w:lang w:val="en" w:eastAsia="en-AU"/>
        </w:rPr>
      </w:pPr>
      <w:r w:rsidRPr="00260C1D">
        <w:rPr>
          <w:rFonts w:eastAsia="Segoe UI" w:cstheme="minorHAnsi"/>
          <w:color w:val="011A3C"/>
          <w:sz w:val="27"/>
          <w:szCs w:val="27"/>
          <w:lang w:val="en" w:eastAsia="en-AU"/>
        </w:rPr>
        <w:t>Electronic Funds Transfer (EFT) remittance advice (how SRP cash appears)</w:t>
      </w:r>
    </w:p>
    <w:p w14:paraId="13F26C58" w14:textId="192C4CCB"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Accounts Payable area in </w:t>
      </w:r>
      <w:r w:rsidR="006C01CA">
        <w:rPr>
          <w:rFonts w:eastAsia="Segoe UI" w:cstheme="minorHAnsi"/>
          <w:color w:val="011A3C"/>
          <w:sz w:val="24"/>
          <w:szCs w:val="24"/>
          <w:lang w:val="en" w:eastAsia="en-AU"/>
        </w:rPr>
        <w:t>the department</w:t>
      </w:r>
      <w:r w:rsidR="007037F1"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s Financial Services Division provides schools with remittance advice for every payment that is made to the school. Schools should email Cash Management Unit </w:t>
      </w:r>
      <w:hyperlink r:id="rId302" w:history="1">
        <w:r w:rsidR="00C64A4E" w:rsidRPr="00260C1D">
          <w:rPr>
            <w:rStyle w:val="Hyperlink"/>
            <w:rFonts w:eastAsia="Segoe UI" w:cstheme="minorHAnsi"/>
            <w:sz w:val="24"/>
            <w:szCs w:val="24"/>
            <w:lang w:val="en" w:eastAsia="en-AU"/>
          </w:rPr>
          <w:t>cashmanagement@eduction.vic.gov.au</w:t>
        </w:r>
      </w:hyperlink>
      <w:r w:rsidRPr="00260C1D">
        <w:rPr>
          <w:rFonts w:eastAsia="Segoe UI" w:cstheme="minorHAnsi"/>
          <w:color w:val="011A3C"/>
          <w:sz w:val="24"/>
          <w:szCs w:val="24"/>
          <w:lang w:val="en" w:eastAsia="en-AU"/>
        </w:rPr>
        <w:t xml:space="preserve"> for assistance with EFT queries.</w:t>
      </w:r>
    </w:p>
    <w:p w14:paraId="56333027"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This remittance advice provides a breakdown and a description for each component of the payment. Payments made from the SRP or strategic programs will appear on this remittance advice. There are three different types of descriptions that may appear on the remittance advice for a QCG payment:</w:t>
      </w:r>
    </w:p>
    <w:p w14:paraId="04CB2D40" w14:textId="77777777"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1. SRP quarterly cash grant payment</w:t>
      </w:r>
    </w:p>
    <w:p w14:paraId="0193A501"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This payment includes SRP budget allocations, credit and cash transfers and any deductions:</w:t>
      </w:r>
    </w:p>
    <w:p w14:paraId="182DC60C" w14:textId="0E56D333"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STUDENT RESOURCE PACKAGE (SRP) - BATCH &lt;</w:t>
      </w:r>
      <w:r w:rsidR="006B1C90">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atch number&gt; - &lt;</w:t>
      </w:r>
      <w:r w:rsidR="00C67BEE">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erm 1-4&gt; QUARTERLY CASH GRANT - CASES21 Finance General Ledger &lt;GL Code&gt;: Sub Program &lt;Sub Program Code&gt;</w:t>
      </w:r>
    </w:p>
    <w:p w14:paraId="2F13740F" w14:textId="77777777"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2. Other payments</w:t>
      </w:r>
    </w:p>
    <w:p w14:paraId="18581D2F"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Some schools will receive other forms of payment through the SRP payments system at the same time as the QCG:</w:t>
      </w:r>
    </w:p>
    <w:p w14:paraId="076458F9" w14:textId="5908693C"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STUDENT RESOURCE PACKAGE (SRP) - BATCH &lt;</w:t>
      </w:r>
      <w:r w:rsidR="006B1C90">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atch number&gt; - &lt;</w:t>
      </w:r>
      <w:r w:rsidR="00C67BEE">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 xml:space="preserve">erm 1-4&gt; QUARTERLY CASH GRANT </w:t>
      </w:r>
      <w:r w:rsidR="006B1C90"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Other Cash Grants - &lt;Other Cash Grants - CASES21 Finance General Ledger &lt;GL Code&gt;: Sub Program &lt;Sub Program Code&gt;</w:t>
      </w:r>
    </w:p>
    <w:p w14:paraId="2FB60FD4" w14:textId="77777777"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Definitions</w:t>
      </w:r>
    </w:p>
    <w:p w14:paraId="7689FF28"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In the samples above, some placeholders were left using &lt;&gt;, please see the below table for definitions:</w:t>
      </w:r>
    </w:p>
    <w:tbl>
      <w:tblPr>
        <w:tblW w:w="5000" w:type="pct"/>
        <w:tblCellMar>
          <w:top w:w="15" w:type="dxa"/>
          <w:left w:w="15" w:type="dxa"/>
          <w:bottom w:w="15" w:type="dxa"/>
          <w:right w:w="15" w:type="dxa"/>
        </w:tblCellMar>
        <w:tblLook w:val="04A0" w:firstRow="1" w:lastRow="0" w:firstColumn="1" w:lastColumn="0" w:noHBand="0" w:noVBand="1"/>
      </w:tblPr>
      <w:tblGrid>
        <w:gridCol w:w="1871"/>
        <w:gridCol w:w="8595"/>
      </w:tblGrid>
      <w:tr w:rsidR="0096466B" w:rsidRPr="00260C1D" w14:paraId="0977D219" w14:textId="77777777" w:rsidTr="00614B09">
        <w:trPr>
          <w:tblHeader/>
        </w:trPr>
        <w:tc>
          <w:tcPr>
            <w:tcW w:w="0" w:type="auto"/>
            <w:hideMark/>
          </w:tcPr>
          <w:p w14:paraId="270EA080" w14:textId="77777777" w:rsidR="0096466B" w:rsidRPr="00260C1D" w:rsidRDefault="0096466B" w:rsidP="00614B09">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Placeholder</w:t>
            </w:r>
          </w:p>
        </w:tc>
        <w:tc>
          <w:tcPr>
            <w:tcW w:w="0" w:type="auto"/>
            <w:hideMark/>
          </w:tcPr>
          <w:p w14:paraId="77300D36" w14:textId="77777777" w:rsidR="0096466B" w:rsidRPr="00260C1D" w:rsidRDefault="0096466B" w:rsidP="00614B09">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Definition</w:t>
            </w:r>
          </w:p>
        </w:tc>
      </w:tr>
      <w:tr w:rsidR="0096466B" w:rsidRPr="00260C1D" w14:paraId="4DCFB326" w14:textId="77777777" w:rsidTr="00614B09">
        <w:tc>
          <w:tcPr>
            <w:tcW w:w="0" w:type="auto"/>
            <w:hideMark/>
          </w:tcPr>
          <w:p w14:paraId="54C3B7C3" w14:textId="32BA0448" w:rsidR="0096466B" w:rsidRPr="00260C1D" w:rsidRDefault="0096466B" w:rsidP="00614B09">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&lt;</w:t>
            </w:r>
            <w:r w:rsidR="006B1C90">
              <w:rPr>
                <w:rFonts w:eastAsia="Segoe UI" w:cstheme="minorHAnsi"/>
                <w:color w:val="323E4F" w:themeColor="text2" w:themeShade="BF"/>
                <w:sz w:val="24"/>
                <w:szCs w:val="24"/>
                <w:lang w:eastAsia="en-AU"/>
              </w:rPr>
              <w:t>B</w:t>
            </w:r>
            <w:r w:rsidRPr="00260C1D">
              <w:rPr>
                <w:rFonts w:eastAsia="Segoe UI" w:cstheme="minorHAnsi"/>
                <w:color w:val="323E4F" w:themeColor="text2" w:themeShade="BF"/>
                <w:sz w:val="24"/>
                <w:szCs w:val="24"/>
                <w:lang w:eastAsia="en-AU"/>
              </w:rPr>
              <w:t>atch number&gt;</w:t>
            </w:r>
          </w:p>
        </w:tc>
        <w:tc>
          <w:tcPr>
            <w:tcW w:w="0" w:type="auto"/>
            <w:hideMark/>
          </w:tcPr>
          <w:p w14:paraId="736D93E5" w14:textId="7C64FEB0" w:rsidR="0096466B" w:rsidRPr="00260C1D" w:rsidRDefault="0096466B" w:rsidP="00414D0D">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 xml:space="preserve">A </w:t>
            </w:r>
            <w:r w:rsidR="0091293B" w:rsidRPr="00260C1D">
              <w:rPr>
                <w:rFonts w:eastAsia="Segoe UI" w:cstheme="minorHAnsi"/>
                <w:color w:val="323E4F" w:themeColor="text2" w:themeShade="BF"/>
                <w:sz w:val="24"/>
                <w:szCs w:val="24"/>
                <w:lang w:eastAsia="en-AU"/>
              </w:rPr>
              <w:t>6-digit</w:t>
            </w:r>
            <w:r w:rsidRPr="00260C1D">
              <w:rPr>
                <w:rFonts w:eastAsia="Segoe UI" w:cstheme="minorHAnsi"/>
                <w:color w:val="323E4F" w:themeColor="text2" w:themeShade="BF"/>
                <w:sz w:val="24"/>
                <w:szCs w:val="24"/>
                <w:lang w:eastAsia="en-AU"/>
              </w:rPr>
              <w:t xml:space="preserve"> number, for example: 000999 The SRP identifier of the payment, this can be used to look up a payment within the SRP reports, or can be quoted to SRP support staff when you are making an enquiry regarding your payment.</w:t>
            </w:r>
          </w:p>
        </w:tc>
      </w:tr>
      <w:tr w:rsidR="0096466B" w:rsidRPr="00260C1D" w14:paraId="2A2CF03B" w14:textId="77777777" w:rsidTr="00614B09">
        <w:tc>
          <w:tcPr>
            <w:tcW w:w="0" w:type="auto"/>
            <w:hideMark/>
          </w:tcPr>
          <w:p w14:paraId="3418957E" w14:textId="6ED9EAF6" w:rsidR="0096466B" w:rsidRPr="00260C1D" w:rsidRDefault="0096466B" w:rsidP="00614B09">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&lt;Term</w:t>
            </w:r>
            <w:r w:rsidR="00C67BEE">
              <w:rPr>
                <w:rFonts w:eastAsia="Segoe UI" w:cstheme="minorHAnsi"/>
                <w:color w:val="323E4F" w:themeColor="text2" w:themeShade="BF"/>
                <w:sz w:val="24"/>
                <w:szCs w:val="24"/>
                <w:lang w:eastAsia="en-AU"/>
              </w:rPr>
              <w:t xml:space="preserve"> </w:t>
            </w:r>
            <w:r w:rsidRPr="00260C1D">
              <w:rPr>
                <w:rFonts w:eastAsia="Segoe UI" w:cstheme="minorHAnsi"/>
                <w:color w:val="323E4F" w:themeColor="text2" w:themeShade="BF"/>
                <w:sz w:val="24"/>
                <w:szCs w:val="24"/>
                <w:lang w:eastAsia="en-AU"/>
              </w:rPr>
              <w:t>1-4&gt;</w:t>
            </w:r>
          </w:p>
        </w:tc>
        <w:tc>
          <w:tcPr>
            <w:tcW w:w="0" w:type="auto"/>
            <w:hideMark/>
          </w:tcPr>
          <w:p w14:paraId="2E2BD0B3" w14:textId="77777777" w:rsidR="0096466B" w:rsidRPr="00260C1D" w:rsidRDefault="0096466B" w:rsidP="00414D0D">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 xml:space="preserve">Indicates the Term for the QCG payment, possible values are: </w:t>
            </w:r>
          </w:p>
          <w:p w14:paraId="61F23945"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TERM 1</w:t>
            </w:r>
          </w:p>
          <w:p w14:paraId="248BE888"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TERM 2</w:t>
            </w:r>
          </w:p>
          <w:p w14:paraId="2664626E"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TERM 3</w:t>
            </w:r>
          </w:p>
          <w:p w14:paraId="7420D233"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323E4F" w:themeColor="text2" w:themeShade="BF"/>
                <w:sz w:val="24"/>
                <w:szCs w:val="24"/>
                <w:lang w:eastAsia="en-AU"/>
              </w:rPr>
            </w:pPr>
            <w:r w:rsidRPr="00260C1D">
              <w:rPr>
                <w:rFonts w:eastAsia="Segoe UI" w:cstheme="minorHAnsi"/>
                <w:color w:val="011A3C"/>
                <w:sz w:val="24"/>
                <w:szCs w:val="24"/>
                <w:lang w:val="en" w:eastAsia="en-AU"/>
              </w:rPr>
              <w:t>TERM 4</w:t>
            </w:r>
          </w:p>
        </w:tc>
      </w:tr>
      <w:tr w:rsidR="0096466B" w:rsidRPr="00260C1D" w14:paraId="7BEDAB32" w14:textId="77777777" w:rsidTr="00614B09">
        <w:tc>
          <w:tcPr>
            <w:tcW w:w="0" w:type="auto"/>
            <w:hideMark/>
          </w:tcPr>
          <w:p w14:paraId="1908CB19" w14:textId="77777777" w:rsidR="0096466B" w:rsidRPr="00260C1D" w:rsidRDefault="0096466B" w:rsidP="00614B09">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&lt;GST Status&gt;</w:t>
            </w:r>
          </w:p>
        </w:tc>
        <w:tc>
          <w:tcPr>
            <w:tcW w:w="0" w:type="auto"/>
            <w:hideMark/>
          </w:tcPr>
          <w:p w14:paraId="01643263" w14:textId="0D4386E6" w:rsidR="0096466B" w:rsidRPr="00260C1D" w:rsidRDefault="0096466B" w:rsidP="00414D0D">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 xml:space="preserve">Indicates if the payment is subject to </w:t>
            </w:r>
            <w:r w:rsidR="0091293B" w:rsidRPr="00260C1D">
              <w:rPr>
                <w:rFonts w:eastAsia="Segoe UI" w:cstheme="minorHAnsi"/>
                <w:color w:val="323E4F" w:themeColor="text2" w:themeShade="BF"/>
                <w:sz w:val="24"/>
                <w:szCs w:val="24"/>
                <w:lang w:eastAsia="en-AU"/>
              </w:rPr>
              <w:t>GST and</w:t>
            </w:r>
            <w:r w:rsidRPr="00260C1D">
              <w:rPr>
                <w:rFonts w:eastAsia="Segoe UI" w:cstheme="minorHAnsi"/>
                <w:color w:val="323E4F" w:themeColor="text2" w:themeShade="BF"/>
                <w:sz w:val="24"/>
                <w:szCs w:val="24"/>
                <w:lang w:eastAsia="en-AU"/>
              </w:rPr>
              <w:t xml:space="preserve"> provides the appropriate code for use in CASES21 Finance. </w:t>
            </w:r>
            <w:r w:rsidR="0091293B" w:rsidRPr="00260C1D">
              <w:rPr>
                <w:rFonts w:eastAsia="Segoe UI" w:cstheme="minorHAnsi"/>
                <w:color w:val="323E4F" w:themeColor="text2" w:themeShade="BF"/>
                <w:sz w:val="24"/>
                <w:szCs w:val="24"/>
                <w:lang w:eastAsia="en-AU"/>
              </w:rPr>
              <w:t>Most</w:t>
            </w:r>
            <w:r w:rsidRPr="00260C1D">
              <w:rPr>
                <w:rFonts w:eastAsia="Segoe UI" w:cstheme="minorHAnsi"/>
                <w:color w:val="323E4F" w:themeColor="text2" w:themeShade="BF"/>
                <w:sz w:val="24"/>
                <w:szCs w:val="24"/>
                <w:lang w:eastAsia="en-AU"/>
              </w:rPr>
              <w:t xml:space="preserve"> payments occurring through the SRP payment system will not be subject to GST and therefore this will be set to 'Not Subject to GST (Code NS6)'.</w:t>
            </w:r>
          </w:p>
        </w:tc>
      </w:tr>
      <w:tr w:rsidR="0096466B" w:rsidRPr="00260C1D" w14:paraId="3F153A96" w14:textId="77777777" w:rsidTr="00614B09">
        <w:tc>
          <w:tcPr>
            <w:tcW w:w="0" w:type="auto"/>
            <w:hideMark/>
          </w:tcPr>
          <w:p w14:paraId="67CD95F3" w14:textId="77777777" w:rsidR="0096466B" w:rsidRPr="00260C1D" w:rsidRDefault="0096466B" w:rsidP="00614B09">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&lt;GL Code&gt;</w:t>
            </w:r>
          </w:p>
        </w:tc>
        <w:tc>
          <w:tcPr>
            <w:tcW w:w="0" w:type="auto"/>
            <w:hideMark/>
          </w:tcPr>
          <w:p w14:paraId="54FE6929" w14:textId="77777777" w:rsidR="0096466B" w:rsidRPr="00260C1D" w:rsidRDefault="0096466B" w:rsidP="00414D0D">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The CASES21 Finance General Ledger code against which to record the payment.</w:t>
            </w:r>
          </w:p>
        </w:tc>
      </w:tr>
      <w:tr w:rsidR="0096466B" w:rsidRPr="00260C1D" w14:paraId="47615C1E" w14:textId="77777777" w:rsidTr="00614B09">
        <w:tc>
          <w:tcPr>
            <w:tcW w:w="0" w:type="auto"/>
            <w:hideMark/>
          </w:tcPr>
          <w:p w14:paraId="2C756D87" w14:textId="77777777" w:rsidR="0096466B" w:rsidRPr="00260C1D" w:rsidRDefault="0096466B" w:rsidP="00614B09">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&lt;Sub Program Code&gt;</w:t>
            </w:r>
          </w:p>
        </w:tc>
        <w:tc>
          <w:tcPr>
            <w:tcW w:w="0" w:type="auto"/>
            <w:hideMark/>
          </w:tcPr>
          <w:p w14:paraId="2FF79023" w14:textId="77777777" w:rsidR="0096466B" w:rsidRPr="00260C1D" w:rsidRDefault="0096466B" w:rsidP="00414D0D">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The CASES21 Finance General Ledger sub-program code against which to record the payment (may not appear for all payments).</w:t>
            </w:r>
          </w:p>
        </w:tc>
      </w:tr>
      <w:tr w:rsidR="0096466B" w:rsidRPr="00260C1D" w14:paraId="065134CB" w14:textId="77777777" w:rsidTr="00614B09">
        <w:tc>
          <w:tcPr>
            <w:tcW w:w="0" w:type="auto"/>
            <w:hideMark/>
          </w:tcPr>
          <w:p w14:paraId="7D17B6B9" w14:textId="77777777" w:rsidR="0096466B" w:rsidRPr="00260C1D" w:rsidRDefault="0096466B" w:rsidP="00614B09">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&lt;Other Cash Grants Description&gt;</w:t>
            </w:r>
          </w:p>
        </w:tc>
        <w:tc>
          <w:tcPr>
            <w:tcW w:w="0" w:type="auto"/>
            <w:hideMark/>
          </w:tcPr>
          <w:p w14:paraId="11C9D085" w14:textId="77777777" w:rsidR="0096466B" w:rsidRPr="00260C1D" w:rsidRDefault="0096466B" w:rsidP="00414D0D">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If the payment is of the type ‘Other Cash Grants’, a more detailed description will be provided.</w:t>
            </w:r>
          </w:p>
        </w:tc>
      </w:tr>
    </w:tbl>
    <w:p w14:paraId="7463053E"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Credit and Cash transfers (CCT)</w:t>
      </w:r>
    </w:p>
    <w:p w14:paraId="1E0E06E3" w14:textId="77777777" w:rsidR="00E771CA" w:rsidRDefault="00E771CA" w:rsidP="00E771CA">
      <w:pPr>
        <w:spacing w:before="100" w:beforeAutospacing="1" w:after="100" w:afterAutospacing="1" w:line="288" w:lineRule="atLeast"/>
        <w:outlineLvl w:val="3"/>
        <w:rPr>
          <w:rFonts w:eastAsia="Segoe UI" w:cstheme="minorHAnsi"/>
          <w:bCs/>
          <w:color w:val="011A3C"/>
          <w:sz w:val="24"/>
          <w:szCs w:val="24"/>
          <w:lang w:val="en" w:eastAsia="en-AU"/>
        </w:rPr>
      </w:pPr>
      <w:r>
        <w:rPr>
          <w:rFonts w:eastAsia="Segoe UI" w:cstheme="minorHAnsi"/>
          <w:bCs/>
          <w:color w:val="011A3C"/>
          <w:sz w:val="24"/>
          <w:szCs w:val="24"/>
          <w:lang w:val="en" w:eastAsia="en-AU"/>
        </w:rPr>
        <w:t>School’s allocation of credit and cash is set automatically by the SRP. However, schools can request:</w:t>
      </w:r>
    </w:p>
    <w:p w14:paraId="1B2AF2AE" w14:textId="77777777" w:rsidR="00E771CA" w:rsidRDefault="00E771CA" w:rsidP="00E771CA">
      <w:pPr>
        <w:pStyle w:val="ListParagraph"/>
        <w:numPr>
          <w:ilvl w:val="0"/>
          <w:numId w:val="187"/>
        </w:numPr>
        <w:spacing w:before="100" w:beforeAutospacing="1" w:after="100" w:afterAutospacing="1" w:line="288" w:lineRule="atLeast"/>
        <w:outlineLvl w:val="3"/>
        <w:rPr>
          <w:rFonts w:eastAsia="Segoe UI" w:cstheme="minorHAnsi"/>
          <w:bCs/>
          <w:color w:val="011A3C"/>
          <w:sz w:val="24"/>
          <w:szCs w:val="24"/>
          <w:lang w:val="en" w:eastAsia="en-AU"/>
        </w:rPr>
      </w:pPr>
      <w:r w:rsidRPr="00173F88">
        <w:rPr>
          <w:rFonts w:eastAsia="Segoe UI" w:cstheme="minorHAnsi"/>
          <w:bCs/>
          <w:color w:val="011A3C"/>
          <w:sz w:val="24"/>
          <w:szCs w:val="24"/>
          <w:lang w:val="en" w:eastAsia="en-AU"/>
        </w:rPr>
        <w:t xml:space="preserve">a credit-to-cash transfer (CCT) where they transfer funds from their credit balance to cash </w:t>
      </w:r>
    </w:p>
    <w:p w14:paraId="59ACCA3C" w14:textId="77777777" w:rsidR="00E771CA" w:rsidRPr="00173F88" w:rsidRDefault="00E771CA" w:rsidP="00E771CA">
      <w:pPr>
        <w:pStyle w:val="ListParagraph"/>
        <w:numPr>
          <w:ilvl w:val="0"/>
          <w:numId w:val="187"/>
        </w:numPr>
        <w:spacing w:before="100" w:beforeAutospacing="1" w:after="100" w:afterAutospacing="1" w:line="288" w:lineRule="atLeast"/>
        <w:outlineLvl w:val="3"/>
        <w:rPr>
          <w:rFonts w:eastAsia="Segoe UI" w:cstheme="minorHAnsi"/>
          <w:bCs/>
          <w:color w:val="011A3C"/>
          <w:sz w:val="24"/>
          <w:szCs w:val="24"/>
          <w:lang w:val="en" w:eastAsia="en-AU"/>
        </w:rPr>
      </w:pPr>
      <w:r w:rsidRPr="00173F88">
        <w:rPr>
          <w:rFonts w:eastAsia="Segoe UI" w:cstheme="minorHAnsi"/>
          <w:bCs/>
          <w:color w:val="011A3C"/>
          <w:sz w:val="24"/>
          <w:szCs w:val="24"/>
          <w:lang w:val="en" w:eastAsia="en-AU"/>
        </w:rPr>
        <w:t xml:space="preserve">a cash-to-credit transfer. </w:t>
      </w:r>
    </w:p>
    <w:p w14:paraId="54D75582" w14:textId="77777777" w:rsidR="00E771CA" w:rsidRDefault="00E771CA" w:rsidP="00E771CA">
      <w:pPr>
        <w:spacing w:before="100" w:beforeAutospacing="1" w:after="100" w:afterAutospacing="1" w:line="288" w:lineRule="atLeast"/>
        <w:outlineLvl w:val="3"/>
        <w:rPr>
          <w:rFonts w:eastAsia="Segoe UI" w:cstheme="minorHAnsi"/>
          <w:bCs/>
          <w:color w:val="011A3C"/>
          <w:sz w:val="24"/>
          <w:szCs w:val="24"/>
          <w:lang w:val="en" w:eastAsia="en-AU"/>
        </w:rPr>
      </w:pPr>
      <w:r>
        <w:rPr>
          <w:rFonts w:eastAsia="Segoe UI" w:cstheme="minorHAnsi"/>
          <w:bCs/>
          <w:color w:val="011A3C"/>
          <w:sz w:val="24"/>
          <w:szCs w:val="24"/>
          <w:lang w:val="en" w:eastAsia="en-AU"/>
        </w:rPr>
        <w:t xml:space="preserve">Credit allocations should support staffing requirements for schools. In some cases, a CCT may be required to align the funding to the nature of the expenditure. For example, a school may have unavoidable reasons why it would need a casual relief teacher (funded via cash) rather than staff on payroll at a particular time. </w:t>
      </w:r>
    </w:p>
    <w:p w14:paraId="63F843C7" w14:textId="77777777" w:rsidR="00E771CA" w:rsidRDefault="00E771CA" w:rsidP="00E771CA">
      <w:pPr>
        <w:spacing w:before="100" w:beforeAutospacing="1" w:after="100" w:afterAutospacing="1" w:line="288" w:lineRule="atLeast"/>
        <w:outlineLvl w:val="3"/>
        <w:rPr>
          <w:rFonts w:eastAsia="Segoe UI" w:cstheme="minorHAnsi"/>
          <w:bCs/>
          <w:color w:val="011A3C"/>
          <w:sz w:val="24"/>
          <w:szCs w:val="24"/>
          <w:lang w:val="en" w:eastAsia="en-AU"/>
        </w:rPr>
      </w:pPr>
      <w:r>
        <w:rPr>
          <w:rFonts w:eastAsia="Segoe UI" w:cstheme="minorHAnsi"/>
          <w:bCs/>
          <w:color w:val="011A3C"/>
          <w:sz w:val="24"/>
          <w:szCs w:val="24"/>
          <w:lang w:val="en" w:eastAsia="en-AU"/>
        </w:rPr>
        <w:lastRenderedPageBreak/>
        <w:t xml:space="preserve">In line with the overriding principle that in-year funding should benefit the same cohort of students (rather than future students), CCTs from 1 January 2024 should not be used to fund expenses that are not designed to be covered by the credit allocation of the SRP, such as for capital investment. </w:t>
      </w:r>
    </w:p>
    <w:p w14:paraId="464D042E" w14:textId="77777777" w:rsidR="00E771CA" w:rsidRDefault="00E771CA" w:rsidP="00E771CA">
      <w:pPr>
        <w:spacing w:before="100" w:beforeAutospacing="1" w:after="100" w:afterAutospacing="1" w:line="288" w:lineRule="atLeast"/>
        <w:outlineLvl w:val="3"/>
        <w:rPr>
          <w:rFonts w:eastAsia="Segoe UI" w:cstheme="minorHAnsi"/>
          <w:bCs/>
          <w:color w:val="011A3C"/>
          <w:sz w:val="24"/>
          <w:szCs w:val="24"/>
          <w:lang w:val="en" w:eastAsia="en-AU"/>
        </w:rPr>
      </w:pPr>
      <w:r>
        <w:rPr>
          <w:rFonts w:eastAsia="Segoe UI" w:cstheme="minorHAnsi"/>
          <w:bCs/>
          <w:color w:val="011A3C"/>
          <w:sz w:val="24"/>
          <w:szCs w:val="24"/>
          <w:lang w:val="en" w:eastAsia="en-AU"/>
        </w:rPr>
        <w:t xml:space="preserve">In line with the credit carryover requirements set out above, schools have until 31 December 2027 to spend credit balances accumulated prior to 31 December 2023 and can request a CCT for the purposes of capital investment for these balances only. </w:t>
      </w:r>
    </w:p>
    <w:p w14:paraId="13A63F37" w14:textId="77777777" w:rsidR="00E771CA" w:rsidRDefault="00E771CA" w:rsidP="00E771CA">
      <w:pPr>
        <w:spacing w:before="100" w:beforeAutospacing="1" w:after="100" w:afterAutospacing="1" w:line="288" w:lineRule="atLeast"/>
        <w:outlineLvl w:val="3"/>
        <w:rPr>
          <w:rFonts w:eastAsia="Segoe UI" w:cstheme="minorHAnsi"/>
          <w:bCs/>
          <w:color w:val="011A3C"/>
          <w:sz w:val="24"/>
          <w:szCs w:val="24"/>
          <w:lang w:val="en" w:eastAsia="en-AU"/>
        </w:rPr>
      </w:pPr>
      <w:r>
        <w:rPr>
          <w:rFonts w:eastAsia="Segoe UI" w:cstheme="minorHAnsi"/>
          <w:bCs/>
          <w:color w:val="011A3C"/>
          <w:sz w:val="24"/>
          <w:szCs w:val="24"/>
          <w:lang w:val="en" w:eastAsia="en-AU"/>
        </w:rPr>
        <w:t>Schools that want to request a CCT must do so through the SRP Portal. As part of the request, the school is required to demonstrate:</w:t>
      </w:r>
    </w:p>
    <w:p w14:paraId="6BD3E709" w14:textId="77777777" w:rsidR="00E771CA" w:rsidRDefault="00E771CA" w:rsidP="00E771CA">
      <w:pPr>
        <w:pStyle w:val="ListParagraph"/>
        <w:numPr>
          <w:ilvl w:val="0"/>
          <w:numId w:val="186"/>
        </w:numPr>
        <w:spacing w:before="100" w:beforeAutospacing="1" w:after="100" w:afterAutospacing="1" w:line="288" w:lineRule="atLeast"/>
        <w:outlineLvl w:val="3"/>
        <w:rPr>
          <w:rFonts w:eastAsia="Segoe UI" w:cstheme="minorHAnsi"/>
          <w:bCs/>
          <w:color w:val="011A3C"/>
          <w:sz w:val="24"/>
          <w:szCs w:val="24"/>
          <w:lang w:val="en" w:eastAsia="en-AU"/>
        </w:rPr>
      </w:pPr>
      <w:r>
        <w:rPr>
          <w:rFonts w:eastAsia="Segoe UI" w:cstheme="minorHAnsi"/>
          <w:bCs/>
          <w:color w:val="011A3C"/>
          <w:sz w:val="24"/>
          <w:szCs w:val="24"/>
          <w:lang w:val="en" w:eastAsia="en-AU"/>
        </w:rPr>
        <w:t xml:space="preserve">The reason for the request (for example, to meet large, unexpected CRT costs); </w:t>
      </w:r>
    </w:p>
    <w:p w14:paraId="3B533E1B" w14:textId="77777777" w:rsidR="00E771CA" w:rsidRDefault="00E771CA" w:rsidP="00E771CA">
      <w:pPr>
        <w:pStyle w:val="ListParagraph"/>
        <w:numPr>
          <w:ilvl w:val="0"/>
          <w:numId w:val="186"/>
        </w:numPr>
        <w:spacing w:before="100" w:beforeAutospacing="1" w:after="100" w:afterAutospacing="1" w:line="288" w:lineRule="atLeast"/>
        <w:outlineLvl w:val="3"/>
        <w:rPr>
          <w:rFonts w:eastAsia="Segoe UI" w:cstheme="minorHAnsi"/>
          <w:bCs/>
          <w:color w:val="011A3C"/>
          <w:sz w:val="24"/>
          <w:szCs w:val="24"/>
          <w:lang w:val="en" w:eastAsia="en-AU"/>
        </w:rPr>
      </w:pPr>
      <w:r>
        <w:rPr>
          <w:rFonts w:eastAsia="Segoe UI" w:cstheme="minorHAnsi"/>
          <w:bCs/>
          <w:color w:val="011A3C"/>
          <w:sz w:val="24"/>
          <w:szCs w:val="24"/>
          <w:lang w:val="en" w:eastAsia="en-AU"/>
        </w:rPr>
        <w:t xml:space="preserve">That they do not have sufficient cash balances available in their bank account. </w:t>
      </w:r>
    </w:p>
    <w:p w14:paraId="038252C7" w14:textId="77777777" w:rsidR="00E771CA" w:rsidRDefault="00E771CA" w:rsidP="00E771CA">
      <w:pPr>
        <w:spacing w:before="100" w:beforeAutospacing="1" w:after="100" w:afterAutospacing="1" w:line="288" w:lineRule="atLeast"/>
        <w:outlineLvl w:val="3"/>
        <w:rPr>
          <w:rFonts w:eastAsia="Segoe UI" w:cstheme="minorHAnsi"/>
          <w:bCs/>
          <w:color w:val="011A3C"/>
          <w:sz w:val="24"/>
          <w:szCs w:val="24"/>
          <w:lang w:val="en" w:eastAsia="en-AU"/>
        </w:rPr>
      </w:pPr>
      <w:r>
        <w:rPr>
          <w:rFonts w:eastAsia="Segoe UI" w:cstheme="minorHAnsi"/>
          <w:bCs/>
          <w:color w:val="011A3C"/>
          <w:sz w:val="24"/>
          <w:szCs w:val="24"/>
          <w:lang w:val="en" w:eastAsia="en-AU"/>
        </w:rPr>
        <w:t xml:space="preserve">Schools that have more than 12 months’ worth of operating expenditure (6 times their operating reserve) in their bank account will have their requests automatically rejected on the basis the school has sufficient funds available. </w:t>
      </w:r>
    </w:p>
    <w:p w14:paraId="39AE3BEA" w14:textId="77777777" w:rsidR="00E771CA" w:rsidRDefault="00E771CA" w:rsidP="00E771CA">
      <w:pPr>
        <w:spacing w:before="100" w:beforeAutospacing="1" w:after="100" w:afterAutospacing="1" w:line="288" w:lineRule="atLeast"/>
        <w:outlineLvl w:val="3"/>
        <w:rPr>
          <w:rFonts w:eastAsia="Segoe UI" w:cstheme="minorHAnsi"/>
          <w:bCs/>
          <w:color w:val="011A3C"/>
          <w:sz w:val="24"/>
          <w:szCs w:val="24"/>
          <w:lang w:val="en" w:eastAsia="en-AU"/>
        </w:rPr>
      </w:pPr>
      <w:r>
        <w:rPr>
          <w:rFonts w:eastAsia="Segoe UI" w:cstheme="minorHAnsi"/>
          <w:bCs/>
          <w:color w:val="011A3C"/>
          <w:sz w:val="24"/>
          <w:szCs w:val="24"/>
          <w:lang w:val="en" w:eastAsia="en-AU"/>
        </w:rPr>
        <w:t xml:space="preserve">CCT requests must be submitted before the last day of Term 3. </w:t>
      </w:r>
    </w:p>
    <w:p w14:paraId="6C3D4C82" w14:textId="77777777" w:rsidR="00E771CA" w:rsidRDefault="00E771CA" w:rsidP="00E771CA">
      <w:pPr>
        <w:spacing w:before="100" w:beforeAutospacing="1" w:after="100" w:afterAutospacing="1" w:line="288" w:lineRule="atLeast"/>
        <w:outlineLvl w:val="3"/>
        <w:rPr>
          <w:rFonts w:eastAsia="Segoe UI" w:cstheme="minorHAnsi"/>
          <w:bCs/>
          <w:color w:val="011A3C"/>
          <w:sz w:val="24"/>
          <w:szCs w:val="24"/>
          <w:lang w:val="en" w:eastAsia="en-AU"/>
        </w:rPr>
      </w:pPr>
      <w:r>
        <w:rPr>
          <w:rFonts w:eastAsia="Segoe UI" w:cstheme="minorHAnsi"/>
          <w:bCs/>
          <w:color w:val="011A3C"/>
          <w:sz w:val="24"/>
          <w:szCs w:val="24"/>
          <w:lang w:val="en" w:eastAsia="en-AU"/>
        </w:rPr>
        <w:t xml:space="preserve">While each CCT request will continue to be reviewed on a case-by-case basis, schools that cannot demonstrate why they require a CCT or schools that have sufficient cash balances available will have their request rejected. </w:t>
      </w:r>
    </w:p>
    <w:p w14:paraId="06AD0287" w14:textId="77777777" w:rsidR="00E771CA" w:rsidRDefault="00E771CA" w:rsidP="00E771CA">
      <w:pPr>
        <w:spacing w:before="100" w:beforeAutospacing="1" w:after="100" w:afterAutospacing="1" w:line="288" w:lineRule="atLeast"/>
        <w:outlineLvl w:val="3"/>
        <w:rPr>
          <w:rFonts w:eastAsia="Segoe UI" w:cstheme="minorHAnsi"/>
          <w:b/>
          <w:color w:val="011A3C"/>
          <w:sz w:val="24"/>
          <w:szCs w:val="24"/>
          <w:lang w:val="en" w:eastAsia="en-AU"/>
        </w:rPr>
      </w:pPr>
      <w:r>
        <w:rPr>
          <w:rFonts w:eastAsia="Segoe UI" w:cstheme="minorHAnsi"/>
          <w:b/>
          <w:color w:val="011A3C"/>
          <w:sz w:val="24"/>
          <w:szCs w:val="24"/>
          <w:lang w:val="en" w:eastAsia="en-AU"/>
        </w:rPr>
        <w:t>Cash to Credit transfers and end of year deficit adjustment</w:t>
      </w:r>
    </w:p>
    <w:p w14:paraId="3646ACB7" w14:textId="77777777" w:rsidR="007B1A96" w:rsidRPr="004576F9" w:rsidRDefault="00E771CA" w:rsidP="00E771CA">
      <w:pPr>
        <w:spacing w:before="100" w:beforeAutospacing="1" w:after="100" w:afterAutospacing="1" w:line="288" w:lineRule="atLeast"/>
        <w:outlineLvl w:val="3"/>
        <w:rPr>
          <w:rFonts w:eastAsia="Segoe UI" w:cstheme="minorHAnsi"/>
          <w:bCs/>
          <w:color w:val="011A3C"/>
          <w:sz w:val="24"/>
          <w:szCs w:val="24"/>
          <w:lang w:val="en" w:eastAsia="en-AU"/>
        </w:rPr>
      </w:pPr>
      <w:r>
        <w:rPr>
          <w:rFonts w:eastAsia="Segoe UI" w:cstheme="minorHAnsi"/>
          <w:bCs/>
          <w:color w:val="011A3C"/>
          <w:sz w:val="24"/>
          <w:szCs w:val="24"/>
          <w:lang w:val="en" w:eastAsia="en-AU"/>
        </w:rPr>
        <w:t>Cash to credit transfers may occur if a school wishes to better align credit expenditure with the appropriate funding source (for example, if a school decides to use over 50% of equity allocation on salary costs). If sufficient cash is available these requests will generally be supported.</w:t>
      </w:r>
    </w:p>
    <w:p w14:paraId="15CD0FE4" w14:textId="77777777"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Eligibility</w:t>
      </w:r>
    </w:p>
    <w:p w14:paraId="76E754BF" w14:textId="3E7A6718"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w:t>
      </w:r>
      <w:r w:rsidR="0091293B" w:rsidRPr="00260C1D">
        <w:rPr>
          <w:rFonts w:eastAsia="Segoe UI" w:cstheme="minorHAnsi"/>
          <w:color w:val="011A3C"/>
          <w:sz w:val="24"/>
          <w:szCs w:val="24"/>
          <w:lang w:val="en" w:eastAsia="en-AU"/>
        </w:rPr>
        <w:t>can</w:t>
      </w:r>
      <w:r w:rsidRPr="00260C1D">
        <w:rPr>
          <w:rFonts w:eastAsia="Segoe UI" w:cstheme="minorHAnsi"/>
          <w:color w:val="011A3C"/>
          <w:sz w:val="24"/>
          <w:szCs w:val="24"/>
          <w:lang w:val="en" w:eastAsia="en-AU"/>
        </w:rPr>
        <w:t xml:space="preserve"> undertake a credit to cash transfer for uncommitted credit allocations in the SRP</w:t>
      </w:r>
      <w:r w:rsidR="00A865DD">
        <w:rPr>
          <w:rFonts w:eastAsia="Segoe UI" w:cstheme="minorHAnsi"/>
          <w:color w:val="011A3C"/>
          <w:sz w:val="24"/>
          <w:szCs w:val="24"/>
          <w:lang w:val="en" w:eastAsia="en-AU"/>
        </w:rPr>
        <w:t xml:space="preserve"> for certain types of expenditure</w:t>
      </w:r>
      <w:r w:rsidR="00A865DD" w:rsidRPr="00260C1D">
        <w:rPr>
          <w:rFonts w:eastAsia="Segoe UI" w:cstheme="minorHAnsi"/>
          <w:color w:val="011A3C"/>
          <w:sz w:val="24"/>
          <w:szCs w:val="24"/>
          <w:lang w:val="en" w:eastAsia="en-AU"/>
        </w:rPr>
        <w:t>.</w:t>
      </w:r>
      <w:r w:rsidR="00A865DD">
        <w:rPr>
          <w:rFonts w:eastAsia="Segoe UI" w:cstheme="minorHAnsi"/>
          <w:color w:val="011A3C"/>
          <w:sz w:val="24"/>
          <w:szCs w:val="24"/>
          <w:lang w:val="en" w:eastAsia="en-AU"/>
        </w:rPr>
        <w:t xml:space="preserve"> Schools will not be permitted to submit a credit to cash transfer without a valid reason.</w:t>
      </w:r>
      <w:r w:rsidRPr="00260C1D">
        <w:rPr>
          <w:rFonts w:eastAsia="Segoe UI" w:cstheme="minorHAnsi"/>
          <w:color w:val="011A3C"/>
          <w:sz w:val="24"/>
          <w:szCs w:val="24"/>
          <w:lang w:val="en" w:eastAsia="en-AU"/>
        </w:rPr>
        <w:t xml:space="preserve"> In addition, schools may undertake cash to credit transfers in instances where it is planned to use the cash component of the SRP to appoint ongoing or fixed-term staff on </w:t>
      </w:r>
      <w:proofErr w:type="spellStart"/>
      <w:r w:rsidRPr="00260C1D">
        <w:rPr>
          <w:rFonts w:eastAsia="Segoe UI" w:cstheme="minorHAnsi"/>
          <w:color w:val="011A3C"/>
          <w:sz w:val="24"/>
          <w:szCs w:val="24"/>
          <w:lang w:val="en" w:eastAsia="en-AU"/>
        </w:rPr>
        <w:t>eduPay</w:t>
      </w:r>
      <w:proofErr w:type="spellEnd"/>
      <w:r w:rsidRPr="00260C1D">
        <w:rPr>
          <w:rFonts w:eastAsia="Segoe UI" w:cstheme="minorHAnsi"/>
          <w:color w:val="011A3C"/>
          <w:sz w:val="24"/>
          <w:szCs w:val="24"/>
          <w:lang w:val="en" w:eastAsia="en-AU"/>
        </w:rPr>
        <w:t>. Care must be taken when appointing ongoing staff in this way to ensure the position can continue to be funded in future years. Cash to credit transfers must include provision for salary on-costs (payroll tax and superannuation).</w:t>
      </w:r>
    </w:p>
    <w:p w14:paraId="23AB2910" w14:textId="77777777"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Submitting requests</w:t>
      </w:r>
    </w:p>
    <w:p w14:paraId="78530015" w14:textId="2AEE48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w:t>
      </w:r>
      <w:r w:rsidR="0091293B" w:rsidRPr="00260C1D">
        <w:rPr>
          <w:rFonts w:eastAsia="Segoe UI" w:cstheme="minorHAnsi"/>
          <w:color w:val="011A3C"/>
          <w:sz w:val="24"/>
          <w:szCs w:val="24"/>
          <w:lang w:val="en" w:eastAsia="en-AU"/>
        </w:rPr>
        <w:t>can</w:t>
      </w:r>
      <w:r w:rsidRPr="00260C1D">
        <w:rPr>
          <w:rFonts w:eastAsia="Segoe UI" w:cstheme="minorHAnsi"/>
          <w:color w:val="011A3C"/>
          <w:sz w:val="24"/>
          <w:szCs w:val="24"/>
          <w:lang w:val="en" w:eastAsia="en-AU"/>
        </w:rPr>
        <w:t xml:space="preserve"> undertake CCT request using the online Credit Cash Transfer module by selecting ‘CCT’ (Credit Cash Transfer) on the SRP Portal.  Access to the Credit Cash Transfer module is limited to the principal or the principal’s delegate and requires an authenticated </w:t>
      </w:r>
      <w:r w:rsidR="0091293B" w:rsidRPr="00260C1D">
        <w:rPr>
          <w:rFonts w:eastAsia="Segoe UI" w:cstheme="minorHAnsi"/>
          <w:color w:val="011A3C"/>
          <w:sz w:val="24"/>
          <w:szCs w:val="24"/>
          <w:lang w:val="en" w:eastAsia="en-AU"/>
        </w:rPr>
        <w:t xml:space="preserve">username </w:t>
      </w:r>
      <w:r w:rsidRPr="00260C1D">
        <w:rPr>
          <w:rFonts w:eastAsia="Segoe UI" w:cstheme="minorHAnsi"/>
          <w:color w:val="011A3C"/>
          <w:sz w:val="24"/>
          <w:szCs w:val="24"/>
          <w:lang w:val="en" w:eastAsia="en-AU"/>
        </w:rPr>
        <w:t>and password.​</w:t>
      </w:r>
    </w:p>
    <w:p w14:paraId="23372B74" w14:textId="125EBD13" w:rsidR="0096466B" w:rsidRPr="00260C1D" w:rsidRDefault="0091293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Since </w:t>
      </w:r>
      <w:r w:rsidR="0096466B" w:rsidRPr="00260C1D">
        <w:rPr>
          <w:rFonts w:eastAsia="Segoe UI" w:cstheme="minorHAnsi"/>
          <w:color w:val="011A3C"/>
          <w:sz w:val="24"/>
          <w:szCs w:val="24"/>
          <w:lang w:val="en" w:eastAsia="en-AU"/>
        </w:rPr>
        <w:t>2019, schools are required to nominate a category that identifies the purpose of the CCT. In addition, there is the ability to attach supporting information to the request.</w:t>
      </w:r>
    </w:p>
    <w:p w14:paraId="168AC481"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The list of categories, and some suggestions as to the type of supporting information required, are outlined below. Where possible or relevant, schools should try to link the submission back to Annual Implementation Plans, School Strategic Plans, Professional Learning Plans or the School Cash Budget.</w:t>
      </w:r>
    </w:p>
    <w:p w14:paraId="64A147A7" w14:textId="77777777"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1. Capital Works</w:t>
      </w:r>
    </w:p>
    <w:p w14:paraId="1A46B3C0" w14:textId="78D1D862"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This category relates to school capital works, such as building additions or refurbishment of buildings or facilities.  If the project is being undertaken with the Victorian School Building Authority (VSBA), noting this and providing a VSBA reference would be useful information to provide.  If the project is not being undertaken with the VSBA support, schools </w:t>
      </w:r>
      <w:r w:rsidR="005F54F0">
        <w:rPr>
          <w:rFonts w:eastAsia="Segoe UI" w:cstheme="minorHAnsi"/>
          <w:color w:val="011A3C"/>
          <w:sz w:val="24"/>
          <w:szCs w:val="24"/>
          <w:lang w:val="en" w:eastAsia="en-AU"/>
        </w:rPr>
        <w:t>must</w:t>
      </w:r>
      <w:r w:rsidRPr="00260C1D">
        <w:rPr>
          <w:rFonts w:eastAsia="Segoe UI" w:cstheme="minorHAnsi"/>
          <w:color w:val="011A3C"/>
          <w:sz w:val="24"/>
          <w:szCs w:val="24"/>
          <w:lang w:val="en" w:eastAsia="en-AU"/>
        </w:rPr>
        <w:t xml:space="preserve"> attach relevant project information.</w:t>
      </w:r>
    </w:p>
    <w:p w14:paraId="1C6CB75C" w14:textId="77777777" w:rsidR="005F54F0" w:rsidRDefault="005F54F0" w:rsidP="005F54F0">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Under the SRP principle that in year funding should support the current cohort of students, CCT requests for capital works will not be approved unless the transfer is coming from an accumulated surplus balance. That is, the surplus balance accumulated up until reconciliation 2023. </w:t>
      </w:r>
    </w:p>
    <w:p w14:paraId="11C30517" w14:textId="77777777" w:rsidR="0096466B" w:rsidRPr="00260C1D" w:rsidRDefault="005F54F0" w:rsidP="005F54F0">
      <w:p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 xml:space="preserve">Schools will no longer be permitted to submit CCTs for capital works using their surplus achieved through current year underspend. </w:t>
      </w:r>
    </w:p>
    <w:p w14:paraId="256A9DAD" w14:textId="77777777"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2. Equipment</w:t>
      </w:r>
    </w:p>
    <w:p w14:paraId="449EE011" w14:textId="3684ED1A" w:rsidR="003E6B76"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This category relates </w:t>
      </w:r>
      <w:r w:rsidR="00B03EFA">
        <w:rPr>
          <w:rFonts w:eastAsia="Segoe UI" w:cstheme="minorHAnsi"/>
          <w:color w:val="011A3C"/>
          <w:sz w:val="24"/>
          <w:szCs w:val="24"/>
          <w:lang w:val="en" w:eastAsia="en-AU"/>
        </w:rPr>
        <w:t xml:space="preserve">to </w:t>
      </w:r>
      <w:r w:rsidRPr="00260C1D">
        <w:rPr>
          <w:rFonts w:eastAsia="Segoe UI" w:cstheme="minorHAnsi"/>
          <w:color w:val="011A3C"/>
          <w:sz w:val="24"/>
          <w:szCs w:val="24"/>
          <w:lang w:val="en" w:eastAsia="en-AU"/>
        </w:rPr>
        <w:t>purchas</w:t>
      </w:r>
      <w:r w:rsidR="00B03EFA">
        <w:rPr>
          <w:rFonts w:eastAsia="Segoe UI" w:cstheme="minorHAnsi"/>
          <w:color w:val="011A3C"/>
          <w:sz w:val="24"/>
          <w:szCs w:val="24"/>
          <w:lang w:val="en" w:eastAsia="en-AU"/>
        </w:rPr>
        <w:t>es</w:t>
      </w:r>
      <w:r w:rsidRPr="00260C1D">
        <w:rPr>
          <w:rFonts w:eastAsia="Segoe UI" w:cstheme="minorHAnsi"/>
          <w:color w:val="011A3C"/>
          <w:sz w:val="24"/>
          <w:szCs w:val="24"/>
          <w:lang w:val="en" w:eastAsia="en-AU"/>
        </w:rPr>
        <w:t xml:space="preserve"> of new equipment. As an example, supporting </w:t>
      </w:r>
      <w:r w:rsidR="00E1098F">
        <w:rPr>
          <w:rFonts w:eastAsia="Segoe UI" w:cstheme="minorHAnsi"/>
          <w:color w:val="011A3C"/>
          <w:sz w:val="24"/>
          <w:szCs w:val="24"/>
          <w:lang w:val="en" w:eastAsia="en-AU"/>
        </w:rPr>
        <w:t>i</w:t>
      </w:r>
      <w:r w:rsidRPr="00260C1D">
        <w:rPr>
          <w:rFonts w:eastAsia="Segoe UI" w:cstheme="minorHAnsi"/>
          <w:color w:val="011A3C"/>
          <w:sz w:val="24"/>
          <w:szCs w:val="24"/>
          <w:lang w:val="en" w:eastAsia="en-AU"/>
        </w:rPr>
        <w:t xml:space="preserve">nformation may be a quote/scheduling for the installation, etc.  (Note: If the equipment is being purchased to support a </w:t>
      </w:r>
      <w:r w:rsidR="00E1098F">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urriculum program then it should be </w:t>
      </w:r>
      <w:proofErr w:type="spellStart"/>
      <w:r w:rsidRPr="00260C1D">
        <w:rPr>
          <w:rFonts w:eastAsia="Segoe UI" w:cstheme="minorHAnsi"/>
          <w:color w:val="011A3C"/>
          <w:sz w:val="24"/>
          <w:szCs w:val="24"/>
          <w:lang w:val="en" w:eastAsia="en-AU"/>
        </w:rPr>
        <w:t>categorised</w:t>
      </w:r>
      <w:proofErr w:type="spellEnd"/>
      <w:r w:rsidRPr="00260C1D">
        <w:rPr>
          <w:rFonts w:eastAsia="Segoe UI" w:cstheme="minorHAnsi"/>
          <w:color w:val="011A3C"/>
          <w:sz w:val="24"/>
          <w:szCs w:val="24"/>
          <w:lang w:val="en" w:eastAsia="en-AU"/>
        </w:rPr>
        <w:t xml:space="preserve"> as part of the </w:t>
      </w:r>
      <w:r w:rsidR="00E1098F">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urriculum </w:t>
      </w:r>
      <w:r w:rsidR="00E1098F">
        <w:rPr>
          <w:rFonts w:eastAsia="Segoe UI" w:cstheme="minorHAnsi"/>
          <w:color w:val="011A3C"/>
          <w:sz w:val="24"/>
          <w:szCs w:val="24"/>
          <w:lang w:val="en" w:eastAsia="en-AU"/>
        </w:rPr>
        <w:t>p</w:t>
      </w:r>
      <w:r w:rsidRPr="00260C1D">
        <w:rPr>
          <w:rFonts w:eastAsia="Segoe UI" w:cstheme="minorHAnsi"/>
          <w:color w:val="011A3C"/>
          <w:sz w:val="24"/>
          <w:szCs w:val="24"/>
          <w:lang w:val="en" w:eastAsia="en-AU"/>
        </w:rPr>
        <w:t>rogram)</w:t>
      </w:r>
    </w:p>
    <w:p w14:paraId="6E7C9B71" w14:textId="77777777"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3. Maintenance</w:t>
      </w:r>
    </w:p>
    <w:p w14:paraId="3D642C6C" w14:textId="2E3AB896"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This category relates to general maintenance in schools. As an example, supporting </w:t>
      </w:r>
      <w:r w:rsidR="00E1098F">
        <w:rPr>
          <w:rFonts w:eastAsia="Segoe UI" w:cstheme="minorHAnsi"/>
          <w:color w:val="011A3C"/>
          <w:sz w:val="24"/>
          <w:szCs w:val="24"/>
          <w:lang w:val="en" w:eastAsia="en-AU"/>
        </w:rPr>
        <w:t>i</w:t>
      </w:r>
      <w:r w:rsidRPr="00260C1D">
        <w:rPr>
          <w:rFonts w:eastAsia="Segoe UI" w:cstheme="minorHAnsi"/>
          <w:color w:val="011A3C"/>
          <w:sz w:val="24"/>
          <w:szCs w:val="24"/>
          <w:lang w:val="en" w:eastAsia="en-AU"/>
        </w:rPr>
        <w:t>nformation may include the type of maintenance to be undertaken.</w:t>
      </w:r>
    </w:p>
    <w:p w14:paraId="4708F424" w14:textId="1DC80EE3"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 xml:space="preserve">4. Staffing </w:t>
      </w:r>
      <w:r w:rsidR="001C6CB6">
        <w:rPr>
          <w:rFonts w:eastAsia="Segoe UI" w:cstheme="minorHAnsi"/>
          <w:b/>
          <w:color w:val="011A3C"/>
          <w:sz w:val="24"/>
          <w:szCs w:val="24"/>
          <w:lang w:val="en" w:eastAsia="en-AU"/>
        </w:rPr>
        <w:t>c</w:t>
      </w:r>
      <w:r w:rsidRPr="00260C1D">
        <w:rPr>
          <w:rFonts w:eastAsia="Segoe UI" w:cstheme="minorHAnsi"/>
          <w:b/>
          <w:color w:val="011A3C"/>
          <w:sz w:val="24"/>
          <w:szCs w:val="24"/>
          <w:lang w:val="en" w:eastAsia="en-AU"/>
        </w:rPr>
        <w:t>osts</w:t>
      </w:r>
    </w:p>
    <w:p w14:paraId="3D8AD8CD" w14:textId="730C8D94"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This category includes costs directly related to staffing, such as Casual Relief Teaching (CRT), local payroll reimbursement or professional development.  Specific examples of support information could include CRT costs to replace someone on sick leave or to top up the CRT budget for the school as specified in the </w:t>
      </w:r>
      <w:r w:rsidR="003E30D0">
        <w:rPr>
          <w:rFonts w:eastAsia="Segoe UI" w:cstheme="minorHAnsi"/>
          <w:color w:val="011A3C"/>
          <w:sz w:val="24"/>
          <w:szCs w:val="24"/>
          <w:lang w:val="en" w:eastAsia="en-AU"/>
        </w:rPr>
        <w:t>a</w:t>
      </w:r>
      <w:r w:rsidRPr="00260C1D">
        <w:rPr>
          <w:rFonts w:eastAsia="Segoe UI" w:cstheme="minorHAnsi"/>
          <w:color w:val="011A3C"/>
          <w:sz w:val="24"/>
          <w:szCs w:val="24"/>
          <w:lang w:val="en" w:eastAsia="en-AU"/>
        </w:rPr>
        <w:t xml:space="preserve">nnual </w:t>
      </w:r>
      <w:r w:rsidR="003E30D0">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udget. </w:t>
      </w:r>
    </w:p>
    <w:p w14:paraId="12AC1481" w14:textId="02079557" w:rsidR="0096466B" w:rsidRPr="00260C1D" w:rsidRDefault="0096466B" w:rsidP="0096466B">
      <w:pPr>
        <w:spacing w:before="100" w:beforeAutospacing="1" w:after="100" w:afterAutospacing="1" w:line="288" w:lineRule="atLeast"/>
        <w:outlineLvl w:val="3"/>
        <w:rPr>
          <w:rFonts w:eastAsia="Segoe UI" w:cstheme="minorHAnsi"/>
          <w:b/>
          <w:bCs/>
          <w:color w:val="011A3C"/>
          <w:sz w:val="24"/>
          <w:szCs w:val="24"/>
          <w:lang w:val="en" w:eastAsia="en-AU"/>
        </w:rPr>
      </w:pPr>
      <w:r w:rsidRPr="00260C1D">
        <w:rPr>
          <w:rFonts w:eastAsia="Segoe UI" w:cstheme="minorHAnsi"/>
          <w:b/>
          <w:bCs/>
          <w:color w:val="011A3C"/>
          <w:sz w:val="24"/>
          <w:szCs w:val="24"/>
          <w:lang w:val="en" w:eastAsia="en-AU"/>
        </w:rPr>
        <w:t xml:space="preserve">5. Curriculum </w:t>
      </w:r>
      <w:r w:rsidR="003E30D0">
        <w:rPr>
          <w:rFonts w:eastAsia="Segoe UI" w:cstheme="minorHAnsi"/>
          <w:b/>
          <w:bCs/>
          <w:color w:val="011A3C"/>
          <w:sz w:val="24"/>
          <w:szCs w:val="24"/>
          <w:lang w:val="en" w:eastAsia="en-AU"/>
        </w:rPr>
        <w:t>p</w:t>
      </w:r>
      <w:r w:rsidRPr="00260C1D">
        <w:rPr>
          <w:rFonts w:eastAsia="Segoe UI" w:cstheme="minorHAnsi"/>
          <w:b/>
          <w:bCs/>
          <w:color w:val="011A3C"/>
          <w:sz w:val="24"/>
          <w:szCs w:val="24"/>
          <w:lang w:val="en" w:eastAsia="en-AU"/>
        </w:rPr>
        <w:t xml:space="preserve">rograms and </w:t>
      </w:r>
      <w:r w:rsidR="003E30D0">
        <w:rPr>
          <w:rFonts w:eastAsia="Segoe UI" w:cstheme="minorHAnsi"/>
          <w:b/>
          <w:bCs/>
          <w:color w:val="011A3C"/>
          <w:sz w:val="24"/>
          <w:szCs w:val="24"/>
          <w:lang w:val="en" w:eastAsia="en-AU"/>
        </w:rPr>
        <w:t>s</w:t>
      </w:r>
      <w:r w:rsidRPr="00260C1D">
        <w:rPr>
          <w:rFonts w:eastAsia="Segoe UI" w:cstheme="minorHAnsi"/>
          <w:b/>
          <w:bCs/>
          <w:color w:val="011A3C"/>
          <w:sz w:val="24"/>
          <w:szCs w:val="24"/>
          <w:lang w:val="en" w:eastAsia="en-AU"/>
        </w:rPr>
        <w:t xml:space="preserve">tudent </w:t>
      </w:r>
      <w:r w:rsidR="003E30D0">
        <w:rPr>
          <w:rFonts w:eastAsia="Segoe UI" w:cstheme="minorHAnsi"/>
          <w:b/>
          <w:bCs/>
          <w:color w:val="011A3C"/>
          <w:sz w:val="24"/>
          <w:szCs w:val="24"/>
          <w:lang w:val="en" w:eastAsia="en-AU"/>
        </w:rPr>
        <w:t>s</w:t>
      </w:r>
      <w:r w:rsidRPr="00260C1D">
        <w:rPr>
          <w:rFonts w:eastAsia="Segoe UI" w:cstheme="minorHAnsi"/>
          <w:b/>
          <w:bCs/>
          <w:color w:val="011A3C"/>
          <w:sz w:val="24"/>
          <w:szCs w:val="24"/>
          <w:lang w:val="en" w:eastAsia="en-AU"/>
        </w:rPr>
        <w:t>upport</w:t>
      </w:r>
    </w:p>
    <w:p w14:paraId="6E9B5F25"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This category relates to specific curriculum programs schools operate or support being provided to students.</w:t>
      </w:r>
    </w:p>
    <w:p w14:paraId="599DF6D1" w14:textId="77777777"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6. Other</w:t>
      </w:r>
    </w:p>
    <w:p w14:paraId="1C128AD1"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Any other reason for the CCT request.</w:t>
      </w:r>
    </w:p>
    <w:p w14:paraId="0E643411" w14:textId="01A6ED78"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 xml:space="preserve">Requests must be based on the annual amount of the transfer (not monthly or quarterly) except where the transfer relates to a surplus brought forward from the previous year. Approved transfers against a current-year surplus will be apportioned equally over the remaining quarterly cash grants for the year. Approved transfers relating to a surplus brought forward from the previous year </w:t>
      </w:r>
      <w:r w:rsidR="00530A1E">
        <w:rPr>
          <w:rFonts w:eastAsia="Segoe UI" w:cstheme="minorHAnsi"/>
          <w:color w:val="011A3C"/>
          <w:sz w:val="24"/>
          <w:szCs w:val="24"/>
          <w:lang w:val="en" w:eastAsia="en-AU"/>
        </w:rPr>
        <w:t xml:space="preserve">or the accumulated balance </w:t>
      </w:r>
      <w:r w:rsidRPr="00260C1D">
        <w:rPr>
          <w:rFonts w:eastAsia="Segoe UI" w:cstheme="minorHAnsi"/>
          <w:color w:val="011A3C"/>
          <w:sz w:val="24"/>
          <w:szCs w:val="24"/>
          <w:lang w:val="en" w:eastAsia="en-AU"/>
        </w:rPr>
        <w:t>will be paid as a lump sum.</w:t>
      </w:r>
    </w:p>
    <w:p w14:paraId="352E363C" w14:textId="1A90D63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Credit to cash transfers are paid and </w:t>
      </w:r>
      <w:r w:rsidR="00CA1643">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ash to </w:t>
      </w:r>
      <w:r w:rsidR="00CA1643">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redit </w:t>
      </w:r>
      <w:r w:rsidR="00CA1643">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ransfers are committed quarterly with schools</w:t>
      </w:r>
      <w:r w:rsidR="0091293B" w:rsidRPr="00260C1D">
        <w:rPr>
          <w:rFonts w:eastAsia="Segoe UI" w:cstheme="minorHAnsi"/>
          <w:color w:val="011A3C"/>
          <w:sz w:val="24"/>
          <w:szCs w:val="24"/>
          <w:lang w:val="en" w:eastAsia="en-AU"/>
        </w:rPr>
        <w:t>’ </w:t>
      </w:r>
      <w:r w:rsidR="00CA1643">
        <w:rPr>
          <w:rFonts w:eastAsia="Segoe UI" w:cstheme="minorHAnsi"/>
          <w:color w:val="011A3C"/>
          <w:sz w:val="24"/>
          <w:szCs w:val="24"/>
          <w:lang w:val="en" w:eastAsia="en-AU"/>
        </w:rPr>
        <w:t>q</w:t>
      </w:r>
      <w:r w:rsidR="0091293B" w:rsidRPr="00260C1D">
        <w:rPr>
          <w:rFonts w:eastAsia="Segoe UI" w:cstheme="minorHAnsi"/>
          <w:color w:val="011A3C"/>
          <w:sz w:val="24"/>
          <w:szCs w:val="24"/>
          <w:lang w:val="en" w:eastAsia="en-AU"/>
        </w:rPr>
        <w:t>uarterly</w:t>
      </w:r>
      <w:r w:rsidRPr="00260C1D">
        <w:rPr>
          <w:rFonts w:eastAsia="Segoe UI" w:cstheme="minorHAnsi"/>
          <w:color w:val="011A3C"/>
          <w:sz w:val="24"/>
          <w:szCs w:val="24"/>
          <w:lang w:val="en" w:eastAsia="en-AU"/>
        </w:rPr>
        <w:t xml:space="preserve"> </w:t>
      </w:r>
      <w:r w:rsidR="00CA1643">
        <w:rPr>
          <w:rFonts w:eastAsia="Segoe UI" w:cstheme="minorHAnsi"/>
          <w:color w:val="011A3C"/>
          <w:sz w:val="24"/>
          <w:szCs w:val="24"/>
          <w:lang w:val="en" w:eastAsia="en-AU"/>
        </w:rPr>
        <w:t>c</w:t>
      </w:r>
      <w:r w:rsidRPr="00260C1D">
        <w:rPr>
          <w:rFonts w:eastAsia="Segoe UI" w:cstheme="minorHAnsi"/>
          <w:color w:val="011A3C"/>
          <w:sz w:val="24"/>
          <w:szCs w:val="24"/>
          <w:lang w:val="en" w:eastAsia="en-AU"/>
        </w:rPr>
        <w:t xml:space="preserve">ash </w:t>
      </w:r>
      <w:r w:rsidR="00CA1643">
        <w:rPr>
          <w:rFonts w:eastAsia="Segoe UI" w:cstheme="minorHAnsi"/>
          <w:color w:val="011A3C"/>
          <w:sz w:val="24"/>
          <w:szCs w:val="24"/>
          <w:lang w:val="en" w:eastAsia="en-AU"/>
        </w:rPr>
        <w:t>g</w:t>
      </w:r>
      <w:r w:rsidRPr="00260C1D">
        <w:rPr>
          <w:rFonts w:eastAsia="Segoe UI" w:cstheme="minorHAnsi"/>
          <w:color w:val="011A3C"/>
          <w:sz w:val="24"/>
          <w:szCs w:val="24"/>
          <w:lang w:val="en" w:eastAsia="en-AU"/>
        </w:rPr>
        <w:t>rant</w:t>
      </w:r>
      <w:r w:rsidR="00CA1643">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Amounts paid or committed can no longer be adjusted and a new request will need to be submitted.</w:t>
      </w:r>
    </w:p>
    <w:p w14:paraId="48E36F44"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Enquiries can be addressed to the SRP Service Desk and information should be provided in writing to:</w:t>
      </w:r>
    </w:p>
    <w:p w14:paraId="58306AE1" w14:textId="5BAA02BC" w:rsidR="0096466B" w:rsidRPr="00260C1D" w:rsidRDefault="00000000"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hyperlink r:id="rId303" w:history="1">
        <w:r w:rsidR="0096466B" w:rsidRPr="00FA572B">
          <w:rPr>
            <w:rFonts w:eastAsia="Segoe UI" w:cstheme="minorHAnsi"/>
            <w:color w:val="0563C1"/>
            <w:sz w:val="24"/>
            <w:szCs w:val="24"/>
            <w:u w:val="single"/>
            <w:lang w:val="en" w:eastAsia="en-AU"/>
          </w:rPr>
          <w:t>Service</w:t>
        </w:r>
        <w:r w:rsidR="005A184B" w:rsidRPr="00FA572B">
          <w:rPr>
            <w:rFonts w:eastAsia="Segoe UI" w:cstheme="minorHAnsi"/>
            <w:color w:val="0563C1"/>
            <w:sz w:val="24"/>
            <w:szCs w:val="24"/>
            <w:u w:val="single"/>
            <w:lang w:val="en" w:eastAsia="en-AU"/>
          </w:rPr>
          <w:t>s Portal</w:t>
        </w:r>
      </w:hyperlink>
      <w:r w:rsidR="0096466B" w:rsidRPr="00260C1D">
        <w:rPr>
          <w:rFonts w:eastAsia="Segoe UI" w:cstheme="minorHAnsi"/>
          <w:color w:val="011A3C"/>
          <w:sz w:val="24"/>
          <w:szCs w:val="24"/>
          <w:lang w:val="en" w:eastAsia="en-AU"/>
        </w:rPr>
        <w:t>: or</w:t>
      </w:r>
    </w:p>
    <w:p w14:paraId="54811826" w14:textId="77777777"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Log a call on: </w:t>
      </w:r>
      <w:hyperlink r:id="rId304" w:history="1">
        <w:r w:rsidRPr="00260C1D">
          <w:rPr>
            <w:rFonts w:eastAsia="Segoe UI" w:cstheme="minorHAnsi"/>
            <w:color w:val="011A3C"/>
            <w:sz w:val="24"/>
            <w:szCs w:val="24"/>
            <w:lang w:val="en" w:eastAsia="en-AU"/>
          </w:rPr>
          <w:t>1800 641 943</w:t>
        </w:r>
      </w:hyperlink>
    </w:p>
    <w:p w14:paraId="77883E8C" w14:textId="77777777"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Verification</w:t>
      </w:r>
    </w:p>
    <w:p w14:paraId="5D23CB3E" w14:textId="05EF5D42" w:rsidR="00F85311"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Schools are only able to enter a CCT amount up to the value of the ‘Available SRP Credit’ or ‘Available SRP Cash’ amounts. If a school wants to make a larger transfer, then a service call will need to be logged through </w:t>
      </w:r>
      <w:hyperlink r:id="rId305" w:history="1">
        <w:r w:rsidRPr="00260C1D">
          <w:rPr>
            <w:rFonts w:eastAsia="Segoe UI" w:cstheme="minorHAnsi"/>
            <w:color w:val="011A3C"/>
            <w:sz w:val="24"/>
            <w:szCs w:val="24"/>
            <w:lang w:val="en" w:eastAsia="en-AU"/>
          </w:rPr>
          <w:t xml:space="preserve">the </w:t>
        </w:r>
        <w:r w:rsidR="006A7E8C">
          <w:rPr>
            <w:rFonts w:eastAsia="Segoe UI" w:cstheme="minorHAnsi"/>
            <w:color w:val="0563C1"/>
            <w:sz w:val="24"/>
            <w:szCs w:val="24"/>
            <w:u w:val="single"/>
            <w:lang w:val="en" w:eastAsia="en-AU"/>
          </w:rPr>
          <w:t>S</w:t>
        </w:r>
        <w:r w:rsidRPr="00614B09">
          <w:rPr>
            <w:rFonts w:eastAsia="Segoe UI" w:cstheme="minorHAnsi"/>
            <w:color w:val="0563C1"/>
            <w:sz w:val="24"/>
            <w:szCs w:val="24"/>
            <w:u w:val="single"/>
            <w:lang w:val="en" w:eastAsia="en-AU"/>
          </w:rPr>
          <w:t>ervice</w:t>
        </w:r>
        <w:r w:rsidR="006A7E8C">
          <w:rPr>
            <w:rFonts w:eastAsia="Segoe UI" w:cstheme="minorHAnsi"/>
            <w:color w:val="0563C1"/>
            <w:sz w:val="24"/>
            <w:szCs w:val="24"/>
            <w:u w:val="single"/>
            <w:lang w:val="en" w:eastAsia="en-AU"/>
          </w:rPr>
          <w:t>s Portal</w:t>
        </w:r>
      </w:hyperlink>
      <w:r w:rsidRPr="00260C1D">
        <w:rPr>
          <w:rFonts w:eastAsia="Segoe UI" w:cstheme="minorHAnsi"/>
          <w:color w:val="011A3C"/>
          <w:sz w:val="24"/>
          <w:szCs w:val="24"/>
          <w:lang w:val="en" w:eastAsia="en-AU"/>
        </w:rPr>
        <w:t>.</w:t>
      </w:r>
    </w:p>
    <w:p w14:paraId="30295A03" w14:textId="77777777"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Offline payments</w:t>
      </w:r>
    </w:p>
    <w:p w14:paraId="3D6EE7C7"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Offline payments can occur at any time throughout the year. Common reasons for an offline payment to be made are:</w:t>
      </w:r>
    </w:p>
    <w:p w14:paraId="62BE8A18" w14:textId="4176BD2B" w:rsidR="0096466B" w:rsidRPr="00260C1D" w:rsidRDefault="006C7EB2"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C</w:t>
      </w:r>
      <w:r w:rsidR="0096466B" w:rsidRPr="00260C1D">
        <w:rPr>
          <w:rFonts w:eastAsia="Segoe UI" w:cstheme="minorHAnsi"/>
          <w:color w:val="011A3C"/>
          <w:sz w:val="24"/>
          <w:szCs w:val="24"/>
          <w:lang w:val="en" w:eastAsia="en-AU"/>
        </w:rPr>
        <w:t>redit to cash transfer against previous year SRP surplus</w:t>
      </w:r>
    </w:p>
    <w:p w14:paraId="42C49B87" w14:textId="0343F583" w:rsidR="0096466B" w:rsidRPr="00260C1D" w:rsidRDefault="006C7EB2"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L</w:t>
      </w:r>
      <w:r w:rsidR="0096466B" w:rsidRPr="00260C1D">
        <w:rPr>
          <w:rFonts w:eastAsia="Segoe UI" w:cstheme="minorHAnsi"/>
          <w:color w:val="011A3C"/>
          <w:sz w:val="24"/>
          <w:szCs w:val="24"/>
          <w:lang w:val="en" w:eastAsia="en-AU"/>
        </w:rPr>
        <w:t>eave reimbursement payments</w:t>
      </w:r>
    </w:p>
    <w:p w14:paraId="0B8F5799"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Offline payments can also be triggered by cash flow support payments or other cash grants. </w:t>
      </w:r>
    </w:p>
    <w:p w14:paraId="15203BFC"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description for offline payments will take the form:</w:t>
      </w:r>
    </w:p>
    <w:p w14:paraId="10A9FD41" w14:textId="5C289C7F"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STUDENT RESOURCE PACKAGE (SRP) - BATCH &lt;</w:t>
      </w:r>
      <w:r w:rsidR="006B1C90">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atch number&gt; - OFFLINE PAYMENT - &lt;</w:t>
      </w:r>
      <w:r w:rsidR="006B1C90">
        <w:rPr>
          <w:rFonts w:eastAsia="Segoe UI" w:cstheme="minorHAnsi"/>
          <w:color w:val="011A3C"/>
          <w:sz w:val="24"/>
          <w:szCs w:val="24"/>
          <w:lang w:val="en" w:eastAsia="en-AU"/>
        </w:rPr>
        <w:t>P</w:t>
      </w:r>
      <w:r w:rsidRPr="00260C1D">
        <w:rPr>
          <w:rFonts w:eastAsia="Segoe UI" w:cstheme="minorHAnsi"/>
          <w:color w:val="011A3C"/>
          <w:sz w:val="24"/>
          <w:szCs w:val="24"/>
          <w:lang w:val="en" w:eastAsia="en-AU"/>
        </w:rPr>
        <w:t>rogram&gt; - &lt;</w:t>
      </w:r>
      <w:r w:rsidR="006B1C90">
        <w:rPr>
          <w:rFonts w:eastAsia="Segoe UI" w:cstheme="minorHAnsi"/>
          <w:color w:val="011A3C"/>
          <w:sz w:val="24"/>
          <w:szCs w:val="24"/>
          <w:lang w:val="en" w:eastAsia="en-AU"/>
        </w:rPr>
        <w:t>D</w:t>
      </w:r>
      <w:r w:rsidRPr="00260C1D">
        <w:rPr>
          <w:rFonts w:eastAsia="Segoe UI" w:cstheme="minorHAnsi"/>
          <w:color w:val="011A3C"/>
          <w:sz w:val="24"/>
          <w:szCs w:val="24"/>
          <w:lang w:val="en" w:eastAsia="en-AU"/>
        </w:rPr>
        <w:t xml:space="preserve">escription&gt; - &lt;GST Status&gt; </w:t>
      </w:r>
      <w:r w:rsidR="006B1C90"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CASES21 Finance General Ledger &lt;GL Code&gt;: Sub Program &lt;Sub Program Code&gt;</w:t>
      </w:r>
    </w:p>
    <w:p w14:paraId="64655DC2" w14:textId="77777777" w:rsidR="0096466B" w:rsidRPr="00260C1D" w:rsidRDefault="0096466B" w:rsidP="00A9180D">
      <w:pPr>
        <w:keepNext/>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Definitions</w:t>
      </w:r>
    </w:p>
    <w:p w14:paraId="1FCACFB1"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In the sample above, some placeholders were left using &lt;&gt;, please see the below table for definitions:</w:t>
      </w:r>
    </w:p>
    <w:tbl>
      <w:tblPr>
        <w:tblW w:w="5000" w:type="pct"/>
        <w:tblCellMar>
          <w:top w:w="15" w:type="dxa"/>
          <w:left w:w="15" w:type="dxa"/>
          <w:bottom w:w="15" w:type="dxa"/>
          <w:right w:w="15" w:type="dxa"/>
        </w:tblCellMar>
        <w:tblLook w:val="04A0" w:firstRow="1" w:lastRow="0" w:firstColumn="1" w:lastColumn="0" w:noHBand="0" w:noVBand="1"/>
      </w:tblPr>
      <w:tblGrid>
        <w:gridCol w:w="1601"/>
        <w:gridCol w:w="8865"/>
      </w:tblGrid>
      <w:tr w:rsidR="0096466B" w:rsidRPr="00260C1D" w14:paraId="197B558F" w14:textId="77777777" w:rsidTr="00614B09">
        <w:trPr>
          <w:tblHeader/>
        </w:trPr>
        <w:tc>
          <w:tcPr>
            <w:tcW w:w="0" w:type="auto"/>
            <w:hideMark/>
          </w:tcPr>
          <w:p w14:paraId="428E8893" w14:textId="77777777" w:rsidR="0096466B" w:rsidRPr="00260C1D" w:rsidRDefault="0096466B" w:rsidP="00614B09">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lastRenderedPageBreak/>
              <w:t>Placeholder</w:t>
            </w:r>
          </w:p>
        </w:tc>
        <w:tc>
          <w:tcPr>
            <w:tcW w:w="0" w:type="auto"/>
            <w:hideMark/>
          </w:tcPr>
          <w:p w14:paraId="711A4FFB" w14:textId="77777777" w:rsidR="0096466B" w:rsidRPr="00260C1D" w:rsidRDefault="0096466B" w:rsidP="00614B09">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Definition</w:t>
            </w:r>
          </w:p>
        </w:tc>
      </w:tr>
      <w:tr w:rsidR="0096466B" w:rsidRPr="00260C1D" w14:paraId="758DC386" w14:textId="77777777" w:rsidTr="00614B09">
        <w:tc>
          <w:tcPr>
            <w:tcW w:w="0" w:type="auto"/>
            <w:hideMark/>
          </w:tcPr>
          <w:p w14:paraId="2B8E0EB7" w14:textId="1D08935F" w:rsidR="0096466B" w:rsidRPr="00260C1D" w:rsidRDefault="0096466B" w:rsidP="00614B09">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&lt;</w:t>
            </w:r>
            <w:r w:rsidR="006B1C90">
              <w:rPr>
                <w:rFonts w:eastAsia="Segoe UI" w:cstheme="minorHAnsi"/>
                <w:color w:val="323E4F" w:themeColor="text2" w:themeShade="BF"/>
                <w:sz w:val="24"/>
                <w:szCs w:val="24"/>
                <w:lang w:eastAsia="en-AU"/>
              </w:rPr>
              <w:t>B</w:t>
            </w:r>
            <w:r w:rsidRPr="00260C1D">
              <w:rPr>
                <w:rFonts w:eastAsia="Segoe UI" w:cstheme="minorHAnsi"/>
                <w:color w:val="323E4F" w:themeColor="text2" w:themeShade="BF"/>
                <w:sz w:val="24"/>
                <w:szCs w:val="24"/>
                <w:lang w:eastAsia="en-AU"/>
              </w:rPr>
              <w:t>atch number&gt;</w:t>
            </w:r>
          </w:p>
        </w:tc>
        <w:tc>
          <w:tcPr>
            <w:tcW w:w="0" w:type="auto"/>
            <w:hideMark/>
          </w:tcPr>
          <w:p w14:paraId="03D74C10" w14:textId="6D72C897" w:rsidR="0096466B" w:rsidRPr="00260C1D" w:rsidRDefault="0096466B" w:rsidP="0075621C">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 xml:space="preserve">A </w:t>
            </w:r>
            <w:r w:rsidR="00EE01F0" w:rsidRPr="00260C1D">
              <w:rPr>
                <w:rFonts w:eastAsia="Segoe UI" w:cstheme="minorHAnsi"/>
                <w:color w:val="323E4F" w:themeColor="text2" w:themeShade="BF"/>
                <w:sz w:val="24"/>
                <w:szCs w:val="24"/>
                <w:lang w:eastAsia="en-AU"/>
              </w:rPr>
              <w:t>6-digit</w:t>
            </w:r>
            <w:r w:rsidRPr="00260C1D">
              <w:rPr>
                <w:rFonts w:eastAsia="Segoe UI" w:cstheme="minorHAnsi"/>
                <w:color w:val="323E4F" w:themeColor="text2" w:themeShade="BF"/>
                <w:sz w:val="24"/>
                <w:szCs w:val="24"/>
                <w:lang w:eastAsia="en-AU"/>
              </w:rPr>
              <w:t xml:space="preserve"> number, for example: 000999. This ‘identifier number’ can be used to look up a payment within the SRP </w:t>
            </w:r>
            <w:r w:rsidR="00EE01F0" w:rsidRPr="00260C1D">
              <w:rPr>
                <w:rFonts w:eastAsia="Segoe UI" w:cstheme="minorHAnsi"/>
                <w:color w:val="323E4F" w:themeColor="text2" w:themeShade="BF"/>
                <w:sz w:val="24"/>
                <w:szCs w:val="24"/>
                <w:lang w:eastAsia="en-AU"/>
              </w:rPr>
              <w:t>reports or</w:t>
            </w:r>
            <w:r w:rsidRPr="00260C1D">
              <w:rPr>
                <w:rFonts w:eastAsia="Segoe UI" w:cstheme="minorHAnsi"/>
                <w:color w:val="323E4F" w:themeColor="text2" w:themeShade="BF"/>
                <w:sz w:val="24"/>
                <w:szCs w:val="24"/>
                <w:lang w:eastAsia="en-AU"/>
              </w:rPr>
              <w:t xml:space="preserve"> can be quoted to SRP support staff when you are making an enquiry regarding your payment.</w:t>
            </w:r>
          </w:p>
        </w:tc>
      </w:tr>
      <w:tr w:rsidR="0096466B" w:rsidRPr="00260C1D" w14:paraId="2E351C93" w14:textId="77777777" w:rsidTr="00614B09">
        <w:tc>
          <w:tcPr>
            <w:tcW w:w="0" w:type="auto"/>
            <w:hideMark/>
          </w:tcPr>
          <w:p w14:paraId="5A92D0FB" w14:textId="77777777" w:rsidR="0096466B" w:rsidRPr="00260C1D" w:rsidRDefault="0096466B" w:rsidP="00614B09">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&lt;Program&gt;</w:t>
            </w:r>
          </w:p>
        </w:tc>
        <w:tc>
          <w:tcPr>
            <w:tcW w:w="0" w:type="auto"/>
            <w:hideMark/>
          </w:tcPr>
          <w:p w14:paraId="4D681D33" w14:textId="23CC7C73" w:rsidR="0096466B" w:rsidRPr="00260C1D" w:rsidRDefault="0096466B" w:rsidP="0075621C">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For payments against the SRP</w:t>
            </w:r>
            <w:r w:rsidR="00486571">
              <w:rPr>
                <w:rFonts w:eastAsia="Segoe UI" w:cstheme="minorHAnsi"/>
                <w:color w:val="323E4F" w:themeColor="text2" w:themeShade="BF"/>
                <w:sz w:val="24"/>
                <w:szCs w:val="24"/>
                <w:lang w:eastAsia="en-AU"/>
              </w:rPr>
              <w:t>,</w:t>
            </w:r>
            <w:r w:rsidRPr="00260C1D">
              <w:rPr>
                <w:rFonts w:eastAsia="Segoe UI" w:cstheme="minorHAnsi"/>
                <w:color w:val="323E4F" w:themeColor="text2" w:themeShade="BF"/>
                <w:sz w:val="24"/>
                <w:szCs w:val="24"/>
                <w:lang w:eastAsia="en-AU"/>
              </w:rPr>
              <w:t xml:space="preserve"> this will not appear. If a payment is made against a strategic program, the strategic program name will be displayed. If a payment is made from another source, such as a cash flow support payment, it will show as 'Other Cash Grants'.</w:t>
            </w:r>
          </w:p>
        </w:tc>
      </w:tr>
      <w:tr w:rsidR="0096466B" w:rsidRPr="00260C1D" w14:paraId="4ACE79D2" w14:textId="77777777" w:rsidTr="00614B09">
        <w:tc>
          <w:tcPr>
            <w:tcW w:w="0" w:type="auto"/>
            <w:hideMark/>
          </w:tcPr>
          <w:p w14:paraId="4695EE39" w14:textId="77777777" w:rsidR="0096466B" w:rsidRPr="00260C1D" w:rsidRDefault="0096466B" w:rsidP="00614B09">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&lt;Description&gt;</w:t>
            </w:r>
          </w:p>
        </w:tc>
        <w:tc>
          <w:tcPr>
            <w:tcW w:w="0" w:type="auto"/>
            <w:hideMark/>
          </w:tcPr>
          <w:p w14:paraId="00E0CABE" w14:textId="77777777" w:rsidR="0096466B" w:rsidRPr="00260C1D" w:rsidRDefault="0096466B" w:rsidP="0075621C">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A more detailed description of the payment, this will not appear for all payments, only for those where more information is appropriate, such as a Credit to Cash Transfer payment.</w:t>
            </w:r>
          </w:p>
        </w:tc>
      </w:tr>
      <w:tr w:rsidR="0096466B" w:rsidRPr="00260C1D" w14:paraId="127B5881" w14:textId="77777777" w:rsidTr="00614B09">
        <w:tc>
          <w:tcPr>
            <w:tcW w:w="0" w:type="auto"/>
            <w:hideMark/>
          </w:tcPr>
          <w:p w14:paraId="6E2439DD" w14:textId="77777777" w:rsidR="0096466B" w:rsidRPr="00260C1D" w:rsidRDefault="0096466B" w:rsidP="00614B09">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&lt;GST Status&gt;</w:t>
            </w:r>
          </w:p>
        </w:tc>
        <w:tc>
          <w:tcPr>
            <w:tcW w:w="0" w:type="auto"/>
            <w:hideMark/>
          </w:tcPr>
          <w:p w14:paraId="7ECCD103" w14:textId="22B99823" w:rsidR="0096466B" w:rsidRPr="00260C1D" w:rsidRDefault="0096466B" w:rsidP="0075621C">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 xml:space="preserve">Indicates if the payment is subject to </w:t>
            </w:r>
            <w:r w:rsidR="00EE01F0" w:rsidRPr="00260C1D">
              <w:rPr>
                <w:rFonts w:eastAsia="Segoe UI" w:cstheme="minorHAnsi"/>
                <w:color w:val="323E4F" w:themeColor="text2" w:themeShade="BF"/>
                <w:sz w:val="24"/>
                <w:szCs w:val="24"/>
                <w:lang w:eastAsia="en-AU"/>
              </w:rPr>
              <w:t>GST and</w:t>
            </w:r>
            <w:r w:rsidRPr="00260C1D">
              <w:rPr>
                <w:rFonts w:eastAsia="Segoe UI" w:cstheme="minorHAnsi"/>
                <w:color w:val="323E4F" w:themeColor="text2" w:themeShade="BF"/>
                <w:sz w:val="24"/>
                <w:szCs w:val="24"/>
                <w:lang w:eastAsia="en-AU"/>
              </w:rPr>
              <w:t xml:space="preserve"> provides the appropriate code for use in CASES21 Finance. </w:t>
            </w:r>
            <w:r w:rsidR="00EE01F0" w:rsidRPr="00260C1D">
              <w:rPr>
                <w:rFonts w:eastAsia="Segoe UI" w:cstheme="minorHAnsi"/>
                <w:color w:val="323E4F" w:themeColor="text2" w:themeShade="BF"/>
                <w:sz w:val="24"/>
                <w:szCs w:val="24"/>
                <w:lang w:eastAsia="en-AU"/>
              </w:rPr>
              <w:t>Most</w:t>
            </w:r>
            <w:r w:rsidRPr="00260C1D">
              <w:rPr>
                <w:rFonts w:eastAsia="Segoe UI" w:cstheme="minorHAnsi"/>
                <w:color w:val="323E4F" w:themeColor="text2" w:themeShade="BF"/>
                <w:sz w:val="24"/>
                <w:szCs w:val="24"/>
                <w:lang w:eastAsia="en-AU"/>
              </w:rPr>
              <w:t xml:space="preserve"> payments occurring through the SRP Payment System will not be subject to GST and therefore this will be set to 'Not Subject to GST (Code NS6).</w:t>
            </w:r>
          </w:p>
        </w:tc>
      </w:tr>
      <w:tr w:rsidR="0096466B" w:rsidRPr="00260C1D" w14:paraId="0EE789DF" w14:textId="77777777" w:rsidTr="00614B09">
        <w:tc>
          <w:tcPr>
            <w:tcW w:w="0" w:type="auto"/>
            <w:hideMark/>
          </w:tcPr>
          <w:p w14:paraId="20FEFC72" w14:textId="77777777" w:rsidR="0096466B" w:rsidRPr="00260C1D" w:rsidRDefault="0096466B" w:rsidP="00614B09">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&lt;GL Code&gt;</w:t>
            </w:r>
          </w:p>
        </w:tc>
        <w:tc>
          <w:tcPr>
            <w:tcW w:w="0" w:type="auto"/>
            <w:hideMark/>
          </w:tcPr>
          <w:p w14:paraId="71276200" w14:textId="77777777" w:rsidR="0096466B" w:rsidRPr="00260C1D" w:rsidRDefault="0096466B" w:rsidP="0075621C">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The CASES21 Finance General Ledger code against which to record the payment.</w:t>
            </w:r>
          </w:p>
        </w:tc>
      </w:tr>
      <w:tr w:rsidR="0096466B" w:rsidRPr="00260C1D" w14:paraId="3951FC4E" w14:textId="77777777" w:rsidTr="00614B09">
        <w:tc>
          <w:tcPr>
            <w:tcW w:w="0" w:type="auto"/>
            <w:hideMark/>
          </w:tcPr>
          <w:p w14:paraId="63A0EAD4" w14:textId="77777777" w:rsidR="0096466B" w:rsidRPr="00260C1D" w:rsidRDefault="0096466B" w:rsidP="00614B09">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&lt;Sub Program Code&gt;</w:t>
            </w:r>
          </w:p>
        </w:tc>
        <w:tc>
          <w:tcPr>
            <w:tcW w:w="0" w:type="auto"/>
            <w:hideMark/>
          </w:tcPr>
          <w:p w14:paraId="2F5DB769" w14:textId="77777777" w:rsidR="0096466B" w:rsidRPr="00260C1D" w:rsidRDefault="0096466B" w:rsidP="0075621C">
            <w:pPr>
              <w:spacing w:after="0" w:line="360" w:lineRule="atLeast"/>
              <w:rPr>
                <w:rFonts w:eastAsia="Segoe UI" w:cstheme="minorHAnsi"/>
                <w:color w:val="323E4F" w:themeColor="text2" w:themeShade="BF"/>
                <w:sz w:val="24"/>
                <w:szCs w:val="24"/>
                <w:lang w:eastAsia="en-AU"/>
              </w:rPr>
            </w:pPr>
            <w:r w:rsidRPr="00260C1D">
              <w:rPr>
                <w:rFonts w:eastAsia="Segoe UI" w:cstheme="minorHAnsi"/>
                <w:color w:val="323E4F" w:themeColor="text2" w:themeShade="BF"/>
                <w:sz w:val="24"/>
                <w:szCs w:val="24"/>
                <w:lang w:eastAsia="en-AU"/>
              </w:rPr>
              <w:t>The CASES21 Finance General Ledger Sub-Program code against which to record the payment. (May not appear for all payments).</w:t>
            </w:r>
          </w:p>
        </w:tc>
      </w:tr>
    </w:tbl>
    <w:p w14:paraId="194908EA" w14:textId="77777777"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Example:</w:t>
      </w:r>
    </w:p>
    <w:p w14:paraId="21E7C4EA"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below example would relate to a school that is receiving a basic payment against the SRP relating to a budget adjustment occurring after the Term 4 QCG.</w:t>
      </w:r>
    </w:p>
    <w:p w14:paraId="5379F88F" w14:textId="45B1604A"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STUDENT RESOURCE PACKAGE (SRP) - BATCH 000999 </w:t>
      </w:r>
      <w:r w:rsidR="006B1C90"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OFFLINE PAYMENT - Not Subject to GST (Code NS6) </w:t>
      </w:r>
      <w:r w:rsidR="006B1C90"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CASES21 Finance General Ledger 70001</w:t>
      </w:r>
    </w:p>
    <w:p w14:paraId="09415E98" w14:textId="77777777"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Examples:</w:t>
      </w:r>
    </w:p>
    <w:p w14:paraId="2BD69C20"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below examples would relate to a school that is receiving payment for the SRP, two strategic programs and one other payment. This would represent a complex example of what would be seen on the remittance advice:</w:t>
      </w:r>
    </w:p>
    <w:p w14:paraId="63304639" w14:textId="4EEF403D"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STUDENT RESOURCE PACKAGE (SRP) - BATCH 000999 </w:t>
      </w:r>
      <w:r w:rsidR="006B1C90"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TERM 2 QUARTERLY CASH GRANT - Not Subject to GST (Code NS6) </w:t>
      </w:r>
      <w:r w:rsidR="006B1C90"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CASES21 Finance General Ledger 70001</w:t>
      </w:r>
    </w:p>
    <w:p w14:paraId="4E02E74D" w14:textId="110860FD"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STUDENT RESOURCE PACKAGE (SRP) - BATCH 000999 - TERM 2 QUARTERLY CASH GRANT </w:t>
      </w:r>
      <w:r w:rsidR="006B1C90"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Other Cash Grants – Repayable Cash Flow Support - Not Subject to GST (Code NS6) </w:t>
      </w:r>
      <w:r w:rsidR="006B1C90" w:rsidRPr="00260C1D">
        <w:rPr>
          <w:rFonts w:eastAsia="Segoe UI" w:cstheme="minorHAnsi"/>
          <w:color w:val="011A3C"/>
          <w:sz w:val="24"/>
          <w:szCs w:val="24"/>
          <w:lang w:val="en" w:eastAsia="en-AU"/>
        </w:rPr>
        <w:t>-</w:t>
      </w:r>
      <w:r w:rsidR="006B1C90">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CASES21 Finance General Ledger 70001</w:t>
      </w:r>
    </w:p>
    <w:p w14:paraId="607052B5"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below example would relate to a school that is receiving a payment against the SRP relating to a Credit to Cash Transfer against previous year surplus.</w:t>
      </w:r>
    </w:p>
    <w:p w14:paraId="5021CC82" w14:textId="37DA89BE" w:rsidR="0096466B" w:rsidRPr="00260C1D" w:rsidRDefault="0096466B" w:rsidP="00F56244">
      <w:pPr>
        <w:numPr>
          <w:ilvl w:val="0"/>
          <w:numId w:val="24"/>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 xml:space="preserve">STUDENT RESOURCE PACKAGE (SRP) - BATCH 000999 </w:t>
      </w:r>
      <w:r w:rsidR="006B1C90"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OFFLINE PAYMENT </w:t>
      </w:r>
      <w:r w:rsidR="006B1C90"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Credit to Cash Transfer </w:t>
      </w:r>
      <w:r w:rsidR="006B1C90"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Previous Year - Not Subject to GST (Code NS6) </w:t>
      </w:r>
      <w:r w:rsidR="006B1C90"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CASES21 Finance General Ledger 70001: Sub Program 9611</w:t>
      </w:r>
    </w:p>
    <w:p w14:paraId="3BAF8080"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Cash payment statement</w:t>
      </w:r>
    </w:p>
    <w:p w14:paraId="56E19035" w14:textId="55E30B20"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 ‘cash payment statement’ is produced for every payment made via the SRP Payment System. It is available to schools on the reports page of the </w:t>
      </w:r>
      <w:hyperlink r:id="rId306" w:history="1">
        <w:r w:rsidR="00C2087D" w:rsidRPr="00F72242">
          <w:rPr>
            <w:rFonts w:eastAsia="Segoe UI" w:cstheme="minorHAnsi"/>
            <w:color w:val="0563C1"/>
            <w:sz w:val="24"/>
            <w:szCs w:val="24"/>
            <w:u w:val="single"/>
            <w:lang w:val="en" w:eastAsia="en-AU"/>
          </w:rPr>
          <w:t>SRP Portal</w:t>
        </w:r>
      </w:hyperlink>
      <w:r w:rsidRPr="00260C1D">
        <w:rPr>
          <w:rFonts w:eastAsia="Segoe UI" w:cstheme="minorHAnsi"/>
          <w:color w:val="011A3C"/>
          <w:sz w:val="24"/>
          <w:szCs w:val="24"/>
          <w:lang w:val="en" w:eastAsia="en-AU"/>
        </w:rPr>
        <w:t>. This report provides a detailed breakdown of every payment, including the budget lines from which the payment was made, and any deductions held against the payment.</w:t>
      </w:r>
    </w:p>
    <w:p w14:paraId="266615B3" w14:textId="77777777"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End of year cash balance</w:t>
      </w:r>
    </w:p>
    <w:p w14:paraId="0EF068ED" w14:textId="4805BC33" w:rsidR="006E3D8D" w:rsidRPr="00260C1D" w:rsidRDefault="0096466B" w:rsidP="006D6E02">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Due to budget changes or other adjustments that occur after the Term 4 QCG, there will often be an outstanding cash balance for a school at the end of the calendar year. A positive cash balance will be paid through the following year’s QCG. A negative cash balance will be deducted from the following year’s QCG.</w:t>
      </w:r>
    </w:p>
    <w:p w14:paraId="091AC298"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CASES21 Finance</w:t>
      </w:r>
    </w:p>
    <w:p w14:paraId="605A82B9" w14:textId="1C82CFEB" w:rsidR="0096466B" w:rsidRPr="00260C1D" w:rsidRDefault="0096466B" w:rsidP="00A9180D">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All cash payments must be recorded appropriately in CASES21 Finance using the general ledger and sub-program codes provided in the EFT remittance advice descriptions.</w:t>
      </w:r>
    </w:p>
    <w:p w14:paraId="0B55D8F7" w14:textId="77777777" w:rsidR="0096466B" w:rsidRPr="00260C1D" w:rsidRDefault="0096466B" w:rsidP="0096466B">
      <w:pPr>
        <w:rPr>
          <w:rFonts w:cstheme="minorHAnsi"/>
        </w:rPr>
      </w:pPr>
      <w:r w:rsidRPr="00260C1D">
        <w:rPr>
          <w:rFonts w:cstheme="minorHAnsi"/>
        </w:rPr>
        <w:br w:type="page"/>
      </w:r>
    </w:p>
    <w:p w14:paraId="77712277" w14:textId="03C92B0D" w:rsidR="0096466B" w:rsidRPr="00260C1D" w:rsidRDefault="0096466B" w:rsidP="00532A33">
      <w:pPr>
        <w:pStyle w:val="Heading2"/>
      </w:pPr>
      <w:bookmarkStart w:id="347" w:name="_Toc141965316"/>
      <w:bookmarkStart w:id="348" w:name="_Toc145339644"/>
      <w:bookmarkStart w:id="349" w:name="_Toc153791968"/>
      <w:r w:rsidRPr="00260C1D">
        <w:lastRenderedPageBreak/>
        <w:t>Deficit management and workforce bridging</w:t>
      </w:r>
      <w:bookmarkEnd w:id="347"/>
      <w:bookmarkEnd w:id="348"/>
      <w:bookmarkEnd w:id="349"/>
    </w:p>
    <w:p w14:paraId="4A442BE9"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Background</w:t>
      </w:r>
    </w:p>
    <w:p w14:paraId="34556D13"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Devolved budgets and workforce management responsibility have operated in Victorian schools since 1996. All schools are expected to have planning strategies in place to manage their workforce requirements within available funds. </w:t>
      </w:r>
    </w:p>
    <w:p w14:paraId="4C464D2A"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SRP allocates the available state government funding to all schools in a transparent and equitable manner based on student needs. The imperative for all principals is to manage their school within available resources. Deficit management and workforce planning support may be available to schools in circumstances where the school is not able to meet commitments within their allocated budget. Support is provided in these circumstances through a combination of:</w:t>
      </w:r>
    </w:p>
    <w:p w14:paraId="400B273D" w14:textId="77777777" w:rsidR="0096466B" w:rsidRPr="00260C1D" w:rsidRDefault="0096466B" w:rsidP="00F56244">
      <w:pPr>
        <w:numPr>
          <w:ilvl w:val="0"/>
          <w:numId w:val="25"/>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Management support via workforce planning through </w:t>
      </w:r>
    </w:p>
    <w:p w14:paraId="06ED26FB" w14:textId="77777777" w:rsidR="0096466B" w:rsidRPr="00260C1D" w:rsidRDefault="0096466B" w:rsidP="00F56244">
      <w:pPr>
        <w:numPr>
          <w:ilvl w:val="1"/>
          <w:numId w:val="25"/>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Strategic Financial Management Advisors</w:t>
      </w:r>
    </w:p>
    <w:p w14:paraId="52E192D3" w14:textId="6E50FE28" w:rsidR="0096466B" w:rsidRPr="00260C1D" w:rsidRDefault="0096466B" w:rsidP="00F56244">
      <w:pPr>
        <w:numPr>
          <w:ilvl w:val="1"/>
          <w:numId w:val="25"/>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Finance Liaison Officers</w:t>
      </w:r>
    </w:p>
    <w:p w14:paraId="32CA9320" w14:textId="2EA14975" w:rsidR="0096466B" w:rsidRPr="00260C1D" w:rsidRDefault="0096466B" w:rsidP="00F56244">
      <w:pPr>
        <w:numPr>
          <w:ilvl w:val="0"/>
          <w:numId w:val="25"/>
        </w:num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Financial support via </w:t>
      </w:r>
      <w:r w:rsidR="00F343E8" w:rsidRPr="00260C1D">
        <w:rPr>
          <w:rFonts w:eastAsia="Segoe UI" w:cstheme="minorHAnsi"/>
          <w:color w:val="011A3C"/>
          <w:sz w:val="24"/>
          <w:szCs w:val="24"/>
          <w:lang w:val="en" w:eastAsia="en-AU"/>
        </w:rPr>
        <w:t>w</w:t>
      </w:r>
      <w:r w:rsidRPr="00260C1D">
        <w:rPr>
          <w:rFonts w:eastAsia="Segoe UI" w:cstheme="minorHAnsi"/>
          <w:color w:val="011A3C"/>
          <w:sz w:val="24"/>
          <w:szCs w:val="24"/>
          <w:lang w:val="en" w:eastAsia="en-AU"/>
        </w:rPr>
        <w:t xml:space="preserve">orkforce </w:t>
      </w:r>
      <w:r w:rsidR="00F343E8" w:rsidRPr="00260C1D">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ridging — if the shortfall is not linked to local management decisions</w:t>
      </w:r>
    </w:p>
    <w:p w14:paraId="207B10BD" w14:textId="7777777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This will assist schools to make the transition from a deficit to a ‘within budget’ situation.</w:t>
      </w:r>
    </w:p>
    <w:p w14:paraId="2C3DDB88"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Underlying principles</w:t>
      </w:r>
    </w:p>
    <w:p w14:paraId="5C1BC513" w14:textId="51E120FB"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SRP is allocated to all schools based on </w:t>
      </w:r>
      <w:r w:rsidR="00294529">
        <w:rPr>
          <w:rFonts w:eastAsia="Segoe UI" w:cstheme="minorHAnsi"/>
          <w:color w:val="011A3C"/>
          <w:sz w:val="24"/>
          <w:szCs w:val="24"/>
          <w:lang w:val="en" w:eastAsia="en-AU"/>
        </w:rPr>
        <w:t xml:space="preserve">the </w:t>
      </w:r>
      <w:r w:rsidRPr="00260C1D">
        <w:rPr>
          <w:rFonts w:eastAsia="Segoe UI" w:cstheme="minorHAnsi"/>
          <w:color w:val="011A3C"/>
          <w:sz w:val="24"/>
          <w:szCs w:val="24"/>
          <w:lang w:val="en" w:eastAsia="en-AU"/>
        </w:rPr>
        <w:t xml:space="preserve">principles of equity, consistency and transparency. The SRP is adjusted periodically to reflect salary and other cost movements, consistent with the </w:t>
      </w:r>
      <w:r w:rsidR="00294529">
        <w:rPr>
          <w:rFonts w:eastAsia="Segoe UI" w:cstheme="minorHAnsi"/>
          <w:color w:val="011A3C"/>
          <w:sz w:val="24"/>
          <w:szCs w:val="24"/>
          <w:lang w:val="en" w:eastAsia="en-AU"/>
        </w:rPr>
        <w:t>S</w:t>
      </w:r>
      <w:r w:rsidRPr="00260C1D">
        <w:rPr>
          <w:rFonts w:eastAsia="Segoe UI" w:cstheme="minorHAnsi"/>
          <w:color w:val="011A3C"/>
          <w:sz w:val="24"/>
          <w:szCs w:val="24"/>
          <w:lang w:val="en" w:eastAsia="en-AU"/>
        </w:rPr>
        <w:t xml:space="preserve">tate </w:t>
      </w:r>
      <w:r w:rsidR="00294529">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udget and the prevailing Victorian Government Schools Agreement.</w:t>
      </w:r>
    </w:p>
    <w:p w14:paraId="30644D7C" w14:textId="44BB1873"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Schools operate in a devolved environment, where workforce planning and SRP management is the responsibility of the principal and school council. Principals are therefore expected to have a sustainable workforce management plan for their school that is capable of being funded within the SRP. Schools participating in re</w:t>
      </w:r>
      <w:r w:rsidR="00294529">
        <w:rPr>
          <w:rFonts w:eastAsia="Segoe UI" w:cstheme="minorHAnsi"/>
          <w:color w:val="011A3C"/>
          <w:sz w:val="24"/>
          <w:szCs w:val="24"/>
          <w:lang w:val="en" w:eastAsia="en-AU"/>
        </w:rPr>
        <w:t>-</w:t>
      </w:r>
      <w:proofErr w:type="spellStart"/>
      <w:r w:rsidRPr="00260C1D">
        <w:rPr>
          <w:rFonts w:eastAsia="Segoe UI" w:cstheme="minorHAnsi"/>
          <w:color w:val="011A3C"/>
          <w:sz w:val="24"/>
          <w:szCs w:val="24"/>
          <w:lang w:val="en" w:eastAsia="en-AU"/>
        </w:rPr>
        <w:t>organisations</w:t>
      </w:r>
      <w:proofErr w:type="spellEnd"/>
      <w:r w:rsidRPr="00260C1D">
        <w:rPr>
          <w:rFonts w:eastAsia="Segoe UI" w:cstheme="minorHAnsi"/>
          <w:color w:val="011A3C"/>
          <w:sz w:val="24"/>
          <w:szCs w:val="24"/>
          <w:lang w:val="en" w:eastAsia="en-AU"/>
        </w:rPr>
        <w:t xml:space="preserve"> are also expected to undertake workforce planning within their overall budget allocation while giving due consideration to clauses contained in the </w:t>
      </w:r>
      <w:hyperlink r:id="rId307" w:history="1">
        <w:r w:rsidRPr="00614B09">
          <w:rPr>
            <w:rFonts w:eastAsia="Segoe UI" w:cstheme="minorHAnsi"/>
            <w:color w:val="0563C1"/>
            <w:sz w:val="24"/>
            <w:szCs w:val="24"/>
            <w:u w:val="single"/>
            <w:lang w:val="en" w:eastAsia="en-AU"/>
          </w:rPr>
          <w:t>Human Resources School Merger or Closure — Staffing Guide</w:t>
        </w:r>
      </w:hyperlink>
      <w:r w:rsidR="001C21CA">
        <w:rPr>
          <w:rFonts w:eastAsia="Segoe UI" w:cstheme="minorHAnsi"/>
          <w:color w:val="011A3C"/>
          <w:sz w:val="24"/>
          <w:szCs w:val="24"/>
          <w:lang w:val="en" w:eastAsia="en-AU"/>
        </w:rPr>
        <w:t>.</w:t>
      </w:r>
    </w:p>
    <w:p w14:paraId="12FD50E3" w14:textId="72D8873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School workforce plans must include contingency planning to deal with changing circumstances. This includes accommodating potential budget changes linked to such factors as enrolment </w:t>
      </w:r>
      <w:r w:rsidR="00151158" w:rsidRPr="00260C1D">
        <w:rPr>
          <w:rFonts w:eastAsia="Segoe UI" w:cstheme="minorHAnsi"/>
          <w:color w:val="011A3C"/>
          <w:sz w:val="24"/>
          <w:szCs w:val="24"/>
          <w:lang w:val="en" w:eastAsia="en-AU"/>
        </w:rPr>
        <w:t>variations and</w:t>
      </w:r>
      <w:r w:rsidRPr="00260C1D">
        <w:rPr>
          <w:rFonts w:eastAsia="Segoe UI" w:cstheme="minorHAnsi"/>
          <w:color w:val="011A3C"/>
          <w:sz w:val="24"/>
          <w:szCs w:val="24"/>
          <w:lang w:val="en" w:eastAsia="en-AU"/>
        </w:rPr>
        <w:t xml:space="preserve"> changing workforce commitments</w:t>
      </w:r>
      <w:r w:rsidR="006147E5">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 including staff salary increments and leave returnees.</w:t>
      </w:r>
    </w:p>
    <w:p w14:paraId="1B14C8D8" w14:textId="02E48AC6"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Regional and central office </w:t>
      </w:r>
      <w:r w:rsidR="000A76A8">
        <w:rPr>
          <w:rFonts w:eastAsia="Segoe UI" w:cstheme="minorHAnsi"/>
          <w:color w:val="011A3C"/>
          <w:sz w:val="24"/>
          <w:szCs w:val="24"/>
          <w:lang w:val="en" w:eastAsia="en-AU"/>
        </w:rPr>
        <w:t>departmental</w:t>
      </w:r>
      <w:r w:rsidRPr="00260C1D">
        <w:rPr>
          <w:rFonts w:eastAsia="Segoe UI" w:cstheme="minorHAnsi"/>
          <w:color w:val="011A3C"/>
          <w:sz w:val="24"/>
          <w:szCs w:val="24"/>
          <w:lang w:val="en" w:eastAsia="en-AU"/>
        </w:rPr>
        <w:t xml:space="preserve"> staff are available to assist schools with the workforce planning process through the provision of management advice and support. The SRP Planner (accessible from the </w:t>
      </w:r>
      <w:hyperlink r:id="rId308" w:history="1">
        <w:r w:rsidRPr="00614B09">
          <w:rPr>
            <w:rFonts w:eastAsia="Segoe UI" w:cstheme="minorHAnsi"/>
            <w:color w:val="0563C1"/>
            <w:sz w:val="24"/>
            <w:szCs w:val="24"/>
            <w:u w:val="single"/>
            <w:lang w:val="en" w:eastAsia="en-AU"/>
          </w:rPr>
          <w:t>SRP Portal</w:t>
        </w:r>
      </w:hyperlink>
      <w:r w:rsidRPr="00260C1D">
        <w:rPr>
          <w:rFonts w:eastAsia="Segoe UI" w:cstheme="minorHAnsi"/>
          <w:color w:val="011A3C"/>
          <w:sz w:val="24"/>
          <w:szCs w:val="24"/>
          <w:lang w:val="en" w:eastAsia="en-AU"/>
        </w:rPr>
        <w:t xml:space="preserve">) provides a useful modelling tool for schools for this purpose. If credit deficits arise, whether or </w:t>
      </w:r>
      <w:r w:rsidRPr="00260C1D">
        <w:rPr>
          <w:rFonts w:eastAsia="Segoe UI" w:cstheme="minorHAnsi"/>
          <w:color w:val="011A3C"/>
          <w:sz w:val="24"/>
          <w:szCs w:val="24"/>
          <w:lang w:val="en" w:eastAsia="en-AU"/>
        </w:rPr>
        <w:lastRenderedPageBreak/>
        <w:t xml:space="preserve">not caused by local management decisions, it is incumbent on the school to take action to remove the deficit, within appropriate </w:t>
      </w:r>
      <w:r w:rsidR="000A76A8">
        <w:rPr>
          <w:rFonts w:eastAsia="Segoe UI" w:cstheme="minorHAnsi"/>
          <w:color w:val="011A3C"/>
          <w:sz w:val="24"/>
          <w:szCs w:val="24"/>
          <w:lang w:val="en" w:eastAsia="en-AU"/>
        </w:rPr>
        <w:t>departmental</w:t>
      </w:r>
      <w:r w:rsidRPr="00260C1D">
        <w:rPr>
          <w:rFonts w:eastAsia="Segoe UI" w:cstheme="minorHAnsi"/>
          <w:color w:val="011A3C"/>
          <w:sz w:val="24"/>
          <w:szCs w:val="24"/>
          <w:lang w:val="en" w:eastAsia="en-AU"/>
        </w:rPr>
        <w:t xml:space="preserve"> policy.</w:t>
      </w:r>
    </w:p>
    <w:p w14:paraId="0769B8AD"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Procedures for assistance</w:t>
      </w:r>
    </w:p>
    <w:p w14:paraId="7DDE6CC8" w14:textId="77777777"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Management advice and support</w:t>
      </w:r>
    </w:p>
    <w:p w14:paraId="59002DBD" w14:textId="68D5BC1E"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Since the first imperative is to manage the school</w:t>
      </w:r>
      <w:r w:rsidR="006D21CE">
        <w:rPr>
          <w:rFonts w:eastAsia="Segoe UI" w:cstheme="minorHAnsi"/>
          <w:color w:val="011A3C"/>
          <w:sz w:val="24"/>
          <w:szCs w:val="24"/>
          <w:lang w:val="en" w:eastAsia="en-AU"/>
        </w:rPr>
        <w:t>’</w:t>
      </w:r>
      <w:r w:rsidRPr="00260C1D">
        <w:rPr>
          <w:rFonts w:eastAsia="Segoe UI" w:cstheme="minorHAnsi"/>
          <w:color w:val="011A3C"/>
          <w:sz w:val="24"/>
          <w:szCs w:val="24"/>
          <w:lang w:val="en" w:eastAsia="en-AU"/>
        </w:rPr>
        <w:t xml:space="preserve">s SRP to avoid a deficit, principals should develop a workforce plan that is capable of being funded within the SRP. Should this process identify that the school has a need for possible assistance, the principal should contact the Schools Financial Management Support </w:t>
      </w:r>
      <w:r w:rsidR="00434BA9" w:rsidRPr="00260C1D">
        <w:rPr>
          <w:rFonts w:eastAsia="Segoe UI" w:cstheme="minorHAnsi"/>
          <w:color w:val="011A3C"/>
          <w:sz w:val="24"/>
          <w:szCs w:val="24"/>
          <w:lang w:val="en" w:eastAsia="en-AU"/>
        </w:rPr>
        <w:t xml:space="preserve">Unit </w:t>
      </w:r>
      <w:r w:rsidRPr="00260C1D">
        <w:rPr>
          <w:rFonts w:eastAsia="Segoe UI" w:cstheme="minorHAnsi"/>
          <w:color w:val="011A3C"/>
          <w:sz w:val="24"/>
          <w:szCs w:val="24"/>
          <w:lang w:val="en" w:eastAsia="en-AU"/>
        </w:rPr>
        <w:t>(SFMS</w:t>
      </w:r>
      <w:r w:rsidR="00434BA9" w:rsidRPr="00260C1D">
        <w:rPr>
          <w:rFonts w:eastAsia="Segoe UI" w:cstheme="minorHAnsi"/>
          <w:color w:val="011A3C"/>
          <w:sz w:val="24"/>
          <w:szCs w:val="24"/>
          <w:lang w:val="en" w:eastAsia="en-AU"/>
        </w:rPr>
        <w:t>U</w:t>
      </w:r>
      <w:r w:rsidRPr="00260C1D">
        <w:rPr>
          <w:rFonts w:eastAsia="Segoe UI" w:cstheme="minorHAnsi"/>
          <w:color w:val="011A3C"/>
          <w:sz w:val="24"/>
          <w:szCs w:val="24"/>
          <w:lang w:val="en" w:eastAsia="en-AU"/>
        </w:rPr>
        <w:t>) in central office or their Senior Education Improvement Leader (SEIL). The SEIL may refer to SFMS</w:t>
      </w:r>
      <w:r w:rsidR="006D21CE">
        <w:rPr>
          <w:rFonts w:eastAsia="Segoe UI" w:cstheme="minorHAnsi"/>
          <w:color w:val="011A3C"/>
          <w:sz w:val="24"/>
          <w:szCs w:val="24"/>
          <w:lang w:val="en" w:eastAsia="en-AU"/>
        </w:rPr>
        <w:t>U</w:t>
      </w:r>
      <w:r w:rsidRPr="00260C1D">
        <w:rPr>
          <w:rFonts w:eastAsia="Segoe UI" w:cstheme="minorHAnsi"/>
          <w:color w:val="011A3C"/>
          <w:sz w:val="24"/>
          <w:szCs w:val="24"/>
          <w:lang w:val="en" w:eastAsia="en-AU"/>
        </w:rPr>
        <w:t xml:space="preserve"> for further support.</w:t>
      </w:r>
    </w:p>
    <w:p w14:paraId="76E799E0" w14:textId="58A5C765"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Discussions regarding </w:t>
      </w:r>
      <w:r w:rsidR="00F343E8" w:rsidRPr="00260C1D">
        <w:rPr>
          <w:rFonts w:eastAsia="Segoe UI" w:cstheme="minorHAnsi"/>
          <w:color w:val="011A3C"/>
          <w:sz w:val="24"/>
          <w:szCs w:val="24"/>
          <w:lang w:val="en" w:eastAsia="en-AU"/>
        </w:rPr>
        <w:t>w</w:t>
      </w:r>
      <w:r w:rsidRPr="00260C1D">
        <w:rPr>
          <w:rFonts w:eastAsia="Segoe UI" w:cstheme="minorHAnsi"/>
          <w:color w:val="011A3C"/>
          <w:sz w:val="24"/>
          <w:szCs w:val="24"/>
          <w:lang w:val="en" w:eastAsia="en-AU"/>
        </w:rPr>
        <w:t xml:space="preserve">orkforce </w:t>
      </w:r>
      <w:r w:rsidR="00F343E8" w:rsidRPr="00260C1D">
        <w:rPr>
          <w:rFonts w:eastAsia="Segoe UI" w:cstheme="minorHAnsi"/>
          <w:color w:val="011A3C"/>
          <w:sz w:val="24"/>
          <w:szCs w:val="24"/>
          <w:lang w:val="en" w:eastAsia="en-AU"/>
        </w:rPr>
        <w:t>b</w:t>
      </w:r>
      <w:r w:rsidR="00151158" w:rsidRPr="00260C1D">
        <w:rPr>
          <w:rFonts w:eastAsia="Segoe UI" w:cstheme="minorHAnsi"/>
          <w:color w:val="011A3C"/>
          <w:sz w:val="24"/>
          <w:szCs w:val="24"/>
          <w:lang w:val="en" w:eastAsia="en-AU"/>
        </w:rPr>
        <w:t>ridging will</w:t>
      </w:r>
      <w:r w:rsidRPr="00260C1D">
        <w:rPr>
          <w:rFonts w:eastAsia="Segoe UI" w:cstheme="minorHAnsi"/>
          <w:color w:val="011A3C"/>
          <w:sz w:val="24"/>
          <w:szCs w:val="24"/>
          <w:lang w:val="en" w:eastAsia="en-AU"/>
        </w:rPr>
        <w:t xml:space="preserve"> encompass the overall financial position of the school, including salary mischarges, credit</w:t>
      </w:r>
      <w:r w:rsidR="006D4FE2">
        <w:rPr>
          <w:rFonts w:eastAsia="Segoe UI" w:cstheme="minorHAnsi"/>
          <w:color w:val="011A3C"/>
          <w:sz w:val="24"/>
          <w:szCs w:val="24"/>
          <w:lang w:val="en" w:eastAsia="en-AU"/>
        </w:rPr>
        <w:t>/</w:t>
      </w:r>
      <w:r w:rsidRPr="00260C1D">
        <w:rPr>
          <w:rFonts w:eastAsia="Segoe UI" w:cstheme="minorHAnsi"/>
          <w:color w:val="011A3C"/>
          <w:sz w:val="24"/>
          <w:szCs w:val="24"/>
          <w:lang w:val="en" w:eastAsia="en-AU"/>
        </w:rPr>
        <w:t>cash transfers and accumulated surpluses. This analysis will involve assessment of the school’s capacity to manage within its budget.</w:t>
      </w:r>
    </w:p>
    <w:p w14:paraId="2E072DFF" w14:textId="77777777"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Support</w:t>
      </w:r>
    </w:p>
    <w:p w14:paraId="647C60C8" w14:textId="1647412B"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If potential </w:t>
      </w:r>
      <w:r w:rsidR="00F343E8" w:rsidRPr="00260C1D">
        <w:rPr>
          <w:rFonts w:eastAsia="Segoe UI" w:cstheme="minorHAnsi"/>
          <w:color w:val="011A3C"/>
          <w:sz w:val="24"/>
          <w:szCs w:val="24"/>
          <w:lang w:val="en" w:eastAsia="en-AU"/>
        </w:rPr>
        <w:t>w</w:t>
      </w:r>
      <w:r w:rsidRPr="00260C1D">
        <w:rPr>
          <w:rFonts w:eastAsia="Segoe UI" w:cstheme="minorHAnsi"/>
          <w:color w:val="011A3C"/>
          <w:sz w:val="24"/>
          <w:szCs w:val="24"/>
          <w:lang w:val="en" w:eastAsia="en-AU"/>
        </w:rPr>
        <w:t xml:space="preserve">orkforce </w:t>
      </w:r>
      <w:r w:rsidR="00F343E8" w:rsidRPr="00260C1D">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ridging support is identified, SFMS</w:t>
      </w:r>
      <w:r w:rsidR="00434BA9" w:rsidRPr="00260C1D">
        <w:rPr>
          <w:rFonts w:eastAsia="Segoe UI" w:cstheme="minorHAnsi"/>
          <w:color w:val="011A3C"/>
          <w:sz w:val="24"/>
          <w:szCs w:val="24"/>
          <w:lang w:val="en" w:eastAsia="en-AU"/>
        </w:rPr>
        <w:t>U</w:t>
      </w:r>
      <w:r w:rsidRPr="00260C1D">
        <w:rPr>
          <w:rFonts w:eastAsia="Segoe UI" w:cstheme="minorHAnsi"/>
          <w:color w:val="011A3C"/>
          <w:sz w:val="24"/>
          <w:szCs w:val="24"/>
          <w:lang w:val="en" w:eastAsia="en-AU"/>
        </w:rPr>
        <w:t xml:space="preserve"> will assign a </w:t>
      </w:r>
      <w:r w:rsidR="00F343E8" w:rsidRPr="00260C1D">
        <w:rPr>
          <w:rFonts w:eastAsia="Segoe UI" w:cstheme="minorHAnsi"/>
          <w:color w:val="011A3C"/>
          <w:sz w:val="24"/>
          <w:szCs w:val="24"/>
          <w:lang w:val="en" w:eastAsia="en-AU"/>
        </w:rPr>
        <w:t xml:space="preserve">support officer </w:t>
      </w:r>
      <w:r w:rsidRPr="00260C1D">
        <w:rPr>
          <w:rFonts w:eastAsia="Segoe UI" w:cstheme="minorHAnsi"/>
          <w:color w:val="011A3C"/>
          <w:sz w:val="24"/>
          <w:szCs w:val="24"/>
          <w:lang w:val="en" w:eastAsia="en-AU"/>
        </w:rPr>
        <w:t xml:space="preserve">to work with the school and prepare a report for the Workforce Bridging Panel. The </w:t>
      </w:r>
      <w:r w:rsidR="00F343E8" w:rsidRPr="00260C1D">
        <w:rPr>
          <w:rFonts w:eastAsia="Segoe UI" w:cstheme="minorHAnsi"/>
          <w:color w:val="011A3C"/>
          <w:sz w:val="24"/>
          <w:szCs w:val="24"/>
          <w:lang w:val="en" w:eastAsia="en-AU"/>
        </w:rPr>
        <w:t xml:space="preserve">support officer </w:t>
      </w:r>
      <w:r w:rsidRPr="00260C1D">
        <w:rPr>
          <w:rFonts w:eastAsia="Segoe UI" w:cstheme="minorHAnsi"/>
          <w:color w:val="011A3C"/>
          <w:sz w:val="24"/>
          <w:szCs w:val="24"/>
          <w:lang w:val="en" w:eastAsia="en-AU"/>
        </w:rPr>
        <w:t xml:space="preserve">and school principal will develop a </w:t>
      </w:r>
      <w:r w:rsidR="00F343E8" w:rsidRPr="00260C1D">
        <w:rPr>
          <w:rFonts w:eastAsia="Segoe UI" w:cstheme="minorHAnsi"/>
          <w:color w:val="011A3C"/>
          <w:sz w:val="24"/>
          <w:szCs w:val="24"/>
          <w:lang w:val="en" w:eastAsia="en-AU"/>
        </w:rPr>
        <w:t>w</w:t>
      </w:r>
      <w:r w:rsidRPr="00260C1D">
        <w:rPr>
          <w:rFonts w:eastAsia="Segoe UI" w:cstheme="minorHAnsi"/>
          <w:color w:val="011A3C"/>
          <w:sz w:val="24"/>
          <w:szCs w:val="24"/>
          <w:lang w:val="en" w:eastAsia="en-AU"/>
        </w:rPr>
        <w:t xml:space="preserve">orkforce </w:t>
      </w:r>
      <w:r w:rsidR="00F343E8" w:rsidRPr="00260C1D">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 xml:space="preserve">ridging report based on the school’s </w:t>
      </w:r>
      <w:r w:rsidR="00F343E8" w:rsidRPr="00260C1D">
        <w:rPr>
          <w:rFonts w:eastAsia="Segoe UI" w:cstheme="minorHAnsi"/>
          <w:color w:val="011A3C"/>
          <w:sz w:val="24"/>
          <w:szCs w:val="24"/>
          <w:lang w:val="en" w:eastAsia="en-AU"/>
        </w:rPr>
        <w:t>w</w:t>
      </w:r>
      <w:r w:rsidRPr="00260C1D">
        <w:rPr>
          <w:rFonts w:eastAsia="Segoe UI" w:cstheme="minorHAnsi"/>
          <w:color w:val="011A3C"/>
          <w:sz w:val="24"/>
          <w:szCs w:val="24"/>
          <w:lang w:val="en" w:eastAsia="en-AU"/>
        </w:rPr>
        <w:t xml:space="preserve">orkforce </w:t>
      </w:r>
      <w:r w:rsidR="00F343E8" w:rsidRPr="00260C1D">
        <w:rPr>
          <w:rFonts w:eastAsia="Segoe UI" w:cstheme="minorHAnsi"/>
          <w:color w:val="011A3C"/>
          <w:sz w:val="24"/>
          <w:szCs w:val="24"/>
          <w:lang w:val="en" w:eastAsia="en-AU"/>
        </w:rPr>
        <w:t>p</w:t>
      </w:r>
      <w:r w:rsidRPr="00260C1D">
        <w:rPr>
          <w:rFonts w:eastAsia="Segoe UI" w:cstheme="minorHAnsi"/>
          <w:color w:val="011A3C"/>
          <w:sz w:val="24"/>
          <w:szCs w:val="24"/>
          <w:lang w:val="en" w:eastAsia="en-AU"/>
        </w:rPr>
        <w:t xml:space="preserve">lan that will include strategies to return the school to a sustainable budget position. Factors considered in determining whether </w:t>
      </w:r>
      <w:r w:rsidR="00F343E8" w:rsidRPr="00260C1D">
        <w:rPr>
          <w:rFonts w:eastAsia="Segoe UI" w:cstheme="minorHAnsi"/>
          <w:color w:val="011A3C"/>
          <w:sz w:val="24"/>
          <w:szCs w:val="24"/>
          <w:lang w:val="en" w:eastAsia="en-AU"/>
        </w:rPr>
        <w:t>w</w:t>
      </w:r>
      <w:r w:rsidRPr="00260C1D">
        <w:rPr>
          <w:rFonts w:eastAsia="Segoe UI" w:cstheme="minorHAnsi"/>
          <w:color w:val="011A3C"/>
          <w:sz w:val="24"/>
          <w:szCs w:val="24"/>
          <w:lang w:val="en" w:eastAsia="en-AU"/>
        </w:rPr>
        <w:t xml:space="preserve">orkforce </w:t>
      </w:r>
      <w:r w:rsidR="00F343E8" w:rsidRPr="00260C1D">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ridging financial assistance is provided include:</w:t>
      </w:r>
    </w:p>
    <w:p w14:paraId="1299CDFF" w14:textId="6ADF62CD" w:rsidR="0096466B" w:rsidRPr="00260C1D" w:rsidRDefault="006D4FE2" w:rsidP="00F56244">
      <w:pPr>
        <w:numPr>
          <w:ilvl w:val="0"/>
          <w:numId w:val="26"/>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w:t>
      </w:r>
      <w:r w:rsidR="0096466B" w:rsidRPr="00260C1D">
        <w:rPr>
          <w:rFonts w:eastAsia="Segoe UI" w:cstheme="minorHAnsi"/>
          <w:color w:val="011A3C"/>
          <w:sz w:val="24"/>
          <w:szCs w:val="24"/>
          <w:lang w:val="en" w:eastAsia="en-AU"/>
        </w:rPr>
        <w:t>he budget shortfall is not the result of local management decisions</w:t>
      </w:r>
    </w:p>
    <w:p w14:paraId="31807459" w14:textId="16DE4F02" w:rsidR="0096466B" w:rsidRPr="00260C1D" w:rsidRDefault="006D4FE2" w:rsidP="00F56244">
      <w:pPr>
        <w:numPr>
          <w:ilvl w:val="0"/>
          <w:numId w:val="26"/>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w:t>
      </w:r>
      <w:r w:rsidR="0096466B" w:rsidRPr="00260C1D">
        <w:rPr>
          <w:rFonts w:eastAsia="Segoe UI" w:cstheme="minorHAnsi"/>
          <w:color w:val="011A3C"/>
          <w:sz w:val="24"/>
          <w:szCs w:val="24"/>
          <w:lang w:val="en" w:eastAsia="en-AU"/>
        </w:rPr>
        <w:t>he school has a viable deficit management strategy</w:t>
      </w:r>
    </w:p>
    <w:p w14:paraId="27FC4377" w14:textId="6989AF01" w:rsidR="0096466B" w:rsidRPr="00260C1D" w:rsidRDefault="006D4FE2" w:rsidP="00F56244">
      <w:pPr>
        <w:numPr>
          <w:ilvl w:val="0"/>
          <w:numId w:val="26"/>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w:t>
      </w:r>
      <w:r w:rsidR="0096466B" w:rsidRPr="00260C1D">
        <w:rPr>
          <w:rFonts w:eastAsia="Segoe UI" w:cstheme="minorHAnsi"/>
          <w:color w:val="011A3C"/>
          <w:sz w:val="24"/>
          <w:szCs w:val="24"/>
          <w:lang w:val="en" w:eastAsia="en-AU"/>
        </w:rPr>
        <w:t>he school undertakes to consult with the SFMS</w:t>
      </w:r>
      <w:r w:rsidR="00434BA9" w:rsidRPr="00260C1D">
        <w:rPr>
          <w:rFonts w:eastAsia="Segoe UI" w:cstheme="minorHAnsi"/>
          <w:color w:val="011A3C"/>
          <w:sz w:val="24"/>
          <w:szCs w:val="24"/>
          <w:lang w:val="en" w:eastAsia="en-AU"/>
        </w:rPr>
        <w:t>U</w:t>
      </w:r>
      <w:r w:rsidR="0096466B" w:rsidRPr="00260C1D">
        <w:rPr>
          <w:rFonts w:eastAsia="Segoe UI" w:cstheme="minorHAnsi"/>
          <w:color w:val="011A3C"/>
          <w:sz w:val="24"/>
          <w:szCs w:val="24"/>
          <w:lang w:val="en" w:eastAsia="en-AU"/>
        </w:rPr>
        <w:t xml:space="preserve"> if it anticipates moving outside of its deficit management strategy</w:t>
      </w:r>
    </w:p>
    <w:p w14:paraId="13B4EA80" w14:textId="469BBA3B"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On completion of discussions, the </w:t>
      </w:r>
      <w:r w:rsidR="00F343E8" w:rsidRPr="00260C1D">
        <w:rPr>
          <w:rFonts w:eastAsia="Segoe UI" w:cstheme="minorHAnsi"/>
          <w:color w:val="011A3C"/>
          <w:sz w:val="24"/>
          <w:szCs w:val="24"/>
          <w:lang w:val="en" w:eastAsia="en-AU"/>
        </w:rPr>
        <w:t xml:space="preserve">support officer </w:t>
      </w:r>
      <w:r w:rsidRPr="00260C1D">
        <w:rPr>
          <w:rFonts w:eastAsia="Segoe UI" w:cstheme="minorHAnsi"/>
          <w:color w:val="011A3C"/>
          <w:sz w:val="24"/>
          <w:szCs w:val="24"/>
          <w:lang w:val="en" w:eastAsia="en-AU"/>
        </w:rPr>
        <w:t>will:</w:t>
      </w:r>
    </w:p>
    <w:p w14:paraId="1E94E1CE" w14:textId="620BAACE" w:rsidR="0096466B" w:rsidRPr="00260C1D" w:rsidRDefault="006D4FE2" w:rsidP="00F56244">
      <w:pPr>
        <w:numPr>
          <w:ilvl w:val="0"/>
          <w:numId w:val="27"/>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P</w:t>
      </w:r>
      <w:r w:rsidR="0096466B" w:rsidRPr="00260C1D">
        <w:rPr>
          <w:rFonts w:eastAsia="Segoe UI" w:cstheme="minorHAnsi"/>
          <w:color w:val="011A3C"/>
          <w:sz w:val="24"/>
          <w:szCs w:val="24"/>
          <w:lang w:val="en" w:eastAsia="en-AU"/>
        </w:rPr>
        <w:t xml:space="preserve">rovide the principal with a copy of the </w:t>
      </w:r>
      <w:r w:rsidR="00F343E8" w:rsidRPr="00260C1D">
        <w:rPr>
          <w:rFonts w:eastAsia="Segoe UI" w:cstheme="minorHAnsi"/>
          <w:color w:val="011A3C"/>
          <w:sz w:val="24"/>
          <w:szCs w:val="24"/>
          <w:lang w:val="en" w:eastAsia="en-AU"/>
        </w:rPr>
        <w:t>w</w:t>
      </w:r>
      <w:r w:rsidR="0096466B" w:rsidRPr="00260C1D">
        <w:rPr>
          <w:rFonts w:eastAsia="Segoe UI" w:cstheme="minorHAnsi"/>
          <w:color w:val="011A3C"/>
          <w:sz w:val="24"/>
          <w:szCs w:val="24"/>
          <w:lang w:val="en" w:eastAsia="en-AU"/>
        </w:rPr>
        <w:t xml:space="preserve">orkforce </w:t>
      </w:r>
      <w:r w:rsidR="00F343E8" w:rsidRPr="00260C1D">
        <w:rPr>
          <w:rFonts w:eastAsia="Segoe UI" w:cstheme="minorHAnsi"/>
          <w:color w:val="011A3C"/>
          <w:sz w:val="24"/>
          <w:szCs w:val="24"/>
          <w:lang w:val="en" w:eastAsia="en-AU"/>
        </w:rPr>
        <w:t>b</w:t>
      </w:r>
      <w:r w:rsidR="0096466B" w:rsidRPr="00260C1D">
        <w:rPr>
          <w:rFonts w:eastAsia="Segoe UI" w:cstheme="minorHAnsi"/>
          <w:color w:val="011A3C"/>
          <w:sz w:val="24"/>
          <w:szCs w:val="24"/>
          <w:lang w:val="en" w:eastAsia="en-AU"/>
        </w:rPr>
        <w:t xml:space="preserve">ridging </w:t>
      </w:r>
      <w:r w:rsidR="00F343E8" w:rsidRPr="00260C1D">
        <w:rPr>
          <w:rFonts w:eastAsia="Segoe UI" w:cstheme="minorHAnsi"/>
          <w:color w:val="011A3C"/>
          <w:sz w:val="24"/>
          <w:szCs w:val="24"/>
          <w:lang w:val="en" w:eastAsia="en-AU"/>
        </w:rPr>
        <w:t>r</w:t>
      </w:r>
      <w:r w:rsidR="0096466B" w:rsidRPr="00260C1D">
        <w:rPr>
          <w:rFonts w:eastAsia="Segoe UI" w:cstheme="minorHAnsi"/>
          <w:color w:val="011A3C"/>
          <w:sz w:val="24"/>
          <w:szCs w:val="24"/>
          <w:lang w:val="en" w:eastAsia="en-AU"/>
        </w:rPr>
        <w:t>eport</w:t>
      </w:r>
    </w:p>
    <w:p w14:paraId="50A7633E" w14:textId="74A47AD2" w:rsidR="0096466B" w:rsidRPr="00260C1D" w:rsidRDefault="006D4FE2" w:rsidP="00F56244">
      <w:pPr>
        <w:numPr>
          <w:ilvl w:val="0"/>
          <w:numId w:val="27"/>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S</w:t>
      </w:r>
      <w:r w:rsidR="0096466B" w:rsidRPr="00260C1D">
        <w:rPr>
          <w:rFonts w:eastAsia="Segoe UI" w:cstheme="minorHAnsi"/>
          <w:color w:val="011A3C"/>
          <w:sz w:val="24"/>
          <w:szCs w:val="24"/>
          <w:lang w:val="en" w:eastAsia="en-AU"/>
        </w:rPr>
        <w:t xml:space="preserve">ubmit the </w:t>
      </w:r>
      <w:r w:rsidR="00F343E8" w:rsidRPr="00260C1D">
        <w:rPr>
          <w:rFonts w:eastAsia="Segoe UI" w:cstheme="minorHAnsi"/>
          <w:color w:val="011A3C"/>
          <w:sz w:val="24"/>
          <w:szCs w:val="24"/>
          <w:lang w:val="en" w:eastAsia="en-AU"/>
        </w:rPr>
        <w:t>w</w:t>
      </w:r>
      <w:r w:rsidR="0096466B" w:rsidRPr="00260C1D">
        <w:rPr>
          <w:rFonts w:eastAsia="Segoe UI" w:cstheme="minorHAnsi"/>
          <w:color w:val="011A3C"/>
          <w:sz w:val="24"/>
          <w:szCs w:val="24"/>
          <w:lang w:val="en" w:eastAsia="en-AU"/>
        </w:rPr>
        <w:t xml:space="preserve">orkforce </w:t>
      </w:r>
      <w:r w:rsidR="00F343E8" w:rsidRPr="00260C1D">
        <w:rPr>
          <w:rFonts w:eastAsia="Segoe UI" w:cstheme="minorHAnsi"/>
          <w:color w:val="011A3C"/>
          <w:sz w:val="24"/>
          <w:szCs w:val="24"/>
          <w:lang w:val="en" w:eastAsia="en-AU"/>
        </w:rPr>
        <w:t>b</w:t>
      </w:r>
      <w:r w:rsidR="0096466B" w:rsidRPr="00260C1D">
        <w:rPr>
          <w:rFonts w:eastAsia="Segoe UI" w:cstheme="minorHAnsi"/>
          <w:color w:val="011A3C"/>
          <w:sz w:val="24"/>
          <w:szCs w:val="24"/>
          <w:lang w:val="en" w:eastAsia="en-AU"/>
        </w:rPr>
        <w:t xml:space="preserve">ridging </w:t>
      </w:r>
      <w:r w:rsidR="00F343E8" w:rsidRPr="00260C1D">
        <w:rPr>
          <w:rFonts w:eastAsia="Segoe UI" w:cstheme="minorHAnsi"/>
          <w:color w:val="011A3C"/>
          <w:sz w:val="24"/>
          <w:szCs w:val="24"/>
          <w:lang w:val="en" w:eastAsia="en-AU"/>
        </w:rPr>
        <w:t>r</w:t>
      </w:r>
      <w:r w:rsidR="0096466B" w:rsidRPr="00260C1D">
        <w:rPr>
          <w:rFonts w:eastAsia="Segoe UI" w:cstheme="minorHAnsi"/>
          <w:color w:val="011A3C"/>
          <w:sz w:val="24"/>
          <w:szCs w:val="24"/>
          <w:lang w:val="en" w:eastAsia="en-AU"/>
        </w:rPr>
        <w:t>eport to SFMS</w:t>
      </w:r>
      <w:r w:rsidR="00434BA9" w:rsidRPr="00260C1D">
        <w:rPr>
          <w:rFonts w:eastAsia="Segoe UI" w:cstheme="minorHAnsi"/>
          <w:color w:val="011A3C"/>
          <w:sz w:val="24"/>
          <w:szCs w:val="24"/>
          <w:lang w:val="en" w:eastAsia="en-AU"/>
        </w:rPr>
        <w:t>U</w:t>
      </w:r>
      <w:r w:rsidR="0096466B" w:rsidRPr="00260C1D">
        <w:rPr>
          <w:rFonts w:eastAsia="Segoe UI" w:cstheme="minorHAnsi"/>
          <w:color w:val="011A3C"/>
          <w:sz w:val="24"/>
          <w:szCs w:val="24"/>
          <w:lang w:val="en" w:eastAsia="en-AU"/>
        </w:rPr>
        <w:t xml:space="preserve"> who will present the report to the Workforce Bridging Panel for assessment and possible recommendation to the </w:t>
      </w:r>
      <w:r w:rsidR="00434BA9" w:rsidRPr="00260C1D">
        <w:rPr>
          <w:rFonts w:eastAsia="Segoe UI" w:cstheme="minorHAnsi"/>
          <w:color w:val="011A3C"/>
          <w:sz w:val="24"/>
          <w:szCs w:val="24"/>
          <w:lang w:val="en" w:eastAsia="en-AU"/>
        </w:rPr>
        <w:t>Deputy Secretary, Financial Policy and Information Services.</w:t>
      </w:r>
    </w:p>
    <w:p w14:paraId="40971F55" w14:textId="75193B43"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w:t>
      </w:r>
      <w:r w:rsidR="00D8711A">
        <w:rPr>
          <w:rFonts w:eastAsia="Segoe UI" w:cstheme="minorHAnsi"/>
          <w:color w:val="011A3C"/>
          <w:sz w:val="24"/>
          <w:szCs w:val="24"/>
          <w:lang w:val="en" w:eastAsia="en-AU"/>
        </w:rPr>
        <w:t xml:space="preserve">Workforce Bridging </w:t>
      </w:r>
      <w:r w:rsidRPr="00260C1D">
        <w:rPr>
          <w:rFonts w:eastAsia="Segoe UI" w:cstheme="minorHAnsi"/>
          <w:color w:val="011A3C"/>
          <w:sz w:val="24"/>
          <w:szCs w:val="24"/>
          <w:lang w:val="en" w:eastAsia="en-AU"/>
        </w:rPr>
        <w:t>Panel will meet as required and consists of:</w:t>
      </w:r>
    </w:p>
    <w:p w14:paraId="0099E99B" w14:textId="6508D042" w:rsidR="0096466B" w:rsidRPr="00260C1D" w:rsidRDefault="006D4FE2" w:rsidP="00F56244">
      <w:pPr>
        <w:numPr>
          <w:ilvl w:val="0"/>
          <w:numId w:val="28"/>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A</w:t>
      </w:r>
      <w:r w:rsidR="0096466B" w:rsidRPr="00260C1D">
        <w:rPr>
          <w:rFonts w:eastAsia="Segoe UI" w:cstheme="minorHAnsi"/>
          <w:color w:val="011A3C"/>
          <w:sz w:val="24"/>
          <w:szCs w:val="24"/>
          <w:lang w:val="en" w:eastAsia="en-AU"/>
        </w:rPr>
        <w:t xml:space="preserve"> Chairperson — Director, Schools Finance and Resources Branch</w:t>
      </w:r>
    </w:p>
    <w:p w14:paraId="2BA39E1A" w14:textId="1E2A6B7D" w:rsidR="0096466B" w:rsidRPr="00260C1D" w:rsidRDefault="006D4FE2" w:rsidP="00F56244">
      <w:pPr>
        <w:numPr>
          <w:ilvl w:val="0"/>
          <w:numId w:val="28"/>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A</w:t>
      </w:r>
      <w:r w:rsidR="0096466B" w:rsidRPr="00260C1D">
        <w:rPr>
          <w:rFonts w:eastAsia="Segoe UI" w:cstheme="minorHAnsi"/>
          <w:color w:val="011A3C"/>
          <w:sz w:val="24"/>
          <w:szCs w:val="24"/>
          <w:lang w:val="en" w:eastAsia="en-AU"/>
        </w:rPr>
        <w:t xml:space="preserve"> representative of People Division</w:t>
      </w:r>
    </w:p>
    <w:p w14:paraId="3EF5072A" w14:textId="5C6A6962" w:rsidR="0096466B" w:rsidRPr="00260C1D" w:rsidRDefault="006D4FE2" w:rsidP="00F56244">
      <w:pPr>
        <w:numPr>
          <w:ilvl w:val="0"/>
          <w:numId w:val="28"/>
        </w:numPr>
        <w:spacing w:before="100" w:beforeAutospacing="1" w:after="100" w:afterAutospacing="1" w:line="360" w:lineRule="atLeast"/>
        <w:rPr>
          <w:rFonts w:eastAsia="Segoe UI" w:cstheme="minorHAnsi"/>
          <w:color w:val="011A3C"/>
          <w:sz w:val="24"/>
          <w:szCs w:val="24"/>
          <w:lang w:val="en" w:eastAsia="en-AU"/>
        </w:rPr>
      </w:pPr>
      <w:r>
        <w:rPr>
          <w:rFonts w:eastAsia="Segoe UI" w:cstheme="minorHAnsi"/>
          <w:color w:val="011A3C"/>
          <w:sz w:val="24"/>
          <w:szCs w:val="24"/>
          <w:lang w:val="en" w:eastAsia="en-AU"/>
        </w:rPr>
        <w:t>T</w:t>
      </w:r>
      <w:r w:rsidR="0096466B" w:rsidRPr="00260C1D">
        <w:rPr>
          <w:rFonts w:eastAsia="Segoe UI" w:cstheme="minorHAnsi"/>
          <w:color w:val="011A3C"/>
          <w:sz w:val="24"/>
          <w:szCs w:val="24"/>
          <w:lang w:val="en" w:eastAsia="en-AU"/>
        </w:rPr>
        <w:t xml:space="preserve">wo </w:t>
      </w:r>
      <w:r w:rsidR="00151158" w:rsidRPr="00260C1D">
        <w:rPr>
          <w:rFonts w:eastAsia="Segoe UI" w:cstheme="minorHAnsi"/>
          <w:color w:val="011A3C"/>
          <w:sz w:val="24"/>
          <w:szCs w:val="24"/>
          <w:lang w:val="en" w:eastAsia="en-AU"/>
        </w:rPr>
        <w:t>practicing</w:t>
      </w:r>
      <w:r w:rsidR="0096466B" w:rsidRPr="00260C1D">
        <w:rPr>
          <w:rFonts w:eastAsia="Segoe UI" w:cstheme="minorHAnsi"/>
          <w:color w:val="011A3C"/>
          <w:sz w:val="24"/>
          <w:szCs w:val="24"/>
          <w:lang w:val="en" w:eastAsia="en-AU"/>
        </w:rPr>
        <w:t xml:space="preserve"> principals — one secondary and one primary</w:t>
      </w:r>
    </w:p>
    <w:p w14:paraId="369D71D3" w14:textId="7959BFAC" w:rsidR="00434BA9" w:rsidRPr="00260C1D" w:rsidRDefault="006D4FE2" w:rsidP="00F56244">
      <w:pPr>
        <w:pStyle w:val="ListParagraph"/>
        <w:numPr>
          <w:ilvl w:val="0"/>
          <w:numId w:val="28"/>
        </w:numPr>
        <w:rPr>
          <w:rFonts w:eastAsia="Segoe UI" w:cstheme="minorHAnsi"/>
          <w:color w:val="011A3C"/>
          <w:sz w:val="24"/>
          <w:szCs w:val="24"/>
          <w:lang w:val="en" w:eastAsia="en-AU"/>
        </w:rPr>
      </w:pPr>
      <w:r>
        <w:rPr>
          <w:rFonts w:eastAsia="Segoe UI" w:cstheme="minorHAnsi"/>
          <w:color w:val="011A3C"/>
          <w:sz w:val="24"/>
          <w:szCs w:val="24"/>
          <w:lang w:val="en" w:eastAsia="en-AU"/>
        </w:rPr>
        <w:t>A</w:t>
      </w:r>
      <w:r w:rsidR="00434BA9" w:rsidRPr="00260C1D">
        <w:rPr>
          <w:rFonts w:eastAsia="Segoe UI" w:cstheme="minorHAnsi"/>
          <w:color w:val="011A3C"/>
          <w:sz w:val="24"/>
          <w:szCs w:val="24"/>
          <w:lang w:val="en" w:eastAsia="en-AU"/>
        </w:rPr>
        <w:t xml:space="preserve"> practicing Strategic Financial Management Advisor</w:t>
      </w:r>
    </w:p>
    <w:p w14:paraId="5920B2AE" w14:textId="35FA4726"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lastRenderedPageBreak/>
        <w:t xml:space="preserve">A letter confirming the </w:t>
      </w:r>
      <w:r w:rsidR="00D8711A">
        <w:rPr>
          <w:rFonts w:eastAsia="Segoe UI" w:cstheme="minorHAnsi"/>
          <w:color w:val="011A3C"/>
          <w:sz w:val="24"/>
          <w:szCs w:val="24"/>
          <w:lang w:val="en" w:eastAsia="en-AU"/>
        </w:rPr>
        <w:t xml:space="preserve">Workforce Bridging </w:t>
      </w:r>
      <w:r w:rsidRPr="00260C1D">
        <w:rPr>
          <w:rFonts w:eastAsia="Segoe UI" w:cstheme="minorHAnsi"/>
          <w:color w:val="011A3C"/>
          <w:sz w:val="24"/>
          <w:szCs w:val="24"/>
          <w:lang w:val="en" w:eastAsia="en-AU"/>
        </w:rPr>
        <w:t xml:space="preserve">Panel’s decision will be sent to the principal, with copies to the Regional Director and Regional Finance Manager. The principal will be </w:t>
      </w:r>
      <w:r w:rsidR="00434BA9" w:rsidRPr="00260C1D">
        <w:rPr>
          <w:rFonts w:eastAsia="Segoe UI" w:cstheme="minorHAnsi"/>
          <w:color w:val="011A3C"/>
          <w:sz w:val="24"/>
          <w:szCs w:val="24"/>
          <w:lang w:val="en" w:eastAsia="en-AU"/>
        </w:rPr>
        <w:t xml:space="preserve">asked </w:t>
      </w:r>
      <w:r w:rsidRPr="00260C1D">
        <w:rPr>
          <w:rFonts w:eastAsia="Segoe UI" w:cstheme="minorHAnsi"/>
          <w:color w:val="011A3C"/>
          <w:sz w:val="24"/>
          <w:szCs w:val="24"/>
          <w:lang w:val="en" w:eastAsia="en-AU"/>
        </w:rPr>
        <w:t>to inform the school council of the Panel’s decision.</w:t>
      </w:r>
    </w:p>
    <w:p w14:paraId="5673AC41" w14:textId="72565EE2"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level of support determined by the </w:t>
      </w:r>
      <w:r w:rsidR="00D8711A">
        <w:rPr>
          <w:rFonts w:eastAsia="Segoe UI" w:cstheme="minorHAnsi"/>
          <w:color w:val="011A3C"/>
          <w:sz w:val="24"/>
          <w:szCs w:val="24"/>
          <w:lang w:val="en" w:eastAsia="en-AU"/>
        </w:rPr>
        <w:t xml:space="preserve">Workforce Bridging </w:t>
      </w:r>
      <w:r w:rsidRPr="00260C1D">
        <w:rPr>
          <w:rFonts w:eastAsia="Segoe UI" w:cstheme="minorHAnsi"/>
          <w:color w:val="011A3C"/>
          <w:sz w:val="24"/>
          <w:szCs w:val="24"/>
          <w:lang w:val="en" w:eastAsia="en-AU"/>
        </w:rPr>
        <w:t xml:space="preserve">Panel and approved by the </w:t>
      </w:r>
      <w:r w:rsidR="00434BA9" w:rsidRPr="00260C1D">
        <w:rPr>
          <w:rFonts w:eastAsia="Segoe UI" w:cstheme="minorHAnsi"/>
          <w:color w:val="011A3C"/>
          <w:sz w:val="24"/>
          <w:szCs w:val="24"/>
          <w:lang w:val="en" w:eastAsia="en-AU"/>
        </w:rPr>
        <w:t>Deputy Secretary, Financial Policy and Information Services</w:t>
      </w:r>
      <w:r w:rsidR="00434BA9" w:rsidRPr="00260C1D" w:rsidDel="00434BA9">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will be reflected on the School’s Budget Management Report.</w:t>
      </w:r>
    </w:p>
    <w:p w14:paraId="2EA41ACC" w14:textId="738A86F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final amount of any </w:t>
      </w:r>
      <w:r w:rsidR="00F343E8" w:rsidRPr="00260C1D">
        <w:rPr>
          <w:rFonts w:eastAsia="Segoe UI" w:cstheme="minorHAnsi"/>
          <w:color w:val="011A3C"/>
          <w:sz w:val="24"/>
          <w:szCs w:val="24"/>
          <w:lang w:val="en" w:eastAsia="en-AU"/>
        </w:rPr>
        <w:t>w</w:t>
      </w:r>
      <w:r w:rsidRPr="00260C1D">
        <w:rPr>
          <w:rFonts w:eastAsia="Segoe UI" w:cstheme="minorHAnsi"/>
          <w:color w:val="011A3C"/>
          <w:sz w:val="24"/>
          <w:szCs w:val="24"/>
          <w:lang w:val="en" w:eastAsia="en-AU"/>
        </w:rPr>
        <w:t xml:space="preserve">orkforce </w:t>
      </w:r>
      <w:r w:rsidR="00F343E8" w:rsidRPr="00260C1D">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 xml:space="preserve">ridging financial assistance is subject to confirmation at the end of the calendar year as the amount </w:t>
      </w:r>
      <w:r w:rsidR="00A66059">
        <w:rPr>
          <w:rFonts w:eastAsia="Segoe UI" w:cstheme="minorHAnsi"/>
          <w:color w:val="011A3C"/>
          <w:sz w:val="24"/>
          <w:szCs w:val="24"/>
          <w:lang w:val="en" w:eastAsia="en-AU"/>
        </w:rPr>
        <w:t xml:space="preserve">is </w:t>
      </w:r>
      <w:r w:rsidRPr="00260C1D">
        <w:rPr>
          <w:rFonts w:eastAsia="Segoe UI" w:cstheme="minorHAnsi"/>
          <w:color w:val="011A3C"/>
          <w:sz w:val="24"/>
          <w:szCs w:val="24"/>
          <w:lang w:val="en" w:eastAsia="en-AU"/>
        </w:rPr>
        <w:t xml:space="preserve">notionally approved </w:t>
      </w:r>
      <w:r w:rsidR="00434BA9" w:rsidRPr="00260C1D">
        <w:rPr>
          <w:rFonts w:eastAsia="Segoe UI" w:cstheme="minorHAnsi"/>
          <w:color w:val="011A3C"/>
          <w:sz w:val="24"/>
          <w:szCs w:val="24"/>
          <w:lang w:val="en" w:eastAsia="en-AU"/>
        </w:rPr>
        <w:t xml:space="preserve">and </w:t>
      </w:r>
      <w:r w:rsidRPr="00260C1D">
        <w:rPr>
          <w:rFonts w:eastAsia="Segoe UI" w:cstheme="minorHAnsi"/>
          <w:color w:val="011A3C"/>
          <w:sz w:val="24"/>
          <w:szCs w:val="24"/>
          <w:lang w:val="en" w:eastAsia="en-AU"/>
        </w:rPr>
        <w:t>may be reduced subject to reconciliation of the school’s SRP.</w:t>
      </w:r>
    </w:p>
    <w:p w14:paraId="68A4CE23" w14:textId="77777777"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Review</w:t>
      </w:r>
    </w:p>
    <w:p w14:paraId="3E73180A" w14:textId="146FC6D2" w:rsidR="00151158" w:rsidRPr="00260C1D" w:rsidRDefault="0096466B" w:rsidP="00151158">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 process is available for schools </w:t>
      </w:r>
      <w:r w:rsidR="00151158" w:rsidRPr="00260C1D">
        <w:rPr>
          <w:rFonts w:eastAsia="Segoe UI" w:cstheme="minorHAnsi"/>
          <w:color w:val="011A3C"/>
          <w:sz w:val="24"/>
          <w:szCs w:val="24"/>
          <w:lang w:val="en" w:eastAsia="en-AU"/>
        </w:rPr>
        <w:t xml:space="preserve">that </w:t>
      </w:r>
      <w:r w:rsidRPr="00260C1D">
        <w:rPr>
          <w:rFonts w:eastAsia="Segoe UI" w:cstheme="minorHAnsi"/>
          <w:color w:val="011A3C"/>
          <w:sz w:val="24"/>
          <w:szCs w:val="24"/>
          <w:lang w:val="en" w:eastAsia="en-AU"/>
        </w:rPr>
        <w:t xml:space="preserve">wish to have the decision of the </w:t>
      </w:r>
      <w:r w:rsidR="00A66059">
        <w:rPr>
          <w:rFonts w:eastAsia="Segoe UI" w:cstheme="minorHAnsi"/>
          <w:color w:val="011A3C"/>
          <w:sz w:val="24"/>
          <w:szCs w:val="24"/>
          <w:lang w:val="en" w:eastAsia="en-AU"/>
        </w:rPr>
        <w:t xml:space="preserve">Workforce Bridging </w:t>
      </w:r>
      <w:r w:rsidRPr="00260C1D">
        <w:rPr>
          <w:rFonts w:eastAsia="Segoe UI" w:cstheme="minorHAnsi"/>
          <w:color w:val="011A3C"/>
          <w:sz w:val="24"/>
          <w:szCs w:val="24"/>
          <w:lang w:val="en" w:eastAsia="en-AU"/>
        </w:rPr>
        <w:t xml:space="preserve">Panel reviewed. Requests, outlining the grounds for the review, should be lodged </w:t>
      </w:r>
      <w:r w:rsidR="00434BA9" w:rsidRPr="00260C1D">
        <w:rPr>
          <w:rFonts w:eastAsia="Segoe UI" w:cstheme="minorHAnsi"/>
          <w:color w:val="011A3C"/>
          <w:sz w:val="24"/>
          <w:szCs w:val="24"/>
          <w:lang w:val="en" w:eastAsia="en-AU"/>
        </w:rPr>
        <w:t xml:space="preserve">within 14 days of the receipt of the letter confirming the </w:t>
      </w:r>
      <w:r w:rsidR="00A66059">
        <w:rPr>
          <w:rFonts w:eastAsia="Segoe UI" w:cstheme="minorHAnsi"/>
          <w:color w:val="011A3C"/>
          <w:sz w:val="24"/>
          <w:szCs w:val="24"/>
          <w:lang w:val="en" w:eastAsia="en-AU"/>
        </w:rPr>
        <w:t xml:space="preserve">Workforce Bridging </w:t>
      </w:r>
      <w:r w:rsidR="00434BA9" w:rsidRPr="00260C1D">
        <w:rPr>
          <w:rFonts w:eastAsia="Segoe UI" w:cstheme="minorHAnsi"/>
          <w:color w:val="011A3C"/>
          <w:sz w:val="24"/>
          <w:szCs w:val="24"/>
          <w:lang w:val="en" w:eastAsia="en-AU"/>
        </w:rPr>
        <w:t>Panel’s decision by notifying</w:t>
      </w:r>
      <w:r w:rsidRPr="00260C1D">
        <w:rPr>
          <w:rFonts w:eastAsia="Segoe UI" w:cstheme="minorHAnsi"/>
          <w:color w:val="011A3C"/>
          <w:sz w:val="24"/>
          <w:szCs w:val="24"/>
          <w:lang w:val="en" w:eastAsia="en-AU"/>
        </w:rPr>
        <w:t>:</w:t>
      </w:r>
      <w:r w:rsidRPr="00260C1D">
        <w:rPr>
          <w:rFonts w:eastAsia="Segoe UI" w:cstheme="minorHAnsi"/>
          <w:color w:val="011A3C"/>
          <w:sz w:val="24"/>
          <w:szCs w:val="24"/>
          <w:lang w:val="en" w:eastAsia="en-AU"/>
        </w:rPr>
        <w:br/>
      </w:r>
      <w:r w:rsidRPr="00260C1D">
        <w:rPr>
          <w:rFonts w:eastAsia="Segoe UI" w:cstheme="minorHAnsi"/>
          <w:color w:val="011A3C"/>
          <w:sz w:val="24"/>
          <w:szCs w:val="24"/>
          <w:lang w:val="en" w:eastAsia="en-AU"/>
        </w:rPr>
        <w:br/>
        <w:t>Manager</w:t>
      </w:r>
      <w:r w:rsidRPr="00260C1D">
        <w:rPr>
          <w:rFonts w:eastAsia="Segoe UI" w:cstheme="minorHAnsi"/>
          <w:color w:val="011A3C"/>
          <w:sz w:val="24"/>
          <w:szCs w:val="24"/>
          <w:lang w:val="en" w:eastAsia="en-AU"/>
        </w:rPr>
        <w:br/>
        <w:t>Schools Financial Management Support</w:t>
      </w:r>
      <w:r w:rsidR="00434BA9" w:rsidRPr="00260C1D">
        <w:rPr>
          <w:rFonts w:eastAsia="Segoe UI" w:cstheme="minorHAnsi"/>
          <w:color w:val="011A3C"/>
          <w:sz w:val="24"/>
          <w:szCs w:val="24"/>
          <w:lang w:val="en" w:eastAsia="en-AU"/>
        </w:rPr>
        <w:t xml:space="preserve"> Unit</w:t>
      </w:r>
      <w:r w:rsidRPr="00260C1D">
        <w:rPr>
          <w:rFonts w:eastAsia="Segoe UI" w:cstheme="minorHAnsi"/>
          <w:color w:val="011A3C"/>
          <w:sz w:val="24"/>
          <w:szCs w:val="24"/>
          <w:lang w:val="en" w:eastAsia="en-AU"/>
        </w:rPr>
        <w:br/>
      </w:r>
      <w:r w:rsidR="00151158" w:rsidRPr="00260C1D">
        <w:rPr>
          <w:rFonts w:eastAsia="Segoe UI" w:cstheme="minorHAnsi"/>
          <w:color w:val="011A3C"/>
          <w:sz w:val="24"/>
          <w:szCs w:val="24"/>
          <w:lang w:val="en" w:eastAsia="en-AU"/>
        </w:rPr>
        <w:t>Department of Education and Training</w:t>
      </w:r>
    </w:p>
    <w:p w14:paraId="7C9BBF9D" w14:textId="77777777" w:rsidR="00151158" w:rsidRPr="00260C1D" w:rsidRDefault="00151158" w:rsidP="003E6B76">
      <w:pPr>
        <w:pStyle w:val="NoSpacing"/>
        <w:rPr>
          <w:rFonts w:eastAsia="Segoe UI" w:cstheme="minorHAnsi"/>
          <w:color w:val="011A3C"/>
          <w:sz w:val="24"/>
          <w:szCs w:val="24"/>
          <w:lang w:val="en" w:eastAsia="en-AU"/>
        </w:rPr>
      </w:pPr>
      <w:r w:rsidRPr="00260C1D">
        <w:rPr>
          <w:rFonts w:eastAsia="Segoe UI" w:cstheme="minorHAnsi"/>
          <w:color w:val="011A3C"/>
          <w:sz w:val="24"/>
          <w:szCs w:val="24"/>
          <w:lang w:val="en" w:eastAsia="en-AU"/>
        </w:rPr>
        <w:t>Financial Services Division</w:t>
      </w:r>
    </w:p>
    <w:p w14:paraId="6D53E4E1" w14:textId="77777777" w:rsidR="003E6B76" w:rsidRPr="00260C1D" w:rsidRDefault="00151158" w:rsidP="003E6B76">
      <w:pPr>
        <w:pStyle w:val="NoSpacing"/>
        <w:rPr>
          <w:rFonts w:eastAsia="Segoe UI" w:cstheme="minorHAnsi"/>
          <w:color w:val="011A3C"/>
          <w:sz w:val="24"/>
          <w:szCs w:val="24"/>
          <w:lang w:val="en" w:eastAsia="en-AU"/>
        </w:rPr>
      </w:pPr>
      <w:r w:rsidRPr="00260C1D">
        <w:rPr>
          <w:rFonts w:eastAsia="Segoe UI" w:cstheme="minorHAnsi"/>
          <w:color w:val="011A3C"/>
          <w:sz w:val="24"/>
          <w:szCs w:val="24"/>
          <w:lang w:val="en" w:eastAsia="en-AU"/>
        </w:rPr>
        <w:t>GPO Box 4367  </w:t>
      </w:r>
    </w:p>
    <w:p w14:paraId="1585003D" w14:textId="1F9E66D7" w:rsidR="0096466B" w:rsidRPr="00CB178D" w:rsidRDefault="0096466B" w:rsidP="003E6B76">
      <w:pPr>
        <w:pStyle w:val="NoSpacing"/>
        <w:rPr>
          <w:rFonts w:eastAsia="Segoe UI" w:cstheme="minorHAnsi"/>
          <w:color w:val="011A3C"/>
          <w:sz w:val="24"/>
          <w:szCs w:val="24"/>
          <w:lang w:val="en" w:eastAsia="en-AU"/>
        </w:rPr>
      </w:pPr>
      <w:r w:rsidRPr="00260C1D">
        <w:rPr>
          <w:rFonts w:eastAsia="Segoe UI" w:cstheme="minorHAnsi"/>
          <w:color w:val="011A3C"/>
          <w:sz w:val="24"/>
          <w:szCs w:val="24"/>
          <w:lang w:val="en" w:eastAsia="en-AU"/>
        </w:rPr>
        <w:t>Melbourne 300</w:t>
      </w:r>
      <w:r w:rsidR="00151158" w:rsidRPr="00260C1D">
        <w:rPr>
          <w:rFonts w:eastAsia="Segoe UI" w:cstheme="minorHAnsi"/>
          <w:color w:val="011A3C"/>
          <w:sz w:val="24"/>
          <w:szCs w:val="24"/>
          <w:lang w:val="en" w:eastAsia="en-AU"/>
        </w:rPr>
        <w:t>1</w:t>
      </w:r>
      <w:r w:rsidRPr="00260C1D">
        <w:rPr>
          <w:rFonts w:eastAsia="Segoe UI" w:cstheme="minorHAnsi"/>
          <w:color w:val="011A3C"/>
          <w:sz w:val="24"/>
          <w:szCs w:val="24"/>
          <w:lang w:val="en" w:eastAsia="en-AU"/>
        </w:rPr>
        <w:br/>
      </w:r>
      <w:r w:rsidRPr="00260C1D">
        <w:rPr>
          <w:rFonts w:cstheme="minorHAnsi"/>
          <w:lang w:val="en" w:eastAsia="en-AU"/>
        </w:rPr>
        <w:br/>
      </w:r>
      <w:r w:rsidRPr="00CB178D">
        <w:rPr>
          <w:rFonts w:eastAsia="Segoe UI" w:cstheme="minorHAnsi"/>
          <w:color w:val="011A3C"/>
          <w:sz w:val="24"/>
          <w:szCs w:val="24"/>
          <w:lang w:val="en" w:eastAsia="en-AU"/>
        </w:rPr>
        <w:t>If additional information is provided</w:t>
      </w:r>
      <w:r w:rsidR="00A66059">
        <w:rPr>
          <w:rFonts w:eastAsia="Segoe UI" w:cstheme="minorHAnsi"/>
          <w:color w:val="011A3C"/>
          <w:sz w:val="24"/>
          <w:szCs w:val="24"/>
          <w:lang w:val="en" w:eastAsia="en-AU"/>
        </w:rPr>
        <w:t>,</w:t>
      </w:r>
      <w:r w:rsidRPr="00CB178D">
        <w:rPr>
          <w:rFonts w:eastAsia="Segoe UI" w:cstheme="minorHAnsi"/>
          <w:color w:val="011A3C"/>
          <w:sz w:val="24"/>
          <w:szCs w:val="24"/>
          <w:lang w:val="en" w:eastAsia="en-AU"/>
        </w:rPr>
        <w:t xml:space="preserve"> it should be explained why it was not included in the original report.</w:t>
      </w:r>
    </w:p>
    <w:p w14:paraId="2A66F0BD" w14:textId="626CAFBD"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review will, in the first instance, be considered by the</w:t>
      </w:r>
      <w:r w:rsidR="00B4182D">
        <w:rPr>
          <w:rFonts w:eastAsia="Segoe UI" w:cstheme="minorHAnsi"/>
          <w:color w:val="011A3C"/>
          <w:sz w:val="24"/>
          <w:szCs w:val="24"/>
          <w:lang w:val="en" w:eastAsia="en-AU"/>
        </w:rPr>
        <w:t xml:space="preserve"> Workforce Bridging</w:t>
      </w:r>
      <w:r w:rsidRPr="00260C1D">
        <w:rPr>
          <w:rFonts w:eastAsia="Segoe UI" w:cstheme="minorHAnsi"/>
          <w:color w:val="011A3C"/>
          <w:sz w:val="24"/>
          <w:szCs w:val="24"/>
          <w:lang w:val="en" w:eastAsia="en-AU"/>
        </w:rPr>
        <w:t xml:space="preserve"> Panel and may be referred to the Deputy Secretary, Financial Policy and Information </w:t>
      </w:r>
      <w:r w:rsidR="00151158" w:rsidRPr="00260C1D">
        <w:rPr>
          <w:rFonts w:eastAsia="Segoe UI" w:cstheme="minorHAnsi"/>
          <w:color w:val="011A3C"/>
          <w:sz w:val="24"/>
          <w:szCs w:val="24"/>
          <w:lang w:val="en" w:eastAsia="en-AU"/>
        </w:rPr>
        <w:t>Services.</w:t>
      </w:r>
    </w:p>
    <w:p w14:paraId="4A2E4E90" w14:textId="77777777" w:rsidR="0096466B" w:rsidRPr="00260C1D" w:rsidRDefault="0096466B" w:rsidP="0096466B">
      <w:pPr>
        <w:spacing w:before="100" w:beforeAutospacing="1" w:after="100" w:afterAutospacing="1" w:line="288" w:lineRule="atLeast"/>
        <w:outlineLvl w:val="3"/>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Ensuring consistency</w:t>
      </w:r>
    </w:p>
    <w:p w14:paraId="32DCBDB6" w14:textId="3B42EF26" w:rsidR="0096466B" w:rsidRPr="00260C1D" w:rsidRDefault="0096466B" w:rsidP="00A9180D">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SFMS</w:t>
      </w:r>
      <w:r w:rsidR="00F343E8" w:rsidRPr="00260C1D">
        <w:rPr>
          <w:rFonts w:eastAsia="Segoe UI" w:cstheme="minorHAnsi"/>
          <w:color w:val="011A3C"/>
          <w:sz w:val="24"/>
          <w:szCs w:val="24"/>
          <w:lang w:val="en" w:eastAsia="en-AU"/>
        </w:rPr>
        <w:t>U</w:t>
      </w:r>
      <w:r w:rsidRPr="00260C1D">
        <w:rPr>
          <w:rFonts w:eastAsia="Segoe UI" w:cstheme="minorHAnsi"/>
          <w:color w:val="011A3C"/>
          <w:sz w:val="24"/>
          <w:szCs w:val="24"/>
          <w:lang w:val="en" w:eastAsia="en-AU"/>
        </w:rPr>
        <w:t xml:space="preserve"> has overall responsibility for the </w:t>
      </w:r>
      <w:r w:rsidR="00F343E8" w:rsidRPr="00260C1D">
        <w:rPr>
          <w:rFonts w:eastAsia="Segoe UI" w:cstheme="minorHAnsi"/>
          <w:color w:val="011A3C"/>
          <w:sz w:val="24"/>
          <w:szCs w:val="24"/>
          <w:lang w:val="en" w:eastAsia="en-AU"/>
        </w:rPr>
        <w:t>w</w:t>
      </w:r>
      <w:r w:rsidRPr="00260C1D">
        <w:rPr>
          <w:rFonts w:eastAsia="Segoe UI" w:cstheme="minorHAnsi"/>
          <w:color w:val="011A3C"/>
          <w:sz w:val="24"/>
          <w:szCs w:val="24"/>
          <w:lang w:val="en" w:eastAsia="en-AU"/>
        </w:rPr>
        <w:t xml:space="preserve">orkforce </w:t>
      </w:r>
      <w:r w:rsidR="00F343E8" w:rsidRPr="00260C1D">
        <w:rPr>
          <w:rFonts w:eastAsia="Segoe UI" w:cstheme="minorHAnsi"/>
          <w:color w:val="011A3C"/>
          <w:sz w:val="24"/>
          <w:szCs w:val="24"/>
          <w:lang w:val="en" w:eastAsia="en-AU"/>
        </w:rPr>
        <w:t>b</w:t>
      </w:r>
      <w:r w:rsidRPr="00260C1D">
        <w:rPr>
          <w:rFonts w:eastAsia="Segoe UI" w:cstheme="minorHAnsi"/>
          <w:color w:val="011A3C"/>
          <w:sz w:val="24"/>
          <w:szCs w:val="24"/>
          <w:lang w:val="en" w:eastAsia="en-AU"/>
        </w:rPr>
        <w:t xml:space="preserve">ridging process and works with schools, regions, professional </w:t>
      </w:r>
      <w:r w:rsidR="00F343E8" w:rsidRPr="00260C1D">
        <w:rPr>
          <w:rFonts w:eastAsia="Segoe UI" w:cstheme="minorHAnsi"/>
          <w:color w:val="011A3C"/>
          <w:sz w:val="24"/>
          <w:szCs w:val="24"/>
          <w:lang w:val="en" w:eastAsia="en-AU"/>
        </w:rPr>
        <w:t>associations,</w:t>
      </w:r>
      <w:r w:rsidRPr="00260C1D">
        <w:rPr>
          <w:rFonts w:eastAsia="Segoe UI" w:cstheme="minorHAnsi"/>
          <w:color w:val="011A3C"/>
          <w:sz w:val="24"/>
          <w:szCs w:val="24"/>
          <w:lang w:val="en" w:eastAsia="en-AU"/>
        </w:rPr>
        <w:t xml:space="preserve"> and stakeholder reference groups to ensure that the process is supportive of schools, while remaining fair and consistent with the principles of devolved school self-management.</w:t>
      </w:r>
    </w:p>
    <w:p w14:paraId="5966C476" w14:textId="77777777" w:rsidR="0096466B" w:rsidRPr="00260C1D" w:rsidRDefault="0096466B" w:rsidP="0096466B">
      <w:pPr>
        <w:rPr>
          <w:rFonts w:cstheme="minorHAnsi"/>
        </w:rPr>
      </w:pPr>
      <w:r w:rsidRPr="00260C1D">
        <w:rPr>
          <w:rFonts w:cstheme="minorHAnsi"/>
        </w:rPr>
        <w:br w:type="page"/>
      </w:r>
    </w:p>
    <w:p w14:paraId="568BB86F" w14:textId="7A5C27D1" w:rsidR="0096466B" w:rsidRPr="00260C1D" w:rsidRDefault="0096466B" w:rsidP="00532A33">
      <w:pPr>
        <w:pStyle w:val="Heading2"/>
      </w:pPr>
      <w:bookmarkStart w:id="350" w:name="_Toc141965317"/>
      <w:bookmarkStart w:id="351" w:name="_Toc145339645"/>
      <w:bookmarkStart w:id="352" w:name="_Toc153791969"/>
      <w:r w:rsidRPr="00260C1D">
        <w:lastRenderedPageBreak/>
        <w:t>Principal classification budget</w:t>
      </w:r>
      <w:bookmarkEnd w:id="350"/>
      <w:bookmarkEnd w:id="351"/>
      <w:bookmarkEnd w:id="352"/>
    </w:p>
    <w:p w14:paraId="492F64CC" w14:textId="77777777" w:rsidR="0096466B" w:rsidRPr="00260C1D" w:rsidRDefault="0096466B" w:rsidP="0096466B">
      <w:pPr>
        <w:spacing w:before="100" w:beforeAutospacing="1" w:after="100" w:afterAutospacing="1" w:line="288" w:lineRule="atLeast"/>
        <w:outlineLvl w:val="2"/>
        <w:rPr>
          <w:rFonts w:eastAsia="Segoe UI" w:cstheme="minorHAnsi"/>
          <w:b/>
          <w:color w:val="011A3C"/>
          <w:sz w:val="27"/>
          <w:szCs w:val="27"/>
          <w:lang w:val="en" w:eastAsia="en-AU"/>
        </w:rPr>
      </w:pPr>
      <w:r w:rsidRPr="00260C1D">
        <w:rPr>
          <w:rFonts w:eastAsia="Segoe UI" w:cstheme="minorHAnsi"/>
          <w:b/>
          <w:color w:val="011A3C"/>
          <w:sz w:val="27"/>
          <w:szCs w:val="27"/>
          <w:lang w:val="en" w:eastAsia="en-AU"/>
        </w:rPr>
        <w:t>Budget for principal classification</w:t>
      </w:r>
    </w:p>
    <w:p w14:paraId="3A3AC438" w14:textId="203F3737" w:rsidR="0096466B" w:rsidRPr="00260C1D" w:rsidRDefault="0096466B" w:rsidP="0096466B">
      <w:pPr>
        <w:spacing w:before="100" w:beforeAutospacing="1" w:after="100" w:afterAutospacing="1" w:line="360" w:lineRule="atLeast"/>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Principal Classification Budget is set annually with the confirmed school resource allocation. It sets the remuneration range for each principal position.</w:t>
      </w:r>
    </w:p>
    <w:tbl>
      <w:tblPr>
        <w:tblW w:w="7230" w:type="dxa"/>
        <w:jc w:val="center"/>
        <w:tblCellMar>
          <w:left w:w="0" w:type="dxa"/>
          <w:right w:w="0" w:type="dxa"/>
        </w:tblCellMar>
        <w:tblLook w:val="04A0" w:firstRow="1" w:lastRow="0" w:firstColumn="1" w:lastColumn="0" w:noHBand="0" w:noVBand="1"/>
      </w:tblPr>
      <w:tblGrid>
        <w:gridCol w:w="1004"/>
        <w:gridCol w:w="1690"/>
        <w:gridCol w:w="1559"/>
        <w:gridCol w:w="1417"/>
        <w:gridCol w:w="1560"/>
      </w:tblGrid>
      <w:tr w:rsidR="002E3C92" w:rsidRPr="00260C1D" w14:paraId="3C862A8C" w14:textId="77777777" w:rsidTr="00F36945">
        <w:trPr>
          <w:jc w:val="center"/>
        </w:trPr>
        <w:tc>
          <w:tcPr>
            <w:tcW w:w="10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AEF57C" w14:textId="77777777" w:rsidR="002E3C92" w:rsidRPr="00260C1D" w:rsidRDefault="002E3C92" w:rsidP="00F36945">
            <w:pPr>
              <w:spacing w:after="120" w:line="240" w:lineRule="atLeast"/>
              <w:jc w:val="center"/>
              <w:rPr>
                <w:rFonts w:cstheme="minorHAnsi"/>
                <w:b/>
              </w:rPr>
            </w:pPr>
            <w:r w:rsidRPr="00260C1D">
              <w:rPr>
                <w:rFonts w:cstheme="minorHAnsi"/>
                <w:b/>
              </w:rPr>
              <w:t>Salary</w:t>
            </w:r>
          </w:p>
          <w:p w14:paraId="440C5D14" w14:textId="77777777" w:rsidR="002E3C92" w:rsidRPr="00260C1D" w:rsidRDefault="002E3C92" w:rsidP="00F36945">
            <w:pPr>
              <w:spacing w:after="120" w:line="240" w:lineRule="atLeast"/>
              <w:jc w:val="center"/>
              <w:rPr>
                <w:rFonts w:cstheme="minorHAnsi"/>
                <w:b/>
              </w:rPr>
            </w:pPr>
            <w:r w:rsidRPr="00260C1D">
              <w:rPr>
                <w:rFonts w:cstheme="minorHAnsi"/>
                <w:b/>
              </w:rPr>
              <w:t>range</w:t>
            </w:r>
          </w:p>
        </w:tc>
        <w:tc>
          <w:tcPr>
            <w:tcW w:w="622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5BA999" w14:textId="77777777" w:rsidR="002E3C92" w:rsidRPr="00260C1D" w:rsidRDefault="002E3C92" w:rsidP="00F36945">
            <w:pPr>
              <w:spacing w:after="120" w:line="240" w:lineRule="atLeast"/>
              <w:jc w:val="center"/>
              <w:rPr>
                <w:rFonts w:cstheme="minorHAnsi"/>
                <w:b/>
              </w:rPr>
            </w:pPr>
            <w:r w:rsidRPr="00260C1D">
              <w:rPr>
                <w:rFonts w:cstheme="minorHAnsi"/>
                <w:b/>
              </w:rPr>
              <w:t>Minimum School Budget</w:t>
            </w:r>
          </w:p>
        </w:tc>
      </w:tr>
      <w:tr w:rsidR="008C2F6E" w:rsidRPr="00260C1D" w14:paraId="3BF4EBAD" w14:textId="77777777" w:rsidTr="008C2F6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21B2025" w14:textId="77777777" w:rsidR="002E3C92" w:rsidRPr="00260C1D" w:rsidRDefault="002E3C92" w:rsidP="00F36945">
            <w:pPr>
              <w:rPr>
                <w:rFonts w:cstheme="minorHAnsi"/>
                <w:b/>
              </w:rPr>
            </w:pPr>
          </w:p>
        </w:tc>
        <w:tc>
          <w:tcPr>
            <w:tcW w:w="1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5ACD267" w14:textId="77777777" w:rsidR="002E3C92" w:rsidRPr="00260C1D" w:rsidRDefault="002E3C92" w:rsidP="00614B09">
            <w:pPr>
              <w:spacing w:after="120" w:line="240" w:lineRule="atLeast"/>
              <w:jc w:val="right"/>
              <w:rPr>
                <w:rFonts w:cstheme="minorHAnsi"/>
                <w:b/>
              </w:rPr>
            </w:pPr>
            <w:r w:rsidRPr="00260C1D">
              <w:rPr>
                <w:rFonts w:cstheme="minorHAnsi"/>
                <w:b/>
                <w:lang w:eastAsia="en-AU"/>
              </w:rPr>
              <w:t>2022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10A4A5" w14:textId="77777777" w:rsidR="002E3C92" w:rsidRPr="00260C1D" w:rsidRDefault="002E3C92" w:rsidP="00614B09">
            <w:pPr>
              <w:spacing w:after="120" w:line="240" w:lineRule="atLeast"/>
              <w:jc w:val="right"/>
              <w:rPr>
                <w:rFonts w:cstheme="minorHAnsi"/>
                <w:b/>
              </w:rPr>
            </w:pPr>
            <w:r w:rsidRPr="00260C1D">
              <w:rPr>
                <w:rFonts w:cstheme="minorHAnsi"/>
                <w:b/>
                <w:lang w:eastAsia="en-AU"/>
              </w:rPr>
              <w:t>2023</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438915A6" w14:textId="77777777" w:rsidR="002E3C92" w:rsidRPr="00260C1D" w:rsidRDefault="002E3C92" w:rsidP="00614B09">
            <w:pPr>
              <w:spacing w:after="120" w:line="240" w:lineRule="atLeast"/>
              <w:jc w:val="right"/>
              <w:rPr>
                <w:rFonts w:cstheme="minorHAnsi"/>
                <w:b/>
              </w:rPr>
            </w:pPr>
            <w:r w:rsidRPr="00260C1D">
              <w:rPr>
                <w:rFonts w:cstheme="minorHAnsi"/>
                <w:b/>
                <w:lang w:eastAsia="en-AU"/>
              </w:rPr>
              <w:t>2024</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10549F" w14:textId="77777777" w:rsidR="002E3C92" w:rsidRPr="00260C1D" w:rsidRDefault="002E3C92" w:rsidP="00614B09">
            <w:pPr>
              <w:spacing w:after="120" w:line="240" w:lineRule="atLeast"/>
              <w:jc w:val="right"/>
              <w:rPr>
                <w:rFonts w:cstheme="minorHAnsi"/>
                <w:b/>
                <w:snapToGrid w:val="0"/>
              </w:rPr>
            </w:pPr>
            <w:r w:rsidRPr="00260C1D">
              <w:rPr>
                <w:rFonts w:cstheme="minorHAnsi"/>
                <w:b/>
                <w:lang w:eastAsia="en-AU"/>
              </w:rPr>
              <w:t>2025</w:t>
            </w:r>
          </w:p>
        </w:tc>
      </w:tr>
      <w:tr w:rsidR="008C2F6E" w:rsidRPr="00260C1D" w14:paraId="56BD69AD" w14:textId="77777777" w:rsidTr="008C2F6E">
        <w:trPr>
          <w:jc w:val="center"/>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37183" w14:textId="77777777" w:rsidR="002E3C92" w:rsidRPr="00260C1D" w:rsidRDefault="002E3C92" w:rsidP="00F36945">
            <w:pPr>
              <w:spacing w:after="120" w:line="240" w:lineRule="atLeast"/>
              <w:jc w:val="center"/>
              <w:rPr>
                <w:rFonts w:cstheme="minorHAnsi"/>
              </w:rPr>
            </w:pPr>
            <w:r w:rsidRPr="00260C1D">
              <w:rPr>
                <w:rFonts w:cstheme="minorHAnsi"/>
              </w:rPr>
              <w:t>2</w:t>
            </w:r>
          </w:p>
        </w:tc>
        <w:tc>
          <w:tcPr>
            <w:tcW w:w="1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4689A1"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AB390"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$0</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57677F7E"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D912"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$0</w:t>
            </w:r>
          </w:p>
        </w:tc>
      </w:tr>
      <w:tr w:rsidR="008C2F6E" w:rsidRPr="00260C1D" w14:paraId="4BF50054" w14:textId="77777777" w:rsidTr="008C2F6E">
        <w:trPr>
          <w:jc w:val="center"/>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7A33B" w14:textId="77777777" w:rsidR="002E3C92" w:rsidRPr="00260C1D" w:rsidRDefault="002E3C92" w:rsidP="00F36945">
            <w:pPr>
              <w:spacing w:after="120" w:line="240" w:lineRule="atLeast"/>
              <w:jc w:val="center"/>
              <w:rPr>
                <w:rFonts w:cstheme="minorHAnsi"/>
              </w:rPr>
            </w:pPr>
            <w:r w:rsidRPr="00260C1D">
              <w:rPr>
                <w:rFonts w:cstheme="minorHAnsi"/>
              </w:rPr>
              <w:t>3</w:t>
            </w:r>
          </w:p>
        </w:tc>
        <w:tc>
          <w:tcPr>
            <w:tcW w:w="1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4E0DBD"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$1,584,175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1D683"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$1,615,859</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453F4B09"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$1,648,176</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E843E"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$1,681,139</w:t>
            </w:r>
          </w:p>
        </w:tc>
      </w:tr>
      <w:tr w:rsidR="008C2F6E" w:rsidRPr="00260C1D" w14:paraId="0C123845" w14:textId="77777777" w:rsidTr="008C2F6E">
        <w:trPr>
          <w:jc w:val="center"/>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EA67" w14:textId="77777777" w:rsidR="002E3C92" w:rsidRPr="00260C1D" w:rsidRDefault="002E3C92" w:rsidP="00F36945">
            <w:pPr>
              <w:spacing w:after="120" w:line="240" w:lineRule="atLeast"/>
              <w:jc w:val="center"/>
              <w:rPr>
                <w:rFonts w:cstheme="minorHAnsi"/>
              </w:rPr>
            </w:pPr>
            <w:r w:rsidRPr="00260C1D">
              <w:rPr>
                <w:rFonts w:cstheme="minorHAnsi"/>
              </w:rPr>
              <w:t>4</w:t>
            </w:r>
          </w:p>
        </w:tc>
        <w:tc>
          <w:tcPr>
            <w:tcW w:w="1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732737"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$3,696,412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452DA"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$3,770,340</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47DB6849"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$3,845,747</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C925C"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$3,922,662</w:t>
            </w:r>
          </w:p>
        </w:tc>
      </w:tr>
      <w:tr w:rsidR="008C2F6E" w:rsidRPr="00260C1D" w14:paraId="684B66EE" w14:textId="77777777" w:rsidTr="008C2F6E">
        <w:trPr>
          <w:jc w:val="center"/>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5631B" w14:textId="77777777" w:rsidR="002E3C92" w:rsidRPr="00260C1D" w:rsidRDefault="002E3C92" w:rsidP="00F36945">
            <w:pPr>
              <w:spacing w:after="120" w:line="240" w:lineRule="atLeast"/>
              <w:jc w:val="center"/>
              <w:rPr>
                <w:rFonts w:cstheme="minorHAnsi"/>
              </w:rPr>
            </w:pPr>
            <w:r w:rsidRPr="00260C1D">
              <w:rPr>
                <w:rFonts w:cstheme="minorHAnsi"/>
              </w:rPr>
              <w:t>5</w:t>
            </w:r>
          </w:p>
        </w:tc>
        <w:tc>
          <w:tcPr>
            <w:tcW w:w="1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87F778"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$9,200,402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DAFC1"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$9,384,410</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10BC4E04"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$9,572,098</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9AD32"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$9,763,540</w:t>
            </w:r>
          </w:p>
        </w:tc>
      </w:tr>
      <w:tr w:rsidR="008C2F6E" w:rsidRPr="00260C1D" w14:paraId="45C70587" w14:textId="77777777" w:rsidTr="008C2F6E">
        <w:trPr>
          <w:jc w:val="center"/>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FDAC3" w14:textId="77777777" w:rsidR="002E3C92" w:rsidRPr="00260C1D" w:rsidRDefault="002E3C92" w:rsidP="00F36945">
            <w:pPr>
              <w:spacing w:after="120" w:line="240" w:lineRule="atLeast"/>
              <w:jc w:val="center"/>
              <w:rPr>
                <w:rFonts w:cstheme="minorHAnsi"/>
              </w:rPr>
            </w:pPr>
            <w:r w:rsidRPr="00260C1D">
              <w:rPr>
                <w:rFonts w:cstheme="minorHAnsi"/>
              </w:rPr>
              <w:t>6</w:t>
            </w:r>
          </w:p>
        </w:tc>
        <w:tc>
          <w:tcPr>
            <w:tcW w:w="1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A84607" w14:textId="5F3D55AB" w:rsidR="002E3C92" w:rsidRPr="00260C1D" w:rsidRDefault="002E3C92" w:rsidP="00614B09">
            <w:pPr>
              <w:spacing w:after="120" w:line="240" w:lineRule="atLeast"/>
              <w:jc w:val="right"/>
              <w:rPr>
                <w:rFonts w:cstheme="minorHAnsi"/>
                <w:lang w:eastAsia="en-AU"/>
              </w:rPr>
            </w:pPr>
            <w:r w:rsidRPr="00260C1D">
              <w:rPr>
                <w:rFonts w:cstheme="minorHAnsi"/>
                <w:lang w:eastAsia="en-AU"/>
              </w:rPr>
              <w:t>$14,630,616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3568E"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$14,923,228</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4B6C6186"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$15,221,693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626A7" w14:textId="77777777" w:rsidR="002E3C92" w:rsidRPr="00260C1D" w:rsidRDefault="002E3C92" w:rsidP="00614B09">
            <w:pPr>
              <w:spacing w:after="120" w:line="240" w:lineRule="atLeast"/>
              <w:jc w:val="right"/>
              <w:rPr>
                <w:rFonts w:cstheme="minorHAnsi"/>
                <w:lang w:eastAsia="en-AU"/>
              </w:rPr>
            </w:pPr>
            <w:r w:rsidRPr="00260C1D">
              <w:rPr>
                <w:rFonts w:cstheme="minorHAnsi"/>
                <w:lang w:eastAsia="en-AU"/>
              </w:rPr>
              <w:t>$15,526,127</w:t>
            </w:r>
          </w:p>
        </w:tc>
      </w:tr>
    </w:tbl>
    <w:p w14:paraId="348FAF0E" w14:textId="77777777" w:rsidR="0096466B" w:rsidRPr="00260C1D" w:rsidRDefault="0096466B" w:rsidP="0096466B">
      <w:pPr>
        <w:rPr>
          <w:rFonts w:cstheme="minorHAnsi"/>
        </w:rPr>
      </w:pPr>
      <w:r w:rsidRPr="00260C1D">
        <w:rPr>
          <w:rFonts w:cstheme="minorHAnsi"/>
        </w:rPr>
        <w:br w:type="page"/>
      </w:r>
    </w:p>
    <w:p w14:paraId="073B7CF0" w14:textId="05575926" w:rsidR="0096466B" w:rsidRPr="00260C1D" w:rsidRDefault="0096466B" w:rsidP="00532A33">
      <w:pPr>
        <w:pStyle w:val="Heading2"/>
      </w:pPr>
      <w:bookmarkStart w:id="353" w:name="_Toc141965318"/>
      <w:bookmarkStart w:id="354" w:name="_Toc145339646"/>
      <w:bookmarkStart w:id="355" w:name="_Toc153791970"/>
      <w:r w:rsidRPr="00260C1D">
        <w:lastRenderedPageBreak/>
        <w:t>Enrolment Variation Funding</w:t>
      </w:r>
      <w:bookmarkEnd w:id="353"/>
      <w:bookmarkEnd w:id="354"/>
      <w:bookmarkEnd w:id="355"/>
      <w:r w:rsidRPr="00260C1D">
        <w:t xml:space="preserve"> </w:t>
      </w:r>
    </w:p>
    <w:p w14:paraId="1034B64B" w14:textId="77777777" w:rsidR="0096466B" w:rsidRPr="00260C1D" w:rsidRDefault="0096466B" w:rsidP="0096466B">
      <w:pPr>
        <w:spacing w:after="0" w:line="240" w:lineRule="auto"/>
        <w:rPr>
          <w:rFonts w:eastAsia="Segoe UI" w:cstheme="minorHAnsi"/>
          <w:b/>
          <w:sz w:val="28"/>
          <w:szCs w:val="28"/>
          <w:lang w:eastAsia="en-AU"/>
        </w:rPr>
      </w:pPr>
    </w:p>
    <w:p w14:paraId="614CB158" w14:textId="031B18FB" w:rsidR="0024710E" w:rsidRPr="00260C1D" w:rsidRDefault="0024710E" w:rsidP="0024710E">
      <w:pPr>
        <w:spacing w:after="0" w:line="240" w:lineRule="auto"/>
        <w:rPr>
          <w:rFonts w:eastAsia="Segoe UI" w:cstheme="minorHAnsi"/>
          <w:b/>
          <w:color w:val="011A3C"/>
          <w:sz w:val="24"/>
          <w:szCs w:val="24"/>
          <w:lang w:val="en" w:eastAsia="en-AU"/>
        </w:rPr>
      </w:pPr>
      <w:r w:rsidRPr="00260C1D">
        <w:rPr>
          <w:rFonts w:eastAsia="Segoe UI" w:cstheme="minorHAnsi"/>
          <w:b/>
          <w:color w:val="011A3C"/>
          <w:sz w:val="24"/>
          <w:szCs w:val="24"/>
          <w:lang w:val="en" w:eastAsia="en-AU"/>
        </w:rPr>
        <w:t xml:space="preserve">Significant </w:t>
      </w:r>
      <w:r w:rsidR="00D173B8">
        <w:rPr>
          <w:rFonts w:eastAsia="Segoe UI" w:cstheme="minorHAnsi"/>
          <w:b/>
          <w:color w:val="011A3C"/>
          <w:sz w:val="24"/>
          <w:szCs w:val="24"/>
          <w:lang w:val="en" w:eastAsia="en-AU"/>
        </w:rPr>
        <w:t>v</w:t>
      </w:r>
      <w:r w:rsidRPr="00260C1D">
        <w:rPr>
          <w:rFonts w:eastAsia="Segoe UI" w:cstheme="minorHAnsi"/>
          <w:b/>
          <w:color w:val="011A3C"/>
          <w:sz w:val="24"/>
          <w:szCs w:val="24"/>
          <w:lang w:val="en" w:eastAsia="en-AU"/>
        </w:rPr>
        <w:t xml:space="preserve">ariation </w:t>
      </w:r>
    </w:p>
    <w:p w14:paraId="563C59E1" w14:textId="4EE8FA72" w:rsidR="0024710E" w:rsidRPr="00260C1D" w:rsidRDefault="0024710E" w:rsidP="0024710E">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Significant variation funding is </w:t>
      </w:r>
      <w:r w:rsidR="00D8442E" w:rsidRPr="00260C1D">
        <w:rPr>
          <w:rFonts w:eastAsia="Segoe UI" w:cstheme="minorHAnsi"/>
          <w:color w:val="011A3C"/>
          <w:sz w:val="24"/>
          <w:szCs w:val="24"/>
          <w:lang w:val="en" w:eastAsia="en-AU"/>
        </w:rPr>
        <w:t xml:space="preserve">included </w:t>
      </w:r>
      <w:r w:rsidRPr="00260C1D">
        <w:rPr>
          <w:rFonts w:eastAsia="Segoe UI" w:cstheme="minorHAnsi"/>
          <w:color w:val="011A3C"/>
          <w:sz w:val="24"/>
          <w:szCs w:val="24"/>
          <w:lang w:val="en" w:eastAsia="en-AU"/>
        </w:rPr>
        <w:t xml:space="preserve">automatically to the </w:t>
      </w:r>
      <w:r w:rsidR="00023707">
        <w:rPr>
          <w:rFonts w:eastAsia="Segoe UI" w:cstheme="minorHAnsi"/>
          <w:color w:val="011A3C"/>
          <w:sz w:val="24"/>
          <w:szCs w:val="24"/>
          <w:lang w:val="en" w:eastAsia="en-AU"/>
        </w:rPr>
        <w:t>T</w:t>
      </w:r>
      <w:r w:rsidRPr="00260C1D">
        <w:rPr>
          <w:rFonts w:eastAsia="Segoe UI" w:cstheme="minorHAnsi"/>
          <w:color w:val="011A3C"/>
          <w:sz w:val="24"/>
          <w:szCs w:val="24"/>
          <w:lang w:val="en" w:eastAsia="en-AU"/>
        </w:rPr>
        <w:t>erm 3 cash grant, after the mid-year census. It is designed to provide additional cash funds only to schools where there has been an increase in student numbers of:</w:t>
      </w:r>
    </w:p>
    <w:p w14:paraId="6450EF91" w14:textId="77777777" w:rsidR="0024710E" w:rsidRPr="00260C1D" w:rsidRDefault="0024710E" w:rsidP="0024710E">
      <w:pPr>
        <w:spacing w:after="0" w:line="240" w:lineRule="auto"/>
        <w:rPr>
          <w:rFonts w:eastAsia="Segoe UI" w:cstheme="minorHAnsi"/>
          <w:color w:val="011A3C"/>
          <w:sz w:val="24"/>
          <w:szCs w:val="24"/>
          <w:lang w:val="en" w:eastAsia="en-AU"/>
        </w:rPr>
      </w:pPr>
    </w:p>
    <w:p w14:paraId="10037DEC" w14:textId="77777777" w:rsidR="0024710E" w:rsidRPr="00260C1D" w:rsidRDefault="0024710E" w:rsidP="0024710E">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Primary:</w:t>
      </w:r>
      <w:r w:rsidRPr="00260C1D">
        <w:rPr>
          <w:rFonts w:eastAsia="Segoe UI" w:cstheme="minorHAnsi"/>
          <w:color w:val="011A3C"/>
          <w:sz w:val="24"/>
          <w:szCs w:val="24"/>
          <w:lang w:val="en" w:eastAsia="en-AU"/>
        </w:rPr>
        <w:tab/>
        <w:t>The greater of 10 students or an increase of 10%</w:t>
      </w:r>
    </w:p>
    <w:p w14:paraId="71027DF4" w14:textId="77777777" w:rsidR="0024710E" w:rsidRPr="00260C1D" w:rsidRDefault="0024710E" w:rsidP="0024710E">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Secondary:</w:t>
      </w:r>
      <w:r w:rsidRPr="00260C1D">
        <w:rPr>
          <w:rFonts w:eastAsia="Segoe UI" w:cstheme="minorHAnsi"/>
          <w:color w:val="011A3C"/>
          <w:sz w:val="24"/>
          <w:szCs w:val="24"/>
          <w:lang w:val="en" w:eastAsia="en-AU"/>
        </w:rPr>
        <w:tab/>
        <w:t xml:space="preserve">The greater of 40 students or an increase of 10%  </w:t>
      </w:r>
    </w:p>
    <w:p w14:paraId="07A6F4D4" w14:textId="77777777" w:rsidR="0024710E" w:rsidRPr="00260C1D" w:rsidRDefault="0024710E" w:rsidP="0024710E">
      <w:pPr>
        <w:spacing w:after="0" w:line="240" w:lineRule="auto"/>
        <w:rPr>
          <w:rFonts w:eastAsia="Segoe UI" w:cstheme="minorHAnsi"/>
          <w:color w:val="011A3C"/>
          <w:sz w:val="24"/>
          <w:szCs w:val="24"/>
          <w:lang w:val="en" w:eastAsia="en-AU"/>
        </w:rPr>
      </w:pPr>
    </w:p>
    <w:p w14:paraId="621D78CB" w14:textId="629E0465" w:rsidR="0024710E" w:rsidRPr="00260C1D" w:rsidRDefault="00123F13" w:rsidP="0024710E">
      <w:pPr>
        <w:spacing w:after="0" w:line="240" w:lineRule="auto"/>
        <w:rPr>
          <w:rFonts w:eastAsia="Segoe UI" w:cstheme="minorHAnsi"/>
          <w:lang w:eastAsia="en-AU"/>
        </w:rPr>
      </w:pPr>
      <w:r>
        <w:rPr>
          <w:rFonts w:eastAsia="Segoe UI" w:cstheme="minorHAnsi"/>
          <w:color w:val="011A3C"/>
          <w:sz w:val="24"/>
          <w:szCs w:val="24"/>
          <w:lang w:val="en" w:eastAsia="en-AU"/>
        </w:rPr>
        <w:t>E</w:t>
      </w:r>
      <w:r w:rsidRPr="00260C1D">
        <w:rPr>
          <w:rFonts w:eastAsia="Segoe UI" w:cstheme="minorHAnsi"/>
          <w:color w:val="011A3C"/>
          <w:sz w:val="24"/>
          <w:szCs w:val="24"/>
          <w:lang w:val="en" w:eastAsia="en-AU"/>
        </w:rPr>
        <w:t>quivalent funding</w:t>
      </w:r>
      <w:r>
        <w:rPr>
          <w:rFonts w:eastAsia="Segoe UI" w:cstheme="minorHAnsi"/>
          <w:color w:val="011A3C"/>
          <w:sz w:val="24"/>
          <w:szCs w:val="24"/>
          <w:lang w:val="en" w:eastAsia="en-AU"/>
        </w:rPr>
        <w:t xml:space="preserve"> for</w:t>
      </w:r>
      <w:r w:rsidRPr="00260C1D">
        <w:rPr>
          <w:rFonts w:eastAsia="Segoe UI" w:cstheme="minorHAnsi"/>
          <w:color w:val="011A3C"/>
          <w:sz w:val="24"/>
          <w:szCs w:val="24"/>
          <w:lang w:val="en" w:eastAsia="en-AU"/>
        </w:rPr>
        <w:t xml:space="preserve"> </w:t>
      </w:r>
      <w:r>
        <w:rPr>
          <w:rFonts w:eastAsia="Segoe UI" w:cstheme="minorHAnsi"/>
          <w:color w:val="011A3C"/>
          <w:sz w:val="24"/>
          <w:szCs w:val="24"/>
          <w:lang w:val="en" w:eastAsia="en-AU"/>
        </w:rPr>
        <w:t>o</w:t>
      </w:r>
      <w:r w:rsidR="0024710E" w:rsidRPr="00260C1D">
        <w:rPr>
          <w:rFonts w:eastAsia="Segoe UI" w:cstheme="minorHAnsi"/>
          <w:color w:val="011A3C"/>
          <w:sz w:val="24"/>
          <w:szCs w:val="24"/>
          <w:lang w:val="en" w:eastAsia="en-AU"/>
        </w:rPr>
        <w:t xml:space="preserve">nly 2 terms will be provided based on the minimum per student cash rate and once assessed will appear in your reports as an item under the ‘Curriculum Support’ budget line by </w:t>
      </w:r>
      <w:r w:rsidR="00023707">
        <w:rPr>
          <w:rFonts w:eastAsia="Segoe UI" w:cstheme="minorHAnsi"/>
          <w:color w:val="011A3C"/>
          <w:sz w:val="24"/>
          <w:szCs w:val="24"/>
          <w:lang w:val="en" w:eastAsia="en-AU"/>
        </w:rPr>
        <w:t xml:space="preserve">the </w:t>
      </w:r>
      <w:r w:rsidR="0024710E" w:rsidRPr="00260C1D">
        <w:rPr>
          <w:rFonts w:eastAsia="Segoe UI" w:cstheme="minorHAnsi"/>
          <w:color w:val="011A3C"/>
          <w:sz w:val="24"/>
          <w:szCs w:val="24"/>
          <w:lang w:val="en" w:eastAsia="en-AU"/>
        </w:rPr>
        <w:t>end of Term 3.</w:t>
      </w:r>
    </w:p>
    <w:p w14:paraId="1FAFDF3C" w14:textId="77777777" w:rsidR="0024710E" w:rsidRPr="00260C1D" w:rsidRDefault="0024710E" w:rsidP="0024710E">
      <w:pPr>
        <w:spacing w:after="0" w:line="240" w:lineRule="auto"/>
        <w:rPr>
          <w:rFonts w:eastAsia="Segoe UI" w:cstheme="minorHAnsi"/>
          <w:lang w:eastAsia="en-AU"/>
        </w:rPr>
      </w:pPr>
    </w:p>
    <w:p w14:paraId="3913D252" w14:textId="7425D5E1" w:rsidR="0024710E" w:rsidRPr="00614B09" w:rsidRDefault="0024710E" w:rsidP="0024710E">
      <w:pPr>
        <w:spacing w:after="0" w:line="240" w:lineRule="auto"/>
        <w:rPr>
          <w:rFonts w:eastAsia="Segoe UI" w:cstheme="minorHAnsi"/>
          <w:b/>
          <w:color w:val="323E4F" w:themeColor="text2" w:themeShade="BF"/>
          <w:sz w:val="24"/>
          <w:szCs w:val="24"/>
          <w:lang w:eastAsia="en-AU"/>
        </w:rPr>
      </w:pPr>
      <w:r w:rsidRPr="00614B09">
        <w:rPr>
          <w:rFonts w:eastAsia="Segoe UI" w:cstheme="minorHAnsi"/>
          <w:b/>
          <w:color w:val="323E4F" w:themeColor="text2" w:themeShade="BF"/>
          <w:sz w:val="24"/>
          <w:szCs w:val="24"/>
          <w:lang w:eastAsia="en-AU"/>
        </w:rPr>
        <w:t xml:space="preserve">For example : </w:t>
      </w:r>
    </w:p>
    <w:p w14:paraId="48785F3E" w14:textId="77777777" w:rsidR="0024710E" w:rsidRPr="00614B09" w:rsidRDefault="0024710E" w:rsidP="0024710E">
      <w:pPr>
        <w:spacing w:after="0" w:line="240" w:lineRule="auto"/>
        <w:ind w:left="426"/>
        <w:rPr>
          <w:rFonts w:eastAsia="Segoe UI" w:cstheme="minorHAnsi"/>
          <w:color w:val="323E4F" w:themeColor="text2" w:themeShade="BF"/>
          <w:sz w:val="24"/>
          <w:szCs w:val="24"/>
          <w:lang w:eastAsia="en-AU"/>
        </w:rPr>
      </w:pPr>
      <w:r w:rsidRPr="00614B09">
        <w:rPr>
          <w:rFonts w:eastAsia="Segoe UI" w:cstheme="minorHAnsi"/>
          <w:color w:val="323E4F" w:themeColor="text2" w:themeShade="BF"/>
          <w:sz w:val="24"/>
          <w:szCs w:val="24"/>
          <w:lang w:eastAsia="en-AU"/>
        </w:rPr>
        <w:t>Primary:</w:t>
      </w:r>
    </w:p>
    <w:p w14:paraId="4CEAA3FD" w14:textId="3139E63D" w:rsidR="0024710E" w:rsidRPr="00614B09" w:rsidRDefault="0024710E" w:rsidP="0024710E">
      <w:pPr>
        <w:tabs>
          <w:tab w:val="left" w:pos="3544"/>
          <w:tab w:val="left" w:pos="3969"/>
        </w:tabs>
        <w:spacing w:after="0" w:line="240" w:lineRule="auto"/>
        <w:ind w:left="993"/>
        <w:rPr>
          <w:rFonts w:eastAsia="Segoe UI" w:cstheme="minorHAnsi"/>
          <w:color w:val="323E4F" w:themeColor="text2" w:themeShade="BF"/>
          <w:sz w:val="24"/>
          <w:szCs w:val="24"/>
          <w:lang w:eastAsia="en-AU"/>
        </w:rPr>
      </w:pPr>
      <w:r w:rsidRPr="00614B09">
        <w:rPr>
          <w:rFonts w:eastAsia="Segoe UI" w:cstheme="minorHAnsi"/>
          <w:color w:val="323E4F" w:themeColor="text2" w:themeShade="BF"/>
          <w:sz w:val="24"/>
          <w:szCs w:val="24"/>
          <w:lang w:eastAsia="en-AU"/>
        </w:rPr>
        <w:t xml:space="preserve">Enrolment </w:t>
      </w:r>
      <w:r w:rsidR="004D5BE4">
        <w:rPr>
          <w:rFonts w:eastAsia="Segoe UI" w:cstheme="minorHAnsi"/>
          <w:color w:val="323E4F" w:themeColor="text2" w:themeShade="BF"/>
          <w:sz w:val="24"/>
          <w:szCs w:val="24"/>
          <w:lang w:eastAsia="en-AU"/>
        </w:rPr>
        <w:t>i</w:t>
      </w:r>
      <w:r w:rsidRPr="00614B09">
        <w:rPr>
          <w:rFonts w:eastAsia="Segoe UI" w:cstheme="minorHAnsi"/>
          <w:color w:val="323E4F" w:themeColor="text2" w:themeShade="BF"/>
          <w:sz w:val="24"/>
          <w:szCs w:val="24"/>
          <w:lang w:eastAsia="en-AU"/>
        </w:rPr>
        <w:t>ncrease</w:t>
      </w:r>
      <w:r w:rsidRPr="00614B09">
        <w:rPr>
          <w:rFonts w:eastAsia="Segoe UI" w:cstheme="minorHAnsi"/>
          <w:color w:val="323E4F" w:themeColor="text2" w:themeShade="BF"/>
          <w:sz w:val="24"/>
          <w:szCs w:val="24"/>
          <w:lang w:eastAsia="en-AU"/>
        </w:rPr>
        <w:tab/>
        <w:t>=</w:t>
      </w:r>
      <w:r w:rsidRPr="00614B09">
        <w:rPr>
          <w:rFonts w:eastAsia="Segoe UI" w:cstheme="minorHAnsi"/>
          <w:color w:val="323E4F" w:themeColor="text2" w:themeShade="BF"/>
          <w:sz w:val="24"/>
          <w:szCs w:val="24"/>
          <w:lang w:eastAsia="en-AU"/>
        </w:rPr>
        <w:tab/>
        <w:t xml:space="preserve"> 10</w:t>
      </w:r>
    </w:p>
    <w:p w14:paraId="60A21246" w14:textId="15428D47" w:rsidR="0024710E" w:rsidRPr="00614B09" w:rsidRDefault="0024710E" w:rsidP="0024710E">
      <w:pPr>
        <w:tabs>
          <w:tab w:val="left" w:pos="3544"/>
          <w:tab w:val="left" w:pos="3969"/>
        </w:tabs>
        <w:spacing w:after="0" w:line="240" w:lineRule="auto"/>
        <w:ind w:left="993"/>
        <w:rPr>
          <w:rFonts w:eastAsia="Segoe UI" w:cstheme="minorHAnsi"/>
          <w:color w:val="323E4F" w:themeColor="text2" w:themeShade="BF"/>
          <w:sz w:val="24"/>
          <w:szCs w:val="24"/>
          <w:lang w:eastAsia="en-AU"/>
        </w:rPr>
      </w:pPr>
      <w:r w:rsidRPr="00614B09">
        <w:rPr>
          <w:rFonts w:eastAsia="Segoe UI" w:cstheme="minorHAnsi"/>
          <w:color w:val="323E4F" w:themeColor="text2" w:themeShade="BF"/>
          <w:sz w:val="24"/>
          <w:szCs w:val="24"/>
          <w:lang w:eastAsia="en-AU"/>
        </w:rPr>
        <w:t xml:space="preserve">Cash </w:t>
      </w:r>
      <w:r w:rsidR="004D5BE4">
        <w:rPr>
          <w:rFonts w:eastAsia="Segoe UI" w:cstheme="minorHAnsi"/>
          <w:color w:val="323E4F" w:themeColor="text2" w:themeShade="BF"/>
          <w:sz w:val="24"/>
          <w:szCs w:val="24"/>
          <w:lang w:eastAsia="en-AU"/>
        </w:rPr>
        <w:t>r</w:t>
      </w:r>
      <w:r w:rsidRPr="00614B09">
        <w:rPr>
          <w:rFonts w:eastAsia="Segoe UI" w:cstheme="minorHAnsi"/>
          <w:color w:val="323E4F" w:themeColor="text2" w:themeShade="BF"/>
          <w:sz w:val="24"/>
          <w:szCs w:val="24"/>
          <w:lang w:eastAsia="en-AU"/>
        </w:rPr>
        <w:t>ate</w:t>
      </w:r>
      <w:r w:rsidRPr="00614B09">
        <w:rPr>
          <w:rFonts w:eastAsia="Segoe UI" w:cstheme="minorHAnsi"/>
          <w:color w:val="323E4F" w:themeColor="text2" w:themeShade="BF"/>
          <w:sz w:val="24"/>
          <w:szCs w:val="24"/>
          <w:lang w:eastAsia="en-AU"/>
        </w:rPr>
        <w:tab/>
        <w:t>=</w:t>
      </w:r>
      <w:r w:rsidRPr="00614B09">
        <w:rPr>
          <w:rFonts w:eastAsia="Segoe UI" w:cstheme="minorHAnsi"/>
          <w:color w:val="323E4F" w:themeColor="text2" w:themeShade="BF"/>
          <w:sz w:val="24"/>
          <w:szCs w:val="24"/>
          <w:lang w:eastAsia="en-AU"/>
        </w:rPr>
        <w:tab/>
      </w:r>
      <w:r w:rsidR="00D8442E" w:rsidRPr="00614B09">
        <w:rPr>
          <w:rFonts w:eastAsia="Segoe UI" w:cstheme="minorHAnsi"/>
          <w:color w:val="323E4F" w:themeColor="text2" w:themeShade="BF"/>
          <w:sz w:val="24"/>
          <w:szCs w:val="24"/>
          <w:lang w:eastAsia="en-AU"/>
        </w:rPr>
        <w:t>$4</w:t>
      </w:r>
      <w:r w:rsidR="00871FED" w:rsidRPr="00614B09">
        <w:rPr>
          <w:rFonts w:eastAsia="Segoe UI" w:cstheme="minorHAnsi"/>
          <w:color w:val="323E4F" w:themeColor="text2" w:themeShade="BF"/>
          <w:sz w:val="24"/>
          <w:szCs w:val="24"/>
          <w:lang w:eastAsia="en-AU"/>
        </w:rPr>
        <w:t>81</w:t>
      </w:r>
    </w:p>
    <w:p w14:paraId="44A400D0" w14:textId="77777777" w:rsidR="0024710E" w:rsidRPr="00614B09" w:rsidRDefault="0024710E" w:rsidP="0024710E">
      <w:pPr>
        <w:tabs>
          <w:tab w:val="left" w:pos="3544"/>
          <w:tab w:val="left" w:pos="3969"/>
        </w:tabs>
        <w:spacing w:after="0" w:line="240" w:lineRule="auto"/>
        <w:ind w:left="993"/>
        <w:rPr>
          <w:rFonts w:eastAsia="Segoe UI" w:cstheme="minorHAnsi"/>
          <w:color w:val="323E4F" w:themeColor="text2" w:themeShade="BF"/>
          <w:sz w:val="24"/>
          <w:szCs w:val="24"/>
          <w:lang w:eastAsia="en-AU"/>
        </w:rPr>
      </w:pPr>
    </w:p>
    <w:p w14:paraId="62C00F4A" w14:textId="32AAE80C" w:rsidR="0024710E" w:rsidRPr="00614B09" w:rsidRDefault="0024710E" w:rsidP="0024710E">
      <w:pPr>
        <w:tabs>
          <w:tab w:val="left" w:pos="3544"/>
          <w:tab w:val="left" w:pos="3969"/>
        </w:tabs>
        <w:spacing w:after="0" w:line="240" w:lineRule="auto"/>
        <w:ind w:left="993"/>
        <w:rPr>
          <w:rFonts w:eastAsia="Segoe UI" w:cstheme="minorHAnsi"/>
          <w:color w:val="323E4F" w:themeColor="text2" w:themeShade="BF"/>
          <w:sz w:val="24"/>
          <w:szCs w:val="24"/>
          <w:lang w:eastAsia="en-AU"/>
        </w:rPr>
      </w:pPr>
      <w:r w:rsidRPr="00614B09">
        <w:rPr>
          <w:rFonts w:eastAsia="Segoe UI" w:cstheme="minorHAnsi"/>
          <w:color w:val="323E4F" w:themeColor="text2" w:themeShade="BF"/>
          <w:sz w:val="24"/>
          <w:szCs w:val="24"/>
          <w:lang w:eastAsia="en-AU"/>
        </w:rPr>
        <w:t xml:space="preserve">Additional </w:t>
      </w:r>
      <w:r w:rsidR="004D5BE4">
        <w:rPr>
          <w:rFonts w:eastAsia="Segoe UI" w:cstheme="minorHAnsi"/>
          <w:color w:val="323E4F" w:themeColor="text2" w:themeShade="BF"/>
          <w:sz w:val="24"/>
          <w:szCs w:val="24"/>
          <w:lang w:eastAsia="en-AU"/>
        </w:rPr>
        <w:t>f</w:t>
      </w:r>
      <w:r w:rsidRPr="00614B09">
        <w:rPr>
          <w:rFonts w:eastAsia="Segoe UI" w:cstheme="minorHAnsi"/>
          <w:color w:val="323E4F" w:themeColor="text2" w:themeShade="BF"/>
          <w:sz w:val="24"/>
          <w:szCs w:val="24"/>
          <w:lang w:eastAsia="en-AU"/>
        </w:rPr>
        <w:t>unding</w:t>
      </w:r>
      <w:r w:rsidRPr="00614B09">
        <w:rPr>
          <w:rFonts w:eastAsia="Segoe UI" w:cstheme="minorHAnsi"/>
          <w:color w:val="323E4F" w:themeColor="text2" w:themeShade="BF"/>
          <w:sz w:val="24"/>
          <w:szCs w:val="24"/>
          <w:lang w:eastAsia="en-AU"/>
        </w:rPr>
        <w:tab/>
        <w:t>=</w:t>
      </w:r>
      <w:r w:rsidRPr="00614B09">
        <w:rPr>
          <w:rFonts w:eastAsia="Segoe UI" w:cstheme="minorHAnsi"/>
          <w:color w:val="323E4F" w:themeColor="text2" w:themeShade="BF"/>
          <w:sz w:val="24"/>
          <w:szCs w:val="24"/>
          <w:lang w:eastAsia="en-AU"/>
        </w:rPr>
        <w:tab/>
      </w:r>
      <w:r w:rsidR="00891751">
        <w:rPr>
          <w:rFonts w:eastAsia="Segoe UI" w:cstheme="minorHAnsi"/>
          <w:color w:val="323E4F" w:themeColor="text2" w:themeShade="BF"/>
          <w:sz w:val="24"/>
          <w:szCs w:val="24"/>
          <w:lang w:eastAsia="en-AU"/>
        </w:rPr>
        <w:t>(</w:t>
      </w:r>
      <w:r w:rsidRPr="00614B09">
        <w:rPr>
          <w:rFonts w:eastAsia="Segoe UI" w:cstheme="minorHAnsi"/>
          <w:color w:val="323E4F" w:themeColor="text2" w:themeShade="BF"/>
          <w:sz w:val="24"/>
          <w:szCs w:val="24"/>
          <w:lang w:eastAsia="en-AU"/>
        </w:rPr>
        <w:t xml:space="preserve">Enrolment increase × Cash </w:t>
      </w:r>
      <w:r w:rsidR="00891751">
        <w:rPr>
          <w:rFonts w:eastAsia="Segoe UI" w:cstheme="minorHAnsi"/>
          <w:color w:val="323E4F" w:themeColor="text2" w:themeShade="BF"/>
          <w:sz w:val="24"/>
          <w:szCs w:val="24"/>
          <w:lang w:eastAsia="en-AU"/>
        </w:rPr>
        <w:t>r</w:t>
      </w:r>
      <w:r w:rsidRPr="00614B09">
        <w:rPr>
          <w:rFonts w:eastAsia="Segoe UI" w:cstheme="minorHAnsi"/>
          <w:color w:val="323E4F" w:themeColor="text2" w:themeShade="BF"/>
          <w:sz w:val="24"/>
          <w:szCs w:val="24"/>
          <w:lang w:eastAsia="en-AU"/>
        </w:rPr>
        <w:t>ate</w:t>
      </w:r>
      <w:r w:rsidR="00891751">
        <w:rPr>
          <w:rFonts w:eastAsia="Segoe UI" w:cstheme="minorHAnsi"/>
          <w:color w:val="323E4F" w:themeColor="text2" w:themeShade="BF"/>
          <w:sz w:val="24"/>
          <w:szCs w:val="24"/>
          <w:lang w:eastAsia="en-AU"/>
        </w:rPr>
        <w:t>)</w:t>
      </w:r>
      <w:r w:rsidRPr="00614B09">
        <w:rPr>
          <w:rFonts w:eastAsia="Segoe UI" w:cstheme="minorHAnsi"/>
          <w:color w:val="323E4F" w:themeColor="text2" w:themeShade="BF"/>
          <w:sz w:val="24"/>
          <w:szCs w:val="24"/>
          <w:lang w:eastAsia="en-AU"/>
        </w:rPr>
        <w:t>/2</w:t>
      </w:r>
    </w:p>
    <w:p w14:paraId="7D178104" w14:textId="6194E248" w:rsidR="0024710E" w:rsidRPr="00614B09" w:rsidRDefault="0024710E" w:rsidP="0024710E">
      <w:pPr>
        <w:tabs>
          <w:tab w:val="left" w:pos="3544"/>
          <w:tab w:val="left" w:pos="3969"/>
        </w:tabs>
        <w:spacing w:after="0" w:line="240" w:lineRule="auto"/>
        <w:ind w:left="993"/>
        <w:rPr>
          <w:rFonts w:eastAsia="Segoe UI" w:cstheme="minorHAnsi"/>
          <w:color w:val="323E4F" w:themeColor="text2" w:themeShade="BF"/>
          <w:sz w:val="24"/>
          <w:szCs w:val="24"/>
          <w:lang w:eastAsia="en-AU"/>
        </w:rPr>
      </w:pPr>
      <w:r w:rsidRPr="00614B09">
        <w:rPr>
          <w:rFonts w:eastAsia="Segoe UI" w:cstheme="minorHAnsi"/>
          <w:color w:val="323E4F" w:themeColor="text2" w:themeShade="BF"/>
          <w:sz w:val="24"/>
          <w:szCs w:val="24"/>
          <w:lang w:eastAsia="en-AU"/>
        </w:rPr>
        <w:tab/>
        <w:t>=</w:t>
      </w:r>
      <w:r w:rsidRPr="00614B09">
        <w:rPr>
          <w:rFonts w:eastAsia="Segoe UI" w:cstheme="minorHAnsi"/>
          <w:color w:val="323E4F" w:themeColor="text2" w:themeShade="BF"/>
          <w:sz w:val="24"/>
          <w:szCs w:val="24"/>
          <w:lang w:eastAsia="en-AU"/>
        </w:rPr>
        <w:tab/>
      </w:r>
      <w:r w:rsidR="00891751">
        <w:rPr>
          <w:rFonts w:eastAsia="Segoe UI" w:cstheme="minorHAnsi"/>
          <w:color w:val="323E4F" w:themeColor="text2" w:themeShade="BF"/>
          <w:sz w:val="24"/>
          <w:szCs w:val="24"/>
          <w:lang w:eastAsia="en-AU"/>
        </w:rPr>
        <w:t>(</w:t>
      </w:r>
      <w:r w:rsidRPr="00614B09">
        <w:rPr>
          <w:rFonts w:eastAsia="Segoe UI" w:cstheme="minorHAnsi"/>
          <w:color w:val="323E4F" w:themeColor="text2" w:themeShade="BF"/>
          <w:sz w:val="24"/>
          <w:szCs w:val="24"/>
          <w:lang w:eastAsia="en-AU"/>
        </w:rPr>
        <w:t xml:space="preserve">10 × </w:t>
      </w:r>
      <w:r w:rsidR="00D8442E" w:rsidRPr="00614B09">
        <w:rPr>
          <w:rFonts w:eastAsia="Segoe UI" w:cstheme="minorHAnsi"/>
          <w:color w:val="323E4F" w:themeColor="text2" w:themeShade="BF"/>
          <w:sz w:val="24"/>
          <w:szCs w:val="24"/>
          <w:lang w:eastAsia="en-AU"/>
        </w:rPr>
        <w:t>$</w:t>
      </w:r>
      <w:r w:rsidR="00871FED" w:rsidRPr="00614B09">
        <w:rPr>
          <w:rFonts w:eastAsia="Segoe UI" w:cstheme="minorHAnsi"/>
          <w:color w:val="323E4F" w:themeColor="text2" w:themeShade="BF"/>
          <w:sz w:val="24"/>
          <w:szCs w:val="24"/>
          <w:lang w:eastAsia="en-AU"/>
        </w:rPr>
        <w:t>481</w:t>
      </w:r>
      <w:r w:rsidR="00891751">
        <w:rPr>
          <w:rFonts w:eastAsia="Segoe UI" w:cstheme="minorHAnsi"/>
          <w:color w:val="323E4F" w:themeColor="text2" w:themeShade="BF"/>
          <w:sz w:val="24"/>
          <w:szCs w:val="24"/>
          <w:lang w:eastAsia="en-AU"/>
        </w:rPr>
        <w:t>)</w:t>
      </w:r>
      <w:r w:rsidRPr="00614B09">
        <w:rPr>
          <w:rFonts w:eastAsia="Segoe UI" w:cstheme="minorHAnsi"/>
          <w:color w:val="323E4F" w:themeColor="text2" w:themeShade="BF"/>
          <w:sz w:val="24"/>
          <w:szCs w:val="24"/>
          <w:lang w:eastAsia="en-AU"/>
        </w:rPr>
        <w:t>/2</w:t>
      </w:r>
    </w:p>
    <w:p w14:paraId="09BD6F51" w14:textId="7D98F17E" w:rsidR="0024710E" w:rsidRPr="00614B09" w:rsidRDefault="0024710E" w:rsidP="0024710E">
      <w:pPr>
        <w:tabs>
          <w:tab w:val="left" w:pos="3544"/>
          <w:tab w:val="left" w:pos="3969"/>
        </w:tabs>
        <w:spacing w:after="0" w:line="240" w:lineRule="auto"/>
        <w:ind w:left="993"/>
        <w:rPr>
          <w:rFonts w:eastAsia="Segoe UI" w:cstheme="minorHAnsi"/>
          <w:color w:val="323E4F" w:themeColor="text2" w:themeShade="BF"/>
          <w:sz w:val="24"/>
          <w:szCs w:val="24"/>
          <w:lang w:eastAsia="en-AU"/>
        </w:rPr>
      </w:pPr>
      <w:r w:rsidRPr="00614B09">
        <w:rPr>
          <w:rFonts w:eastAsia="Segoe UI" w:cstheme="minorHAnsi"/>
          <w:color w:val="323E4F" w:themeColor="text2" w:themeShade="BF"/>
          <w:sz w:val="24"/>
          <w:szCs w:val="24"/>
          <w:lang w:eastAsia="en-AU"/>
        </w:rPr>
        <w:tab/>
        <w:t>=</w:t>
      </w:r>
      <w:r w:rsidRPr="00614B09">
        <w:rPr>
          <w:rFonts w:eastAsia="Segoe UI" w:cstheme="minorHAnsi"/>
          <w:color w:val="323E4F" w:themeColor="text2" w:themeShade="BF"/>
          <w:sz w:val="24"/>
          <w:szCs w:val="24"/>
          <w:lang w:eastAsia="en-AU"/>
        </w:rPr>
        <w:tab/>
      </w:r>
      <w:r w:rsidR="00D8442E" w:rsidRPr="00614B09">
        <w:rPr>
          <w:rFonts w:eastAsia="Segoe UI" w:cstheme="minorHAnsi"/>
          <w:color w:val="323E4F" w:themeColor="text2" w:themeShade="BF"/>
          <w:sz w:val="24"/>
          <w:szCs w:val="24"/>
          <w:lang w:eastAsia="en-AU"/>
        </w:rPr>
        <w:t>$2,</w:t>
      </w:r>
      <w:r w:rsidR="00871FED" w:rsidRPr="00614B09">
        <w:rPr>
          <w:rFonts w:eastAsia="Segoe UI" w:cstheme="minorHAnsi"/>
          <w:color w:val="323E4F" w:themeColor="text2" w:themeShade="BF"/>
          <w:sz w:val="24"/>
          <w:szCs w:val="24"/>
          <w:lang w:eastAsia="en-AU"/>
        </w:rPr>
        <w:t>405</w:t>
      </w:r>
    </w:p>
    <w:p w14:paraId="43642974" w14:textId="77777777" w:rsidR="0024710E" w:rsidRPr="00614B09" w:rsidRDefault="0024710E" w:rsidP="0024710E">
      <w:pPr>
        <w:spacing w:after="0" w:line="240" w:lineRule="auto"/>
        <w:ind w:left="426"/>
        <w:rPr>
          <w:rFonts w:eastAsia="Segoe UI" w:cstheme="minorHAnsi"/>
          <w:color w:val="323E4F" w:themeColor="text2" w:themeShade="BF"/>
          <w:sz w:val="24"/>
          <w:szCs w:val="24"/>
          <w:lang w:eastAsia="en-AU"/>
        </w:rPr>
      </w:pPr>
      <w:r w:rsidRPr="00614B09">
        <w:rPr>
          <w:rFonts w:eastAsia="Segoe UI" w:cstheme="minorHAnsi"/>
          <w:color w:val="323E4F" w:themeColor="text2" w:themeShade="BF"/>
          <w:sz w:val="24"/>
          <w:szCs w:val="24"/>
          <w:lang w:eastAsia="en-AU"/>
        </w:rPr>
        <w:t>Secondary:</w:t>
      </w:r>
    </w:p>
    <w:p w14:paraId="7497155D" w14:textId="27B9E0C4" w:rsidR="0024710E" w:rsidRPr="00614B09" w:rsidRDefault="0024710E" w:rsidP="0024710E">
      <w:pPr>
        <w:tabs>
          <w:tab w:val="left" w:pos="3544"/>
          <w:tab w:val="left" w:pos="3969"/>
        </w:tabs>
        <w:spacing w:after="0" w:line="240" w:lineRule="auto"/>
        <w:ind w:left="993"/>
        <w:rPr>
          <w:rFonts w:eastAsia="Segoe UI" w:cstheme="minorHAnsi"/>
          <w:color w:val="323E4F" w:themeColor="text2" w:themeShade="BF"/>
          <w:sz w:val="24"/>
          <w:szCs w:val="24"/>
          <w:lang w:eastAsia="en-AU"/>
        </w:rPr>
      </w:pPr>
      <w:r w:rsidRPr="00614B09">
        <w:rPr>
          <w:rFonts w:eastAsia="Segoe UI" w:cstheme="minorHAnsi"/>
          <w:color w:val="323E4F" w:themeColor="text2" w:themeShade="BF"/>
          <w:sz w:val="24"/>
          <w:szCs w:val="24"/>
          <w:lang w:eastAsia="en-AU"/>
        </w:rPr>
        <w:t>Enrolment Increase</w:t>
      </w:r>
      <w:r w:rsidRPr="00614B09">
        <w:rPr>
          <w:rFonts w:eastAsia="Segoe UI" w:cstheme="minorHAnsi"/>
          <w:color w:val="323E4F" w:themeColor="text2" w:themeShade="BF"/>
          <w:sz w:val="24"/>
          <w:szCs w:val="24"/>
          <w:lang w:eastAsia="en-AU"/>
        </w:rPr>
        <w:tab/>
        <w:t>=</w:t>
      </w:r>
      <w:r w:rsidRPr="00614B09">
        <w:rPr>
          <w:rFonts w:eastAsia="Segoe UI" w:cstheme="minorHAnsi"/>
          <w:color w:val="323E4F" w:themeColor="text2" w:themeShade="BF"/>
          <w:sz w:val="24"/>
          <w:szCs w:val="24"/>
          <w:lang w:eastAsia="en-AU"/>
        </w:rPr>
        <w:tab/>
        <w:t xml:space="preserve"> 40</w:t>
      </w:r>
    </w:p>
    <w:p w14:paraId="631B82E6" w14:textId="6F757B56" w:rsidR="0024710E" w:rsidRPr="00614B09" w:rsidRDefault="0024710E" w:rsidP="0024710E">
      <w:pPr>
        <w:tabs>
          <w:tab w:val="left" w:pos="3544"/>
          <w:tab w:val="left" w:pos="3969"/>
        </w:tabs>
        <w:spacing w:after="0" w:line="240" w:lineRule="auto"/>
        <w:ind w:left="993"/>
        <w:rPr>
          <w:rFonts w:eastAsia="Segoe UI" w:cstheme="minorHAnsi"/>
          <w:color w:val="323E4F" w:themeColor="text2" w:themeShade="BF"/>
          <w:sz w:val="24"/>
          <w:szCs w:val="24"/>
          <w:lang w:eastAsia="en-AU"/>
        </w:rPr>
      </w:pPr>
      <w:r w:rsidRPr="00614B09">
        <w:rPr>
          <w:rFonts w:eastAsia="Segoe UI" w:cstheme="minorHAnsi"/>
          <w:color w:val="323E4F" w:themeColor="text2" w:themeShade="BF"/>
          <w:sz w:val="24"/>
          <w:szCs w:val="24"/>
          <w:lang w:eastAsia="en-AU"/>
        </w:rPr>
        <w:t>Cash Rate</w:t>
      </w:r>
      <w:r w:rsidRPr="00614B09">
        <w:rPr>
          <w:rFonts w:eastAsia="Segoe UI" w:cstheme="minorHAnsi"/>
          <w:color w:val="323E4F" w:themeColor="text2" w:themeShade="BF"/>
          <w:sz w:val="24"/>
          <w:szCs w:val="24"/>
          <w:lang w:eastAsia="en-AU"/>
        </w:rPr>
        <w:tab/>
        <w:t>=</w:t>
      </w:r>
      <w:r w:rsidRPr="00614B09">
        <w:rPr>
          <w:rFonts w:eastAsia="Segoe UI" w:cstheme="minorHAnsi"/>
          <w:color w:val="323E4F" w:themeColor="text2" w:themeShade="BF"/>
          <w:sz w:val="24"/>
          <w:szCs w:val="24"/>
          <w:lang w:eastAsia="en-AU"/>
        </w:rPr>
        <w:tab/>
      </w:r>
      <w:r w:rsidR="00D8442E" w:rsidRPr="00614B09">
        <w:rPr>
          <w:rFonts w:eastAsia="Segoe UI" w:cstheme="minorHAnsi"/>
          <w:color w:val="323E4F" w:themeColor="text2" w:themeShade="BF"/>
          <w:sz w:val="24"/>
          <w:szCs w:val="24"/>
          <w:lang w:eastAsia="en-AU"/>
        </w:rPr>
        <w:t>$</w:t>
      </w:r>
      <w:r w:rsidR="00871FED" w:rsidRPr="00614B09">
        <w:rPr>
          <w:rFonts w:eastAsia="Segoe UI" w:cstheme="minorHAnsi"/>
          <w:color w:val="323E4F" w:themeColor="text2" w:themeShade="BF"/>
          <w:sz w:val="24"/>
          <w:szCs w:val="24"/>
          <w:lang w:eastAsia="en-AU"/>
        </w:rPr>
        <w:t>537</w:t>
      </w:r>
    </w:p>
    <w:p w14:paraId="3179A3F9" w14:textId="77777777" w:rsidR="0024710E" w:rsidRPr="00614B09" w:rsidRDefault="0024710E" w:rsidP="0024710E">
      <w:pPr>
        <w:tabs>
          <w:tab w:val="left" w:pos="3544"/>
          <w:tab w:val="left" w:pos="3969"/>
        </w:tabs>
        <w:spacing w:after="0" w:line="240" w:lineRule="auto"/>
        <w:ind w:left="993"/>
        <w:rPr>
          <w:rFonts w:eastAsia="Segoe UI" w:cstheme="minorHAnsi"/>
          <w:color w:val="323E4F" w:themeColor="text2" w:themeShade="BF"/>
          <w:sz w:val="24"/>
          <w:szCs w:val="24"/>
          <w:lang w:eastAsia="en-AU"/>
        </w:rPr>
      </w:pPr>
    </w:p>
    <w:p w14:paraId="229448F2" w14:textId="40BB87AA" w:rsidR="0024710E" w:rsidRPr="00614B09" w:rsidRDefault="0024710E" w:rsidP="0024710E">
      <w:pPr>
        <w:tabs>
          <w:tab w:val="left" w:pos="3544"/>
          <w:tab w:val="left" w:pos="3969"/>
        </w:tabs>
        <w:spacing w:after="0" w:line="240" w:lineRule="auto"/>
        <w:ind w:left="993"/>
        <w:rPr>
          <w:rFonts w:eastAsia="Segoe UI" w:cstheme="minorHAnsi"/>
          <w:color w:val="323E4F" w:themeColor="text2" w:themeShade="BF"/>
          <w:sz w:val="24"/>
          <w:szCs w:val="24"/>
          <w:lang w:eastAsia="en-AU"/>
        </w:rPr>
      </w:pPr>
      <w:r w:rsidRPr="00614B09">
        <w:rPr>
          <w:rFonts w:eastAsia="Segoe UI" w:cstheme="minorHAnsi"/>
          <w:color w:val="323E4F" w:themeColor="text2" w:themeShade="BF"/>
          <w:sz w:val="24"/>
          <w:szCs w:val="24"/>
          <w:lang w:eastAsia="en-AU"/>
        </w:rPr>
        <w:t>Additional Funding</w:t>
      </w:r>
      <w:r w:rsidRPr="00614B09">
        <w:rPr>
          <w:rFonts w:eastAsia="Segoe UI" w:cstheme="minorHAnsi"/>
          <w:color w:val="323E4F" w:themeColor="text2" w:themeShade="BF"/>
          <w:sz w:val="24"/>
          <w:szCs w:val="24"/>
          <w:lang w:eastAsia="en-AU"/>
        </w:rPr>
        <w:tab/>
        <w:t>=</w:t>
      </w:r>
      <w:r w:rsidRPr="00614B09">
        <w:rPr>
          <w:rFonts w:eastAsia="Segoe UI" w:cstheme="minorHAnsi"/>
          <w:color w:val="323E4F" w:themeColor="text2" w:themeShade="BF"/>
          <w:sz w:val="24"/>
          <w:szCs w:val="24"/>
          <w:lang w:eastAsia="en-AU"/>
        </w:rPr>
        <w:tab/>
      </w:r>
      <w:r w:rsidR="00891751">
        <w:rPr>
          <w:rFonts w:eastAsia="Segoe UI" w:cstheme="minorHAnsi"/>
          <w:color w:val="323E4F" w:themeColor="text2" w:themeShade="BF"/>
          <w:sz w:val="24"/>
          <w:szCs w:val="24"/>
          <w:lang w:eastAsia="en-AU"/>
        </w:rPr>
        <w:t>(</w:t>
      </w:r>
      <w:r w:rsidRPr="00614B09">
        <w:rPr>
          <w:rFonts w:eastAsia="Segoe UI" w:cstheme="minorHAnsi"/>
          <w:color w:val="323E4F" w:themeColor="text2" w:themeShade="BF"/>
          <w:sz w:val="24"/>
          <w:szCs w:val="24"/>
          <w:lang w:eastAsia="en-AU"/>
        </w:rPr>
        <w:t xml:space="preserve">Enrolment increase × Cash </w:t>
      </w:r>
      <w:r w:rsidR="00891751">
        <w:rPr>
          <w:rFonts w:eastAsia="Segoe UI" w:cstheme="minorHAnsi"/>
          <w:color w:val="323E4F" w:themeColor="text2" w:themeShade="BF"/>
          <w:sz w:val="24"/>
          <w:szCs w:val="24"/>
          <w:lang w:eastAsia="en-AU"/>
        </w:rPr>
        <w:t>r</w:t>
      </w:r>
      <w:r w:rsidRPr="00614B09">
        <w:rPr>
          <w:rFonts w:eastAsia="Segoe UI" w:cstheme="minorHAnsi"/>
          <w:color w:val="323E4F" w:themeColor="text2" w:themeShade="BF"/>
          <w:sz w:val="24"/>
          <w:szCs w:val="24"/>
          <w:lang w:eastAsia="en-AU"/>
        </w:rPr>
        <w:t>ate</w:t>
      </w:r>
      <w:r w:rsidR="00891751">
        <w:rPr>
          <w:rFonts w:eastAsia="Segoe UI" w:cstheme="minorHAnsi"/>
          <w:color w:val="323E4F" w:themeColor="text2" w:themeShade="BF"/>
          <w:sz w:val="24"/>
          <w:szCs w:val="24"/>
          <w:lang w:eastAsia="en-AU"/>
        </w:rPr>
        <w:t>)</w:t>
      </w:r>
      <w:r w:rsidRPr="00614B09">
        <w:rPr>
          <w:rFonts w:eastAsia="Segoe UI" w:cstheme="minorHAnsi"/>
          <w:color w:val="323E4F" w:themeColor="text2" w:themeShade="BF"/>
          <w:sz w:val="24"/>
          <w:szCs w:val="24"/>
          <w:lang w:eastAsia="en-AU"/>
        </w:rPr>
        <w:t>/2</w:t>
      </w:r>
    </w:p>
    <w:p w14:paraId="2DBF3C50" w14:textId="75506018" w:rsidR="0024710E" w:rsidRPr="00614B09" w:rsidRDefault="0024710E" w:rsidP="0024710E">
      <w:pPr>
        <w:tabs>
          <w:tab w:val="left" w:pos="3544"/>
          <w:tab w:val="left" w:pos="3969"/>
        </w:tabs>
        <w:spacing w:after="0" w:line="240" w:lineRule="auto"/>
        <w:ind w:left="993"/>
        <w:rPr>
          <w:rFonts w:eastAsia="Segoe UI" w:cstheme="minorHAnsi"/>
          <w:color w:val="323E4F" w:themeColor="text2" w:themeShade="BF"/>
          <w:sz w:val="24"/>
          <w:szCs w:val="24"/>
          <w:lang w:eastAsia="en-AU"/>
        </w:rPr>
      </w:pPr>
      <w:r w:rsidRPr="00614B09">
        <w:rPr>
          <w:rFonts w:eastAsia="Segoe UI" w:cstheme="minorHAnsi"/>
          <w:color w:val="323E4F" w:themeColor="text2" w:themeShade="BF"/>
          <w:sz w:val="24"/>
          <w:szCs w:val="24"/>
          <w:lang w:eastAsia="en-AU"/>
        </w:rPr>
        <w:tab/>
        <w:t>=</w:t>
      </w:r>
      <w:r w:rsidRPr="00614B09">
        <w:rPr>
          <w:rFonts w:eastAsia="Segoe UI" w:cstheme="minorHAnsi"/>
          <w:color w:val="323E4F" w:themeColor="text2" w:themeShade="BF"/>
          <w:sz w:val="24"/>
          <w:szCs w:val="24"/>
          <w:lang w:eastAsia="en-AU"/>
        </w:rPr>
        <w:tab/>
      </w:r>
      <w:r w:rsidR="00891751">
        <w:rPr>
          <w:rFonts w:eastAsia="Segoe UI" w:cstheme="minorHAnsi"/>
          <w:color w:val="323E4F" w:themeColor="text2" w:themeShade="BF"/>
          <w:sz w:val="24"/>
          <w:szCs w:val="24"/>
          <w:lang w:eastAsia="en-AU"/>
        </w:rPr>
        <w:t>(</w:t>
      </w:r>
      <w:r w:rsidRPr="00614B09">
        <w:rPr>
          <w:rFonts w:eastAsia="Segoe UI" w:cstheme="minorHAnsi"/>
          <w:color w:val="323E4F" w:themeColor="text2" w:themeShade="BF"/>
          <w:sz w:val="24"/>
          <w:szCs w:val="24"/>
          <w:lang w:eastAsia="en-AU"/>
        </w:rPr>
        <w:t xml:space="preserve">40 × </w:t>
      </w:r>
      <w:r w:rsidR="00D8442E" w:rsidRPr="00614B09">
        <w:rPr>
          <w:rFonts w:eastAsia="Segoe UI" w:cstheme="minorHAnsi"/>
          <w:color w:val="323E4F" w:themeColor="text2" w:themeShade="BF"/>
          <w:sz w:val="24"/>
          <w:szCs w:val="24"/>
          <w:lang w:eastAsia="en-AU"/>
        </w:rPr>
        <w:t>$</w:t>
      </w:r>
      <w:r w:rsidR="00871FED" w:rsidRPr="00614B09">
        <w:rPr>
          <w:rFonts w:eastAsia="Segoe UI" w:cstheme="minorHAnsi"/>
          <w:color w:val="323E4F" w:themeColor="text2" w:themeShade="BF"/>
          <w:sz w:val="24"/>
          <w:szCs w:val="24"/>
          <w:lang w:eastAsia="en-AU"/>
        </w:rPr>
        <w:t>537</w:t>
      </w:r>
      <w:r w:rsidR="00891751">
        <w:rPr>
          <w:rFonts w:eastAsia="Segoe UI" w:cstheme="minorHAnsi"/>
          <w:color w:val="323E4F" w:themeColor="text2" w:themeShade="BF"/>
          <w:sz w:val="24"/>
          <w:szCs w:val="24"/>
          <w:lang w:eastAsia="en-AU"/>
        </w:rPr>
        <w:t>)</w:t>
      </w:r>
      <w:r w:rsidRPr="00614B09">
        <w:rPr>
          <w:rFonts w:eastAsia="Segoe UI" w:cstheme="minorHAnsi"/>
          <w:color w:val="323E4F" w:themeColor="text2" w:themeShade="BF"/>
          <w:sz w:val="24"/>
          <w:szCs w:val="24"/>
          <w:lang w:eastAsia="en-AU"/>
        </w:rPr>
        <w:t>/2</w:t>
      </w:r>
    </w:p>
    <w:p w14:paraId="00D8B031" w14:textId="4DDF8132" w:rsidR="0024710E" w:rsidRPr="00614B09" w:rsidRDefault="0024710E" w:rsidP="00D8442E">
      <w:pPr>
        <w:tabs>
          <w:tab w:val="left" w:pos="3544"/>
          <w:tab w:val="left" w:pos="3969"/>
        </w:tabs>
        <w:spacing w:after="0" w:line="240" w:lineRule="auto"/>
        <w:ind w:left="993"/>
        <w:rPr>
          <w:rFonts w:eastAsia="Segoe UI" w:cstheme="minorHAnsi"/>
          <w:color w:val="323E4F" w:themeColor="text2" w:themeShade="BF"/>
          <w:sz w:val="24"/>
          <w:szCs w:val="24"/>
          <w:lang w:eastAsia="en-AU"/>
        </w:rPr>
      </w:pPr>
      <w:r w:rsidRPr="00614B09">
        <w:rPr>
          <w:rFonts w:eastAsia="Segoe UI" w:cstheme="minorHAnsi"/>
          <w:color w:val="323E4F" w:themeColor="text2" w:themeShade="BF"/>
          <w:sz w:val="24"/>
          <w:szCs w:val="24"/>
          <w:lang w:eastAsia="en-AU"/>
        </w:rPr>
        <w:tab/>
        <w:t>=</w:t>
      </w:r>
      <w:r w:rsidRPr="00614B09">
        <w:rPr>
          <w:rFonts w:eastAsia="Segoe UI" w:cstheme="minorHAnsi"/>
          <w:color w:val="323E4F" w:themeColor="text2" w:themeShade="BF"/>
          <w:sz w:val="24"/>
          <w:szCs w:val="24"/>
          <w:lang w:eastAsia="en-AU"/>
        </w:rPr>
        <w:tab/>
      </w:r>
      <w:r w:rsidR="00D8442E" w:rsidRPr="00614B09">
        <w:rPr>
          <w:rFonts w:eastAsia="Segoe UI" w:cstheme="minorHAnsi"/>
          <w:color w:val="323E4F" w:themeColor="text2" w:themeShade="BF"/>
          <w:sz w:val="24"/>
          <w:szCs w:val="24"/>
          <w:lang w:eastAsia="en-AU"/>
        </w:rPr>
        <w:t>$10,</w:t>
      </w:r>
      <w:r w:rsidR="00871FED" w:rsidRPr="00614B09">
        <w:rPr>
          <w:rFonts w:eastAsia="Segoe UI" w:cstheme="minorHAnsi"/>
          <w:color w:val="323E4F" w:themeColor="text2" w:themeShade="BF"/>
          <w:sz w:val="24"/>
          <w:szCs w:val="24"/>
          <w:lang w:eastAsia="en-AU"/>
        </w:rPr>
        <w:t>740</w:t>
      </w:r>
    </w:p>
    <w:p w14:paraId="13EBE6D3" w14:textId="77777777" w:rsidR="0024710E" w:rsidRPr="00260C1D" w:rsidRDefault="0024710E" w:rsidP="0024710E">
      <w:pPr>
        <w:spacing w:after="0" w:line="240" w:lineRule="auto"/>
        <w:rPr>
          <w:rFonts w:eastAsia="Segoe UI" w:cstheme="minorHAnsi"/>
          <w:lang w:eastAsia="en-AU"/>
        </w:rPr>
      </w:pPr>
    </w:p>
    <w:p w14:paraId="5C02E7C5" w14:textId="766D0DF6" w:rsidR="0024710E" w:rsidRPr="00260C1D" w:rsidRDefault="0024710E" w:rsidP="0024710E">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Additional </w:t>
      </w:r>
      <w:r w:rsidR="00891751">
        <w:rPr>
          <w:rFonts w:eastAsia="Segoe UI" w:cstheme="minorHAnsi"/>
          <w:color w:val="011A3C"/>
          <w:sz w:val="24"/>
          <w:szCs w:val="24"/>
          <w:lang w:val="en" w:eastAsia="en-AU"/>
        </w:rPr>
        <w:t>f</w:t>
      </w:r>
      <w:r w:rsidRPr="00260C1D">
        <w:rPr>
          <w:rFonts w:eastAsia="Segoe UI" w:cstheme="minorHAnsi"/>
          <w:color w:val="011A3C"/>
          <w:sz w:val="24"/>
          <w:szCs w:val="24"/>
          <w:lang w:val="en" w:eastAsia="en-AU"/>
        </w:rPr>
        <w:t>unding post February census must be supported by the Regional Director of the relevant region.</w:t>
      </w:r>
    </w:p>
    <w:p w14:paraId="768261F8" w14:textId="77777777" w:rsidR="0024710E" w:rsidRPr="00260C1D" w:rsidRDefault="0024710E" w:rsidP="0024710E">
      <w:pPr>
        <w:spacing w:after="0" w:line="240" w:lineRule="auto"/>
        <w:rPr>
          <w:rFonts w:eastAsia="Segoe UI" w:cstheme="minorHAnsi"/>
          <w:b/>
          <w:sz w:val="24"/>
          <w:szCs w:val="24"/>
          <w:lang w:eastAsia="en-AU"/>
        </w:rPr>
      </w:pPr>
    </w:p>
    <w:p w14:paraId="4B702B40" w14:textId="3435F79F" w:rsidR="00D8442E" w:rsidRPr="00260C1D" w:rsidRDefault="00D8442E" w:rsidP="0024710E">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Additional</w:t>
      </w:r>
      <w:r w:rsidR="00434BA9" w:rsidRPr="00260C1D">
        <w:rPr>
          <w:rFonts w:eastAsia="Segoe UI" w:cstheme="minorHAnsi"/>
          <w:color w:val="011A3C"/>
          <w:sz w:val="24"/>
          <w:szCs w:val="24"/>
          <w:lang w:val="en" w:eastAsia="en-AU"/>
        </w:rPr>
        <w:t xml:space="preserve"> credit</w:t>
      </w:r>
      <w:r w:rsidRPr="00260C1D">
        <w:rPr>
          <w:rFonts w:eastAsia="Segoe UI" w:cstheme="minorHAnsi"/>
          <w:color w:val="011A3C"/>
          <w:sz w:val="24"/>
          <w:szCs w:val="24"/>
          <w:lang w:val="en" w:eastAsia="en-AU"/>
        </w:rPr>
        <w:t xml:space="preserve"> funding may be considered where a </w:t>
      </w:r>
      <w:r w:rsidR="004F28A2">
        <w:rPr>
          <w:rFonts w:eastAsia="Segoe UI" w:cstheme="minorHAnsi"/>
          <w:color w:val="011A3C"/>
          <w:sz w:val="24"/>
          <w:szCs w:val="24"/>
          <w:lang w:val="en" w:eastAsia="en-AU"/>
        </w:rPr>
        <w:t xml:space="preserve">new </w:t>
      </w:r>
      <w:r w:rsidRPr="00260C1D">
        <w:rPr>
          <w:rFonts w:eastAsia="Segoe UI" w:cstheme="minorHAnsi"/>
          <w:color w:val="011A3C"/>
          <w:sz w:val="24"/>
          <w:szCs w:val="24"/>
          <w:lang w:val="en" w:eastAsia="en-AU"/>
        </w:rPr>
        <w:t xml:space="preserve">school </w:t>
      </w:r>
      <w:r w:rsidR="004F28A2">
        <w:rPr>
          <w:rFonts w:eastAsia="Segoe UI" w:cstheme="minorHAnsi"/>
          <w:color w:val="011A3C"/>
          <w:sz w:val="24"/>
          <w:szCs w:val="24"/>
          <w:lang w:val="en" w:eastAsia="en-AU"/>
        </w:rPr>
        <w:t xml:space="preserve">in operation for the first </w:t>
      </w:r>
      <w:r w:rsidR="004D521F">
        <w:rPr>
          <w:rFonts w:eastAsia="Segoe UI" w:cstheme="minorHAnsi"/>
          <w:color w:val="011A3C"/>
          <w:sz w:val="24"/>
          <w:szCs w:val="24"/>
          <w:lang w:val="en" w:eastAsia="en-AU"/>
        </w:rPr>
        <w:t xml:space="preserve">three </w:t>
      </w:r>
      <w:r w:rsidR="004F28A2">
        <w:rPr>
          <w:rFonts w:eastAsia="Segoe UI" w:cstheme="minorHAnsi"/>
          <w:color w:val="011A3C"/>
          <w:sz w:val="24"/>
          <w:szCs w:val="24"/>
          <w:lang w:val="en" w:eastAsia="en-AU"/>
        </w:rPr>
        <w:t>year</w:t>
      </w:r>
      <w:r w:rsidR="004D521F">
        <w:rPr>
          <w:rFonts w:eastAsia="Segoe UI" w:cstheme="minorHAnsi"/>
          <w:color w:val="011A3C"/>
          <w:sz w:val="24"/>
          <w:szCs w:val="24"/>
          <w:lang w:val="en" w:eastAsia="en-AU"/>
        </w:rPr>
        <w:t>s</w:t>
      </w:r>
      <w:r w:rsidR="004F28A2">
        <w:rPr>
          <w:rFonts w:eastAsia="Segoe UI" w:cstheme="minorHAnsi"/>
          <w:color w:val="011A3C"/>
          <w:sz w:val="24"/>
          <w:szCs w:val="24"/>
          <w:lang w:val="en" w:eastAsia="en-AU"/>
        </w:rPr>
        <w:t xml:space="preserve"> </w:t>
      </w:r>
      <w:r w:rsidRPr="00260C1D">
        <w:rPr>
          <w:rFonts w:eastAsia="Segoe UI" w:cstheme="minorHAnsi"/>
          <w:color w:val="011A3C"/>
          <w:sz w:val="24"/>
          <w:szCs w:val="24"/>
          <w:lang w:val="en" w:eastAsia="en-AU"/>
        </w:rPr>
        <w:t>can demonstrate</w:t>
      </w:r>
      <w:r w:rsidR="00891751">
        <w:rPr>
          <w:rFonts w:eastAsia="Segoe UI" w:cstheme="minorHAnsi"/>
          <w:color w:val="011A3C"/>
          <w:sz w:val="24"/>
          <w:szCs w:val="24"/>
          <w:lang w:val="en" w:eastAsia="en-AU"/>
        </w:rPr>
        <w:t xml:space="preserve"> that</w:t>
      </w:r>
      <w:r w:rsidRPr="00260C1D">
        <w:rPr>
          <w:rFonts w:eastAsia="Segoe UI" w:cstheme="minorHAnsi"/>
          <w:color w:val="011A3C"/>
          <w:sz w:val="24"/>
          <w:szCs w:val="24"/>
          <w:lang w:val="en" w:eastAsia="en-AU"/>
        </w:rPr>
        <w:t xml:space="preserve"> the establishment of new classes after </w:t>
      </w:r>
      <w:r w:rsidR="00891751">
        <w:rPr>
          <w:rFonts w:eastAsia="Segoe UI" w:cstheme="minorHAnsi"/>
          <w:color w:val="011A3C"/>
          <w:sz w:val="24"/>
          <w:szCs w:val="24"/>
          <w:lang w:val="en" w:eastAsia="en-AU"/>
        </w:rPr>
        <w:t xml:space="preserve">the </w:t>
      </w:r>
      <w:r w:rsidRPr="00260C1D">
        <w:rPr>
          <w:rFonts w:eastAsia="Segoe UI" w:cstheme="minorHAnsi"/>
          <w:color w:val="011A3C"/>
          <w:sz w:val="24"/>
          <w:szCs w:val="24"/>
          <w:lang w:val="en" w:eastAsia="en-AU"/>
        </w:rPr>
        <w:t xml:space="preserve">February census significantly increased costs as a result of additional student numbers. </w:t>
      </w:r>
      <w:r w:rsidR="00434BA9" w:rsidRPr="00260C1D">
        <w:rPr>
          <w:rFonts w:eastAsia="Segoe UI" w:cstheme="minorHAnsi"/>
          <w:color w:val="011A3C"/>
          <w:sz w:val="24"/>
          <w:szCs w:val="24"/>
          <w:lang w:val="en" w:eastAsia="en-AU"/>
        </w:rPr>
        <w:t>Schools must also demonstrate that additional staffing costs are unable to be accommodated within the existing budget.</w:t>
      </w:r>
    </w:p>
    <w:p w14:paraId="1827675C" w14:textId="77777777" w:rsidR="0024710E" w:rsidRPr="00260C1D" w:rsidRDefault="0024710E" w:rsidP="0024710E">
      <w:pPr>
        <w:spacing w:after="0" w:line="240" w:lineRule="auto"/>
        <w:rPr>
          <w:rFonts w:eastAsia="Segoe UI" w:cstheme="minorHAnsi"/>
          <w:color w:val="011A3C"/>
          <w:sz w:val="24"/>
          <w:szCs w:val="24"/>
          <w:lang w:val="en" w:eastAsia="en-AU"/>
        </w:rPr>
      </w:pPr>
    </w:p>
    <w:p w14:paraId="3AB50233" w14:textId="3A2ED4B9" w:rsidR="0024710E" w:rsidRPr="00260C1D" w:rsidRDefault="0024710E" w:rsidP="0024710E">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 xml:space="preserve">The request should be made in writing to the respective regional director and should include a business case outlining the detail of the </w:t>
      </w:r>
      <w:r w:rsidR="00D8442E" w:rsidRPr="00260C1D">
        <w:rPr>
          <w:rFonts w:eastAsia="Segoe UI" w:cstheme="minorHAnsi"/>
          <w:color w:val="011A3C"/>
          <w:sz w:val="24"/>
          <w:szCs w:val="24"/>
          <w:lang w:val="en" w:eastAsia="en-AU"/>
        </w:rPr>
        <w:t xml:space="preserve">enrolment </w:t>
      </w:r>
      <w:r w:rsidRPr="00260C1D">
        <w:rPr>
          <w:rFonts w:eastAsia="Segoe UI" w:cstheme="minorHAnsi"/>
          <w:color w:val="011A3C"/>
          <w:sz w:val="24"/>
          <w:szCs w:val="24"/>
          <w:lang w:val="en" w:eastAsia="en-AU"/>
        </w:rPr>
        <w:t xml:space="preserve">growth and subsequent requirement to add an additional class </w:t>
      </w:r>
      <w:r w:rsidR="00D8442E" w:rsidRPr="00260C1D">
        <w:rPr>
          <w:rFonts w:eastAsia="Segoe UI" w:cstheme="minorHAnsi"/>
          <w:color w:val="011A3C"/>
          <w:sz w:val="24"/>
          <w:szCs w:val="24"/>
          <w:lang w:val="en" w:eastAsia="en-AU"/>
        </w:rPr>
        <w:t xml:space="preserve">after </w:t>
      </w:r>
      <w:r w:rsidR="00891751">
        <w:rPr>
          <w:rFonts w:eastAsia="Segoe UI" w:cstheme="minorHAnsi"/>
          <w:color w:val="011A3C"/>
          <w:sz w:val="24"/>
          <w:szCs w:val="24"/>
          <w:lang w:val="en" w:eastAsia="en-AU"/>
        </w:rPr>
        <w:t xml:space="preserve">the </w:t>
      </w:r>
      <w:r w:rsidRPr="00260C1D">
        <w:rPr>
          <w:rFonts w:eastAsia="Segoe UI" w:cstheme="minorHAnsi"/>
          <w:color w:val="011A3C"/>
          <w:sz w:val="24"/>
          <w:szCs w:val="24"/>
          <w:lang w:val="en" w:eastAsia="en-AU"/>
        </w:rPr>
        <w:t>February census and the subsequent employment required to teach the additional class</w:t>
      </w:r>
      <w:r w:rsidR="00D8442E" w:rsidRPr="00260C1D">
        <w:rPr>
          <w:rFonts w:eastAsia="Segoe UI" w:cstheme="minorHAnsi"/>
          <w:color w:val="011A3C"/>
          <w:sz w:val="24"/>
          <w:szCs w:val="24"/>
          <w:lang w:val="en" w:eastAsia="en-AU"/>
        </w:rPr>
        <w:t>. Employment details</w:t>
      </w:r>
      <w:r w:rsidRPr="00260C1D">
        <w:rPr>
          <w:rFonts w:eastAsia="Segoe UI" w:cstheme="minorHAnsi"/>
          <w:color w:val="011A3C"/>
          <w:sz w:val="24"/>
          <w:szCs w:val="24"/>
          <w:lang w:val="en" w:eastAsia="en-AU"/>
        </w:rPr>
        <w:t xml:space="preserve"> must include teacher name, </w:t>
      </w:r>
      <w:r w:rsidR="00D8442E" w:rsidRPr="00260C1D">
        <w:rPr>
          <w:rFonts w:eastAsia="Segoe UI" w:cstheme="minorHAnsi"/>
          <w:color w:val="011A3C"/>
          <w:sz w:val="24"/>
          <w:szCs w:val="24"/>
          <w:lang w:val="en" w:eastAsia="en-AU"/>
        </w:rPr>
        <w:t xml:space="preserve">PIN </w:t>
      </w:r>
      <w:r w:rsidRPr="00260C1D">
        <w:rPr>
          <w:rFonts w:eastAsia="Segoe UI" w:cstheme="minorHAnsi"/>
          <w:color w:val="011A3C"/>
          <w:sz w:val="24"/>
          <w:szCs w:val="24"/>
          <w:lang w:val="en" w:eastAsia="en-AU"/>
        </w:rPr>
        <w:t>number and date of employment, which must be post census.</w:t>
      </w:r>
    </w:p>
    <w:p w14:paraId="4D223DD6" w14:textId="77777777" w:rsidR="0024710E" w:rsidRPr="00260C1D" w:rsidRDefault="0024710E" w:rsidP="0024710E">
      <w:pPr>
        <w:spacing w:after="0" w:line="240" w:lineRule="auto"/>
        <w:rPr>
          <w:rFonts w:eastAsia="Segoe UI" w:cstheme="minorHAnsi"/>
          <w:color w:val="011A3C"/>
          <w:sz w:val="24"/>
          <w:szCs w:val="24"/>
          <w:lang w:val="en" w:eastAsia="en-AU"/>
        </w:rPr>
      </w:pPr>
    </w:p>
    <w:p w14:paraId="21798575" w14:textId="50D296CF" w:rsidR="00EA34C0" w:rsidRDefault="0024710E" w:rsidP="007E3304">
      <w:pPr>
        <w:spacing w:after="0" w:line="240" w:lineRule="auto"/>
        <w:rPr>
          <w:rFonts w:eastAsia="Segoe UI" w:cstheme="minorHAnsi"/>
          <w:color w:val="011A3C"/>
          <w:sz w:val="24"/>
          <w:szCs w:val="24"/>
          <w:lang w:val="en" w:eastAsia="en-AU"/>
        </w:rPr>
      </w:pPr>
      <w:r w:rsidRPr="00260C1D">
        <w:rPr>
          <w:rFonts w:eastAsia="Segoe UI" w:cstheme="minorHAnsi"/>
          <w:color w:val="011A3C"/>
          <w:sz w:val="24"/>
          <w:szCs w:val="24"/>
          <w:lang w:val="en" w:eastAsia="en-AU"/>
        </w:rPr>
        <w:t>The business case will be assessed by the Schools Finance and Resources Branch and a decision will be conveyed to the school and relevant regional officers.</w:t>
      </w:r>
    </w:p>
    <w:p w14:paraId="64C3692F" w14:textId="77777777" w:rsidR="001E49BC" w:rsidRDefault="001E49BC" w:rsidP="007E3304">
      <w:pPr>
        <w:spacing w:after="0" w:line="240" w:lineRule="auto"/>
        <w:rPr>
          <w:rFonts w:eastAsia="Segoe UI" w:cstheme="minorHAnsi"/>
          <w:color w:val="011A3C"/>
          <w:sz w:val="24"/>
          <w:szCs w:val="24"/>
          <w:lang w:val="en" w:eastAsia="en-AU"/>
        </w:rPr>
      </w:pPr>
    </w:p>
    <w:p w14:paraId="1EF79EE3" w14:textId="07043773" w:rsidR="001E49BC" w:rsidRDefault="00586875" w:rsidP="007E3304">
      <w:pPr>
        <w:spacing w:after="0" w:line="240" w:lineRule="auto"/>
        <w:rPr>
          <w:rFonts w:eastAsia="Segoe UI" w:cstheme="minorHAnsi"/>
          <w:color w:val="011A3C"/>
          <w:sz w:val="24"/>
          <w:szCs w:val="24"/>
          <w:lang w:val="en" w:eastAsia="en-AU"/>
        </w:rPr>
      </w:pPr>
      <w:r>
        <w:rPr>
          <w:rFonts w:eastAsia="Segoe UI" w:cstheme="minorHAnsi"/>
          <w:color w:val="011A3C"/>
          <w:sz w:val="24"/>
          <w:szCs w:val="24"/>
          <w:lang w:val="en" w:eastAsia="en-AU"/>
        </w:rPr>
        <w:lastRenderedPageBreak/>
        <w:t>All other schools that have been established</w:t>
      </w:r>
      <w:r w:rsidR="00BB4530">
        <w:rPr>
          <w:rFonts w:eastAsia="Segoe UI" w:cstheme="minorHAnsi"/>
          <w:color w:val="011A3C"/>
          <w:sz w:val="24"/>
          <w:szCs w:val="24"/>
          <w:lang w:val="en" w:eastAsia="en-AU"/>
        </w:rPr>
        <w:t xml:space="preserve"> for more than three years</w:t>
      </w:r>
      <w:r w:rsidR="00AF09B5">
        <w:rPr>
          <w:rFonts w:eastAsia="Segoe UI" w:cstheme="minorHAnsi"/>
          <w:color w:val="011A3C"/>
          <w:sz w:val="24"/>
          <w:szCs w:val="24"/>
          <w:lang w:val="en" w:eastAsia="en-AU"/>
        </w:rPr>
        <w:t xml:space="preserve"> and experienced extraordinary </w:t>
      </w:r>
      <w:r w:rsidR="00003AD2">
        <w:rPr>
          <w:rFonts w:eastAsia="Segoe UI" w:cstheme="minorHAnsi"/>
          <w:color w:val="011A3C"/>
          <w:sz w:val="24"/>
          <w:szCs w:val="24"/>
          <w:lang w:val="en" w:eastAsia="en-AU"/>
        </w:rPr>
        <w:t>enrolment growth may also apply for regional consideration</w:t>
      </w:r>
      <w:r w:rsidR="00E755FB">
        <w:rPr>
          <w:rFonts w:eastAsia="Segoe UI" w:cstheme="minorHAnsi"/>
          <w:color w:val="011A3C"/>
          <w:sz w:val="24"/>
          <w:szCs w:val="24"/>
          <w:lang w:val="en" w:eastAsia="en-AU"/>
        </w:rPr>
        <w:t xml:space="preserve">. </w:t>
      </w:r>
      <w:r w:rsidR="00E9423E">
        <w:rPr>
          <w:rFonts w:eastAsia="Segoe UI" w:cstheme="minorHAnsi"/>
          <w:color w:val="011A3C"/>
          <w:sz w:val="24"/>
          <w:szCs w:val="24"/>
          <w:lang w:val="en" w:eastAsia="en-AU"/>
        </w:rPr>
        <w:t xml:space="preserve">Schools that apply </w:t>
      </w:r>
      <w:r w:rsidR="006B4ABE">
        <w:rPr>
          <w:rFonts w:eastAsia="Segoe UI" w:cstheme="minorHAnsi"/>
          <w:color w:val="011A3C"/>
          <w:sz w:val="24"/>
          <w:szCs w:val="24"/>
          <w:lang w:val="en" w:eastAsia="en-AU"/>
        </w:rPr>
        <w:t>must demonst</w:t>
      </w:r>
      <w:r w:rsidR="00F22FF1">
        <w:rPr>
          <w:rFonts w:eastAsia="Segoe UI" w:cstheme="minorHAnsi"/>
          <w:color w:val="011A3C"/>
          <w:sz w:val="24"/>
          <w:szCs w:val="24"/>
          <w:lang w:val="en" w:eastAsia="en-AU"/>
        </w:rPr>
        <w:t xml:space="preserve">rate </w:t>
      </w:r>
      <w:r w:rsidR="009543B8">
        <w:rPr>
          <w:rFonts w:eastAsia="Segoe UI" w:cstheme="minorHAnsi"/>
          <w:color w:val="011A3C"/>
          <w:sz w:val="24"/>
          <w:szCs w:val="24"/>
          <w:lang w:val="en" w:eastAsia="en-AU"/>
        </w:rPr>
        <w:t xml:space="preserve">the growth has created </w:t>
      </w:r>
      <w:r w:rsidR="000D13CC">
        <w:rPr>
          <w:rFonts w:eastAsia="Segoe UI" w:cstheme="minorHAnsi"/>
          <w:color w:val="011A3C"/>
          <w:sz w:val="24"/>
          <w:szCs w:val="24"/>
          <w:lang w:val="en" w:eastAsia="en-AU"/>
        </w:rPr>
        <w:t>financial stress in their school</w:t>
      </w:r>
      <w:r w:rsidR="00386542">
        <w:rPr>
          <w:rFonts w:eastAsia="Segoe UI" w:cstheme="minorHAnsi"/>
          <w:color w:val="011A3C"/>
          <w:sz w:val="24"/>
          <w:szCs w:val="24"/>
          <w:lang w:val="en" w:eastAsia="en-AU"/>
        </w:rPr>
        <w:t xml:space="preserve">. All </w:t>
      </w:r>
      <w:r w:rsidR="00283214">
        <w:rPr>
          <w:rFonts w:eastAsia="Segoe UI" w:cstheme="minorHAnsi"/>
          <w:color w:val="011A3C"/>
          <w:sz w:val="24"/>
          <w:szCs w:val="24"/>
          <w:lang w:val="en" w:eastAsia="en-AU"/>
        </w:rPr>
        <w:t>schools’</w:t>
      </w:r>
      <w:r w:rsidR="00386542">
        <w:rPr>
          <w:rFonts w:eastAsia="Segoe UI" w:cstheme="minorHAnsi"/>
          <w:color w:val="011A3C"/>
          <w:sz w:val="24"/>
          <w:szCs w:val="24"/>
          <w:lang w:val="en" w:eastAsia="en-AU"/>
        </w:rPr>
        <w:t xml:space="preserve"> </w:t>
      </w:r>
      <w:r w:rsidR="00FA3BEF">
        <w:rPr>
          <w:rFonts w:eastAsia="Segoe UI" w:cstheme="minorHAnsi"/>
          <w:color w:val="011A3C"/>
          <w:sz w:val="24"/>
          <w:szCs w:val="24"/>
          <w:lang w:val="en" w:eastAsia="en-AU"/>
        </w:rPr>
        <w:t>financials</w:t>
      </w:r>
      <w:r w:rsidR="00386542">
        <w:rPr>
          <w:rFonts w:eastAsia="Segoe UI" w:cstheme="minorHAnsi"/>
          <w:color w:val="011A3C"/>
          <w:sz w:val="24"/>
          <w:szCs w:val="24"/>
          <w:lang w:val="en" w:eastAsia="en-AU"/>
        </w:rPr>
        <w:t xml:space="preserve"> will be considered</w:t>
      </w:r>
      <w:r w:rsidR="00FA3BEF">
        <w:rPr>
          <w:rFonts w:eastAsia="Segoe UI" w:cstheme="minorHAnsi"/>
          <w:color w:val="011A3C"/>
          <w:sz w:val="24"/>
          <w:szCs w:val="24"/>
          <w:lang w:val="en" w:eastAsia="en-AU"/>
        </w:rPr>
        <w:t xml:space="preserve">, including SRP credit </w:t>
      </w:r>
      <w:r w:rsidR="00AC2920">
        <w:rPr>
          <w:rFonts w:eastAsia="Segoe UI" w:cstheme="minorHAnsi"/>
          <w:color w:val="011A3C"/>
          <w:sz w:val="24"/>
          <w:szCs w:val="24"/>
          <w:lang w:val="en" w:eastAsia="en-AU"/>
        </w:rPr>
        <w:t>positions</w:t>
      </w:r>
      <w:r w:rsidR="00FA3BEF">
        <w:rPr>
          <w:rFonts w:eastAsia="Segoe UI" w:cstheme="minorHAnsi"/>
          <w:color w:val="011A3C"/>
          <w:sz w:val="24"/>
          <w:szCs w:val="24"/>
          <w:lang w:val="en" w:eastAsia="en-AU"/>
        </w:rPr>
        <w:t>, school ba</w:t>
      </w:r>
      <w:r w:rsidR="00125EA0">
        <w:rPr>
          <w:rFonts w:eastAsia="Segoe UI" w:cstheme="minorHAnsi"/>
          <w:color w:val="011A3C"/>
          <w:sz w:val="24"/>
          <w:szCs w:val="24"/>
          <w:lang w:val="en" w:eastAsia="en-AU"/>
        </w:rPr>
        <w:t>nk balance</w:t>
      </w:r>
      <w:r w:rsidR="00283214">
        <w:rPr>
          <w:rFonts w:eastAsia="Segoe UI" w:cstheme="minorHAnsi"/>
          <w:color w:val="011A3C"/>
          <w:sz w:val="24"/>
          <w:szCs w:val="24"/>
          <w:lang w:val="en" w:eastAsia="en-AU"/>
        </w:rPr>
        <w:t>s</w:t>
      </w:r>
      <w:r w:rsidR="00125EA0">
        <w:rPr>
          <w:rFonts w:eastAsia="Segoe UI" w:cstheme="minorHAnsi"/>
          <w:color w:val="011A3C"/>
          <w:sz w:val="24"/>
          <w:szCs w:val="24"/>
          <w:lang w:val="en" w:eastAsia="en-AU"/>
        </w:rPr>
        <w:t xml:space="preserve"> and programs</w:t>
      </w:r>
      <w:r w:rsidR="00AC2920">
        <w:rPr>
          <w:rFonts w:eastAsia="Segoe UI" w:cstheme="minorHAnsi"/>
          <w:color w:val="011A3C"/>
          <w:sz w:val="24"/>
          <w:szCs w:val="24"/>
          <w:lang w:val="en" w:eastAsia="en-AU"/>
        </w:rPr>
        <w:t xml:space="preserve"> such as </w:t>
      </w:r>
      <w:r w:rsidR="00FC7A08">
        <w:rPr>
          <w:rFonts w:eastAsia="Segoe UI" w:cstheme="minorHAnsi"/>
          <w:color w:val="011A3C"/>
          <w:sz w:val="24"/>
          <w:szCs w:val="24"/>
          <w:lang w:val="en" w:eastAsia="en-AU"/>
        </w:rPr>
        <w:t>international</w:t>
      </w:r>
      <w:r w:rsidR="00AC2920">
        <w:rPr>
          <w:rFonts w:eastAsia="Segoe UI" w:cstheme="minorHAnsi"/>
          <w:color w:val="011A3C"/>
          <w:sz w:val="24"/>
          <w:szCs w:val="24"/>
          <w:lang w:val="en" w:eastAsia="en-AU"/>
        </w:rPr>
        <w:t xml:space="preserve"> education</w:t>
      </w:r>
      <w:r w:rsidR="00FC7A08">
        <w:rPr>
          <w:rFonts w:eastAsia="Segoe UI" w:cstheme="minorHAnsi"/>
          <w:color w:val="011A3C"/>
          <w:sz w:val="24"/>
          <w:szCs w:val="24"/>
          <w:lang w:val="en" w:eastAsia="en-AU"/>
        </w:rPr>
        <w:t>.</w:t>
      </w:r>
    </w:p>
    <w:p w14:paraId="6DF6B7D9" w14:textId="19CF28DC" w:rsidR="00EA34C0" w:rsidRPr="00260C1D" w:rsidRDefault="00FC7A08" w:rsidP="007E3304">
      <w:pPr>
        <w:spacing w:after="0" w:line="240" w:lineRule="auto"/>
        <w:rPr>
          <w:rFonts w:cstheme="minorHAnsi"/>
        </w:rPr>
      </w:pPr>
      <w:r>
        <w:rPr>
          <w:rFonts w:eastAsia="Segoe UI" w:cstheme="minorHAnsi"/>
          <w:color w:val="011A3C"/>
          <w:sz w:val="24"/>
          <w:szCs w:val="24"/>
          <w:lang w:val="en" w:eastAsia="en-AU"/>
        </w:rPr>
        <w:t xml:space="preserve">Any schools in this category will not be considered until August census is known to assess enrolment growth between February census and August census. </w:t>
      </w:r>
    </w:p>
    <w:sectPr w:rsidR="00EA34C0" w:rsidRPr="00260C1D" w:rsidSect="00833928">
      <w:headerReference w:type="default" r:id="rId309"/>
      <w:footerReference w:type="default" r:id="rId310"/>
      <w:footerReference w:type="first" r:id="rId311"/>
      <w:pgSz w:w="11906" w:h="16838"/>
      <w:pgMar w:top="720" w:right="720" w:bottom="720" w:left="720" w:header="709" w:footer="709" w:gutter="0"/>
      <w:pgBorders w:display="firstPage" w:offsetFrom="page">
        <w:top w:val="triple" w:sz="4" w:space="24" w:color="2F5496" w:themeColor="accent1" w:themeShade="BF"/>
        <w:left w:val="triple" w:sz="4" w:space="24" w:color="2F5496" w:themeColor="accent1" w:themeShade="BF"/>
        <w:bottom w:val="triple" w:sz="4" w:space="24" w:color="2F5496" w:themeColor="accent1" w:themeShade="BF"/>
        <w:right w:val="triple" w:sz="4" w:space="24" w:color="2F5496"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F9CF" w14:textId="77777777" w:rsidR="00842169" w:rsidRDefault="00842169" w:rsidP="00196C78">
      <w:pPr>
        <w:spacing w:after="0" w:line="240" w:lineRule="auto"/>
      </w:pPr>
      <w:r>
        <w:separator/>
      </w:r>
    </w:p>
    <w:p w14:paraId="482C5CA8" w14:textId="77777777" w:rsidR="00842169" w:rsidRDefault="00842169"/>
  </w:endnote>
  <w:endnote w:type="continuationSeparator" w:id="0">
    <w:p w14:paraId="29C57C27" w14:textId="77777777" w:rsidR="00842169" w:rsidRDefault="00842169" w:rsidP="00196C78">
      <w:pPr>
        <w:spacing w:after="0" w:line="240" w:lineRule="auto"/>
      </w:pPr>
      <w:r>
        <w:continuationSeparator/>
      </w:r>
    </w:p>
    <w:p w14:paraId="1838B71E" w14:textId="77777777" w:rsidR="00842169" w:rsidRDefault="00842169"/>
  </w:endnote>
  <w:endnote w:type="continuationNotice" w:id="1">
    <w:p w14:paraId="6AD92880" w14:textId="77777777" w:rsidR="00842169" w:rsidRDefault="00842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Yu Mincho Light">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IC">
    <w:panose1 w:val="000005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VIC-Regular">
    <w:altName w:val="Yu Gothic"/>
    <w:panose1 w:val="00000500000000000000"/>
    <w:charset w:val="80"/>
    <w:family w:val="swiss"/>
    <w:notTrueType/>
    <w:pitch w:val="default"/>
    <w:sig w:usb0="00000001" w:usb1="08070000" w:usb2="00000010" w:usb3="00000000" w:csb0="00020000" w:csb1="00000000"/>
  </w:font>
  <w:font w:name="Arial Bold">
    <w:panose1 w:val="020B07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516006"/>
      <w:docPartObj>
        <w:docPartGallery w:val="Page Numbers (Bottom of Page)"/>
        <w:docPartUnique/>
      </w:docPartObj>
    </w:sdtPr>
    <w:sdtEndPr>
      <w:rPr>
        <w:noProof/>
      </w:rPr>
    </w:sdtEndPr>
    <w:sdtContent>
      <w:p w14:paraId="02257932" w14:textId="70EF058B" w:rsidR="00AF6EF0" w:rsidRDefault="00AF6E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20FFF" w14:textId="77777777" w:rsidR="00AF6EF0" w:rsidRDefault="00AF6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3046" w14:textId="72BFFDC6" w:rsidR="00AF6EF0" w:rsidRDefault="00AF6EF0">
    <w:pPr>
      <w:pStyle w:val="Footer"/>
      <w:jc w:val="right"/>
    </w:pPr>
    <w:r>
      <w:fldChar w:fldCharType="begin"/>
    </w:r>
    <w:r>
      <w:instrText xml:space="preserve"> PAGE   \* MERGEFORMAT </w:instrText>
    </w:r>
    <w:r>
      <w:fldChar w:fldCharType="separate"/>
    </w:r>
    <w:r>
      <w:rPr>
        <w:noProof/>
      </w:rPr>
      <w:t>2</w:t>
    </w:r>
    <w:r>
      <w:rPr>
        <w:noProof/>
      </w:rPr>
      <w:fldChar w:fldCharType="end"/>
    </w:r>
  </w:p>
  <w:p w14:paraId="068814D2" w14:textId="77777777" w:rsidR="00AF6EF0" w:rsidRDefault="00AF6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053C" w14:textId="77777777" w:rsidR="00842169" w:rsidRDefault="00842169" w:rsidP="00196C78">
      <w:pPr>
        <w:spacing w:after="0" w:line="240" w:lineRule="auto"/>
      </w:pPr>
      <w:r>
        <w:separator/>
      </w:r>
    </w:p>
    <w:p w14:paraId="7A19B273" w14:textId="77777777" w:rsidR="00842169" w:rsidRDefault="00842169"/>
  </w:footnote>
  <w:footnote w:type="continuationSeparator" w:id="0">
    <w:p w14:paraId="14253B5A" w14:textId="77777777" w:rsidR="00842169" w:rsidRDefault="00842169" w:rsidP="00196C78">
      <w:pPr>
        <w:spacing w:after="0" w:line="240" w:lineRule="auto"/>
      </w:pPr>
      <w:r>
        <w:continuationSeparator/>
      </w:r>
    </w:p>
    <w:p w14:paraId="73629CFF" w14:textId="77777777" w:rsidR="00842169" w:rsidRDefault="00842169"/>
  </w:footnote>
  <w:footnote w:type="continuationNotice" w:id="1">
    <w:p w14:paraId="5DA103AA" w14:textId="77777777" w:rsidR="00842169" w:rsidRDefault="008421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4209" w14:textId="77777777" w:rsidR="008C2F6E" w:rsidRDefault="008C2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DEC6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A92EB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9DEFB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7B6A1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3B014F2"/>
    <w:lvl w:ilvl="0">
      <w:start w:val="1"/>
      <w:numFmt w:val="bullet"/>
      <w:pStyle w:val="ListBullet5"/>
      <w:lvlText w:val=""/>
      <w:lvlJc w:val="left"/>
      <w:pPr>
        <w:tabs>
          <w:tab w:val="num" w:pos="1492"/>
        </w:tabs>
        <w:ind w:left="1492" w:hanging="360"/>
      </w:pPr>
      <w:rPr>
        <w:rFonts w:ascii="Courier New" w:hAnsi="Courier New" w:hint="default"/>
      </w:rPr>
    </w:lvl>
  </w:abstractNum>
  <w:abstractNum w:abstractNumId="5" w15:restartNumberingAfterBreak="0">
    <w:nsid w:val="FFFFFF81"/>
    <w:multiLevelType w:val="singleLevel"/>
    <w:tmpl w:val="FBD02382"/>
    <w:lvl w:ilvl="0">
      <w:start w:val="1"/>
      <w:numFmt w:val="bullet"/>
      <w:pStyle w:val="ListBullet4"/>
      <w:lvlText w:val=""/>
      <w:lvlJc w:val="left"/>
      <w:pPr>
        <w:tabs>
          <w:tab w:val="num" w:pos="1209"/>
        </w:tabs>
        <w:ind w:left="1209" w:hanging="360"/>
      </w:pPr>
      <w:rPr>
        <w:rFonts w:ascii="Courier New" w:hAnsi="Courier New" w:hint="default"/>
      </w:rPr>
    </w:lvl>
  </w:abstractNum>
  <w:abstractNum w:abstractNumId="6" w15:restartNumberingAfterBreak="0">
    <w:nsid w:val="FFFFFF82"/>
    <w:multiLevelType w:val="singleLevel"/>
    <w:tmpl w:val="06DC8292"/>
    <w:lvl w:ilvl="0">
      <w:start w:val="1"/>
      <w:numFmt w:val="bullet"/>
      <w:pStyle w:val="ListBullet3"/>
      <w:lvlText w:val=""/>
      <w:lvlJc w:val="left"/>
      <w:pPr>
        <w:tabs>
          <w:tab w:val="num" w:pos="926"/>
        </w:tabs>
        <w:ind w:left="926" w:hanging="360"/>
      </w:pPr>
      <w:rPr>
        <w:rFonts w:ascii="Courier New" w:hAnsi="Courier New" w:hint="default"/>
      </w:rPr>
    </w:lvl>
  </w:abstractNum>
  <w:abstractNum w:abstractNumId="7" w15:restartNumberingAfterBreak="0">
    <w:nsid w:val="FFFFFF83"/>
    <w:multiLevelType w:val="singleLevel"/>
    <w:tmpl w:val="A920C79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F88A79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4021AAA"/>
    <w:lvl w:ilvl="0">
      <w:start w:val="1"/>
      <w:numFmt w:val="bullet"/>
      <w:pStyle w:val="ListBullet"/>
      <w:lvlText w:val=""/>
      <w:lvlJc w:val="left"/>
      <w:pPr>
        <w:tabs>
          <w:tab w:val="num" w:pos="360"/>
        </w:tabs>
        <w:ind w:left="360" w:hanging="360"/>
      </w:pPr>
      <w:rPr>
        <w:rFonts w:ascii="Courier New" w:hAnsi="Courier New" w:hint="default"/>
      </w:rPr>
    </w:lvl>
  </w:abstractNum>
  <w:abstractNum w:abstractNumId="10" w15:restartNumberingAfterBreak="0">
    <w:nsid w:val="00991234"/>
    <w:multiLevelType w:val="hybridMultilevel"/>
    <w:tmpl w:val="15803CB2"/>
    <w:lvl w:ilvl="0" w:tplc="D800FD04">
      <w:numFmt w:val="bullet"/>
      <w:lvlText w:val=""/>
      <w:lvlJc w:val="left"/>
      <w:pPr>
        <w:ind w:left="988" w:hanging="361"/>
      </w:pPr>
      <w:rPr>
        <w:rFonts w:ascii="Symbol" w:eastAsia="Symbol" w:hAnsi="Symbol" w:cs="Symbol" w:hint="default"/>
        <w:b w:val="0"/>
        <w:bCs w:val="0"/>
        <w:i w:val="0"/>
        <w:iCs w:val="0"/>
        <w:w w:val="100"/>
        <w:sz w:val="22"/>
        <w:szCs w:val="22"/>
        <w:lang w:val="en-US" w:eastAsia="en-US" w:bidi="ar-SA"/>
      </w:rPr>
    </w:lvl>
    <w:lvl w:ilvl="1" w:tplc="29761EE8">
      <w:numFmt w:val="bullet"/>
      <w:lvlText w:val="•"/>
      <w:lvlJc w:val="left"/>
      <w:pPr>
        <w:ind w:left="1943" w:hanging="361"/>
      </w:pPr>
      <w:rPr>
        <w:rFonts w:hint="default"/>
        <w:lang w:val="en-US" w:eastAsia="en-US" w:bidi="ar-SA"/>
      </w:rPr>
    </w:lvl>
    <w:lvl w:ilvl="2" w:tplc="0FCC89DA">
      <w:numFmt w:val="bullet"/>
      <w:lvlText w:val="•"/>
      <w:lvlJc w:val="left"/>
      <w:pPr>
        <w:ind w:left="2907" w:hanging="361"/>
      </w:pPr>
      <w:rPr>
        <w:rFonts w:hint="default"/>
        <w:lang w:val="en-US" w:eastAsia="en-US" w:bidi="ar-SA"/>
      </w:rPr>
    </w:lvl>
    <w:lvl w:ilvl="3" w:tplc="EB9430FC">
      <w:numFmt w:val="bullet"/>
      <w:lvlText w:val="•"/>
      <w:lvlJc w:val="left"/>
      <w:pPr>
        <w:ind w:left="3871" w:hanging="361"/>
      </w:pPr>
      <w:rPr>
        <w:rFonts w:hint="default"/>
        <w:lang w:val="en-US" w:eastAsia="en-US" w:bidi="ar-SA"/>
      </w:rPr>
    </w:lvl>
    <w:lvl w:ilvl="4" w:tplc="AD7AB232">
      <w:numFmt w:val="bullet"/>
      <w:lvlText w:val="•"/>
      <w:lvlJc w:val="left"/>
      <w:pPr>
        <w:ind w:left="4835" w:hanging="361"/>
      </w:pPr>
      <w:rPr>
        <w:rFonts w:hint="default"/>
        <w:lang w:val="en-US" w:eastAsia="en-US" w:bidi="ar-SA"/>
      </w:rPr>
    </w:lvl>
    <w:lvl w:ilvl="5" w:tplc="A9686730">
      <w:numFmt w:val="bullet"/>
      <w:lvlText w:val="•"/>
      <w:lvlJc w:val="left"/>
      <w:pPr>
        <w:ind w:left="5799" w:hanging="361"/>
      </w:pPr>
      <w:rPr>
        <w:rFonts w:hint="default"/>
        <w:lang w:val="en-US" w:eastAsia="en-US" w:bidi="ar-SA"/>
      </w:rPr>
    </w:lvl>
    <w:lvl w:ilvl="6" w:tplc="20A81CFE">
      <w:numFmt w:val="bullet"/>
      <w:lvlText w:val="•"/>
      <w:lvlJc w:val="left"/>
      <w:pPr>
        <w:ind w:left="6763" w:hanging="361"/>
      </w:pPr>
      <w:rPr>
        <w:rFonts w:hint="default"/>
        <w:lang w:val="en-US" w:eastAsia="en-US" w:bidi="ar-SA"/>
      </w:rPr>
    </w:lvl>
    <w:lvl w:ilvl="7" w:tplc="B00C304A">
      <w:numFmt w:val="bullet"/>
      <w:lvlText w:val="•"/>
      <w:lvlJc w:val="left"/>
      <w:pPr>
        <w:ind w:left="7727" w:hanging="361"/>
      </w:pPr>
      <w:rPr>
        <w:rFonts w:hint="default"/>
        <w:lang w:val="en-US" w:eastAsia="en-US" w:bidi="ar-SA"/>
      </w:rPr>
    </w:lvl>
    <w:lvl w:ilvl="8" w:tplc="07024ADE">
      <w:numFmt w:val="bullet"/>
      <w:lvlText w:val="•"/>
      <w:lvlJc w:val="left"/>
      <w:pPr>
        <w:ind w:left="8691" w:hanging="361"/>
      </w:pPr>
      <w:rPr>
        <w:rFonts w:hint="default"/>
        <w:lang w:val="en-US" w:eastAsia="en-US" w:bidi="ar-SA"/>
      </w:rPr>
    </w:lvl>
  </w:abstractNum>
  <w:abstractNum w:abstractNumId="11" w15:restartNumberingAfterBreak="0">
    <w:nsid w:val="00E9176A"/>
    <w:multiLevelType w:val="hybridMultilevel"/>
    <w:tmpl w:val="E62E3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16B16F1"/>
    <w:multiLevelType w:val="multilevel"/>
    <w:tmpl w:val="C506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3" w15:restartNumberingAfterBreak="0">
    <w:nsid w:val="02732C80"/>
    <w:multiLevelType w:val="hybridMultilevel"/>
    <w:tmpl w:val="BB148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3627415"/>
    <w:multiLevelType w:val="multilevel"/>
    <w:tmpl w:val="96A490D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5" w15:restartNumberingAfterBreak="0">
    <w:nsid w:val="03A57BA1"/>
    <w:multiLevelType w:val="hybridMultilevel"/>
    <w:tmpl w:val="52FE6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3D52DC1"/>
    <w:multiLevelType w:val="multilevel"/>
    <w:tmpl w:val="FD5AFF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5C34194"/>
    <w:multiLevelType w:val="multilevel"/>
    <w:tmpl w:val="D2F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8" w15:restartNumberingAfterBreak="0">
    <w:nsid w:val="06EA66AD"/>
    <w:multiLevelType w:val="multilevel"/>
    <w:tmpl w:val="8BFC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80A1142"/>
    <w:multiLevelType w:val="multilevel"/>
    <w:tmpl w:val="B804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20" w15:restartNumberingAfterBreak="0">
    <w:nsid w:val="08DA45A5"/>
    <w:multiLevelType w:val="hybridMultilevel"/>
    <w:tmpl w:val="17625A00"/>
    <w:lvl w:ilvl="0" w:tplc="0C090001">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Symbol" w:hAnsi="Symbol" w:cs="Symbol" w:hint="default"/>
      </w:rPr>
    </w:lvl>
    <w:lvl w:ilvl="2" w:tplc="0C090005" w:tentative="1">
      <w:start w:val="1"/>
      <w:numFmt w:val="bullet"/>
      <w:lvlText w:val=""/>
      <w:lvlJc w:val="left"/>
      <w:pPr>
        <w:ind w:left="2160" w:hanging="360"/>
      </w:pPr>
      <w:rPr>
        <w:rFonts w:ascii="Century Gothic" w:hAnsi="Century Gothic" w:hint="default"/>
      </w:rPr>
    </w:lvl>
    <w:lvl w:ilvl="3" w:tplc="0C090001" w:tentative="1">
      <w:start w:val="1"/>
      <w:numFmt w:val="bullet"/>
      <w:lvlText w:val=""/>
      <w:lvlJc w:val="left"/>
      <w:pPr>
        <w:ind w:left="2880" w:hanging="360"/>
      </w:pPr>
      <w:rPr>
        <w:rFonts w:ascii="Courier New" w:hAnsi="Courier New" w:hint="default"/>
      </w:rPr>
    </w:lvl>
    <w:lvl w:ilvl="4" w:tplc="0C090003" w:tentative="1">
      <w:start w:val="1"/>
      <w:numFmt w:val="bullet"/>
      <w:lvlText w:val="o"/>
      <w:lvlJc w:val="left"/>
      <w:pPr>
        <w:ind w:left="3600" w:hanging="360"/>
      </w:pPr>
      <w:rPr>
        <w:rFonts w:ascii="Symbol" w:hAnsi="Symbol" w:cs="Symbol" w:hint="default"/>
      </w:rPr>
    </w:lvl>
    <w:lvl w:ilvl="5" w:tplc="0C090005" w:tentative="1">
      <w:start w:val="1"/>
      <w:numFmt w:val="bullet"/>
      <w:lvlText w:val=""/>
      <w:lvlJc w:val="left"/>
      <w:pPr>
        <w:ind w:left="4320" w:hanging="360"/>
      </w:pPr>
      <w:rPr>
        <w:rFonts w:ascii="Century Gothic" w:hAnsi="Century Gothic" w:hint="default"/>
      </w:rPr>
    </w:lvl>
    <w:lvl w:ilvl="6" w:tplc="0C090001" w:tentative="1">
      <w:start w:val="1"/>
      <w:numFmt w:val="bullet"/>
      <w:lvlText w:val=""/>
      <w:lvlJc w:val="left"/>
      <w:pPr>
        <w:ind w:left="5040" w:hanging="360"/>
      </w:pPr>
      <w:rPr>
        <w:rFonts w:ascii="Courier New" w:hAnsi="Courier New" w:hint="default"/>
      </w:rPr>
    </w:lvl>
    <w:lvl w:ilvl="7" w:tplc="0C090003" w:tentative="1">
      <w:start w:val="1"/>
      <w:numFmt w:val="bullet"/>
      <w:lvlText w:val="o"/>
      <w:lvlJc w:val="left"/>
      <w:pPr>
        <w:ind w:left="5760" w:hanging="360"/>
      </w:pPr>
      <w:rPr>
        <w:rFonts w:ascii="Symbol" w:hAnsi="Symbol" w:cs="Symbol" w:hint="default"/>
      </w:rPr>
    </w:lvl>
    <w:lvl w:ilvl="8" w:tplc="0C090005" w:tentative="1">
      <w:start w:val="1"/>
      <w:numFmt w:val="bullet"/>
      <w:lvlText w:val=""/>
      <w:lvlJc w:val="left"/>
      <w:pPr>
        <w:ind w:left="6480" w:hanging="360"/>
      </w:pPr>
      <w:rPr>
        <w:rFonts w:ascii="Century Gothic" w:hAnsi="Century Gothic" w:hint="default"/>
      </w:rPr>
    </w:lvl>
  </w:abstractNum>
  <w:abstractNum w:abstractNumId="21" w15:restartNumberingAfterBreak="0">
    <w:nsid w:val="09564B89"/>
    <w:multiLevelType w:val="hybridMultilevel"/>
    <w:tmpl w:val="81F65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A631C2C"/>
    <w:multiLevelType w:val="hybridMultilevel"/>
    <w:tmpl w:val="BFD84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Symbol" w:hAnsi="Symbol" w:cs="Symbol" w:hint="default"/>
      </w:rPr>
    </w:lvl>
    <w:lvl w:ilvl="2" w:tplc="0C090005" w:tentative="1">
      <w:start w:val="1"/>
      <w:numFmt w:val="bullet"/>
      <w:lvlText w:val=""/>
      <w:lvlJc w:val="left"/>
      <w:pPr>
        <w:ind w:left="2160" w:hanging="360"/>
      </w:pPr>
      <w:rPr>
        <w:rFonts w:ascii="Century Gothic" w:hAnsi="Century Gothic" w:hint="default"/>
      </w:rPr>
    </w:lvl>
    <w:lvl w:ilvl="3" w:tplc="0C090001" w:tentative="1">
      <w:start w:val="1"/>
      <w:numFmt w:val="bullet"/>
      <w:lvlText w:val=""/>
      <w:lvlJc w:val="left"/>
      <w:pPr>
        <w:ind w:left="2880" w:hanging="360"/>
      </w:pPr>
      <w:rPr>
        <w:rFonts w:ascii="Courier New" w:hAnsi="Courier New" w:hint="default"/>
      </w:rPr>
    </w:lvl>
    <w:lvl w:ilvl="4" w:tplc="0C090003" w:tentative="1">
      <w:start w:val="1"/>
      <w:numFmt w:val="bullet"/>
      <w:lvlText w:val="o"/>
      <w:lvlJc w:val="left"/>
      <w:pPr>
        <w:ind w:left="3600" w:hanging="360"/>
      </w:pPr>
      <w:rPr>
        <w:rFonts w:ascii="Symbol" w:hAnsi="Symbol" w:cs="Symbol" w:hint="default"/>
      </w:rPr>
    </w:lvl>
    <w:lvl w:ilvl="5" w:tplc="0C090005" w:tentative="1">
      <w:start w:val="1"/>
      <w:numFmt w:val="bullet"/>
      <w:lvlText w:val=""/>
      <w:lvlJc w:val="left"/>
      <w:pPr>
        <w:ind w:left="4320" w:hanging="360"/>
      </w:pPr>
      <w:rPr>
        <w:rFonts w:ascii="Century Gothic" w:hAnsi="Century Gothic" w:hint="default"/>
      </w:rPr>
    </w:lvl>
    <w:lvl w:ilvl="6" w:tplc="0C090001" w:tentative="1">
      <w:start w:val="1"/>
      <w:numFmt w:val="bullet"/>
      <w:lvlText w:val=""/>
      <w:lvlJc w:val="left"/>
      <w:pPr>
        <w:ind w:left="5040" w:hanging="360"/>
      </w:pPr>
      <w:rPr>
        <w:rFonts w:ascii="Courier New" w:hAnsi="Courier New" w:hint="default"/>
      </w:rPr>
    </w:lvl>
    <w:lvl w:ilvl="7" w:tplc="0C090003" w:tentative="1">
      <w:start w:val="1"/>
      <w:numFmt w:val="bullet"/>
      <w:lvlText w:val="o"/>
      <w:lvlJc w:val="left"/>
      <w:pPr>
        <w:ind w:left="5760" w:hanging="360"/>
      </w:pPr>
      <w:rPr>
        <w:rFonts w:ascii="Symbol" w:hAnsi="Symbol" w:cs="Symbol" w:hint="default"/>
      </w:rPr>
    </w:lvl>
    <w:lvl w:ilvl="8" w:tplc="0C090005" w:tentative="1">
      <w:start w:val="1"/>
      <w:numFmt w:val="bullet"/>
      <w:lvlText w:val=""/>
      <w:lvlJc w:val="left"/>
      <w:pPr>
        <w:ind w:left="6480" w:hanging="360"/>
      </w:pPr>
      <w:rPr>
        <w:rFonts w:ascii="Century Gothic" w:hAnsi="Century Gothic" w:hint="default"/>
      </w:rPr>
    </w:lvl>
  </w:abstractNum>
  <w:abstractNum w:abstractNumId="23" w15:restartNumberingAfterBreak="0">
    <w:nsid w:val="0A9230D0"/>
    <w:multiLevelType w:val="hybridMultilevel"/>
    <w:tmpl w:val="B0D2D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B5B4392"/>
    <w:multiLevelType w:val="multilevel"/>
    <w:tmpl w:val="B804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25" w15:restartNumberingAfterBreak="0">
    <w:nsid w:val="0B6540CB"/>
    <w:multiLevelType w:val="multilevel"/>
    <w:tmpl w:val="D2F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26" w15:restartNumberingAfterBreak="0">
    <w:nsid w:val="0C5A7A07"/>
    <w:multiLevelType w:val="multilevel"/>
    <w:tmpl w:val="96A490D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27" w15:restartNumberingAfterBreak="0">
    <w:nsid w:val="0E8F4169"/>
    <w:multiLevelType w:val="hybridMultilevel"/>
    <w:tmpl w:val="875C4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Symbol" w:hAnsi="Symbol" w:cs="Symbol" w:hint="default"/>
      </w:rPr>
    </w:lvl>
    <w:lvl w:ilvl="2" w:tplc="0C090005" w:tentative="1">
      <w:start w:val="1"/>
      <w:numFmt w:val="bullet"/>
      <w:lvlText w:val=""/>
      <w:lvlJc w:val="left"/>
      <w:pPr>
        <w:ind w:left="2160" w:hanging="360"/>
      </w:pPr>
      <w:rPr>
        <w:rFonts w:ascii="Century Gothic" w:hAnsi="Century Gothic" w:hint="default"/>
      </w:rPr>
    </w:lvl>
    <w:lvl w:ilvl="3" w:tplc="0C090001" w:tentative="1">
      <w:start w:val="1"/>
      <w:numFmt w:val="bullet"/>
      <w:lvlText w:val=""/>
      <w:lvlJc w:val="left"/>
      <w:pPr>
        <w:ind w:left="2880" w:hanging="360"/>
      </w:pPr>
      <w:rPr>
        <w:rFonts w:ascii="Courier New" w:hAnsi="Courier New" w:hint="default"/>
      </w:rPr>
    </w:lvl>
    <w:lvl w:ilvl="4" w:tplc="0C090003" w:tentative="1">
      <w:start w:val="1"/>
      <w:numFmt w:val="bullet"/>
      <w:lvlText w:val="o"/>
      <w:lvlJc w:val="left"/>
      <w:pPr>
        <w:ind w:left="3600" w:hanging="360"/>
      </w:pPr>
      <w:rPr>
        <w:rFonts w:ascii="Symbol" w:hAnsi="Symbol" w:cs="Symbol" w:hint="default"/>
      </w:rPr>
    </w:lvl>
    <w:lvl w:ilvl="5" w:tplc="0C090005" w:tentative="1">
      <w:start w:val="1"/>
      <w:numFmt w:val="bullet"/>
      <w:lvlText w:val=""/>
      <w:lvlJc w:val="left"/>
      <w:pPr>
        <w:ind w:left="4320" w:hanging="360"/>
      </w:pPr>
      <w:rPr>
        <w:rFonts w:ascii="Century Gothic" w:hAnsi="Century Gothic" w:hint="default"/>
      </w:rPr>
    </w:lvl>
    <w:lvl w:ilvl="6" w:tplc="0C090001" w:tentative="1">
      <w:start w:val="1"/>
      <w:numFmt w:val="bullet"/>
      <w:lvlText w:val=""/>
      <w:lvlJc w:val="left"/>
      <w:pPr>
        <w:ind w:left="5040" w:hanging="360"/>
      </w:pPr>
      <w:rPr>
        <w:rFonts w:ascii="Courier New" w:hAnsi="Courier New" w:hint="default"/>
      </w:rPr>
    </w:lvl>
    <w:lvl w:ilvl="7" w:tplc="0C090003" w:tentative="1">
      <w:start w:val="1"/>
      <w:numFmt w:val="bullet"/>
      <w:lvlText w:val="o"/>
      <w:lvlJc w:val="left"/>
      <w:pPr>
        <w:ind w:left="5760" w:hanging="360"/>
      </w:pPr>
      <w:rPr>
        <w:rFonts w:ascii="Symbol" w:hAnsi="Symbol" w:cs="Symbol" w:hint="default"/>
      </w:rPr>
    </w:lvl>
    <w:lvl w:ilvl="8" w:tplc="0C090005" w:tentative="1">
      <w:start w:val="1"/>
      <w:numFmt w:val="bullet"/>
      <w:lvlText w:val=""/>
      <w:lvlJc w:val="left"/>
      <w:pPr>
        <w:ind w:left="6480" w:hanging="360"/>
      </w:pPr>
      <w:rPr>
        <w:rFonts w:ascii="Century Gothic" w:hAnsi="Century Gothic" w:hint="default"/>
      </w:rPr>
    </w:lvl>
  </w:abstractNum>
  <w:abstractNum w:abstractNumId="28" w15:restartNumberingAfterBreak="0">
    <w:nsid w:val="0EBB56CD"/>
    <w:multiLevelType w:val="multilevel"/>
    <w:tmpl w:val="9F0AD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Symbol" w:hAnsi="Symbol" w:cs="Yu Mincho Light" w:hint="default"/>
        <w:sz w:val="20"/>
      </w:rPr>
    </w:lvl>
    <w:lvl w:ilvl="2">
      <w:start w:val="1"/>
      <w:numFmt w:val="bullet"/>
      <w:lvlText w:val=""/>
      <w:lvlJc w:val="left"/>
      <w:pPr>
        <w:tabs>
          <w:tab w:val="num" w:pos="2160"/>
        </w:tabs>
        <w:ind w:left="2160" w:hanging="360"/>
      </w:pPr>
      <w:rPr>
        <w:rFonts w:ascii="Century Gothic" w:hAnsi="Century Gothic" w:hint="default"/>
        <w:sz w:val="20"/>
      </w:rPr>
    </w:lvl>
    <w:lvl w:ilvl="3">
      <w:start w:val="1"/>
      <w:numFmt w:val="bullet"/>
      <w:lvlText w:val=""/>
      <w:lvlJc w:val="left"/>
      <w:pPr>
        <w:tabs>
          <w:tab w:val="num" w:pos="2880"/>
        </w:tabs>
        <w:ind w:left="2880" w:hanging="360"/>
      </w:pPr>
      <w:rPr>
        <w:rFonts w:ascii="Century Gothic" w:hAnsi="Century Gothic" w:hint="default"/>
        <w:sz w:val="20"/>
      </w:rPr>
    </w:lvl>
    <w:lvl w:ilvl="4">
      <w:start w:val="1"/>
      <w:numFmt w:val="bullet"/>
      <w:lvlText w:val=""/>
      <w:lvlJc w:val="left"/>
      <w:pPr>
        <w:tabs>
          <w:tab w:val="num" w:pos="3600"/>
        </w:tabs>
        <w:ind w:left="3600" w:hanging="360"/>
      </w:pPr>
      <w:rPr>
        <w:rFonts w:ascii="Century Gothic" w:hAnsi="Century Gothic" w:hint="default"/>
        <w:sz w:val="20"/>
      </w:rPr>
    </w:lvl>
    <w:lvl w:ilvl="5">
      <w:start w:val="1"/>
      <w:numFmt w:val="bullet"/>
      <w:lvlText w:val=""/>
      <w:lvlJc w:val="left"/>
      <w:pPr>
        <w:tabs>
          <w:tab w:val="num" w:pos="4320"/>
        </w:tabs>
        <w:ind w:left="4320" w:hanging="360"/>
      </w:pPr>
      <w:rPr>
        <w:rFonts w:ascii="Century Gothic" w:hAnsi="Century Gothic" w:hint="default"/>
        <w:sz w:val="20"/>
      </w:rPr>
    </w:lvl>
    <w:lvl w:ilvl="6">
      <w:start w:val="1"/>
      <w:numFmt w:val="bullet"/>
      <w:lvlText w:val=""/>
      <w:lvlJc w:val="left"/>
      <w:pPr>
        <w:tabs>
          <w:tab w:val="num" w:pos="5040"/>
        </w:tabs>
        <w:ind w:left="5040" w:hanging="360"/>
      </w:pPr>
      <w:rPr>
        <w:rFonts w:ascii="Century Gothic" w:hAnsi="Century Gothic" w:hint="default"/>
        <w:sz w:val="20"/>
      </w:rPr>
    </w:lvl>
    <w:lvl w:ilvl="7">
      <w:start w:val="1"/>
      <w:numFmt w:val="bullet"/>
      <w:lvlText w:val=""/>
      <w:lvlJc w:val="left"/>
      <w:pPr>
        <w:tabs>
          <w:tab w:val="num" w:pos="5760"/>
        </w:tabs>
        <w:ind w:left="5760" w:hanging="360"/>
      </w:pPr>
      <w:rPr>
        <w:rFonts w:ascii="Century Gothic" w:hAnsi="Century Gothic" w:hint="default"/>
        <w:sz w:val="20"/>
      </w:rPr>
    </w:lvl>
    <w:lvl w:ilvl="8">
      <w:start w:val="1"/>
      <w:numFmt w:val="bullet"/>
      <w:lvlText w:val=""/>
      <w:lvlJc w:val="left"/>
      <w:pPr>
        <w:tabs>
          <w:tab w:val="num" w:pos="6480"/>
        </w:tabs>
        <w:ind w:left="6480" w:hanging="360"/>
      </w:pPr>
      <w:rPr>
        <w:rFonts w:ascii="Century Gothic" w:hAnsi="Century Gothic" w:hint="default"/>
        <w:sz w:val="20"/>
      </w:rPr>
    </w:lvl>
  </w:abstractNum>
  <w:abstractNum w:abstractNumId="29" w15:restartNumberingAfterBreak="0">
    <w:nsid w:val="11D71620"/>
    <w:multiLevelType w:val="hybridMultilevel"/>
    <w:tmpl w:val="EA44F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3EC798B"/>
    <w:multiLevelType w:val="hybridMultilevel"/>
    <w:tmpl w:val="93965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Symbol" w:hAnsi="Symbol" w:cs="Symbol" w:hint="default"/>
      </w:rPr>
    </w:lvl>
    <w:lvl w:ilvl="2" w:tplc="0C090005">
      <w:start w:val="1"/>
      <w:numFmt w:val="bullet"/>
      <w:lvlText w:val=""/>
      <w:lvlJc w:val="left"/>
      <w:pPr>
        <w:ind w:left="2160" w:hanging="360"/>
      </w:pPr>
      <w:rPr>
        <w:rFonts w:ascii="Century Gothic" w:hAnsi="Century Gothic" w:hint="default"/>
      </w:rPr>
    </w:lvl>
    <w:lvl w:ilvl="3" w:tplc="0C090001">
      <w:start w:val="1"/>
      <w:numFmt w:val="bullet"/>
      <w:lvlText w:val=""/>
      <w:lvlJc w:val="left"/>
      <w:pPr>
        <w:ind w:left="2880" w:hanging="360"/>
      </w:pPr>
      <w:rPr>
        <w:rFonts w:ascii="Courier New" w:hAnsi="Courier New" w:hint="default"/>
      </w:rPr>
    </w:lvl>
    <w:lvl w:ilvl="4" w:tplc="0C090003">
      <w:start w:val="1"/>
      <w:numFmt w:val="bullet"/>
      <w:lvlText w:val="o"/>
      <w:lvlJc w:val="left"/>
      <w:pPr>
        <w:ind w:left="3600" w:hanging="360"/>
      </w:pPr>
      <w:rPr>
        <w:rFonts w:ascii="Symbol" w:hAnsi="Symbol" w:cs="Symbol" w:hint="default"/>
      </w:rPr>
    </w:lvl>
    <w:lvl w:ilvl="5" w:tplc="0C090005">
      <w:start w:val="1"/>
      <w:numFmt w:val="bullet"/>
      <w:lvlText w:val=""/>
      <w:lvlJc w:val="left"/>
      <w:pPr>
        <w:ind w:left="4320" w:hanging="360"/>
      </w:pPr>
      <w:rPr>
        <w:rFonts w:ascii="Century Gothic" w:hAnsi="Century Gothic" w:hint="default"/>
      </w:rPr>
    </w:lvl>
    <w:lvl w:ilvl="6" w:tplc="0C090001">
      <w:start w:val="1"/>
      <w:numFmt w:val="bullet"/>
      <w:lvlText w:val=""/>
      <w:lvlJc w:val="left"/>
      <w:pPr>
        <w:ind w:left="5040" w:hanging="360"/>
      </w:pPr>
      <w:rPr>
        <w:rFonts w:ascii="Courier New" w:hAnsi="Courier New" w:hint="default"/>
      </w:rPr>
    </w:lvl>
    <w:lvl w:ilvl="7" w:tplc="0C090003">
      <w:start w:val="1"/>
      <w:numFmt w:val="bullet"/>
      <w:lvlText w:val="o"/>
      <w:lvlJc w:val="left"/>
      <w:pPr>
        <w:ind w:left="5760" w:hanging="360"/>
      </w:pPr>
      <w:rPr>
        <w:rFonts w:ascii="Symbol" w:hAnsi="Symbol" w:cs="Symbol" w:hint="default"/>
      </w:rPr>
    </w:lvl>
    <w:lvl w:ilvl="8" w:tplc="0C090005">
      <w:start w:val="1"/>
      <w:numFmt w:val="bullet"/>
      <w:lvlText w:val=""/>
      <w:lvlJc w:val="left"/>
      <w:pPr>
        <w:ind w:left="6480" w:hanging="360"/>
      </w:pPr>
      <w:rPr>
        <w:rFonts w:ascii="Century Gothic" w:hAnsi="Century Gothic" w:hint="default"/>
      </w:rPr>
    </w:lvl>
  </w:abstractNum>
  <w:abstractNum w:abstractNumId="31" w15:restartNumberingAfterBreak="0">
    <w:nsid w:val="14BB08C7"/>
    <w:multiLevelType w:val="hybridMultilevel"/>
    <w:tmpl w:val="B6CC4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14DF72F5"/>
    <w:multiLevelType w:val="multilevel"/>
    <w:tmpl w:val="A502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33" w15:restartNumberingAfterBreak="0">
    <w:nsid w:val="14ED00A5"/>
    <w:multiLevelType w:val="multilevel"/>
    <w:tmpl w:val="F8E4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34" w15:restartNumberingAfterBreak="0">
    <w:nsid w:val="15004316"/>
    <w:multiLevelType w:val="multilevel"/>
    <w:tmpl w:val="D2F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35" w15:restartNumberingAfterBreak="0">
    <w:nsid w:val="154813A6"/>
    <w:multiLevelType w:val="hybridMultilevel"/>
    <w:tmpl w:val="430A4588"/>
    <w:lvl w:ilvl="0" w:tplc="68C242E2">
      <w:numFmt w:val="bullet"/>
      <w:lvlText w:val="•"/>
      <w:lvlJc w:val="left"/>
      <w:pPr>
        <w:ind w:left="720" w:hanging="360"/>
      </w:pPr>
      <w:rPr>
        <w:rFonts w:ascii="Calibri" w:eastAsia="Times New Roman" w:hAnsi="Calibri" w:cs="Calibri" w:hint="default"/>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16F14939"/>
    <w:multiLevelType w:val="hybridMultilevel"/>
    <w:tmpl w:val="B6AC82B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7" w15:restartNumberingAfterBreak="0">
    <w:nsid w:val="18C45094"/>
    <w:multiLevelType w:val="hybridMultilevel"/>
    <w:tmpl w:val="E5745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95634D7"/>
    <w:multiLevelType w:val="hybridMultilevel"/>
    <w:tmpl w:val="D6400BFE"/>
    <w:lvl w:ilvl="0" w:tplc="B3D8EC20">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19F16BC3"/>
    <w:multiLevelType w:val="hybridMultilevel"/>
    <w:tmpl w:val="B4A001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1A532964"/>
    <w:multiLevelType w:val="multilevel"/>
    <w:tmpl w:val="4FDAD32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41" w15:restartNumberingAfterBreak="0">
    <w:nsid w:val="1D101A06"/>
    <w:multiLevelType w:val="multilevel"/>
    <w:tmpl w:val="1868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42" w15:restartNumberingAfterBreak="0">
    <w:nsid w:val="1D2E1BF6"/>
    <w:multiLevelType w:val="multilevel"/>
    <w:tmpl w:val="351E4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43" w15:restartNumberingAfterBreak="0">
    <w:nsid w:val="1E7C200F"/>
    <w:multiLevelType w:val="multilevel"/>
    <w:tmpl w:val="D2F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44" w15:restartNumberingAfterBreak="0">
    <w:nsid w:val="2000494C"/>
    <w:multiLevelType w:val="hybridMultilevel"/>
    <w:tmpl w:val="3766B9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2D15F29"/>
    <w:multiLevelType w:val="multilevel"/>
    <w:tmpl w:val="D2F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46" w15:restartNumberingAfterBreak="0">
    <w:nsid w:val="22E26099"/>
    <w:multiLevelType w:val="multilevel"/>
    <w:tmpl w:val="4D7AA2F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47" w15:restartNumberingAfterBreak="0">
    <w:nsid w:val="23BE57FD"/>
    <w:multiLevelType w:val="hybridMultilevel"/>
    <w:tmpl w:val="94D2CD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45518DB"/>
    <w:multiLevelType w:val="multilevel"/>
    <w:tmpl w:val="D2F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49" w15:restartNumberingAfterBreak="0">
    <w:nsid w:val="247A1B7A"/>
    <w:multiLevelType w:val="multilevel"/>
    <w:tmpl w:val="D2F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50" w15:restartNumberingAfterBreak="0">
    <w:nsid w:val="24935032"/>
    <w:multiLevelType w:val="multilevel"/>
    <w:tmpl w:val="B804F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51" w15:restartNumberingAfterBreak="0">
    <w:nsid w:val="249E7441"/>
    <w:multiLevelType w:val="hybridMultilevel"/>
    <w:tmpl w:val="AC5835BC"/>
    <w:lvl w:ilvl="0" w:tplc="4AB0CA7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4AA42FF"/>
    <w:multiLevelType w:val="hybridMultilevel"/>
    <w:tmpl w:val="D638C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25776E0B"/>
    <w:multiLevelType w:val="hybridMultilevel"/>
    <w:tmpl w:val="D6E6C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6663FDC"/>
    <w:multiLevelType w:val="hybridMultilevel"/>
    <w:tmpl w:val="1B6419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27220C58"/>
    <w:multiLevelType w:val="multilevel"/>
    <w:tmpl w:val="C62E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56" w15:restartNumberingAfterBreak="0">
    <w:nsid w:val="27756604"/>
    <w:multiLevelType w:val="hybridMultilevel"/>
    <w:tmpl w:val="F46EAE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7" w15:restartNumberingAfterBreak="0">
    <w:nsid w:val="2785551D"/>
    <w:multiLevelType w:val="hybridMultilevel"/>
    <w:tmpl w:val="C4AA3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8CD7BEE"/>
    <w:multiLevelType w:val="hybridMultilevel"/>
    <w:tmpl w:val="3A74C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921181E"/>
    <w:multiLevelType w:val="multilevel"/>
    <w:tmpl w:val="2246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60" w15:restartNumberingAfterBreak="0">
    <w:nsid w:val="29A30371"/>
    <w:multiLevelType w:val="hybridMultilevel"/>
    <w:tmpl w:val="5BCE63B8"/>
    <w:lvl w:ilvl="0" w:tplc="776027A8">
      <w:start w:val="1"/>
      <w:numFmt w:val="bullet"/>
      <w:lvlText w:val=""/>
      <w:lvlJc w:val="left"/>
      <w:pPr>
        <w:ind w:left="360" w:hanging="360"/>
      </w:pPr>
      <w:rPr>
        <w:rFonts w:ascii="Century Gothic" w:hAnsi="Century Gothic" w:hint="default"/>
        <w:color w:val="000000" w:themeColor="text1"/>
      </w:rPr>
    </w:lvl>
    <w:lvl w:ilvl="1" w:tplc="1A24576E">
      <w:start w:val="1"/>
      <w:numFmt w:val="bullet"/>
      <w:lvlText w:val="o"/>
      <w:lvlJc w:val="left"/>
      <w:pPr>
        <w:ind w:left="1440" w:hanging="360"/>
      </w:pPr>
      <w:rPr>
        <w:rFonts w:ascii="Symbol" w:hAnsi="Symbol" w:hint="default"/>
      </w:rPr>
    </w:lvl>
    <w:lvl w:ilvl="2" w:tplc="8EF24198">
      <w:start w:val="1"/>
      <w:numFmt w:val="bullet"/>
      <w:lvlText w:val=""/>
      <w:lvlJc w:val="left"/>
      <w:pPr>
        <w:ind w:left="2160" w:hanging="360"/>
      </w:pPr>
      <w:rPr>
        <w:rFonts w:ascii="Century Gothic" w:hAnsi="Century Gothic" w:hint="default"/>
      </w:rPr>
    </w:lvl>
    <w:lvl w:ilvl="3" w:tplc="CE680D46">
      <w:start w:val="1"/>
      <w:numFmt w:val="bullet"/>
      <w:lvlText w:val=""/>
      <w:lvlJc w:val="left"/>
      <w:pPr>
        <w:ind w:left="2880" w:hanging="360"/>
      </w:pPr>
      <w:rPr>
        <w:rFonts w:ascii="Courier New" w:hAnsi="Courier New" w:hint="default"/>
      </w:rPr>
    </w:lvl>
    <w:lvl w:ilvl="4" w:tplc="7EA85336">
      <w:start w:val="1"/>
      <w:numFmt w:val="bullet"/>
      <w:lvlText w:val="o"/>
      <w:lvlJc w:val="left"/>
      <w:pPr>
        <w:ind w:left="3600" w:hanging="360"/>
      </w:pPr>
      <w:rPr>
        <w:rFonts w:ascii="Symbol" w:hAnsi="Symbol" w:hint="default"/>
      </w:rPr>
    </w:lvl>
    <w:lvl w:ilvl="5" w:tplc="901C2482">
      <w:start w:val="1"/>
      <w:numFmt w:val="bullet"/>
      <w:lvlText w:val=""/>
      <w:lvlJc w:val="left"/>
      <w:pPr>
        <w:ind w:left="4320" w:hanging="360"/>
      </w:pPr>
      <w:rPr>
        <w:rFonts w:ascii="Century Gothic" w:hAnsi="Century Gothic" w:hint="default"/>
      </w:rPr>
    </w:lvl>
    <w:lvl w:ilvl="6" w:tplc="F2786AF6">
      <w:start w:val="1"/>
      <w:numFmt w:val="bullet"/>
      <w:lvlText w:val=""/>
      <w:lvlJc w:val="left"/>
      <w:pPr>
        <w:ind w:left="5040" w:hanging="360"/>
      </w:pPr>
      <w:rPr>
        <w:rFonts w:ascii="Courier New" w:hAnsi="Courier New" w:hint="default"/>
      </w:rPr>
    </w:lvl>
    <w:lvl w:ilvl="7" w:tplc="BE08B252">
      <w:start w:val="1"/>
      <w:numFmt w:val="bullet"/>
      <w:lvlText w:val="o"/>
      <w:lvlJc w:val="left"/>
      <w:pPr>
        <w:ind w:left="5760" w:hanging="360"/>
      </w:pPr>
      <w:rPr>
        <w:rFonts w:ascii="Symbol" w:hAnsi="Symbol" w:hint="default"/>
      </w:rPr>
    </w:lvl>
    <w:lvl w:ilvl="8" w:tplc="61F68DE6">
      <w:start w:val="1"/>
      <w:numFmt w:val="bullet"/>
      <w:lvlText w:val=""/>
      <w:lvlJc w:val="left"/>
      <w:pPr>
        <w:ind w:left="6480" w:hanging="360"/>
      </w:pPr>
      <w:rPr>
        <w:rFonts w:ascii="Century Gothic" w:hAnsi="Century Gothic" w:hint="default"/>
      </w:rPr>
    </w:lvl>
  </w:abstractNum>
  <w:abstractNum w:abstractNumId="61" w15:restartNumberingAfterBreak="0">
    <w:nsid w:val="2A775375"/>
    <w:multiLevelType w:val="hybridMultilevel"/>
    <w:tmpl w:val="FA8ED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B6C0F7C"/>
    <w:multiLevelType w:val="multilevel"/>
    <w:tmpl w:val="5BD0A9B0"/>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63" w15:restartNumberingAfterBreak="0">
    <w:nsid w:val="2BE9578A"/>
    <w:multiLevelType w:val="hybridMultilevel"/>
    <w:tmpl w:val="35C41262"/>
    <w:lvl w:ilvl="0" w:tplc="9C3409A6">
      <w:numFmt w:val="bullet"/>
      <w:lvlText w:val="•"/>
      <w:lvlJc w:val="left"/>
      <w:pPr>
        <w:ind w:left="720" w:hanging="360"/>
      </w:pPr>
      <w:rPr>
        <w:rFonts w:ascii="Calibri" w:eastAsiaTheme="minorHAnsi" w:hAnsi="Calibri" w:cs="Calibr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C601718"/>
    <w:multiLevelType w:val="singleLevel"/>
    <w:tmpl w:val="0C090017"/>
    <w:lvl w:ilvl="0">
      <w:start w:val="1"/>
      <w:numFmt w:val="lowerLetter"/>
      <w:lvlText w:val="%1)"/>
      <w:lvlJc w:val="left"/>
      <w:pPr>
        <w:ind w:left="360" w:hanging="360"/>
      </w:pPr>
    </w:lvl>
  </w:abstractNum>
  <w:abstractNum w:abstractNumId="65" w15:restartNumberingAfterBreak="0">
    <w:nsid w:val="2C834A7A"/>
    <w:multiLevelType w:val="multilevel"/>
    <w:tmpl w:val="D2F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66" w15:restartNumberingAfterBreak="0">
    <w:nsid w:val="2CA16A34"/>
    <w:multiLevelType w:val="hybridMultilevel"/>
    <w:tmpl w:val="19DA4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CF15258"/>
    <w:multiLevelType w:val="multilevel"/>
    <w:tmpl w:val="5D563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D5431E4"/>
    <w:multiLevelType w:val="hybridMultilevel"/>
    <w:tmpl w:val="51908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DBD79C4"/>
    <w:multiLevelType w:val="hybridMultilevel"/>
    <w:tmpl w:val="5EC29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E1B100D"/>
    <w:multiLevelType w:val="multilevel"/>
    <w:tmpl w:val="8074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71" w15:restartNumberingAfterBreak="0">
    <w:nsid w:val="2E3A2B3C"/>
    <w:multiLevelType w:val="multilevel"/>
    <w:tmpl w:val="D514FE6C"/>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72" w15:restartNumberingAfterBreak="0">
    <w:nsid w:val="2F451416"/>
    <w:multiLevelType w:val="multilevel"/>
    <w:tmpl w:val="71A8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F481EEE"/>
    <w:multiLevelType w:val="multilevel"/>
    <w:tmpl w:val="B804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74" w15:restartNumberingAfterBreak="0">
    <w:nsid w:val="2F7B4E5B"/>
    <w:multiLevelType w:val="hybridMultilevel"/>
    <w:tmpl w:val="9FDAD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0BD790D"/>
    <w:multiLevelType w:val="hybridMultilevel"/>
    <w:tmpl w:val="799836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6" w15:restartNumberingAfterBreak="0">
    <w:nsid w:val="32EA689B"/>
    <w:multiLevelType w:val="multilevel"/>
    <w:tmpl w:val="96A490D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77" w15:restartNumberingAfterBreak="0">
    <w:nsid w:val="332F4F36"/>
    <w:multiLevelType w:val="multilevel"/>
    <w:tmpl w:val="D2F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78" w15:restartNumberingAfterBreak="0">
    <w:nsid w:val="33D115C7"/>
    <w:multiLevelType w:val="hybridMultilevel"/>
    <w:tmpl w:val="59987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Symbol" w:hAnsi="Symbol" w:cs="Symbol" w:hint="default"/>
      </w:rPr>
    </w:lvl>
    <w:lvl w:ilvl="2" w:tplc="0C090005" w:tentative="1">
      <w:start w:val="1"/>
      <w:numFmt w:val="bullet"/>
      <w:lvlText w:val=""/>
      <w:lvlJc w:val="left"/>
      <w:pPr>
        <w:ind w:left="2160" w:hanging="360"/>
      </w:pPr>
      <w:rPr>
        <w:rFonts w:ascii="Century Gothic" w:hAnsi="Century Gothic" w:hint="default"/>
      </w:rPr>
    </w:lvl>
    <w:lvl w:ilvl="3" w:tplc="0C090001" w:tentative="1">
      <w:start w:val="1"/>
      <w:numFmt w:val="bullet"/>
      <w:lvlText w:val=""/>
      <w:lvlJc w:val="left"/>
      <w:pPr>
        <w:ind w:left="2880" w:hanging="360"/>
      </w:pPr>
      <w:rPr>
        <w:rFonts w:ascii="Courier New" w:hAnsi="Courier New" w:hint="default"/>
      </w:rPr>
    </w:lvl>
    <w:lvl w:ilvl="4" w:tplc="0C090003" w:tentative="1">
      <w:start w:val="1"/>
      <w:numFmt w:val="bullet"/>
      <w:lvlText w:val="o"/>
      <w:lvlJc w:val="left"/>
      <w:pPr>
        <w:ind w:left="3600" w:hanging="360"/>
      </w:pPr>
      <w:rPr>
        <w:rFonts w:ascii="Symbol" w:hAnsi="Symbol" w:cs="Symbol" w:hint="default"/>
      </w:rPr>
    </w:lvl>
    <w:lvl w:ilvl="5" w:tplc="0C090005" w:tentative="1">
      <w:start w:val="1"/>
      <w:numFmt w:val="bullet"/>
      <w:lvlText w:val=""/>
      <w:lvlJc w:val="left"/>
      <w:pPr>
        <w:ind w:left="4320" w:hanging="360"/>
      </w:pPr>
      <w:rPr>
        <w:rFonts w:ascii="Century Gothic" w:hAnsi="Century Gothic" w:hint="default"/>
      </w:rPr>
    </w:lvl>
    <w:lvl w:ilvl="6" w:tplc="0C090001" w:tentative="1">
      <w:start w:val="1"/>
      <w:numFmt w:val="bullet"/>
      <w:lvlText w:val=""/>
      <w:lvlJc w:val="left"/>
      <w:pPr>
        <w:ind w:left="5040" w:hanging="360"/>
      </w:pPr>
      <w:rPr>
        <w:rFonts w:ascii="Courier New" w:hAnsi="Courier New" w:hint="default"/>
      </w:rPr>
    </w:lvl>
    <w:lvl w:ilvl="7" w:tplc="0C090003" w:tentative="1">
      <w:start w:val="1"/>
      <w:numFmt w:val="bullet"/>
      <w:lvlText w:val="o"/>
      <w:lvlJc w:val="left"/>
      <w:pPr>
        <w:ind w:left="5760" w:hanging="360"/>
      </w:pPr>
      <w:rPr>
        <w:rFonts w:ascii="Symbol" w:hAnsi="Symbol" w:cs="Symbol" w:hint="default"/>
      </w:rPr>
    </w:lvl>
    <w:lvl w:ilvl="8" w:tplc="0C090005" w:tentative="1">
      <w:start w:val="1"/>
      <w:numFmt w:val="bullet"/>
      <w:lvlText w:val=""/>
      <w:lvlJc w:val="left"/>
      <w:pPr>
        <w:ind w:left="6480" w:hanging="360"/>
      </w:pPr>
      <w:rPr>
        <w:rFonts w:ascii="Century Gothic" w:hAnsi="Century Gothic" w:hint="default"/>
      </w:rPr>
    </w:lvl>
  </w:abstractNum>
  <w:abstractNum w:abstractNumId="79" w15:restartNumberingAfterBreak="0">
    <w:nsid w:val="347E0680"/>
    <w:multiLevelType w:val="multilevel"/>
    <w:tmpl w:val="D2F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80" w15:restartNumberingAfterBreak="0">
    <w:nsid w:val="35C1C534"/>
    <w:multiLevelType w:val="hybridMultilevel"/>
    <w:tmpl w:val="FFFFFFFF"/>
    <w:lvl w:ilvl="0" w:tplc="17C412A6">
      <w:start w:val="1"/>
      <w:numFmt w:val="bullet"/>
      <w:lvlText w:val=""/>
      <w:lvlJc w:val="left"/>
      <w:pPr>
        <w:ind w:left="720" w:hanging="360"/>
      </w:pPr>
      <w:rPr>
        <w:rFonts w:ascii="Symbol" w:hAnsi="Symbol" w:hint="default"/>
      </w:rPr>
    </w:lvl>
    <w:lvl w:ilvl="1" w:tplc="DDD4A472">
      <w:start w:val="1"/>
      <w:numFmt w:val="bullet"/>
      <w:lvlText w:val="o"/>
      <w:lvlJc w:val="left"/>
      <w:pPr>
        <w:ind w:left="1440" w:hanging="360"/>
      </w:pPr>
      <w:rPr>
        <w:rFonts w:ascii="Courier New" w:hAnsi="Courier New" w:hint="default"/>
      </w:rPr>
    </w:lvl>
    <w:lvl w:ilvl="2" w:tplc="1C8EF3EC">
      <w:start w:val="1"/>
      <w:numFmt w:val="bullet"/>
      <w:lvlText w:val=""/>
      <w:lvlJc w:val="left"/>
      <w:pPr>
        <w:ind w:left="2160" w:hanging="360"/>
      </w:pPr>
      <w:rPr>
        <w:rFonts w:ascii="Wingdings" w:hAnsi="Wingdings" w:hint="default"/>
      </w:rPr>
    </w:lvl>
    <w:lvl w:ilvl="3" w:tplc="4D401392">
      <w:start w:val="1"/>
      <w:numFmt w:val="bullet"/>
      <w:lvlText w:val=""/>
      <w:lvlJc w:val="left"/>
      <w:pPr>
        <w:ind w:left="2880" w:hanging="360"/>
      </w:pPr>
      <w:rPr>
        <w:rFonts w:ascii="Symbol" w:hAnsi="Symbol" w:hint="default"/>
      </w:rPr>
    </w:lvl>
    <w:lvl w:ilvl="4" w:tplc="0B8A0F40">
      <w:start w:val="1"/>
      <w:numFmt w:val="bullet"/>
      <w:lvlText w:val="o"/>
      <w:lvlJc w:val="left"/>
      <w:pPr>
        <w:ind w:left="3600" w:hanging="360"/>
      </w:pPr>
      <w:rPr>
        <w:rFonts w:ascii="Courier New" w:hAnsi="Courier New" w:hint="default"/>
      </w:rPr>
    </w:lvl>
    <w:lvl w:ilvl="5" w:tplc="4D10D3C2">
      <w:start w:val="1"/>
      <w:numFmt w:val="bullet"/>
      <w:lvlText w:val=""/>
      <w:lvlJc w:val="left"/>
      <w:pPr>
        <w:ind w:left="4320" w:hanging="360"/>
      </w:pPr>
      <w:rPr>
        <w:rFonts w:ascii="Wingdings" w:hAnsi="Wingdings" w:hint="default"/>
      </w:rPr>
    </w:lvl>
    <w:lvl w:ilvl="6" w:tplc="596CF9A8">
      <w:start w:val="1"/>
      <w:numFmt w:val="bullet"/>
      <w:lvlText w:val=""/>
      <w:lvlJc w:val="left"/>
      <w:pPr>
        <w:ind w:left="5040" w:hanging="360"/>
      </w:pPr>
      <w:rPr>
        <w:rFonts w:ascii="Symbol" w:hAnsi="Symbol" w:hint="default"/>
      </w:rPr>
    </w:lvl>
    <w:lvl w:ilvl="7" w:tplc="4D6A60D0">
      <w:start w:val="1"/>
      <w:numFmt w:val="bullet"/>
      <w:lvlText w:val="o"/>
      <w:lvlJc w:val="left"/>
      <w:pPr>
        <w:ind w:left="5760" w:hanging="360"/>
      </w:pPr>
      <w:rPr>
        <w:rFonts w:ascii="Courier New" w:hAnsi="Courier New" w:hint="default"/>
      </w:rPr>
    </w:lvl>
    <w:lvl w:ilvl="8" w:tplc="935217A2">
      <w:start w:val="1"/>
      <w:numFmt w:val="bullet"/>
      <w:lvlText w:val=""/>
      <w:lvlJc w:val="left"/>
      <w:pPr>
        <w:ind w:left="6480" w:hanging="360"/>
      </w:pPr>
      <w:rPr>
        <w:rFonts w:ascii="Wingdings" w:hAnsi="Wingdings" w:hint="default"/>
      </w:rPr>
    </w:lvl>
  </w:abstractNum>
  <w:abstractNum w:abstractNumId="81" w15:restartNumberingAfterBreak="0">
    <w:nsid w:val="363A7F31"/>
    <w:multiLevelType w:val="hybridMultilevel"/>
    <w:tmpl w:val="B3FEB9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2" w15:restartNumberingAfterBreak="0">
    <w:nsid w:val="36796CD8"/>
    <w:multiLevelType w:val="multilevel"/>
    <w:tmpl w:val="D2F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83" w15:restartNumberingAfterBreak="0">
    <w:nsid w:val="36F10C0C"/>
    <w:multiLevelType w:val="hybridMultilevel"/>
    <w:tmpl w:val="AD307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786420C"/>
    <w:multiLevelType w:val="hybridMultilevel"/>
    <w:tmpl w:val="548AA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Symbol" w:hAnsi="Symbol" w:cs="Symbol" w:hint="default"/>
      </w:rPr>
    </w:lvl>
    <w:lvl w:ilvl="2" w:tplc="0C090005" w:tentative="1">
      <w:start w:val="1"/>
      <w:numFmt w:val="bullet"/>
      <w:lvlText w:val=""/>
      <w:lvlJc w:val="left"/>
      <w:pPr>
        <w:ind w:left="2160" w:hanging="360"/>
      </w:pPr>
      <w:rPr>
        <w:rFonts w:ascii="Century Gothic" w:hAnsi="Century Gothic" w:hint="default"/>
      </w:rPr>
    </w:lvl>
    <w:lvl w:ilvl="3" w:tplc="0C090001" w:tentative="1">
      <w:start w:val="1"/>
      <w:numFmt w:val="bullet"/>
      <w:lvlText w:val=""/>
      <w:lvlJc w:val="left"/>
      <w:pPr>
        <w:ind w:left="2880" w:hanging="360"/>
      </w:pPr>
      <w:rPr>
        <w:rFonts w:ascii="Courier New" w:hAnsi="Courier New" w:hint="default"/>
      </w:rPr>
    </w:lvl>
    <w:lvl w:ilvl="4" w:tplc="0C090003" w:tentative="1">
      <w:start w:val="1"/>
      <w:numFmt w:val="bullet"/>
      <w:lvlText w:val="o"/>
      <w:lvlJc w:val="left"/>
      <w:pPr>
        <w:ind w:left="3600" w:hanging="360"/>
      </w:pPr>
      <w:rPr>
        <w:rFonts w:ascii="Symbol" w:hAnsi="Symbol" w:cs="Symbol" w:hint="default"/>
      </w:rPr>
    </w:lvl>
    <w:lvl w:ilvl="5" w:tplc="0C090005" w:tentative="1">
      <w:start w:val="1"/>
      <w:numFmt w:val="bullet"/>
      <w:lvlText w:val=""/>
      <w:lvlJc w:val="left"/>
      <w:pPr>
        <w:ind w:left="4320" w:hanging="360"/>
      </w:pPr>
      <w:rPr>
        <w:rFonts w:ascii="Century Gothic" w:hAnsi="Century Gothic" w:hint="default"/>
      </w:rPr>
    </w:lvl>
    <w:lvl w:ilvl="6" w:tplc="0C090001" w:tentative="1">
      <w:start w:val="1"/>
      <w:numFmt w:val="bullet"/>
      <w:lvlText w:val=""/>
      <w:lvlJc w:val="left"/>
      <w:pPr>
        <w:ind w:left="5040" w:hanging="360"/>
      </w:pPr>
      <w:rPr>
        <w:rFonts w:ascii="Courier New" w:hAnsi="Courier New" w:hint="default"/>
      </w:rPr>
    </w:lvl>
    <w:lvl w:ilvl="7" w:tplc="0C090003" w:tentative="1">
      <w:start w:val="1"/>
      <w:numFmt w:val="bullet"/>
      <w:lvlText w:val="o"/>
      <w:lvlJc w:val="left"/>
      <w:pPr>
        <w:ind w:left="5760" w:hanging="360"/>
      </w:pPr>
      <w:rPr>
        <w:rFonts w:ascii="Symbol" w:hAnsi="Symbol" w:cs="Symbol" w:hint="default"/>
      </w:rPr>
    </w:lvl>
    <w:lvl w:ilvl="8" w:tplc="0C090005" w:tentative="1">
      <w:start w:val="1"/>
      <w:numFmt w:val="bullet"/>
      <w:lvlText w:val=""/>
      <w:lvlJc w:val="left"/>
      <w:pPr>
        <w:ind w:left="6480" w:hanging="360"/>
      </w:pPr>
      <w:rPr>
        <w:rFonts w:ascii="Century Gothic" w:hAnsi="Century Gothic" w:hint="default"/>
      </w:rPr>
    </w:lvl>
  </w:abstractNum>
  <w:abstractNum w:abstractNumId="85" w15:restartNumberingAfterBreak="0">
    <w:nsid w:val="37E1600A"/>
    <w:multiLevelType w:val="hybridMultilevel"/>
    <w:tmpl w:val="3A146B32"/>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86" w15:restartNumberingAfterBreak="0">
    <w:nsid w:val="385E3952"/>
    <w:multiLevelType w:val="hybridMultilevel"/>
    <w:tmpl w:val="73563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9291B58"/>
    <w:multiLevelType w:val="multilevel"/>
    <w:tmpl w:val="B804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88" w15:restartNumberingAfterBreak="0">
    <w:nsid w:val="3A4660C7"/>
    <w:multiLevelType w:val="hybridMultilevel"/>
    <w:tmpl w:val="E10E6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3A50482D"/>
    <w:multiLevelType w:val="hybridMultilevel"/>
    <w:tmpl w:val="4E9E57FA"/>
    <w:lvl w:ilvl="0" w:tplc="0C090001">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Symbol" w:hAnsi="Symbol" w:cs="Symbol" w:hint="default"/>
      </w:rPr>
    </w:lvl>
    <w:lvl w:ilvl="2" w:tplc="0C090005" w:tentative="1">
      <w:start w:val="1"/>
      <w:numFmt w:val="bullet"/>
      <w:lvlText w:val=""/>
      <w:lvlJc w:val="left"/>
      <w:pPr>
        <w:ind w:left="2880" w:hanging="360"/>
      </w:pPr>
      <w:rPr>
        <w:rFonts w:ascii="Century Gothic" w:hAnsi="Century Gothic" w:hint="default"/>
      </w:rPr>
    </w:lvl>
    <w:lvl w:ilvl="3" w:tplc="0C090001" w:tentative="1">
      <w:start w:val="1"/>
      <w:numFmt w:val="bullet"/>
      <w:lvlText w:val=""/>
      <w:lvlJc w:val="left"/>
      <w:pPr>
        <w:ind w:left="3600" w:hanging="360"/>
      </w:pPr>
      <w:rPr>
        <w:rFonts w:ascii="Courier New" w:hAnsi="Courier New" w:hint="default"/>
      </w:rPr>
    </w:lvl>
    <w:lvl w:ilvl="4" w:tplc="0C090003" w:tentative="1">
      <w:start w:val="1"/>
      <w:numFmt w:val="bullet"/>
      <w:lvlText w:val="o"/>
      <w:lvlJc w:val="left"/>
      <w:pPr>
        <w:ind w:left="4320" w:hanging="360"/>
      </w:pPr>
      <w:rPr>
        <w:rFonts w:ascii="Symbol" w:hAnsi="Symbol" w:cs="Symbol" w:hint="default"/>
      </w:rPr>
    </w:lvl>
    <w:lvl w:ilvl="5" w:tplc="0C090005" w:tentative="1">
      <w:start w:val="1"/>
      <w:numFmt w:val="bullet"/>
      <w:lvlText w:val=""/>
      <w:lvlJc w:val="left"/>
      <w:pPr>
        <w:ind w:left="5040" w:hanging="360"/>
      </w:pPr>
      <w:rPr>
        <w:rFonts w:ascii="Century Gothic" w:hAnsi="Century Gothic" w:hint="default"/>
      </w:rPr>
    </w:lvl>
    <w:lvl w:ilvl="6" w:tplc="0C090001" w:tentative="1">
      <w:start w:val="1"/>
      <w:numFmt w:val="bullet"/>
      <w:lvlText w:val=""/>
      <w:lvlJc w:val="left"/>
      <w:pPr>
        <w:ind w:left="5760" w:hanging="360"/>
      </w:pPr>
      <w:rPr>
        <w:rFonts w:ascii="Courier New" w:hAnsi="Courier New" w:hint="default"/>
      </w:rPr>
    </w:lvl>
    <w:lvl w:ilvl="7" w:tplc="0C090003" w:tentative="1">
      <w:start w:val="1"/>
      <w:numFmt w:val="bullet"/>
      <w:lvlText w:val="o"/>
      <w:lvlJc w:val="left"/>
      <w:pPr>
        <w:ind w:left="6480" w:hanging="360"/>
      </w:pPr>
      <w:rPr>
        <w:rFonts w:ascii="Symbol" w:hAnsi="Symbol" w:cs="Symbol" w:hint="default"/>
      </w:rPr>
    </w:lvl>
    <w:lvl w:ilvl="8" w:tplc="0C090005" w:tentative="1">
      <w:start w:val="1"/>
      <w:numFmt w:val="bullet"/>
      <w:lvlText w:val=""/>
      <w:lvlJc w:val="left"/>
      <w:pPr>
        <w:ind w:left="7200" w:hanging="360"/>
      </w:pPr>
      <w:rPr>
        <w:rFonts w:ascii="Century Gothic" w:hAnsi="Century Gothic" w:hint="default"/>
      </w:rPr>
    </w:lvl>
  </w:abstractNum>
  <w:abstractNum w:abstractNumId="90" w15:restartNumberingAfterBreak="0">
    <w:nsid w:val="3B352805"/>
    <w:multiLevelType w:val="hybridMultilevel"/>
    <w:tmpl w:val="00DAE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EA4EF8"/>
    <w:multiLevelType w:val="multilevel"/>
    <w:tmpl w:val="2A68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92" w15:restartNumberingAfterBreak="0">
    <w:nsid w:val="3C122EA0"/>
    <w:multiLevelType w:val="multilevel"/>
    <w:tmpl w:val="B0E2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93" w15:restartNumberingAfterBreak="0">
    <w:nsid w:val="401D5F41"/>
    <w:multiLevelType w:val="multilevel"/>
    <w:tmpl w:val="8A708A72"/>
    <w:styleLink w:val="MELegal"/>
    <w:lvl w:ilvl="0">
      <w:start w:val="1"/>
      <w:numFmt w:val="decimal"/>
      <w:pStyle w:val="MELegal1"/>
      <w:lvlText w:val="%1."/>
      <w:lvlJc w:val="left"/>
      <w:pPr>
        <w:ind w:left="680" w:hanging="680"/>
      </w:pPr>
    </w:lvl>
    <w:lvl w:ilvl="1">
      <w:start w:val="1"/>
      <w:numFmt w:val="decimal"/>
      <w:pStyle w:val="MELegal2"/>
      <w:lvlText w:val="%1.%2"/>
      <w:lvlJc w:val="left"/>
      <w:pPr>
        <w:ind w:left="680" w:hanging="680"/>
      </w:pPr>
    </w:lvl>
    <w:lvl w:ilvl="2">
      <w:start w:val="1"/>
      <w:numFmt w:val="lowerLetter"/>
      <w:pStyle w:val="MELegal3"/>
      <w:lvlText w:val="(%3)"/>
      <w:lvlJc w:val="left"/>
      <w:pPr>
        <w:ind w:left="1361" w:hanging="681"/>
      </w:p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94" w15:restartNumberingAfterBreak="0">
    <w:nsid w:val="416B6AB8"/>
    <w:multiLevelType w:val="hybridMultilevel"/>
    <w:tmpl w:val="E3442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1CC7663"/>
    <w:multiLevelType w:val="multilevel"/>
    <w:tmpl w:val="B804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96" w15:restartNumberingAfterBreak="0">
    <w:nsid w:val="42561B3C"/>
    <w:multiLevelType w:val="multilevel"/>
    <w:tmpl w:val="F7C28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6B4E75"/>
    <w:multiLevelType w:val="multilevel"/>
    <w:tmpl w:val="96A490D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98" w15:restartNumberingAfterBreak="0">
    <w:nsid w:val="42D533EA"/>
    <w:multiLevelType w:val="hybridMultilevel"/>
    <w:tmpl w:val="ACA6E1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4AF2929"/>
    <w:multiLevelType w:val="hybridMultilevel"/>
    <w:tmpl w:val="A11C5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5644261"/>
    <w:multiLevelType w:val="hybridMultilevel"/>
    <w:tmpl w:val="798EDD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1" w15:restartNumberingAfterBreak="0">
    <w:nsid w:val="46073D9A"/>
    <w:multiLevelType w:val="hybridMultilevel"/>
    <w:tmpl w:val="15F6F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6E03F8A"/>
    <w:multiLevelType w:val="hybridMultilevel"/>
    <w:tmpl w:val="C0BEC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3" w15:restartNumberingAfterBreak="0">
    <w:nsid w:val="485F363F"/>
    <w:multiLevelType w:val="multilevel"/>
    <w:tmpl w:val="9956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93A302F"/>
    <w:multiLevelType w:val="hybridMultilevel"/>
    <w:tmpl w:val="FFFFFFFF"/>
    <w:lvl w:ilvl="0" w:tplc="592A2B08">
      <w:start w:val="1"/>
      <w:numFmt w:val="bullet"/>
      <w:lvlText w:val=""/>
      <w:lvlJc w:val="left"/>
      <w:pPr>
        <w:ind w:left="720" w:hanging="360"/>
      </w:pPr>
      <w:rPr>
        <w:rFonts w:ascii="Symbol" w:hAnsi="Symbol" w:hint="default"/>
      </w:rPr>
    </w:lvl>
    <w:lvl w:ilvl="1" w:tplc="4DCC1DB4">
      <w:start w:val="1"/>
      <w:numFmt w:val="bullet"/>
      <w:lvlText w:val="o"/>
      <w:lvlJc w:val="left"/>
      <w:pPr>
        <w:ind w:left="1440" w:hanging="360"/>
      </w:pPr>
      <w:rPr>
        <w:rFonts w:ascii="Courier New" w:hAnsi="Courier New" w:hint="default"/>
      </w:rPr>
    </w:lvl>
    <w:lvl w:ilvl="2" w:tplc="D2A6BDAE">
      <w:start w:val="1"/>
      <w:numFmt w:val="bullet"/>
      <w:lvlText w:val=""/>
      <w:lvlJc w:val="left"/>
      <w:pPr>
        <w:ind w:left="2160" w:hanging="360"/>
      </w:pPr>
      <w:rPr>
        <w:rFonts w:ascii="Wingdings" w:hAnsi="Wingdings" w:hint="default"/>
      </w:rPr>
    </w:lvl>
    <w:lvl w:ilvl="3" w:tplc="2C68F994">
      <w:start w:val="1"/>
      <w:numFmt w:val="bullet"/>
      <w:lvlText w:val=""/>
      <w:lvlJc w:val="left"/>
      <w:pPr>
        <w:ind w:left="2880" w:hanging="360"/>
      </w:pPr>
      <w:rPr>
        <w:rFonts w:ascii="Symbol" w:hAnsi="Symbol" w:hint="default"/>
      </w:rPr>
    </w:lvl>
    <w:lvl w:ilvl="4" w:tplc="550C0AD4">
      <w:start w:val="1"/>
      <w:numFmt w:val="bullet"/>
      <w:lvlText w:val="o"/>
      <w:lvlJc w:val="left"/>
      <w:pPr>
        <w:ind w:left="3600" w:hanging="360"/>
      </w:pPr>
      <w:rPr>
        <w:rFonts w:ascii="Courier New" w:hAnsi="Courier New" w:hint="default"/>
      </w:rPr>
    </w:lvl>
    <w:lvl w:ilvl="5" w:tplc="BC50D522">
      <w:start w:val="1"/>
      <w:numFmt w:val="bullet"/>
      <w:lvlText w:val=""/>
      <w:lvlJc w:val="left"/>
      <w:pPr>
        <w:ind w:left="4320" w:hanging="360"/>
      </w:pPr>
      <w:rPr>
        <w:rFonts w:ascii="Wingdings" w:hAnsi="Wingdings" w:hint="default"/>
      </w:rPr>
    </w:lvl>
    <w:lvl w:ilvl="6" w:tplc="F4D8A7C2">
      <w:start w:val="1"/>
      <w:numFmt w:val="bullet"/>
      <w:lvlText w:val=""/>
      <w:lvlJc w:val="left"/>
      <w:pPr>
        <w:ind w:left="5040" w:hanging="360"/>
      </w:pPr>
      <w:rPr>
        <w:rFonts w:ascii="Symbol" w:hAnsi="Symbol" w:hint="default"/>
      </w:rPr>
    </w:lvl>
    <w:lvl w:ilvl="7" w:tplc="28FCD1EA">
      <w:start w:val="1"/>
      <w:numFmt w:val="bullet"/>
      <w:lvlText w:val="o"/>
      <w:lvlJc w:val="left"/>
      <w:pPr>
        <w:ind w:left="5760" w:hanging="360"/>
      </w:pPr>
      <w:rPr>
        <w:rFonts w:ascii="Courier New" w:hAnsi="Courier New" w:hint="default"/>
      </w:rPr>
    </w:lvl>
    <w:lvl w:ilvl="8" w:tplc="9FC02D5C">
      <w:start w:val="1"/>
      <w:numFmt w:val="bullet"/>
      <w:lvlText w:val=""/>
      <w:lvlJc w:val="left"/>
      <w:pPr>
        <w:ind w:left="6480" w:hanging="360"/>
      </w:pPr>
      <w:rPr>
        <w:rFonts w:ascii="Wingdings" w:hAnsi="Wingdings" w:hint="default"/>
      </w:rPr>
    </w:lvl>
  </w:abstractNum>
  <w:abstractNum w:abstractNumId="105" w15:restartNumberingAfterBreak="0">
    <w:nsid w:val="4A36382E"/>
    <w:multiLevelType w:val="hybridMultilevel"/>
    <w:tmpl w:val="C0D2A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Symbol" w:hAnsi="Symbol" w:cs="Symbol" w:hint="default"/>
      </w:rPr>
    </w:lvl>
    <w:lvl w:ilvl="2" w:tplc="0C090005" w:tentative="1">
      <w:start w:val="1"/>
      <w:numFmt w:val="bullet"/>
      <w:lvlText w:val=""/>
      <w:lvlJc w:val="left"/>
      <w:pPr>
        <w:ind w:left="2160" w:hanging="360"/>
      </w:pPr>
      <w:rPr>
        <w:rFonts w:ascii="Yu Mincho Light" w:hAnsi="Yu Mincho Light" w:hint="default"/>
      </w:rPr>
    </w:lvl>
    <w:lvl w:ilvl="3" w:tplc="0C090001" w:tentative="1">
      <w:start w:val="1"/>
      <w:numFmt w:val="bullet"/>
      <w:lvlText w:val=""/>
      <w:lvlJc w:val="left"/>
      <w:pPr>
        <w:ind w:left="2880" w:hanging="360"/>
      </w:pPr>
      <w:rPr>
        <w:rFonts w:ascii="Century Gothic" w:hAnsi="Century Gothic" w:hint="default"/>
      </w:rPr>
    </w:lvl>
    <w:lvl w:ilvl="4" w:tplc="0C090003" w:tentative="1">
      <w:start w:val="1"/>
      <w:numFmt w:val="bullet"/>
      <w:lvlText w:val="o"/>
      <w:lvlJc w:val="left"/>
      <w:pPr>
        <w:ind w:left="3600" w:hanging="360"/>
      </w:pPr>
      <w:rPr>
        <w:rFonts w:ascii="Symbol" w:hAnsi="Symbol" w:cs="Symbol" w:hint="default"/>
      </w:rPr>
    </w:lvl>
    <w:lvl w:ilvl="5" w:tplc="0C090005" w:tentative="1">
      <w:start w:val="1"/>
      <w:numFmt w:val="bullet"/>
      <w:lvlText w:val=""/>
      <w:lvlJc w:val="left"/>
      <w:pPr>
        <w:ind w:left="4320" w:hanging="360"/>
      </w:pPr>
      <w:rPr>
        <w:rFonts w:ascii="Yu Mincho Light" w:hAnsi="Yu Mincho Light" w:hint="default"/>
      </w:rPr>
    </w:lvl>
    <w:lvl w:ilvl="6" w:tplc="0C090001" w:tentative="1">
      <w:start w:val="1"/>
      <w:numFmt w:val="bullet"/>
      <w:lvlText w:val=""/>
      <w:lvlJc w:val="left"/>
      <w:pPr>
        <w:ind w:left="5040" w:hanging="360"/>
      </w:pPr>
      <w:rPr>
        <w:rFonts w:ascii="Century Gothic" w:hAnsi="Century Gothic" w:hint="default"/>
      </w:rPr>
    </w:lvl>
    <w:lvl w:ilvl="7" w:tplc="0C090003" w:tentative="1">
      <w:start w:val="1"/>
      <w:numFmt w:val="bullet"/>
      <w:lvlText w:val="o"/>
      <w:lvlJc w:val="left"/>
      <w:pPr>
        <w:ind w:left="5760" w:hanging="360"/>
      </w:pPr>
      <w:rPr>
        <w:rFonts w:ascii="Symbol" w:hAnsi="Symbol" w:cs="Symbol" w:hint="default"/>
      </w:rPr>
    </w:lvl>
    <w:lvl w:ilvl="8" w:tplc="0C090005" w:tentative="1">
      <w:start w:val="1"/>
      <w:numFmt w:val="bullet"/>
      <w:lvlText w:val=""/>
      <w:lvlJc w:val="left"/>
      <w:pPr>
        <w:ind w:left="6480" w:hanging="360"/>
      </w:pPr>
      <w:rPr>
        <w:rFonts w:ascii="Yu Mincho Light" w:hAnsi="Yu Mincho Light" w:hint="default"/>
      </w:rPr>
    </w:lvl>
  </w:abstractNum>
  <w:abstractNum w:abstractNumId="106" w15:restartNumberingAfterBreak="0">
    <w:nsid w:val="4A78323D"/>
    <w:multiLevelType w:val="hybridMultilevel"/>
    <w:tmpl w:val="2D822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C952DC5"/>
    <w:multiLevelType w:val="hybridMultilevel"/>
    <w:tmpl w:val="41EEC2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DC4171A"/>
    <w:multiLevelType w:val="multilevel"/>
    <w:tmpl w:val="D2F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09" w15:restartNumberingAfterBreak="0">
    <w:nsid w:val="4E5A12B5"/>
    <w:multiLevelType w:val="hybridMultilevel"/>
    <w:tmpl w:val="F60E3D82"/>
    <w:lvl w:ilvl="0" w:tplc="D884BD00">
      <w:start w:val="1"/>
      <w:numFmt w:val="bullet"/>
      <w:lvlText w:val=""/>
      <w:lvlJc w:val="left"/>
      <w:pPr>
        <w:ind w:left="720" w:hanging="360"/>
      </w:pPr>
      <w:rPr>
        <w:rFonts w:ascii="Symbol" w:hAnsi="Symbol" w:hint="default"/>
        <w:color w:val="000000" w:themeColor="text1"/>
      </w:rPr>
    </w:lvl>
    <w:lvl w:ilvl="1" w:tplc="205A9DB2">
      <w:start w:val="1"/>
      <w:numFmt w:val="bullet"/>
      <w:lvlText w:val="o"/>
      <w:lvlJc w:val="left"/>
      <w:pPr>
        <w:ind w:left="1440" w:hanging="360"/>
      </w:pPr>
      <w:rPr>
        <w:rFonts w:ascii="Courier New" w:hAnsi="Courier New" w:cs="Courier New" w:hint="default"/>
        <w:color w:val="000000" w:themeColor="text1"/>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4E9D2FDF"/>
    <w:multiLevelType w:val="multilevel"/>
    <w:tmpl w:val="B49E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11" w15:restartNumberingAfterBreak="0">
    <w:nsid w:val="4EA95FE8"/>
    <w:multiLevelType w:val="multilevel"/>
    <w:tmpl w:val="0C3CC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EBE02E2"/>
    <w:multiLevelType w:val="hybridMultilevel"/>
    <w:tmpl w:val="0C043AB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3" w15:restartNumberingAfterBreak="0">
    <w:nsid w:val="4F3C049E"/>
    <w:multiLevelType w:val="multilevel"/>
    <w:tmpl w:val="8E16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00926AD"/>
    <w:multiLevelType w:val="multilevel"/>
    <w:tmpl w:val="2824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15" w15:restartNumberingAfterBreak="0">
    <w:nsid w:val="51B01028"/>
    <w:multiLevelType w:val="hybridMultilevel"/>
    <w:tmpl w:val="BABC56C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6" w15:restartNumberingAfterBreak="0">
    <w:nsid w:val="51D40B62"/>
    <w:multiLevelType w:val="hybridMultilevel"/>
    <w:tmpl w:val="D04C7B38"/>
    <w:lvl w:ilvl="0" w:tplc="0C090001">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Symbol" w:hAnsi="Symbol" w:cs="Symbol" w:hint="default"/>
      </w:rPr>
    </w:lvl>
    <w:lvl w:ilvl="2" w:tplc="0C090005" w:tentative="1">
      <w:start w:val="1"/>
      <w:numFmt w:val="bullet"/>
      <w:lvlText w:val=""/>
      <w:lvlJc w:val="left"/>
      <w:pPr>
        <w:ind w:left="2160" w:hanging="360"/>
      </w:pPr>
      <w:rPr>
        <w:rFonts w:ascii="Century Gothic" w:hAnsi="Century Gothic" w:hint="default"/>
      </w:rPr>
    </w:lvl>
    <w:lvl w:ilvl="3" w:tplc="0C090001" w:tentative="1">
      <w:start w:val="1"/>
      <w:numFmt w:val="bullet"/>
      <w:lvlText w:val=""/>
      <w:lvlJc w:val="left"/>
      <w:pPr>
        <w:ind w:left="2880" w:hanging="360"/>
      </w:pPr>
      <w:rPr>
        <w:rFonts w:ascii="Courier New" w:hAnsi="Courier New" w:hint="default"/>
      </w:rPr>
    </w:lvl>
    <w:lvl w:ilvl="4" w:tplc="0C090003" w:tentative="1">
      <w:start w:val="1"/>
      <w:numFmt w:val="bullet"/>
      <w:lvlText w:val="o"/>
      <w:lvlJc w:val="left"/>
      <w:pPr>
        <w:ind w:left="3600" w:hanging="360"/>
      </w:pPr>
      <w:rPr>
        <w:rFonts w:ascii="Symbol" w:hAnsi="Symbol" w:cs="Symbol" w:hint="default"/>
      </w:rPr>
    </w:lvl>
    <w:lvl w:ilvl="5" w:tplc="0C090005" w:tentative="1">
      <w:start w:val="1"/>
      <w:numFmt w:val="bullet"/>
      <w:lvlText w:val=""/>
      <w:lvlJc w:val="left"/>
      <w:pPr>
        <w:ind w:left="4320" w:hanging="360"/>
      </w:pPr>
      <w:rPr>
        <w:rFonts w:ascii="Century Gothic" w:hAnsi="Century Gothic" w:hint="default"/>
      </w:rPr>
    </w:lvl>
    <w:lvl w:ilvl="6" w:tplc="0C090001" w:tentative="1">
      <w:start w:val="1"/>
      <w:numFmt w:val="bullet"/>
      <w:lvlText w:val=""/>
      <w:lvlJc w:val="left"/>
      <w:pPr>
        <w:ind w:left="5040" w:hanging="360"/>
      </w:pPr>
      <w:rPr>
        <w:rFonts w:ascii="Courier New" w:hAnsi="Courier New" w:hint="default"/>
      </w:rPr>
    </w:lvl>
    <w:lvl w:ilvl="7" w:tplc="0C090003" w:tentative="1">
      <w:start w:val="1"/>
      <w:numFmt w:val="bullet"/>
      <w:lvlText w:val="o"/>
      <w:lvlJc w:val="left"/>
      <w:pPr>
        <w:ind w:left="5760" w:hanging="360"/>
      </w:pPr>
      <w:rPr>
        <w:rFonts w:ascii="Symbol" w:hAnsi="Symbol" w:cs="Symbol" w:hint="default"/>
      </w:rPr>
    </w:lvl>
    <w:lvl w:ilvl="8" w:tplc="0C090005" w:tentative="1">
      <w:start w:val="1"/>
      <w:numFmt w:val="bullet"/>
      <w:lvlText w:val=""/>
      <w:lvlJc w:val="left"/>
      <w:pPr>
        <w:ind w:left="6480" w:hanging="360"/>
      </w:pPr>
      <w:rPr>
        <w:rFonts w:ascii="Century Gothic" w:hAnsi="Century Gothic" w:hint="default"/>
      </w:rPr>
    </w:lvl>
  </w:abstractNum>
  <w:abstractNum w:abstractNumId="117" w15:restartNumberingAfterBreak="0">
    <w:nsid w:val="520F4527"/>
    <w:multiLevelType w:val="multilevel"/>
    <w:tmpl w:val="3424BB6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18" w15:restartNumberingAfterBreak="0">
    <w:nsid w:val="54603FD4"/>
    <w:multiLevelType w:val="hybridMultilevel"/>
    <w:tmpl w:val="D806E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54F6173A"/>
    <w:multiLevelType w:val="multilevel"/>
    <w:tmpl w:val="BFE0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20" w15:restartNumberingAfterBreak="0">
    <w:nsid w:val="555850DC"/>
    <w:multiLevelType w:val="multilevel"/>
    <w:tmpl w:val="3ECE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21" w15:restartNumberingAfterBreak="0">
    <w:nsid w:val="55CC43DA"/>
    <w:multiLevelType w:val="multilevel"/>
    <w:tmpl w:val="B804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22" w15:restartNumberingAfterBreak="0">
    <w:nsid w:val="56431710"/>
    <w:multiLevelType w:val="hybridMultilevel"/>
    <w:tmpl w:val="EFC04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64E3B6A"/>
    <w:multiLevelType w:val="multilevel"/>
    <w:tmpl w:val="3432E45C"/>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abstractNum w:abstractNumId="124" w15:restartNumberingAfterBreak="0">
    <w:nsid w:val="56954BB1"/>
    <w:multiLevelType w:val="multilevel"/>
    <w:tmpl w:val="1AB0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25" w15:restartNumberingAfterBreak="0">
    <w:nsid w:val="592357AC"/>
    <w:multiLevelType w:val="hybridMultilevel"/>
    <w:tmpl w:val="4D92601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6" w15:restartNumberingAfterBreak="0">
    <w:nsid w:val="59A6069B"/>
    <w:multiLevelType w:val="multilevel"/>
    <w:tmpl w:val="3722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A2170A8"/>
    <w:multiLevelType w:val="multilevel"/>
    <w:tmpl w:val="E76486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Century Gothic" w:hAnsi="Century Gothic" w:hint="default"/>
        <w:sz w:val="20"/>
      </w:rPr>
    </w:lvl>
    <w:lvl w:ilvl="3" w:tentative="1">
      <w:start w:val="1"/>
      <w:numFmt w:val="bullet"/>
      <w:lvlText w:val=""/>
      <w:lvlJc w:val="left"/>
      <w:pPr>
        <w:tabs>
          <w:tab w:val="num" w:pos="2520"/>
        </w:tabs>
        <w:ind w:left="2520" w:hanging="360"/>
      </w:pPr>
      <w:rPr>
        <w:rFonts w:ascii="Century Gothic" w:hAnsi="Century Gothic" w:hint="default"/>
        <w:sz w:val="20"/>
      </w:rPr>
    </w:lvl>
    <w:lvl w:ilvl="4" w:tentative="1">
      <w:start w:val="1"/>
      <w:numFmt w:val="bullet"/>
      <w:lvlText w:val=""/>
      <w:lvlJc w:val="left"/>
      <w:pPr>
        <w:tabs>
          <w:tab w:val="num" w:pos="3240"/>
        </w:tabs>
        <w:ind w:left="3240" w:hanging="360"/>
      </w:pPr>
      <w:rPr>
        <w:rFonts w:ascii="Century Gothic" w:hAnsi="Century Gothic" w:hint="default"/>
        <w:sz w:val="20"/>
      </w:rPr>
    </w:lvl>
    <w:lvl w:ilvl="5" w:tentative="1">
      <w:start w:val="1"/>
      <w:numFmt w:val="bullet"/>
      <w:lvlText w:val=""/>
      <w:lvlJc w:val="left"/>
      <w:pPr>
        <w:tabs>
          <w:tab w:val="num" w:pos="3960"/>
        </w:tabs>
        <w:ind w:left="3960" w:hanging="360"/>
      </w:pPr>
      <w:rPr>
        <w:rFonts w:ascii="Century Gothic" w:hAnsi="Century Gothic" w:hint="default"/>
        <w:sz w:val="20"/>
      </w:rPr>
    </w:lvl>
    <w:lvl w:ilvl="6" w:tentative="1">
      <w:start w:val="1"/>
      <w:numFmt w:val="bullet"/>
      <w:lvlText w:val=""/>
      <w:lvlJc w:val="left"/>
      <w:pPr>
        <w:tabs>
          <w:tab w:val="num" w:pos="4680"/>
        </w:tabs>
        <w:ind w:left="4680" w:hanging="360"/>
      </w:pPr>
      <w:rPr>
        <w:rFonts w:ascii="Century Gothic" w:hAnsi="Century Gothic" w:hint="default"/>
        <w:sz w:val="20"/>
      </w:rPr>
    </w:lvl>
    <w:lvl w:ilvl="7" w:tentative="1">
      <w:start w:val="1"/>
      <w:numFmt w:val="bullet"/>
      <w:lvlText w:val=""/>
      <w:lvlJc w:val="left"/>
      <w:pPr>
        <w:tabs>
          <w:tab w:val="num" w:pos="5400"/>
        </w:tabs>
        <w:ind w:left="5400" w:hanging="360"/>
      </w:pPr>
      <w:rPr>
        <w:rFonts w:ascii="Century Gothic" w:hAnsi="Century Gothic" w:hint="default"/>
        <w:sz w:val="20"/>
      </w:rPr>
    </w:lvl>
    <w:lvl w:ilvl="8" w:tentative="1">
      <w:start w:val="1"/>
      <w:numFmt w:val="bullet"/>
      <w:lvlText w:val=""/>
      <w:lvlJc w:val="left"/>
      <w:pPr>
        <w:tabs>
          <w:tab w:val="num" w:pos="6120"/>
        </w:tabs>
        <w:ind w:left="6120" w:hanging="360"/>
      </w:pPr>
      <w:rPr>
        <w:rFonts w:ascii="Century Gothic" w:hAnsi="Century Gothic" w:hint="default"/>
        <w:sz w:val="20"/>
      </w:rPr>
    </w:lvl>
  </w:abstractNum>
  <w:abstractNum w:abstractNumId="128" w15:restartNumberingAfterBreak="0">
    <w:nsid w:val="5B2725F3"/>
    <w:multiLevelType w:val="multilevel"/>
    <w:tmpl w:val="9C8649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Century Gothic" w:hAnsi="Century Gothic" w:hint="default"/>
        <w:sz w:val="20"/>
      </w:rPr>
    </w:lvl>
    <w:lvl w:ilvl="3" w:tentative="1">
      <w:start w:val="1"/>
      <w:numFmt w:val="bullet"/>
      <w:lvlText w:val=""/>
      <w:lvlJc w:val="left"/>
      <w:pPr>
        <w:tabs>
          <w:tab w:val="num" w:pos="2520"/>
        </w:tabs>
        <w:ind w:left="2520" w:hanging="360"/>
      </w:pPr>
      <w:rPr>
        <w:rFonts w:ascii="Century Gothic" w:hAnsi="Century Gothic" w:hint="default"/>
        <w:sz w:val="20"/>
      </w:rPr>
    </w:lvl>
    <w:lvl w:ilvl="4" w:tentative="1">
      <w:start w:val="1"/>
      <w:numFmt w:val="bullet"/>
      <w:lvlText w:val=""/>
      <w:lvlJc w:val="left"/>
      <w:pPr>
        <w:tabs>
          <w:tab w:val="num" w:pos="3240"/>
        </w:tabs>
        <w:ind w:left="3240" w:hanging="360"/>
      </w:pPr>
      <w:rPr>
        <w:rFonts w:ascii="Century Gothic" w:hAnsi="Century Gothic" w:hint="default"/>
        <w:sz w:val="20"/>
      </w:rPr>
    </w:lvl>
    <w:lvl w:ilvl="5" w:tentative="1">
      <w:start w:val="1"/>
      <w:numFmt w:val="bullet"/>
      <w:lvlText w:val=""/>
      <w:lvlJc w:val="left"/>
      <w:pPr>
        <w:tabs>
          <w:tab w:val="num" w:pos="3960"/>
        </w:tabs>
        <w:ind w:left="3960" w:hanging="360"/>
      </w:pPr>
      <w:rPr>
        <w:rFonts w:ascii="Century Gothic" w:hAnsi="Century Gothic" w:hint="default"/>
        <w:sz w:val="20"/>
      </w:rPr>
    </w:lvl>
    <w:lvl w:ilvl="6" w:tentative="1">
      <w:start w:val="1"/>
      <w:numFmt w:val="bullet"/>
      <w:lvlText w:val=""/>
      <w:lvlJc w:val="left"/>
      <w:pPr>
        <w:tabs>
          <w:tab w:val="num" w:pos="4680"/>
        </w:tabs>
        <w:ind w:left="4680" w:hanging="360"/>
      </w:pPr>
      <w:rPr>
        <w:rFonts w:ascii="Century Gothic" w:hAnsi="Century Gothic" w:hint="default"/>
        <w:sz w:val="20"/>
      </w:rPr>
    </w:lvl>
    <w:lvl w:ilvl="7" w:tentative="1">
      <w:start w:val="1"/>
      <w:numFmt w:val="bullet"/>
      <w:lvlText w:val=""/>
      <w:lvlJc w:val="left"/>
      <w:pPr>
        <w:tabs>
          <w:tab w:val="num" w:pos="5400"/>
        </w:tabs>
        <w:ind w:left="5400" w:hanging="360"/>
      </w:pPr>
      <w:rPr>
        <w:rFonts w:ascii="Century Gothic" w:hAnsi="Century Gothic" w:hint="default"/>
        <w:sz w:val="20"/>
      </w:rPr>
    </w:lvl>
    <w:lvl w:ilvl="8" w:tentative="1">
      <w:start w:val="1"/>
      <w:numFmt w:val="bullet"/>
      <w:lvlText w:val=""/>
      <w:lvlJc w:val="left"/>
      <w:pPr>
        <w:tabs>
          <w:tab w:val="num" w:pos="6120"/>
        </w:tabs>
        <w:ind w:left="6120" w:hanging="360"/>
      </w:pPr>
      <w:rPr>
        <w:rFonts w:ascii="Century Gothic" w:hAnsi="Century Gothic" w:hint="default"/>
        <w:sz w:val="20"/>
      </w:rPr>
    </w:lvl>
  </w:abstractNum>
  <w:abstractNum w:abstractNumId="129" w15:restartNumberingAfterBreak="0">
    <w:nsid w:val="5B8D7700"/>
    <w:multiLevelType w:val="multilevel"/>
    <w:tmpl w:val="CA2CAF0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Calibri" w:eastAsia="Segoe UI" w:hAnsi="Calibri" w:cs="Calibri" w:hint="default"/>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30" w15:restartNumberingAfterBreak="0">
    <w:nsid w:val="5F7846EA"/>
    <w:multiLevelType w:val="multilevel"/>
    <w:tmpl w:val="F2B8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31" w15:restartNumberingAfterBreak="0">
    <w:nsid w:val="60060FC5"/>
    <w:multiLevelType w:val="hybridMultilevel"/>
    <w:tmpl w:val="44CC90E2"/>
    <w:lvl w:ilvl="0" w:tplc="BA5AA04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2" w15:restartNumberingAfterBreak="0">
    <w:nsid w:val="600738BF"/>
    <w:multiLevelType w:val="hybridMultilevel"/>
    <w:tmpl w:val="924AA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00B3EC1"/>
    <w:multiLevelType w:val="hybridMultilevel"/>
    <w:tmpl w:val="6DE2F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0167D5A"/>
    <w:multiLevelType w:val="hybridMultilevel"/>
    <w:tmpl w:val="7CB0CE6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35" w15:restartNumberingAfterBreak="0">
    <w:nsid w:val="61832820"/>
    <w:multiLevelType w:val="multilevel"/>
    <w:tmpl w:val="256C119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36" w15:restartNumberingAfterBreak="0">
    <w:nsid w:val="61EA0B2B"/>
    <w:multiLevelType w:val="hybridMultilevel"/>
    <w:tmpl w:val="6642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282728F"/>
    <w:multiLevelType w:val="hybridMultilevel"/>
    <w:tmpl w:val="3E7A2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2FA4EAF"/>
    <w:multiLevelType w:val="hybridMultilevel"/>
    <w:tmpl w:val="C214F0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9" w15:restartNumberingAfterBreak="0">
    <w:nsid w:val="63852CBB"/>
    <w:multiLevelType w:val="hybridMultilevel"/>
    <w:tmpl w:val="8D568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63CF4F71"/>
    <w:multiLevelType w:val="multilevel"/>
    <w:tmpl w:val="DA86F9B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41" w15:restartNumberingAfterBreak="0">
    <w:nsid w:val="63DE0543"/>
    <w:multiLevelType w:val="hybridMultilevel"/>
    <w:tmpl w:val="3EBE8E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Symbol" w:hAnsi="Symbol" w:cs="Symbol" w:hint="default"/>
      </w:rPr>
    </w:lvl>
    <w:lvl w:ilvl="2" w:tplc="0C090005">
      <w:start w:val="1"/>
      <w:numFmt w:val="bullet"/>
      <w:lvlText w:val=""/>
      <w:lvlJc w:val="left"/>
      <w:pPr>
        <w:ind w:left="2160" w:hanging="360"/>
      </w:pPr>
      <w:rPr>
        <w:rFonts w:ascii="Century Gothic" w:hAnsi="Century Gothic" w:hint="default"/>
      </w:rPr>
    </w:lvl>
    <w:lvl w:ilvl="3" w:tplc="0C090001">
      <w:start w:val="1"/>
      <w:numFmt w:val="bullet"/>
      <w:lvlText w:val=""/>
      <w:lvlJc w:val="left"/>
      <w:pPr>
        <w:ind w:left="2880" w:hanging="360"/>
      </w:pPr>
      <w:rPr>
        <w:rFonts w:ascii="Courier New" w:hAnsi="Courier New" w:hint="default"/>
      </w:rPr>
    </w:lvl>
    <w:lvl w:ilvl="4" w:tplc="0C090003">
      <w:start w:val="1"/>
      <w:numFmt w:val="bullet"/>
      <w:lvlText w:val="o"/>
      <w:lvlJc w:val="left"/>
      <w:pPr>
        <w:ind w:left="3600" w:hanging="360"/>
      </w:pPr>
      <w:rPr>
        <w:rFonts w:ascii="Symbol" w:hAnsi="Symbol" w:cs="Symbol" w:hint="default"/>
      </w:rPr>
    </w:lvl>
    <w:lvl w:ilvl="5" w:tplc="0C090005">
      <w:start w:val="1"/>
      <w:numFmt w:val="bullet"/>
      <w:lvlText w:val=""/>
      <w:lvlJc w:val="left"/>
      <w:pPr>
        <w:ind w:left="4320" w:hanging="360"/>
      </w:pPr>
      <w:rPr>
        <w:rFonts w:ascii="Century Gothic" w:hAnsi="Century Gothic" w:hint="default"/>
      </w:rPr>
    </w:lvl>
    <w:lvl w:ilvl="6" w:tplc="0C090001">
      <w:start w:val="1"/>
      <w:numFmt w:val="bullet"/>
      <w:lvlText w:val=""/>
      <w:lvlJc w:val="left"/>
      <w:pPr>
        <w:ind w:left="5040" w:hanging="360"/>
      </w:pPr>
      <w:rPr>
        <w:rFonts w:ascii="Courier New" w:hAnsi="Courier New" w:hint="default"/>
      </w:rPr>
    </w:lvl>
    <w:lvl w:ilvl="7" w:tplc="0C090003">
      <w:start w:val="1"/>
      <w:numFmt w:val="bullet"/>
      <w:lvlText w:val="o"/>
      <w:lvlJc w:val="left"/>
      <w:pPr>
        <w:ind w:left="5760" w:hanging="360"/>
      </w:pPr>
      <w:rPr>
        <w:rFonts w:ascii="Symbol" w:hAnsi="Symbol" w:cs="Symbol" w:hint="default"/>
      </w:rPr>
    </w:lvl>
    <w:lvl w:ilvl="8" w:tplc="0C090005">
      <w:start w:val="1"/>
      <w:numFmt w:val="bullet"/>
      <w:lvlText w:val=""/>
      <w:lvlJc w:val="left"/>
      <w:pPr>
        <w:ind w:left="6480" w:hanging="360"/>
      </w:pPr>
      <w:rPr>
        <w:rFonts w:ascii="Century Gothic" w:hAnsi="Century Gothic" w:hint="default"/>
      </w:rPr>
    </w:lvl>
  </w:abstractNum>
  <w:abstractNum w:abstractNumId="142" w15:restartNumberingAfterBreak="0">
    <w:nsid w:val="64A26635"/>
    <w:multiLevelType w:val="multilevel"/>
    <w:tmpl w:val="98DEFB94"/>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43" w15:restartNumberingAfterBreak="0">
    <w:nsid w:val="650257C2"/>
    <w:multiLevelType w:val="multilevel"/>
    <w:tmpl w:val="D2F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44" w15:restartNumberingAfterBreak="0">
    <w:nsid w:val="652E56C1"/>
    <w:multiLevelType w:val="hybridMultilevel"/>
    <w:tmpl w:val="E10AD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6543189E"/>
    <w:multiLevelType w:val="multilevel"/>
    <w:tmpl w:val="3C76C404"/>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46" w15:restartNumberingAfterBreak="0">
    <w:nsid w:val="65506BF0"/>
    <w:multiLevelType w:val="hybridMultilevel"/>
    <w:tmpl w:val="38D4A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8722C3D"/>
    <w:multiLevelType w:val="hybridMultilevel"/>
    <w:tmpl w:val="D794C888"/>
    <w:lvl w:ilvl="0" w:tplc="63540B92">
      <w:start w:val="1"/>
      <w:numFmt w:val="bullet"/>
      <w:lvlText w:val=""/>
      <w:lvlJc w:val="left"/>
      <w:pPr>
        <w:ind w:left="1080" w:hanging="360"/>
      </w:pPr>
      <w:rPr>
        <w:rFonts w:ascii="Symbol" w:hAnsi="Symbol"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8" w15:restartNumberingAfterBreak="0">
    <w:nsid w:val="6A0344EB"/>
    <w:multiLevelType w:val="hybridMultilevel"/>
    <w:tmpl w:val="69A41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BB000B9"/>
    <w:multiLevelType w:val="multilevel"/>
    <w:tmpl w:val="87EC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50" w15:restartNumberingAfterBreak="0">
    <w:nsid w:val="6C512336"/>
    <w:multiLevelType w:val="multilevel"/>
    <w:tmpl w:val="D2F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51" w15:restartNumberingAfterBreak="0">
    <w:nsid w:val="6CAC5070"/>
    <w:multiLevelType w:val="hybridMultilevel"/>
    <w:tmpl w:val="40E64CE0"/>
    <w:lvl w:ilvl="0" w:tplc="BC48CDDA">
      <w:start w:val="5"/>
      <w:numFmt w:val="bullet"/>
      <w:lvlText w:val="-"/>
      <w:lvlJc w:val="left"/>
      <w:pPr>
        <w:ind w:left="4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6D6331D5"/>
    <w:multiLevelType w:val="multilevel"/>
    <w:tmpl w:val="0B841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E95280E"/>
    <w:multiLevelType w:val="multilevel"/>
    <w:tmpl w:val="AC32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54" w15:restartNumberingAfterBreak="0">
    <w:nsid w:val="6EBF6E60"/>
    <w:multiLevelType w:val="multilevel"/>
    <w:tmpl w:val="B6A46878"/>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55" w15:restartNumberingAfterBreak="0">
    <w:nsid w:val="71F05E6A"/>
    <w:multiLevelType w:val="hybridMultilevel"/>
    <w:tmpl w:val="89064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72364819"/>
    <w:multiLevelType w:val="multilevel"/>
    <w:tmpl w:val="341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57" w15:restartNumberingAfterBreak="0">
    <w:nsid w:val="72707C7E"/>
    <w:multiLevelType w:val="multilevel"/>
    <w:tmpl w:val="D2F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58" w15:restartNumberingAfterBreak="0">
    <w:nsid w:val="7350176C"/>
    <w:multiLevelType w:val="hybridMultilevel"/>
    <w:tmpl w:val="749E4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36E22D8"/>
    <w:multiLevelType w:val="hybridMultilevel"/>
    <w:tmpl w:val="DA62A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40007E3"/>
    <w:multiLevelType w:val="hybridMultilevel"/>
    <w:tmpl w:val="85908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4756F0D"/>
    <w:multiLevelType w:val="hybridMultilevel"/>
    <w:tmpl w:val="3DA68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74AA6A90"/>
    <w:multiLevelType w:val="multilevel"/>
    <w:tmpl w:val="D2F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63" w15:restartNumberingAfterBreak="0">
    <w:nsid w:val="751445B0"/>
    <w:multiLevelType w:val="multilevel"/>
    <w:tmpl w:val="DB9EC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64" w15:restartNumberingAfterBreak="0">
    <w:nsid w:val="75A63421"/>
    <w:multiLevelType w:val="multilevel"/>
    <w:tmpl w:val="3E7C6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5C97571"/>
    <w:multiLevelType w:val="multilevel"/>
    <w:tmpl w:val="5948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66" w15:restartNumberingAfterBreak="0">
    <w:nsid w:val="775B2562"/>
    <w:multiLevelType w:val="multilevel"/>
    <w:tmpl w:val="C158DAAC"/>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67" w15:restartNumberingAfterBreak="0">
    <w:nsid w:val="776666B0"/>
    <w:multiLevelType w:val="multilevel"/>
    <w:tmpl w:val="894A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7BB05F8"/>
    <w:multiLevelType w:val="hybridMultilevel"/>
    <w:tmpl w:val="7654D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7BE7925"/>
    <w:multiLevelType w:val="hybridMultilevel"/>
    <w:tmpl w:val="9454E0AE"/>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70" w15:restartNumberingAfterBreak="0">
    <w:nsid w:val="77F552A2"/>
    <w:multiLevelType w:val="hybridMultilevel"/>
    <w:tmpl w:val="C85AE330"/>
    <w:lvl w:ilvl="0" w:tplc="6CEE4B3E">
      <w:start w:val="1"/>
      <w:numFmt w:val="bullet"/>
      <w:lvlText w:val=""/>
      <w:lvlJc w:val="left"/>
      <w:pPr>
        <w:ind w:left="720" w:hanging="360"/>
      </w:pPr>
      <w:rPr>
        <w:rFonts w:ascii="Symbol" w:hAnsi="Symbol"/>
      </w:rPr>
    </w:lvl>
    <w:lvl w:ilvl="1" w:tplc="D85A9CAE">
      <w:start w:val="1"/>
      <w:numFmt w:val="bullet"/>
      <w:lvlText w:val=""/>
      <w:lvlJc w:val="left"/>
      <w:pPr>
        <w:ind w:left="720" w:hanging="360"/>
      </w:pPr>
      <w:rPr>
        <w:rFonts w:ascii="Symbol" w:hAnsi="Symbol"/>
      </w:rPr>
    </w:lvl>
    <w:lvl w:ilvl="2" w:tplc="4D983330">
      <w:start w:val="1"/>
      <w:numFmt w:val="bullet"/>
      <w:lvlText w:val=""/>
      <w:lvlJc w:val="left"/>
      <w:pPr>
        <w:ind w:left="720" w:hanging="360"/>
      </w:pPr>
      <w:rPr>
        <w:rFonts w:ascii="Symbol" w:hAnsi="Symbol"/>
      </w:rPr>
    </w:lvl>
    <w:lvl w:ilvl="3" w:tplc="3AFC4826">
      <w:start w:val="1"/>
      <w:numFmt w:val="bullet"/>
      <w:lvlText w:val=""/>
      <w:lvlJc w:val="left"/>
      <w:pPr>
        <w:ind w:left="720" w:hanging="360"/>
      </w:pPr>
      <w:rPr>
        <w:rFonts w:ascii="Symbol" w:hAnsi="Symbol"/>
      </w:rPr>
    </w:lvl>
    <w:lvl w:ilvl="4" w:tplc="40D45090">
      <w:start w:val="1"/>
      <w:numFmt w:val="bullet"/>
      <w:lvlText w:val=""/>
      <w:lvlJc w:val="left"/>
      <w:pPr>
        <w:ind w:left="720" w:hanging="360"/>
      </w:pPr>
      <w:rPr>
        <w:rFonts w:ascii="Symbol" w:hAnsi="Symbol"/>
      </w:rPr>
    </w:lvl>
    <w:lvl w:ilvl="5" w:tplc="231EA52A">
      <w:start w:val="1"/>
      <w:numFmt w:val="bullet"/>
      <w:lvlText w:val=""/>
      <w:lvlJc w:val="left"/>
      <w:pPr>
        <w:ind w:left="720" w:hanging="360"/>
      </w:pPr>
      <w:rPr>
        <w:rFonts w:ascii="Symbol" w:hAnsi="Symbol"/>
      </w:rPr>
    </w:lvl>
    <w:lvl w:ilvl="6" w:tplc="BC580F56">
      <w:start w:val="1"/>
      <w:numFmt w:val="bullet"/>
      <w:lvlText w:val=""/>
      <w:lvlJc w:val="left"/>
      <w:pPr>
        <w:ind w:left="720" w:hanging="360"/>
      </w:pPr>
      <w:rPr>
        <w:rFonts w:ascii="Symbol" w:hAnsi="Symbol"/>
      </w:rPr>
    </w:lvl>
    <w:lvl w:ilvl="7" w:tplc="CCB60062">
      <w:start w:val="1"/>
      <w:numFmt w:val="bullet"/>
      <w:lvlText w:val=""/>
      <w:lvlJc w:val="left"/>
      <w:pPr>
        <w:ind w:left="720" w:hanging="360"/>
      </w:pPr>
      <w:rPr>
        <w:rFonts w:ascii="Symbol" w:hAnsi="Symbol"/>
      </w:rPr>
    </w:lvl>
    <w:lvl w:ilvl="8" w:tplc="E916AABE">
      <w:start w:val="1"/>
      <w:numFmt w:val="bullet"/>
      <w:lvlText w:val=""/>
      <w:lvlJc w:val="left"/>
      <w:pPr>
        <w:ind w:left="720" w:hanging="360"/>
      </w:pPr>
      <w:rPr>
        <w:rFonts w:ascii="Symbol" w:hAnsi="Symbol"/>
      </w:rPr>
    </w:lvl>
  </w:abstractNum>
  <w:abstractNum w:abstractNumId="171" w15:restartNumberingAfterBreak="0">
    <w:nsid w:val="78831913"/>
    <w:multiLevelType w:val="multilevel"/>
    <w:tmpl w:val="35487FA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72" w15:restartNumberingAfterBreak="0">
    <w:nsid w:val="78C61D2F"/>
    <w:multiLevelType w:val="hybridMultilevel"/>
    <w:tmpl w:val="9452868A"/>
    <w:lvl w:ilvl="0" w:tplc="8F1E1790">
      <w:start w:val="1"/>
      <w:numFmt w:val="bullet"/>
      <w:lvlText w:val=""/>
      <w:lvlJc w:val="left"/>
      <w:pPr>
        <w:ind w:left="7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3" w15:restartNumberingAfterBreak="0">
    <w:nsid w:val="78D9740D"/>
    <w:multiLevelType w:val="multilevel"/>
    <w:tmpl w:val="C5DC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74" w15:restartNumberingAfterBreak="0">
    <w:nsid w:val="794A6A35"/>
    <w:multiLevelType w:val="hybridMultilevel"/>
    <w:tmpl w:val="4D2C1524"/>
    <w:lvl w:ilvl="0" w:tplc="63540B9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7A0F648F"/>
    <w:multiLevelType w:val="multilevel"/>
    <w:tmpl w:val="D2F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76" w15:restartNumberingAfterBreak="0">
    <w:nsid w:val="7A437143"/>
    <w:multiLevelType w:val="hybridMultilevel"/>
    <w:tmpl w:val="B49C589A"/>
    <w:lvl w:ilvl="0" w:tplc="9272A9EE">
      <w:start w:val="1"/>
      <w:numFmt w:val="bullet"/>
      <w:lvlText w:val="·"/>
      <w:lvlJc w:val="left"/>
      <w:pPr>
        <w:ind w:left="720" w:hanging="360"/>
      </w:pPr>
      <w:rPr>
        <w:rFonts w:ascii="&quot;Courier New&quot;" w:hAnsi="&quot;Courier New&quot;" w:hint="default"/>
      </w:rPr>
    </w:lvl>
    <w:lvl w:ilvl="1" w:tplc="C1EAE574">
      <w:start w:val="1"/>
      <w:numFmt w:val="bullet"/>
      <w:lvlText w:val="o"/>
      <w:lvlJc w:val="left"/>
      <w:pPr>
        <w:ind w:left="1440" w:hanging="360"/>
      </w:pPr>
      <w:rPr>
        <w:rFonts w:ascii="Courier New" w:hAnsi="Courier New" w:hint="default"/>
      </w:rPr>
    </w:lvl>
    <w:lvl w:ilvl="2" w:tplc="0F1CFEC2">
      <w:start w:val="1"/>
      <w:numFmt w:val="bullet"/>
      <w:lvlText w:val=""/>
      <w:lvlJc w:val="left"/>
      <w:pPr>
        <w:ind w:left="2160" w:hanging="360"/>
      </w:pPr>
      <w:rPr>
        <w:rFonts w:ascii="Wingdings" w:hAnsi="Wingdings" w:hint="default"/>
      </w:rPr>
    </w:lvl>
    <w:lvl w:ilvl="3" w:tplc="1D940D7E">
      <w:start w:val="1"/>
      <w:numFmt w:val="bullet"/>
      <w:lvlText w:val=""/>
      <w:lvlJc w:val="left"/>
      <w:pPr>
        <w:ind w:left="2880" w:hanging="360"/>
      </w:pPr>
      <w:rPr>
        <w:rFonts w:ascii="Symbol" w:hAnsi="Symbol" w:hint="default"/>
      </w:rPr>
    </w:lvl>
    <w:lvl w:ilvl="4" w:tplc="EE8035E2">
      <w:start w:val="1"/>
      <w:numFmt w:val="bullet"/>
      <w:lvlText w:val="o"/>
      <w:lvlJc w:val="left"/>
      <w:pPr>
        <w:ind w:left="3600" w:hanging="360"/>
      </w:pPr>
      <w:rPr>
        <w:rFonts w:ascii="Courier New" w:hAnsi="Courier New" w:hint="default"/>
      </w:rPr>
    </w:lvl>
    <w:lvl w:ilvl="5" w:tplc="B20A98EA">
      <w:start w:val="1"/>
      <w:numFmt w:val="bullet"/>
      <w:lvlText w:val=""/>
      <w:lvlJc w:val="left"/>
      <w:pPr>
        <w:ind w:left="4320" w:hanging="360"/>
      </w:pPr>
      <w:rPr>
        <w:rFonts w:ascii="Wingdings" w:hAnsi="Wingdings" w:hint="default"/>
      </w:rPr>
    </w:lvl>
    <w:lvl w:ilvl="6" w:tplc="F7DE92B2">
      <w:start w:val="1"/>
      <w:numFmt w:val="bullet"/>
      <w:lvlText w:val=""/>
      <w:lvlJc w:val="left"/>
      <w:pPr>
        <w:ind w:left="5040" w:hanging="360"/>
      </w:pPr>
      <w:rPr>
        <w:rFonts w:ascii="Symbol" w:hAnsi="Symbol" w:hint="default"/>
      </w:rPr>
    </w:lvl>
    <w:lvl w:ilvl="7" w:tplc="2B165482">
      <w:start w:val="1"/>
      <w:numFmt w:val="bullet"/>
      <w:lvlText w:val="o"/>
      <w:lvlJc w:val="left"/>
      <w:pPr>
        <w:ind w:left="5760" w:hanging="360"/>
      </w:pPr>
      <w:rPr>
        <w:rFonts w:ascii="Courier New" w:hAnsi="Courier New" w:hint="default"/>
      </w:rPr>
    </w:lvl>
    <w:lvl w:ilvl="8" w:tplc="6A62A2B4">
      <w:start w:val="1"/>
      <w:numFmt w:val="bullet"/>
      <w:lvlText w:val=""/>
      <w:lvlJc w:val="left"/>
      <w:pPr>
        <w:ind w:left="6480" w:hanging="360"/>
      </w:pPr>
      <w:rPr>
        <w:rFonts w:ascii="Wingdings" w:hAnsi="Wingdings" w:hint="default"/>
      </w:rPr>
    </w:lvl>
  </w:abstractNum>
  <w:abstractNum w:abstractNumId="177" w15:restartNumberingAfterBreak="0">
    <w:nsid w:val="7A624508"/>
    <w:multiLevelType w:val="hybridMultilevel"/>
    <w:tmpl w:val="00786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7ADC1705"/>
    <w:multiLevelType w:val="hybridMultilevel"/>
    <w:tmpl w:val="D1C4FA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9" w15:restartNumberingAfterBreak="0">
    <w:nsid w:val="7CE36996"/>
    <w:multiLevelType w:val="multilevel"/>
    <w:tmpl w:val="5992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abstractNum w:abstractNumId="180" w15:restartNumberingAfterBreak="0">
    <w:nsid w:val="7D933206"/>
    <w:multiLevelType w:val="multilevel"/>
    <w:tmpl w:val="82B60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DD4122C"/>
    <w:multiLevelType w:val="multilevel"/>
    <w:tmpl w:val="6FF8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Century Gothic" w:hAnsi="Century Gothic" w:hint="default"/>
        <w:sz w:val="20"/>
      </w:rPr>
    </w:lvl>
    <w:lvl w:ilvl="3" w:tentative="1">
      <w:start w:val="1"/>
      <w:numFmt w:val="bullet"/>
      <w:lvlText w:val=""/>
      <w:lvlJc w:val="left"/>
      <w:pPr>
        <w:tabs>
          <w:tab w:val="num" w:pos="2880"/>
        </w:tabs>
        <w:ind w:left="2880" w:hanging="360"/>
      </w:pPr>
      <w:rPr>
        <w:rFonts w:ascii="Century Gothic" w:hAnsi="Century Gothic" w:hint="default"/>
        <w:sz w:val="20"/>
      </w:rPr>
    </w:lvl>
    <w:lvl w:ilvl="4" w:tentative="1">
      <w:start w:val="1"/>
      <w:numFmt w:val="bullet"/>
      <w:lvlText w:val=""/>
      <w:lvlJc w:val="left"/>
      <w:pPr>
        <w:tabs>
          <w:tab w:val="num" w:pos="3600"/>
        </w:tabs>
        <w:ind w:left="3600" w:hanging="360"/>
      </w:pPr>
      <w:rPr>
        <w:rFonts w:ascii="Century Gothic" w:hAnsi="Century Gothic" w:hint="default"/>
        <w:sz w:val="20"/>
      </w:rPr>
    </w:lvl>
    <w:lvl w:ilvl="5" w:tentative="1">
      <w:start w:val="1"/>
      <w:numFmt w:val="bullet"/>
      <w:lvlText w:val=""/>
      <w:lvlJc w:val="left"/>
      <w:pPr>
        <w:tabs>
          <w:tab w:val="num" w:pos="4320"/>
        </w:tabs>
        <w:ind w:left="4320" w:hanging="360"/>
      </w:pPr>
      <w:rPr>
        <w:rFonts w:ascii="Century Gothic" w:hAnsi="Century Gothic" w:hint="default"/>
        <w:sz w:val="20"/>
      </w:rPr>
    </w:lvl>
    <w:lvl w:ilvl="6" w:tentative="1">
      <w:start w:val="1"/>
      <w:numFmt w:val="bullet"/>
      <w:lvlText w:val=""/>
      <w:lvlJc w:val="left"/>
      <w:pPr>
        <w:tabs>
          <w:tab w:val="num" w:pos="5040"/>
        </w:tabs>
        <w:ind w:left="5040" w:hanging="360"/>
      </w:pPr>
      <w:rPr>
        <w:rFonts w:ascii="Century Gothic" w:hAnsi="Century Gothic" w:hint="default"/>
        <w:sz w:val="20"/>
      </w:rPr>
    </w:lvl>
    <w:lvl w:ilvl="7" w:tentative="1">
      <w:start w:val="1"/>
      <w:numFmt w:val="bullet"/>
      <w:lvlText w:val=""/>
      <w:lvlJc w:val="left"/>
      <w:pPr>
        <w:tabs>
          <w:tab w:val="num" w:pos="5760"/>
        </w:tabs>
        <w:ind w:left="5760" w:hanging="360"/>
      </w:pPr>
      <w:rPr>
        <w:rFonts w:ascii="Century Gothic" w:hAnsi="Century Gothic" w:hint="default"/>
        <w:sz w:val="20"/>
      </w:rPr>
    </w:lvl>
    <w:lvl w:ilvl="8" w:tentative="1">
      <w:start w:val="1"/>
      <w:numFmt w:val="bullet"/>
      <w:lvlText w:val=""/>
      <w:lvlJc w:val="left"/>
      <w:pPr>
        <w:tabs>
          <w:tab w:val="num" w:pos="6480"/>
        </w:tabs>
        <w:ind w:left="6480" w:hanging="360"/>
      </w:pPr>
      <w:rPr>
        <w:rFonts w:ascii="Century Gothic" w:hAnsi="Century Gothic" w:hint="default"/>
        <w:sz w:val="20"/>
      </w:rPr>
    </w:lvl>
  </w:abstractNum>
  <w:num w:numId="1" w16cid:durableId="1315376174">
    <w:abstractNumId w:val="176"/>
  </w:num>
  <w:num w:numId="2" w16cid:durableId="390226335">
    <w:abstractNumId w:val="92"/>
  </w:num>
  <w:num w:numId="3" w16cid:durableId="2070415395">
    <w:abstractNumId w:val="114"/>
  </w:num>
  <w:num w:numId="4" w16cid:durableId="1891113094">
    <w:abstractNumId w:val="33"/>
  </w:num>
  <w:num w:numId="5" w16cid:durableId="2020966174">
    <w:abstractNumId w:val="130"/>
  </w:num>
  <w:num w:numId="6" w16cid:durableId="1078399883">
    <w:abstractNumId w:val="32"/>
  </w:num>
  <w:num w:numId="7" w16cid:durableId="1031223273">
    <w:abstractNumId w:val="173"/>
  </w:num>
  <w:num w:numId="8" w16cid:durableId="1739552276">
    <w:abstractNumId w:val="55"/>
  </w:num>
  <w:num w:numId="9" w16cid:durableId="1847283642">
    <w:abstractNumId w:val="119"/>
  </w:num>
  <w:num w:numId="10" w16cid:durableId="1847477877">
    <w:abstractNumId w:val="149"/>
  </w:num>
  <w:num w:numId="11" w16cid:durableId="2086797803">
    <w:abstractNumId w:val="110"/>
  </w:num>
  <w:num w:numId="12" w16cid:durableId="1633637017">
    <w:abstractNumId w:val="163"/>
  </w:num>
  <w:num w:numId="13" w16cid:durableId="866604451">
    <w:abstractNumId w:val="12"/>
  </w:num>
  <w:num w:numId="14" w16cid:durableId="348877028">
    <w:abstractNumId w:val="165"/>
  </w:num>
  <w:num w:numId="15" w16cid:durableId="1371420823">
    <w:abstractNumId w:val="179"/>
  </w:num>
  <w:num w:numId="16" w16cid:durableId="1256744602">
    <w:abstractNumId w:val="91"/>
  </w:num>
  <w:num w:numId="17" w16cid:durableId="1246918630">
    <w:abstractNumId w:val="129"/>
  </w:num>
  <w:num w:numId="18" w16cid:durableId="1626541142">
    <w:abstractNumId w:val="181"/>
  </w:num>
  <w:num w:numId="19" w16cid:durableId="280765341">
    <w:abstractNumId w:val="70"/>
  </w:num>
  <w:num w:numId="20" w16cid:durableId="31421773">
    <w:abstractNumId w:val="30"/>
  </w:num>
  <w:num w:numId="21" w16cid:durableId="706874053">
    <w:abstractNumId w:val="128"/>
  </w:num>
  <w:num w:numId="22" w16cid:durableId="1332366692">
    <w:abstractNumId w:val="127"/>
  </w:num>
  <w:num w:numId="23" w16cid:durableId="968245959">
    <w:abstractNumId w:val="126"/>
  </w:num>
  <w:num w:numId="24" w16cid:durableId="1890533286">
    <w:abstractNumId w:val="154"/>
  </w:num>
  <w:num w:numId="25" w16cid:durableId="1896505199">
    <w:abstractNumId w:val="42"/>
  </w:num>
  <w:num w:numId="26" w16cid:durableId="936446313">
    <w:abstractNumId w:val="41"/>
  </w:num>
  <w:num w:numId="27" w16cid:durableId="267277368">
    <w:abstractNumId w:val="124"/>
  </w:num>
  <w:num w:numId="28" w16cid:durableId="1455558815">
    <w:abstractNumId w:val="59"/>
  </w:num>
  <w:num w:numId="29" w16cid:durableId="473450923">
    <w:abstractNumId w:val="153"/>
  </w:num>
  <w:num w:numId="30" w16cid:durableId="824586204">
    <w:abstractNumId w:val="27"/>
  </w:num>
  <w:num w:numId="31" w16cid:durableId="219946968">
    <w:abstractNumId w:val="84"/>
  </w:num>
  <w:num w:numId="32" w16cid:durableId="1563446698">
    <w:abstractNumId w:val="28"/>
  </w:num>
  <w:num w:numId="33" w16cid:durableId="1689789793">
    <w:abstractNumId w:val="141"/>
  </w:num>
  <w:num w:numId="34" w16cid:durableId="193045867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0377892">
    <w:abstractNumId w:val="9"/>
  </w:num>
  <w:num w:numId="36" w16cid:durableId="1363020184">
    <w:abstractNumId w:val="7"/>
  </w:num>
  <w:num w:numId="37" w16cid:durableId="711349352">
    <w:abstractNumId w:val="6"/>
  </w:num>
  <w:num w:numId="38" w16cid:durableId="2041934916">
    <w:abstractNumId w:val="5"/>
  </w:num>
  <w:num w:numId="39" w16cid:durableId="298150665">
    <w:abstractNumId w:val="4"/>
  </w:num>
  <w:num w:numId="40" w16cid:durableId="1944534897">
    <w:abstractNumId w:val="8"/>
  </w:num>
  <w:num w:numId="41" w16cid:durableId="2042315426">
    <w:abstractNumId w:val="3"/>
  </w:num>
  <w:num w:numId="42" w16cid:durableId="783234545">
    <w:abstractNumId w:val="2"/>
  </w:num>
  <w:num w:numId="43" w16cid:durableId="1564024566">
    <w:abstractNumId w:val="1"/>
  </w:num>
  <w:num w:numId="44" w16cid:durableId="1624774677">
    <w:abstractNumId w:val="0"/>
  </w:num>
  <w:num w:numId="45" w16cid:durableId="1733117537">
    <w:abstractNumId w:val="22"/>
  </w:num>
  <w:num w:numId="46" w16cid:durableId="371463533">
    <w:abstractNumId w:val="78"/>
  </w:num>
  <w:num w:numId="47" w16cid:durableId="477183962">
    <w:abstractNumId w:val="105"/>
  </w:num>
  <w:num w:numId="48" w16cid:durableId="1056077963">
    <w:abstractNumId w:val="21"/>
  </w:num>
  <w:num w:numId="49" w16cid:durableId="81796017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073199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51835618">
    <w:abstractNumId w:val="115"/>
  </w:num>
  <w:num w:numId="52" w16cid:durableId="1065031079">
    <w:abstractNumId w:val="16"/>
  </w:num>
  <w:num w:numId="53" w16cid:durableId="616184461">
    <w:abstractNumId w:val="146"/>
  </w:num>
  <w:num w:numId="54" w16cid:durableId="1367292499">
    <w:abstractNumId w:val="83"/>
  </w:num>
  <w:num w:numId="55" w16cid:durableId="351029911">
    <w:abstractNumId w:val="82"/>
  </w:num>
  <w:num w:numId="56" w16cid:durableId="2011641972">
    <w:abstractNumId w:val="162"/>
  </w:num>
  <w:num w:numId="57" w16cid:durableId="226377815">
    <w:abstractNumId w:val="34"/>
  </w:num>
  <w:num w:numId="58" w16cid:durableId="1317026533">
    <w:abstractNumId w:val="77"/>
  </w:num>
  <w:num w:numId="59" w16cid:durableId="860894820">
    <w:abstractNumId w:val="108"/>
  </w:num>
  <w:num w:numId="60" w16cid:durableId="1734549641">
    <w:abstractNumId w:val="150"/>
  </w:num>
  <w:num w:numId="61" w16cid:durableId="803306730">
    <w:abstractNumId w:val="157"/>
  </w:num>
  <w:num w:numId="62" w16cid:durableId="1731151526">
    <w:abstractNumId w:val="43"/>
  </w:num>
  <w:num w:numId="63" w16cid:durableId="1607620614">
    <w:abstractNumId w:val="45"/>
  </w:num>
  <w:num w:numId="64" w16cid:durableId="309290130">
    <w:abstractNumId w:val="25"/>
  </w:num>
  <w:num w:numId="65" w16cid:durableId="1524636363">
    <w:abstractNumId w:val="17"/>
  </w:num>
  <w:num w:numId="66" w16cid:durableId="1182428531">
    <w:abstractNumId w:val="48"/>
  </w:num>
  <w:num w:numId="67" w16cid:durableId="1595671412">
    <w:abstractNumId w:val="65"/>
  </w:num>
  <w:num w:numId="68" w16cid:durableId="1203785658">
    <w:abstractNumId w:val="143"/>
  </w:num>
  <w:num w:numId="69" w16cid:durableId="1079325458">
    <w:abstractNumId w:val="175"/>
  </w:num>
  <w:num w:numId="70" w16cid:durableId="10953928">
    <w:abstractNumId w:val="79"/>
  </w:num>
  <w:num w:numId="71" w16cid:durableId="1244802751">
    <w:abstractNumId w:val="49"/>
  </w:num>
  <w:num w:numId="72" w16cid:durableId="1527252628">
    <w:abstractNumId w:val="26"/>
  </w:num>
  <w:num w:numId="73" w16cid:durableId="1333022576">
    <w:abstractNumId w:val="76"/>
  </w:num>
  <w:num w:numId="74" w16cid:durableId="1532189178">
    <w:abstractNumId w:val="14"/>
  </w:num>
  <w:num w:numId="75" w16cid:durableId="1873179563">
    <w:abstractNumId w:val="97"/>
  </w:num>
  <w:num w:numId="76" w16cid:durableId="1156997668">
    <w:abstractNumId w:val="100"/>
  </w:num>
  <w:num w:numId="77" w16cid:durableId="863442782">
    <w:abstractNumId w:val="54"/>
  </w:num>
  <w:num w:numId="78" w16cid:durableId="214312896">
    <w:abstractNumId w:val="39"/>
  </w:num>
  <w:num w:numId="79" w16cid:durableId="348412214">
    <w:abstractNumId w:val="81"/>
  </w:num>
  <w:num w:numId="80" w16cid:durableId="1513451081">
    <w:abstractNumId w:val="94"/>
  </w:num>
  <w:num w:numId="81" w16cid:durableId="906259140">
    <w:abstractNumId w:val="88"/>
  </w:num>
  <w:num w:numId="82" w16cid:durableId="1465542124">
    <w:abstractNumId w:val="122"/>
  </w:num>
  <w:num w:numId="83" w16cid:durableId="1749378125">
    <w:abstractNumId w:val="61"/>
  </w:num>
  <w:num w:numId="84" w16cid:durableId="1622415094">
    <w:abstractNumId w:val="44"/>
  </w:num>
  <w:num w:numId="85" w16cid:durableId="375277384">
    <w:abstractNumId w:val="148"/>
  </w:num>
  <w:num w:numId="86" w16cid:durableId="692153052">
    <w:abstractNumId w:val="86"/>
  </w:num>
  <w:num w:numId="87" w16cid:durableId="1727870868">
    <w:abstractNumId w:val="177"/>
  </w:num>
  <w:num w:numId="88" w16cid:durableId="1697272082">
    <w:abstractNumId w:val="171"/>
  </w:num>
  <w:num w:numId="89" w16cid:durableId="1019625366">
    <w:abstractNumId w:val="73"/>
  </w:num>
  <w:num w:numId="90" w16cid:durableId="443696171">
    <w:abstractNumId w:val="121"/>
  </w:num>
  <w:num w:numId="91" w16cid:durableId="927693895">
    <w:abstractNumId w:val="24"/>
  </w:num>
  <w:num w:numId="92" w16cid:durableId="1346057466">
    <w:abstractNumId w:val="50"/>
  </w:num>
  <w:num w:numId="93" w16cid:durableId="1363869870">
    <w:abstractNumId w:val="95"/>
  </w:num>
  <w:num w:numId="94" w16cid:durableId="605772929">
    <w:abstractNumId w:val="19"/>
  </w:num>
  <w:num w:numId="95" w16cid:durableId="1829438995">
    <w:abstractNumId w:val="87"/>
  </w:num>
  <w:num w:numId="96" w16cid:durableId="1871410323">
    <w:abstractNumId w:val="174"/>
  </w:num>
  <w:num w:numId="97" w16cid:durableId="609892981">
    <w:abstractNumId w:val="147"/>
  </w:num>
  <w:num w:numId="98" w16cid:durableId="121922687">
    <w:abstractNumId w:val="102"/>
  </w:num>
  <w:num w:numId="99" w16cid:durableId="554588309">
    <w:abstractNumId w:val="131"/>
  </w:num>
  <w:num w:numId="100" w16cid:durableId="706375756">
    <w:abstractNumId w:val="31"/>
  </w:num>
  <w:num w:numId="101" w16cid:durableId="1356152675">
    <w:abstractNumId w:val="152"/>
  </w:num>
  <w:num w:numId="102" w16cid:durableId="914820968">
    <w:abstractNumId w:val="134"/>
  </w:num>
  <w:num w:numId="103" w16cid:durableId="1253471854">
    <w:abstractNumId w:val="18"/>
  </w:num>
  <w:num w:numId="104" w16cid:durableId="1143153356">
    <w:abstractNumId w:val="63"/>
  </w:num>
  <w:num w:numId="105" w16cid:durableId="11761415">
    <w:abstractNumId w:val="60"/>
  </w:num>
  <w:num w:numId="106" w16cid:durableId="204607857">
    <w:abstractNumId w:val="145"/>
  </w:num>
  <w:num w:numId="107" w16cid:durableId="1307200570">
    <w:abstractNumId w:val="62"/>
  </w:num>
  <w:num w:numId="108" w16cid:durableId="178274553">
    <w:abstractNumId w:val="40"/>
  </w:num>
  <w:num w:numId="109" w16cid:durableId="1264338268">
    <w:abstractNumId w:val="47"/>
  </w:num>
  <w:num w:numId="110" w16cid:durableId="1180701159">
    <w:abstractNumId w:val="116"/>
  </w:num>
  <w:num w:numId="111" w16cid:durableId="82071733">
    <w:abstractNumId w:val="20"/>
  </w:num>
  <w:num w:numId="112" w16cid:durableId="1642464001">
    <w:abstractNumId w:val="113"/>
  </w:num>
  <w:num w:numId="113" w16cid:durableId="1793592537">
    <w:abstractNumId w:val="136"/>
  </w:num>
  <w:num w:numId="114" w16cid:durableId="1492528663">
    <w:abstractNumId w:val="98"/>
  </w:num>
  <w:num w:numId="115" w16cid:durableId="1965230640">
    <w:abstractNumId w:val="160"/>
  </w:num>
  <w:num w:numId="116" w16cid:durableId="793787530">
    <w:abstractNumId w:val="101"/>
  </w:num>
  <w:num w:numId="117" w16cid:durableId="1218592499">
    <w:abstractNumId w:val="72"/>
  </w:num>
  <w:num w:numId="118" w16cid:durableId="602879139">
    <w:abstractNumId w:val="10"/>
  </w:num>
  <w:num w:numId="119" w16cid:durableId="1231767953">
    <w:abstractNumId w:val="158"/>
  </w:num>
  <w:num w:numId="120" w16cid:durableId="573322165">
    <w:abstractNumId w:val="106"/>
  </w:num>
  <w:num w:numId="121" w16cid:durableId="758672507">
    <w:abstractNumId w:val="58"/>
  </w:num>
  <w:num w:numId="122" w16cid:durableId="1264873463">
    <w:abstractNumId w:val="66"/>
  </w:num>
  <w:num w:numId="123" w16cid:durableId="1858344160">
    <w:abstractNumId w:val="13"/>
  </w:num>
  <w:num w:numId="124" w16cid:durableId="408041202">
    <w:abstractNumId w:val="38"/>
  </w:num>
  <w:num w:numId="125" w16cid:durableId="63722257">
    <w:abstractNumId w:val="169"/>
  </w:num>
  <w:num w:numId="126" w16cid:durableId="1525628130">
    <w:abstractNumId w:val="155"/>
  </w:num>
  <w:num w:numId="127" w16cid:durableId="1778058963">
    <w:abstractNumId w:val="168"/>
  </w:num>
  <w:num w:numId="128" w16cid:durableId="1369522670">
    <w:abstractNumId w:val="97"/>
    <w:lvlOverride w:ilvl="0">
      <w:startOverride w:val="1"/>
    </w:lvlOverride>
  </w:num>
  <w:num w:numId="129" w16cid:durableId="1756434202">
    <w:abstractNumId w:val="132"/>
  </w:num>
  <w:num w:numId="130" w16cid:durableId="2075159286">
    <w:abstractNumId w:val="156"/>
  </w:num>
  <w:num w:numId="131" w16cid:durableId="761730774">
    <w:abstractNumId w:val="103"/>
  </w:num>
  <w:num w:numId="132" w16cid:durableId="1111245218">
    <w:abstractNumId w:val="180"/>
  </w:num>
  <w:num w:numId="133" w16cid:durableId="583301821">
    <w:abstractNumId w:val="118"/>
  </w:num>
  <w:num w:numId="134" w16cid:durableId="1965503878">
    <w:abstractNumId w:val="151"/>
  </w:num>
  <w:num w:numId="135" w16cid:durableId="360589353">
    <w:abstractNumId w:val="172"/>
  </w:num>
  <w:num w:numId="136" w16cid:durableId="230166387">
    <w:abstractNumId w:val="142"/>
  </w:num>
  <w:num w:numId="137" w16cid:durableId="1346320964">
    <w:abstractNumId w:val="140"/>
  </w:num>
  <w:num w:numId="138" w16cid:durableId="2096121791">
    <w:abstractNumId w:val="117"/>
  </w:num>
  <w:num w:numId="139" w16cid:durableId="895437227">
    <w:abstractNumId w:val="71"/>
  </w:num>
  <w:num w:numId="140" w16cid:durableId="2019379236">
    <w:abstractNumId w:val="46"/>
  </w:num>
  <w:num w:numId="141" w16cid:durableId="1311516321">
    <w:abstractNumId w:val="135"/>
  </w:num>
  <w:num w:numId="142" w16cid:durableId="683243235">
    <w:abstractNumId w:val="166"/>
  </w:num>
  <w:num w:numId="143" w16cid:durableId="951982747">
    <w:abstractNumId w:val="123"/>
  </w:num>
  <w:num w:numId="144" w16cid:durableId="1505238763">
    <w:abstractNumId w:val="120"/>
  </w:num>
  <w:num w:numId="145" w16cid:durableId="1460798257">
    <w:abstractNumId w:val="164"/>
  </w:num>
  <w:num w:numId="146" w16cid:durableId="571818196">
    <w:abstractNumId w:val="109"/>
  </w:num>
  <w:num w:numId="147" w16cid:durableId="970787334">
    <w:abstractNumId w:val="56"/>
  </w:num>
  <w:num w:numId="148" w16cid:durableId="844636970">
    <w:abstractNumId w:val="68"/>
  </w:num>
  <w:num w:numId="149" w16cid:durableId="2046521965">
    <w:abstractNumId w:val="11"/>
  </w:num>
  <w:num w:numId="150" w16cid:durableId="1091193856">
    <w:abstractNumId w:val="53"/>
  </w:num>
  <w:num w:numId="151" w16cid:durableId="1849832061">
    <w:abstractNumId w:val="69"/>
  </w:num>
  <w:num w:numId="152" w16cid:durableId="558514237">
    <w:abstractNumId w:val="74"/>
  </w:num>
  <w:num w:numId="153" w16cid:durableId="353314182">
    <w:abstractNumId w:val="37"/>
  </w:num>
  <w:num w:numId="154" w16cid:durableId="1731607886">
    <w:abstractNumId w:val="51"/>
  </w:num>
  <w:num w:numId="155" w16cid:durableId="521093627">
    <w:abstractNumId w:val="89"/>
  </w:num>
  <w:num w:numId="156" w16cid:durableId="1502432020">
    <w:abstractNumId w:val="93"/>
  </w:num>
  <w:num w:numId="157" w16cid:durableId="1269654253">
    <w:abstractNumId w:val="35"/>
  </w:num>
  <w:num w:numId="158" w16cid:durableId="1919366113">
    <w:abstractNumId w:val="52"/>
  </w:num>
  <w:num w:numId="159" w16cid:durableId="309674844">
    <w:abstractNumId w:val="67"/>
  </w:num>
  <w:num w:numId="160" w16cid:durableId="1887332607">
    <w:abstractNumId w:val="89"/>
  </w:num>
  <w:num w:numId="161" w16cid:durableId="1819153415">
    <w:abstractNumId w:val="159"/>
  </w:num>
  <w:num w:numId="162" w16cid:durableId="859784659">
    <w:abstractNumId w:val="167"/>
  </w:num>
  <w:num w:numId="163" w16cid:durableId="454299586">
    <w:abstractNumId w:val="96"/>
  </w:num>
  <w:num w:numId="164" w16cid:durableId="1076122894">
    <w:abstractNumId w:val="111"/>
  </w:num>
  <w:num w:numId="165" w16cid:durableId="1121190244">
    <w:abstractNumId w:val="144"/>
  </w:num>
  <w:num w:numId="166" w16cid:durableId="1969622839">
    <w:abstractNumId w:val="75"/>
  </w:num>
  <w:num w:numId="167" w16cid:durableId="1414156941">
    <w:abstractNumId w:val="178"/>
  </w:num>
  <w:num w:numId="168" w16cid:durableId="1385376507">
    <w:abstractNumId w:val="75"/>
  </w:num>
  <w:num w:numId="169" w16cid:durableId="327639607">
    <w:abstractNumId w:val="178"/>
  </w:num>
  <w:num w:numId="170" w16cid:durableId="244069354">
    <w:abstractNumId w:val="133"/>
  </w:num>
  <w:num w:numId="171" w16cid:durableId="1782530111">
    <w:abstractNumId w:val="170"/>
  </w:num>
  <w:num w:numId="172" w16cid:durableId="893658227">
    <w:abstractNumId w:val="112"/>
  </w:num>
  <w:num w:numId="173" w16cid:durableId="104009447">
    <w:abstractNumId w:val="57"/>
  </w:num>
  <w:num w:numId="174" w16cid:durableId="711732305">
    <w:abstractNumId w:val="64"/>
    <w:lvlOverride w:ilvl="0">
      <w:startOverride w:val="1"/>
    </w:lvlOverride>
  </w:num>
  <w:num w:numId="175" w16cid:durableId="854002456">
    <w:abstractNumId w:val="29"/>
  </w:num>
  <w:num w:numId="176" w16cid:durableId="94794694">
    <w:abstractNumId w:val="80"/>
  </w:num>
  <w:num w:numId="177" w16cid:durableId="1395811790">
    <w:abstractNumId w:val="104"/>
  </w:num>
  <w:num w:numId="178" w16cid:durableId="886573419">
    <w:abstractNumId w:val="23"/>
  </w:num>
  <w:num w:numId="179" w16cid:durableId="441069567">
    <w:abstractNumId w:val="161"/>
  </w:num>
  <w:num w:numId="180" w16cid:durableId="1515534927">
    <w:abstractNumId w:val="90"/>
  </w:num>
  <w:num w:numId="181" w16cid:durableId="1914928601">
    <w:abstractNumId w:val="99"/>
  </w:num>
  <w:num w:numId="182" w16cid:durableId="837580273">
    <w:abstractNumId w:val="139"/>
  </w:num>
  <w:num w:numId="183" w16cid:durableId="1963610125">
    <w:abstractNumId w:val="171"/>
  </w:num>
  <w:num w:numId="184" w16cid:durableId="371153368">
    <w:abstractNumId w:val="15"/>
  </w:num>
  <w:num w:numId="185" w16cid:durableId="1365902663">
    <w:abstractNumId w:val="36"/>
  </w:num>
  <w:num w:numId="186" w16cid:durableId="1779787491">
    <w:abstractNumId w:val="137"/>
  </w:num>
  <w:num w:numId="187" w16cid:durableId="1233467159">
    <w:abstractNumId w:val="85"/>
  </w:num>
  <w:num w:numId="188" w16cid:durableId="105732324">
    <w:abstractNumId w:val="125"/>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2NTM1MjI3MDAyMzBV0lEKTi0uzszPAykwNKwFAJ15xvgtAAAA"/>
  </w:docVars>
  <w:rsids>
    <w:rsidRoot w:val="001167A8"/>
    <w:rsid w:val="00000347"/>
    <w:rsid w:val="0000065D"/>
    <w:rsid w:val="00000933"/>
    <w:rsid w:val="00000A88"/>
    <w:rsid w:val="00000EA2"/>
    <w:rsid w:val="00000FDE"/>
    <w:rsid w:val="0000104B"/>
    <w:rsid w:val="0000126E"/>
    <w:rsid w:val="000012C9"/>
    <w:rsid w:val="0000139F"/>
    <w:rsid w:val="00001461"/>
    <w:rsid w:val="00001F7F"/>
    <w:rsid w:val="00001FA6"/>
    <w:rsid w:val="00001FDF"/>
    <w:rsid w:val="000021A8"/>
    <w:rsid w:val="000021F2"/>
    <w:rsid w:val="00002266"/>
    <w:rsid w:val="00002378"/>
    <w:rsid w:val="000027C8"/>
    <w:rsid w:val="00002A0A"/>
    <w:rsid w:val="00002D48"/>
    <w:rsid w:val="00003318"/>
    <w:rsid w:val="00003496"/>
    <w:rsid w:val="0000376D"/>
    <w:rsid w:val="00003AD2"/>
    <w:rsid w:val="00003E46"/>
    <w:rsid w:val="00003EB2"/>
    <w:rsid w:val="00003ED9"/>
    <w:rsid w:val="0000415D"/>
    <w:rsid w:val="0000443A"/>
    <w:rsid w:val="000044A8"/>
    <w:rsid w:val="0000459C"/>
    <w:rsid w:val="000048CD"/>
    <w:rsid w:val="000048F4"/>
    <w:rsid w:val="00004E0B"/>
    <w:rsid w:val="00004F9C"/>
    <w:rsid w:val="00006546"/>
    <w:rsid w:val="00006721"/>
    <w:rsid w:val="00006C3B"/>
    <w:rsid w:val="00006DD6"/>
    <w:rsid w:val="00006FE9"/>
    <w:rsid w:val="000073BE"/>
    <w:rsid w:val="00007554"/>
    <w:rsid w:val="00007A05"/>
    <w:rsid w:val="0001001E"/>
    <w:rsid w:val="00010108"/>
    <w:rsid w:val="00010157"/>
    <w:rsid w:val="000104FF"/>
    <w:rsid w:val="00010547"/>
    <w:rsid w:val="00010676"/>
    <w:rsid w:val="00010EF6"/>
    <w:rsid w:val="000118F0"/>
    <w:rsid w:val="00011BD2"/>
    <w:rsid w:val="0001205B"/>
    <w:rsid w:val="000122B4"/>
    <w:rsid w:val="000125B7"/>
    <w:rsid w:val="000131FC"/>
    <w:rsid w:val="000133A9"/>
    <w:rsid w:val="00013406"/>
    <w:rsid w:val="00014077"/>
    <w:rsid w:val="0001462C"/>
    <w:rsid w:val="00014672"/>
    <w:rsid w:val="00014A6B"/>
    <w:rsid w:val="00014ABA"/>
    <w:rsid w:val="00014EB1"/>
    <w:rsid w:val="00015B0F"/>
    <w:rsid w:val="000160F5"/>
    <w:rsid w:val="00016218"/>
    <w:rsid w:val="00016973"/>
    <w:rsid w:val="00016CA0"/>
    <w:rsid w:val="00017076"/>
    <w:rsid w:val="000171C8"/>
    <w:rsid w:val="000172F0"/>
    <w:rsid w:val="00017551"/>
    <w:rsid w:val="00017BB2"/>
    <w:rsid w:val="00017F1C"/>
    <w:rsid w:val="00020174"/>
    <w:rsid w:val="000201FE"/>
    <w:rsid w:val="000202EC"/>
    <w:rsid w:val="000203AB"/>
    <w:rsid w:val="000207F8"/>
    <w:rsid w:val="00020BF7"/>
    <w:rsid w:val="00020C10"/>
    <w:rsid w:val="00020CFD"/>
    <w:rsid w:val="000214DB"/>
    <w:rsid w:val="00021B3D"/>
    <w:rsid w:val="00021F27"/>
    <w:rsid w:val="00022262"/>
    <w:rsid w:val="00022C4D"/>
    <w:rsid w:val="00022C81"/>
    <w:rsid w:val="000231FE"/>
    <w:rsid w:val="00023707"/>
    <w:rsid w:val="00023B5A"/>
    <w:rsid w:val="00023CC7"/>
    <w:rsid w:val="00023E5C"/>
    <w:rsid w:val="000244DA"/>
    <w:rsid w:val="00024534"/>
    <w:rsid w:val="00024C71"/>
    <w:rsid w:val="00024EF1"/>
    <w:rsid w:val="00024FCD"/>
    <w:rsid w:val="0002507D"/>
    <w:rsid w:val="00025249"/>
    <w:rsid w:val="00025F95"/>
    <w:rsid w:val="000266AD"/>
    <w:rsid w:val="00026C75"/>
    <w:rsid w:val="0002785A"/>
    <w:rsid w:val="00027F2D"/>
    <w:rsid w:val="00030312"/>
    <w:rsid w:val="000304CA"/>
    <w:rsid w:val="0003059D"/>
    <w:rsid w:val="000309DD"/>
    <w:rsid w:val="00030E86"/>
    <w:rsid w:val="00030EC4"/>
    <w:rsid w:val="00030F31"/>
    <w:rsid w:val="000328DD"/>
    <w:rsid w:val="000329D8"/>
    <w:rsid w:val="00032A75"/>
    <w:rsid w:val="00032ADE"/>
    <w:rsid w:val="00032CD2"/>
    <w:rsid w:val="00032E47"/>
    <w:rsid w:val="0003348B"/>
    <w:rsid w:val="00033636"/>
    <w:rsid w:val="000338A3"/>
    <w:rsid w:val="00033B16"/>
    <w:rsid w:val="00034C16"/>
    <w:rsid w:val="0003566D"/>
    <w:rsid w:val="00035F9E"/>
    <w:rsid w:val="0003603B"/>
    <w:rsid w:val="0003621D"/>
    <w:rsid w:val="0003626E"/>
    <w:rsid w:val="00036647"/>
    <w:rsid w:val="00036A0A"/>
    <w:rsid w:val="0003719E"/>
    <w:rsid w:val="0003776D"/>
    <w:rsid w:val="000379C5"/>
    <w:rsid w:val="00037C28"/>
    <w:rsid w:val="00037D98"/>
    <w:rsid w:val="00037F12"/>
    <w:rsid w:val="00037FD2"/>
    <w:rsid w:val="0004238F"/>
    <w:rsid w:val="000425F1"/>
    <w:rsid w:val="000426E7"/>
    <w:rsid w:val="0004303E"/>
    <w:rsid w:val="0004348E"/>
    <w:rsid w:val="0004352C"/>
    <w:rsid w:val="00044394"/>
    <w:rsid w:val="00044E50"/>
    <w:rsid w:val="00045093"/>
    <w:rsid w:val="000452B6"/>
    <w:rsid w:val="0004567C"/>
    <w:rsid w:val="00045811"/>
    <w:rsid w:val="00045BDF"/>
    <w:rsid w:val="00045D0B"/>
    <w:rsid w:val="000460C9"/>
    <w:rsid w:val="00046248"/>
    <w:rsid w:val="00046757"/>
    <w:rsid w:val="0004699A"/>
    <w:rsid w:val="00046CE7"/>
    <w:rsid w:val="00046E37"/>
    <w:rsid w:val="00047166"/>
    <w:rsid w:val="00047337"/>
    <w:rsid w:val="00047372"/>
    <w:rsid w:val="000474F6"/>
    <w:rsid w:val="000476EE"/>
    <w:rsid w:val="00047884"/>
    <w:rsid w:val="000504A4"/>
    <w:rsid w:val="00050974"/>
    <w:rsid w:val="00050E1E"/>
    <w:rsid w:val="000512B5"/>
    <w:rsid w:val="000514AD"/>
    <w:rsid w:val="0005165B"/>
    <w:rsid w:val="00051721"/>
    <w:rsid w:val="000519A4"/>
    <w:rsid w:val="00051F26"/>
    <w:rsid w:val="00051F2C"/>
    <w:rsid w:val="00052385"/>
    <w:rsid w:val="00052581"/>
    <w:rsid w:val="000529F2"/>
    <w:rsid w:val="00052B99"/>
    <w:rsid w:val="00052C11"/>
    <w:rsid w:val="000532DA"/>
    <w:rsid w:val="000534C7"/>
    <w:rsid w:val="0005396A"/>
    <w:rsid w:val="00053C08"/>
    <w:rsid w:val="000540F3"/>
    <w:rsid w:val="0005415C"/>
    <w:rsid w:val="000546C2"/>
    <w:rsid w:val="0005475F"/>
    <w:rsid w:val="000547A1"/>
    <w:rsid w:val="000547CF"/>
    <w:rsid w:val="00054B9D"/>
    <w:rsid w:val="00054BC7"/>
    <w:rsid w:val="00055148"/>
    <w:rsid w:val="000551AA"/>
    <w:rsid w:val="00055EA1"/>
    <w:rsid w:val="00056132"/>
    <w:rsid w:val="00056917"/>
    <w:rsid w:val="00056C90"/>
    <w:rsid w:val="00056EA4"/>
    <w:rsid w:val="0005709E"/>
    <w:rsid w:val="000600DA"/>
    <w:rsid w:val="0006057B"/>
    <w:rsid w:val="00060DDC"/>
    <w:rsid w:val="00060F16"/>
    <w:rsid w:val="00060FB4"/>
    <w:rsid w:val="000614BB"/>
    <w:rsid w:val="000615A6"/>
    <w:rsid w:val="00061B66"/>
    <w:rsid w:val="00062126"/>
    <w:rsid w:val="00062398"/>
    <w:rsid w:val="000623AA"/>
    <w:rsid w:val="00062505"/>
    <w:rsid w:val="000625EF"/>
    <w:rsid w:val="0006269D"/>
    <w:rsid w:val="0006277C"/>
    <w:rsid w:val="0006282A"/>
    <w:rsid w:val="00062BF0"/>
    <w:rsid w:val="00062DA0"/>
    <w:rsid w:val="000630B2"/>
    <w:rsid w:val="0006341D"/>
    <w:rsid w:val="0006343D"/>
    <w:rsid w:val="00063FC2"/>
    <w:rsid w:val="0006434A"/>
    <w:rsid w:val="00064761"/>
    <w:rsid w:val="00064834"/>
    <w:rsid w:val="00064F5A"/>
    <w:rsid w:val="000653C6"/>
    <w:rsid w:val="000657A7"/>
    <w:rsid w:val="00065836"/>
    <w:rsid w:val="000659D6"/>
    <w:rsid w:val="00065F4C"/>
    <w:rsid w:val="00066493"/>
    <w:rsid w:val="00066E94"/>
    <w:rsid w:val="00067168"/>
    <w:rsid w:val="0006792B"/>
    <w:rsid w:val="00067A38"/>
    <w:rsid w:val="00067B29"/>
    <w:rsid w:val="00070E11"/>
    <w:rsid w:val="00070FA1"/>
    <w:rsid w:val="00071346"/>
    <w:rsid w:val="00071454"/>
    <w:rsid w:val="000714F6"/>
    <w:rsid w:val="000715E2"/>
    <w:rsid w:val="0007167B"/>
    <w:rsid w:val="000716CB"/>
    <w:rsid w:val="000717F0"/>
    <w:rsid w:val="0007228F"/>
    <w:rsid w:val="000723FF"/>
    <w:rsid w:val="00072A83"/>
    <w:rsid w:val="00072CA9"/>
    <w:rsid w:val="00073731"/>
    <w:rsid w:val="000737C9"/>
    <w:rsid w:val="00073B2F"/>
    <w:rsid w:val="00073C34"/>
    <w:rsid w:val="00073E89"/>
    <w:rsid w:val="00074272"/>
    <w:rsid w:val="000747DA"/>
    <w:rsid w:val="00074AA8"/>
    <w:rsid w:val="00074B16"/>
    <w:rsid w:val="00074BEE"/>
    <w:rsid w:val="00075BEB"/>
    <w:rsid w:val="0007639E"/>
    <w:rsid w:val="00076552"/>
    <w:rsid w:val="00076629"/>
    <w:rsid w:val="000767D6"/>
    <w:rsid w:val="0007689F"/>
    <w:rsid w:val="000768F3"/>
    <w:rsid w:val="00076942"/>
    <w:rsid w:val="000769B7"/>
    <w:rsid w:val="00076BB0"/>
    <w:rsid w:val="00076DCA"/>
    <w:rsid w:val="00076F16"/>
    <w:rsid w:val="000775FA"/>
    <w:rsid w:val="000778F8"/>
    <w:rsid w:val="00077CFE"/>
    <w:rsid w:val="00077DC8"/>
    <w:rsid w:val="00077DF2"/>
    <w:rsid w:val="00080034"/>
    <w:rsid w:val="00080324"/>
    <w:rsid w:val="000807EB"/>
    <w:rsid w:val="00081399"/>
    <w:rsid w:val="00081630"/>
    <w:rsid w:val="000816A3"/>
    <w:rsid w:val="000818D3"/>
    <w:rsid w:val="00081E3C"/>
    <w:rsid w:val="00081E9C"/>
    <w:rsid w:val="00081EDD"/>
    <w:rsid w:val="00082007"/>
    <w:rsid w:val="000832F6"/>
    <w:rsid w:val="000835C2"/>
    <w:rsid w:val="000838E3"/>
    <w:rsid w:val="00083F97"/>
    <w:rsid w:val="00084684"/>
    <w:rsid w:val="000847AA"/>
    <w:rsid w:val="00084A5C"/>
    <w:rsid w:val="00084AC5"/>
    <w:rsid w:val="0008528D"/>
    <w:rsid w:val="00085316"/>
    <w:rsid w:val="00085BE8"/>
    <w:rsid w:val="00085D51"/>
    <w:rsid w:val="00085DAA"/>
    <w:rsid w:val="00085DDA"/>
    <w:rsid w:val="000862CF"/>
    <w:rsid w:val="000862F1"/>
    <w:rsid w:val="0008683D"/>
    <w:rsid w:val="00086C14"/>
    <w:rsid w:val="00086EDB"/>
    <w:rsid w:val="000874F0"/>
    <w:rsid w:val="00087543"/>
    <w:rsid w:val="00087913"/>
    <w:rsid w:val="000879D0"/>
    <w:rsid w:val="00087B9C"/>
    <w:rsid w:val="00087BD3"/>
    <w:rsid w:val="00087C93"/>
    <w:rsid w:val="00087D73"/>
    <w:rsid w:val="0009002E"/>
    <w:rsid w:val="0009028F"/>
    <w:rsid w:val="00090E6D"/>
    <w:rsid w:val="000918C5"/>
    <w:rsid w:val="000920C7"/>
    <w:rsid w:val="000924F2"/>
    <w:rsid w:val="000925F6"/>
    <w:rsid w:val="0009283A"/>
    <w:rsid w:val="0009315E"/>
    <w:rsid w:val="000935F0"/>
    <w:rsid w:val="0009365C"/>
    <w:rsid w:val="000936B1"/>
    <w:rsid w:val="000938DB"/>
    <w:rsid w:val="00093938"/>
    <w:rsid w:val="00093B1C"/>
    <w:rsid w:val="000942B4"/>
    <w:rsid w:val="000943ED"/>
    <w:rsid w:val="00094428"/>
    <w:rsid w:val="0009464F"/>
    <w:rsid w:val="00094A05"/>
    <w:rsid w:val="00094A53"/>
    <w:rsid w:val="00094C67"/>
    <w:rsid w:val="00095AF1"/>
    <w:rsid w:val="00095EA3"/>
    <w:rsid w:val="0009636E"/>
    <w:rsid w:val="000966CB"/>
    <w:rsid w:val="0009675C"/>
    <w:rsid w:val="0009695E"/>
    <w:rsid w:val="000969E4"/>
    <w:rsid w:val="00096D90"/>
    <w:rsid w:val="00097737"/>
    <w:rsid w:val="00097881"/>
    <w:rsid w:val="0009792B"/>
    <w:rsid w:val="0009793C"/>
    <w:rsid w:val="00097E8A"/>
    <w:rsid w:val="000A0292"/>
    <w:rsid w:val="000A09C4"/>
    <w:rsid w:val="000A0DC1"/>
    <w:rsid w:val="000A0F7C"/>
    <w:rsid w:val="000A155A"/>
    <w:rsid w:val="000A1675"/>
    <w:rsid w:val="000A1973"/>
    <w:rsid w:val="000A1D8D"/>
    <w:rsid w:val="000A1F67"/>
    <w:rsid w:val="000A201B"/>
    <w:rsid w:val="000A2207"/>
    <w:rsid w:val="000A2443"/>
    <w:rsid w:val="000A25A5"/>
    <w:rsid w:val="000A2684"/>
    <w:rsid w:val="000A2B87"/>
    <w:rsid w:val="000A2D32"/>
    <w:rsid w:val="000A359E"/>
    <w:rsid w:val="000A3612"/>
    <w:rsid w:val="000A3723"/>
    <w:rsid w:val="000A390A"/>
    <w:rsid w:val="000A3A46"/>
    <w:rsid w:val="000A3A79"/>
    <w:rsid w:val="000A3CB5"/>
    <w:rsid w:val="000A3E03"/>
    <w:rsid w:val="000A3FB0"/>
    <w:rsid w:val="000A41A9"/>
    <w:rsid w:val="000A4256"/>
    <w:rsid w:val="000A490B"/>
    <w:rsid w:val="000A4F9D"/>
    <w:rsid w:val="000A5351"/>
    <w:rsid w:val="000A546A"/>
    <w:rsid w:val="000A54C6"/>
    <w:rsid w:val="000A5549"/>
    <w:rsid w:val="000A58C4"/>
    <w:rsid w:val="000A5D33"/>
    <w:rsid w:val="000A5E02"/>
    <w:rsid w:val="000A62B7"/>
    <w:rsid w:val="000A656F"/>
    <w:rsid w:val="000A6A20"/>
    <w:rsid w:val="000A6B83"/>
    <w:rsid w:val="000A6DA4"/>
    <w:rsid w:val="000A6EFD"/>
    <w:rsid w:val="000A6F51"/>
    <w:rsid w:val="000A702D"/>
    <w:rsid w:val="000A70BA"/>
    <w:rsid w:val="000A71BC"/>
    <w:rsid w:val="000A745B"/>
    <w:rsid w:val="000A76A8"/>
    <w:rsid w:val="000A77A9"/>
    <w:rsid w:val="000A77EE"/>
    <w:rsid w:val="000A7BA7"/>
    <w:rsid w:val="000B012E"/>
    <w:rsid w:val="000B0D56"/>
    <w:rsid w:val="000B0DCA"/>
    <w:rsid w:val="000B0EB5"/>
    <w:rsid w:val="000B0EF3"/>
    <w:rsid w:val="000B0F23"/>
    <w:rsid w:val="000B1142"/>
    <w:rsid w:val="000B1145"/>
    <w:rsid w:val="000B1540"/>
    <w:rsid w:val="000B18D6"/>
    <w:rsid w:val="000B1B8C"/>
    <w:rsid w:val="000B1E45"/>
    <w:rsid w:val="000B1FF1"/>
    <w:rsid w:val="000B2150"/>
    <w:rsid w:val="000B21B1"/>
    <w:rsid w:val="000B237C"/>
    <w:rsid w:val="000B268C"/>
    <w:rsid w:val="000B2B8D"/>
    <w:rsid w:val="000B2C90"/>
    <w:rsid w:val="000B2DDD"/>
    <w:rsid w:val="000B2FAC"/>
    <w:rsid w:val="000B35C4"/>
    <w:rsid w:val="000B38D6"/>
    <w:rsid w:val="000B3B12"/>
    <w:rsid w:val="000B4541"/>
    <w:rsid w:val="000B4666"/>
    <w:rsid w:val="000B4B42"/>
    <w:rsid w:val="000B4DE0"/>
    <w:rsid w:val="000B5124"/>
    <w:rsid w:val="000B5463"/>
    <w:rsid w:val="000B5557"/>
    <w:rsid w:val="000B570A"/>
    <w:rsid w:val="000B5B6E"/>
    <w:rsid w:val="000B5E1D"/>
    <w:rsid w:val="000B607F"/>
    <w:rsid w:val="000B60CF"/>
    <w:rsid w:val="000B6350"/>
    <w:rsid w:val="000B6996"/>
    <w:rsid w:val="000B69A7"/>
    <w:rsid w:val="000B7112"/>
    <w:rsid w:val="000B75A1"/>
    <w:rsid w:val="000B7694"/>
    <w:rsid w:val="000C01BE"/>
    <w:rsid w:val="000C0347"/>
    <w:rsid w:val="000C0455"/>
    <w:rsid w:val="000C0908"/>
    <w:rsid w:val="000C176E"/>
    <w:rsid w:val="000C1B56"/>
    <w:rsid w:val="000C1D77"/>
    <w:rsid w:val="000C1EC6"/>
    <w:rsid w:val="000C1ED7"/>
    <w:rsid w:val="000C205A"/>
    <w:rsid w:val="000C21E5"/>
    <w:rsid w:val="000C2783"/>
    <w:rsid w:val="000C29B4"/>
    <w:rsid w:val="000C2C92"/>
    <w:rsid w:val="000C302D"/>
    <w:rsid w:val="000C313F"/>
    <w:rsid w:val="000C33A0"/>
    <w:rsid w:val="000C37EB"/>
    <w:rsid w:val="000C39A9"/>
    <w:rsid w:val="000C3AA5"/>
    <w:rsid w:val="000C3BB6"/>
    <w:rsid w:val="000C440E"/>
    <w:rsid w:val="000C4487"/>
    <w:rsid w:val="000C48A5"/>
    <w:rsid w:val="000C4A98"/>
    <w:rsid w:val="000C4C50"/>
    <w:rsid w:val="000C4C6E"/>
    <w:rsid w:val="000C57BB"/>
    <w:rsid w:val="000C581E"/>
    <w:rsid w:val="000C5C6C"/>
    <w:rsid w:val="000C5F47"/>
    <w:rsid w:val="000C6656"/>
    <w:rsid w:val="000C6BBE"/>
    <w:rsid w:val="000C71E8"/>
    <w:rsid w:val="000C7334"/>
    <w:rsid w:val="000C75F1"/>
    <w:rsid w:val="000C7FBC"/>
    <w:rsid w:val="000D0177"/>
    <w:rsid w:val="000D0303"/>
    <w:rsid w:val="000D037A"/>
    <w:rsid w:val="000D093A"/>
    <w:rsid w:val="000D09FE"/>
    <w:rsid w:val="000D0DF8"/>
    <w:rsid w:val="000D0F3F"/>
    <w:rsid w:val="000D0F88"/>
    <w:rsid w:val="000D106B"/>
    <w:rsid w:val="000D13CC"/>
    <w:rsid w:val="000D18AD"/>
    <w:rsid w:val="000D1AEF"/>
    <w:rsid w:val="000D1E79"/>
    <w:rsid w:val="000D2046"/>
    <w:rsid w:val="000D263E"/>
    <w:rsid w:val="000D2816"/>
    <w:rsid w:val="000D325A"/>
    <w:rsid w:val="000D342D"/>
    <w:rsid w:val="000D3744"/>
    <w:rsid w:val="000D3CA0"/>
    <w:rsid w:val="000D3CC4"/>
    <w:rsid w:val="000D450F"/>
    <w:rsid w:val="000D4A6B"/>
    <w:rsid w:val="000D5740"/>
    <w:rsid w:val="000D57CD"/>
    <w:rsid w:val="000D6279"/>
    <w:rsid w:val="000D72BC"/>
    <w:rsid w:val="000D72DB"/>
    <w:rsid w:val="000D7FB4"/>
    <w:rsid w:val="000E04D8"/>
    <w:rsid w:val="000E0730"/>
    <w:rsid w:val="000E0A5C"/>
    <w:rsid w:val="000E0AFA"/>
    <w:rsid w:val="000E0B21"/>
    <w:rsid w:val="000E0CF0"/>
    <w:rsid w:val="000E10B3"/>
    <w:rsid w:val="000E122E"/>
    <w:rsid w:val="000E211D"/>
    <w:rsid w:val="000E2635"/>
    <w:rsid w:val="000E2772"/>
    <w:rsid w:val="000E2834"/>
    <w:rsid w:val="000E289C"/>
    <w:rsid w:val="000E2998"/>
    <w:rsid w:val="000E2A53"/>
    <w:rsid w:val="000E2D3A"/>
    <w:rsid w:val="000E2F21"/>
    <w:rsid w:val="000E2FDB"/>
    <w:rsid w:val="000E30A5"/>
    <w:rsid w:val="000E3444"/>
    <w:rsid w:val="000E35B7"/>
    <w:rsid w:val="000E35F4"/>
    <w:rsid w:val="000E377B"/>
    <w:rsid w:val="000E3B35"/>
    <w:rsid w:val="000E3D9B"/>
    <w:rsid w:val="000E3DA7"/>
    <w:rsid w:val="000E3FD4"/>
    <w:rsid w:val="000E42E6"/>
    <w:rsid w:val="000E4DE5"/>
    <w:rsid w:val="000E4F94"/>
    <w:rsid w:val="000E54CE"/>
    <w:rsid w:val="000E5896"/>
    <w:rsid w:val="000E5F12"/>
    <w:rsid w:val="000E6598"/>
    <w:rsid w:val="000E67C9"/>
    <w:rsid w:val="000E6821"/>
    <w:rsid w:val="000E6A6B"/>
    <w:rsid w:val="000E6D82"/>
    <w:rsid w:val="000E783F"/>
    <w:rsid w:val="000E7C67"/>
    <w:rsid w:val="000E7D95"/>
    <w:rsid w:val="000F0834"/>
    <w:rsid w:val="000F0C43"/>
    <w:rsid w:val="000F0F73"/>
    <w:rsid w:val="000F1348"/>
    <w:rsid w:val="000F15FD"/>
    <w:rsid w:val="000F1D2B"/>
    <w:rsid w:val="000F21E5"/>
    <w:rsid w:val="000F2229"/>
    <w:rsid w:val="000F22CA"/>
    <w:rsid w:val="000F2A00"/>
    <w:rsid w:val="000F2A0A"/>
    <w:rsid w:val="000F309C"/>
    <w:rsid w:val="000F3581"/>
    <w:rsid w:val="000F3648"/>
    <w:rsid w:val="000F368D"/>
    <w:rsid w:val="000F3F82"/>
    <w:rsid w:val="000F3FD0"/>
    <w:rsid w:val="000F405F"/>
    <w:rsid w:val="000F4082"/>
    <w:rsid w:val="000F4AE7"/>
    <w:rsid w:val="000F4C81"/>
    <w:rsid w:val="000F51E7"/>
    <w:rsid w:val="000F53DA"/>
    <w:rsid w:val="000F5957"/>
    <w:rsid w:val="000F5D86"/>
    <w:rsid w:val="000F5F3F"/>
    <w:rsid w:val="000F62F0"/>
    <w:rsid w:val="000F64CB"/>
    <w:rsid w:val="000F67D4"/>
    <w:rsid w:val="000F69C8"/>
    <w:rsid w:val="000F74B6"/>
    <w:rsid w:val="000F760D"/>
    <w:rsid w:val="000F7682"/>
    <w:rsid w:val="000F7706"/>
    <w:rsid w:val="00100AB5"/>
    <w:rsid w:val="00100C5D"/>
    <w:rsid w:val="00100EEF"/>
    <w:rsid w:val="00101052"/>
    <w:rsid w:val="001011C2"/>
    <w:rsid w:val="00101838"/>
    <w:rsid w:val="00101CD7"/>
    <w:rsid w:val="00102871"/>
    <w:rsid w:val="00103981"/>
    <w:rsid w:val="001039D9"/>
    <w:rsid w:val="00103A99"/>
    <w:rsid w:val="00103CFA"/>
    <w:rsid w:val="00103E47"/>
    <w:rsid w:val="00103EAB"/>
    <w:rsid w:val="001042CA"/>
    <w:rsid w:val="001044F9"/>
    <w:rsid w:val="0010456F"/>
    <w:rsid w:val="00104B03"/>
    <w:rsid w:val="00104E2C"/>
    <w:rsid w:val="00104E2F"/>
    <w:rsid w:val="00105039"/>
    <w:rsid w:val="00105075"/>
    <w:rsid w:val="0010517C"/>
    <w:rsid w:val="00105585"/>
    <w:rsid w:val="001059CF"/>
    <w:rsid w:val="0010652C"/>
    <w:rsid w:val="001068E8"/>
    <w:rsid w:val="00106BEA"/>
    <w:rsid w:val="00106F4E"/>
    <w:rsid w:val="0010706C"/>
    <w:rsid w:val="001074E1"/>
    <w:rsid w:val="00107661"/>
    <w:rsid w:val="00107962"/>
    <w:rsid w:val="00107BFF"/>
    <w:rsid w:val="00107D50"/>
    <w:rsid w:val="00107DC8"/>
    <w:rsid w:val="00107EF3"/>
    <w:rsid w:val="00110069"/>
    <w:rsid w:val="001101C8"/>
    <w:rsid w:val="00110362"/>
    <w:rsid w:val="001107D5"/>
    <w:rsid w:val="00110966"/>
    <w:rsid w:val="00111274"/>
    <w:rsid w:val="001112BF"/>
    <w:rsid w:val="0011143A"/>
    <w:rsid w:val="00111A60"/>
    <w:rsid w:val="001121C2"/>
    <w:rsid w:val="001124CB"/>
    <w:rsid w:val="00112672"/>
    <w:rsid w:val="00112A0C"/>
    <w:rsid w:val="00112A1D"/>
    <w:rsid w:val="00112E9A"/>
    <w:rsid w:val="00113120"/>
    <w:rsid w:val="00113404"/>
    <w:rsid w:val="00113740"/>
    <w:rsid w:val="00113A6A"/>
    <w:rsid w:val="00113AE3"/>
    <w:rsid w:val="00113D2B"/>
    <w:rsid w:val="0011400B"/>
    <w:rsid w:val="0011404E"/>
    <w:rsid w:val="001143CB"/>
    <w:rsid w:val="00114567"/>
    <w:rsid w:val="00115055"/>
    <w:rsid w:val="0011544E"/>
    <w:rsid w:val="00115D2D"/>
    <w:rsid w:val="00115E65"/>
    <w:rsid w:val="001162DA"/>
    <w:rsid w:val="001167A8"/>
    <w:rsid w:val="001168A6"/>
    <w:rsid w:val="00116D76"/>
    <w:rsid w:val="00116EFD"/>
    <w:rsid w:val="00117208"/>
    <w:rsid w:val="0011721B"/>
    <w:rsid w:val="00117415"/>
    <w:rsid w:val="00117473"/>
    <w:rsid w:val="001174A8"/>
    <w:rsid w:val="001178BC"/>
    <w:rsid w:val="00117C15"/>
    <w:rsid w:val="00117C2E"/>
    <w:rsid w:val="00117C90"/>
    <w:rsid w:val="00117D0A"/>
    <w:rsid w:val="0012059E"/>
    <w:rsid w:val="00120BCB"/>
    <w:rsid w:val="00120C33"/>
    <w:rsid w:val="00120CA0"/>
    <w:rsid w:val="00120F19"/>
    <w:rsid w:val="0012114B"/>
    <w:rsid w:val="001211BF"/>
    <w:rsid w:val="00121436"/>
    <w:rsid w:val="0012147B"/>
    <w:rsid w:val="00121B44"/>
    <w:rsid w:val="00122395"/>
    <w:rsid w:val="00122421"/>
    <w:rsid w:val="001225C4"/>
    <w:rsid w:val="0012291B"/>
    <w:rsid w:val="001234ED"/>
    <w:rsid w:val="00123850"/>
    <w:rsid w:val="001239B6"/>
    <w:rsid w:val="00123F13"/>
    <w:rsid w:val="0012403F"/>
    <w:rsid w:val="0012435A"/>
    <w:rsid w:val="00124B92"/>
    <w:rsid w:val="00124C94"/>
    <w:rsid w:val="00124D27"/>
    <w:rsid w:val="00124D88"/>
    <w:rsid w:val="00124E62"/>
    <w:rsid w:val="00124F4F"/>
    <w:rsid w:val="0012524E"/>
    <w:rsid w:val="0012562C"/>
    <w:rsid w:val="00125B02"/>
    <w:rsid w:val="00125EA0"/>
    <w:rsid w:val="00125EE3"/>
    <w:rsid w:val="00126098"/>
    <w:rsid w:val="0012683B"/>
    <w:rsid w:val="00126C94"/>
    <w:rsid w:val="00126D4B"/>
    <w:rsid w:val="00126F78"/>
    <w:rsid w:val="00127072"/>
    <w:rsid w:val="001271F5"/>
    <w:rsid w:val="001273B2"/>
    <w:rsid w:val="00127431"/>
    <w:rsid w:val="0012786C"/>
    <w:rsid w:val="0012788D"/>
    <w:rsid w:val="00127A2D"/>
    <w:rsid w:val="00127EDC"/>
    <w:rsid w:val="00127FD4"/>
    <w:rsid w:val="00130C4A"/>
    <w:rsid w:val="00130FE0"/>
    <w:rsid w:val="001318B0"/>
    <w:rsid w:val="00131933"/>
    <w:rsid w:val="001321C6"/>
    <w:rsid w:val="0013223D"/>
    <w:rsid w:val="00132371"/>
    <w:rsid w:val="00132503"/>
    <w:rsid w:val="001328BB"/>
    <w:rsid w:val="00132E01"/>
    <w:rsid w:val="00132FA2"/>
    <w:rsid w:val="00132FDC"/>
    <w:rsid w:val="0013300F"/>
    <w:rsid w:val="00133037"/>
    <w:rsid w:val="00133184"/>
    <w:rsid w:val="00133262"/>
    <w:rsid w:val="001335F5"/>
    <w:rsid w:val="00133ECF"/>
    <w:rsid w:val="001343EC"/>
    <w:rsid w:val="00134714"/>
    <w:rsid w:val="001348CE"/>
    <w:rsid w:val="00134F15"/>
    <w:rsid w:val="001352AD"/>
    <w:rsid w:val="001357F4"/>
    <w:rsid w:val="00135D37"/>
    <w:rsid w:val="001361F8"/>
    <w:rsid w:val="00136385"/>
    <w:rsid w:val="001363EC"/>
    <w:rsid w:val="0013656A"/>
    <w:rsid w:val="00136B88"/>
    <w:rsid w:val="00136C68"/>
    <w:rsid w:val="00136D07"/>
    <w:rsid w:val="00136F45"/>
    <w:rsid w:val="00137270"/>
    <w:rsid w:val="00137B9B"/>
    <w:rsid w:val="001404FC"/>
    <w:rsid w:val="001405C3"/>
    <w:rsid w:val="001408E3"/>
    <w:rsid w:val="00140A63"/>
    <w:rsid w:val="00140B33"/>
    <w:rsid w:val="00141005"/>
    <w:rsid w:val="001412B6"/>
    <w:rsid w:val="001418EB"/>
    <w:rsid w:val="00141AA9"/>
    <w:rsid w:val="00141B7F"/>
    <w:rsid w:val="00142128"/>
    <w:rsid w:val="0014254F"/>
    <w:rsid w:val="001428F2"/>
    <w:rsid w:val="00143432"/>
    <w:rsid w:val="00143AE6"/>
    <w:rsid w:val="00143F27"/>
    <w:rsid w:val="00144B23"/>
    <w:rsid w:val="00144ED6"/>
    <w:rsid w:val="00144F4E"/>
    <w:rsid w:val="00145992"/>
    <w:rsid w:val="001460DD"/>
    <w:rsid w:val="001463B2"/>
    <w:rsid w:val="001466D3"/>
    <w:rsid w:val="00146851"/>
    <w:rsid w:val="00147A33"/>
    <w:rsid w:val="00150D85"/>
    <w:rsid w:val="00151036"/>
    <w:rsid w:val="001510AC"/>
    <w:rsid w:val="00151136"/>
    <w:rsid w:val="00151158"/>
    <w:rsid w:val="00151FE8"/>
    <w:rsid w:val="00152115"/>
    <w:rsid w:val="0015300D"/>
    <w:rsid w:val="00153A83"/>
    <w:rsid w:val="00154195"/>
    <w:rsid w:val="001546EE"/>
    <w:rsid w:val="00154BE2"/>
    <w:rsid w:val="0015560C"/>
    <w:rsid w:val="001556B1"/>
    <w:rsid w:val="001559CC"/>
    <w:rsid w:val="00156181"/>
    <w:rsid w:val="00156934"/>
    <w:rsid w:val="00156EA9"/>
    <w:rsid w:val="00157739"/>
    <w:rsid w:val="00157E54"/>
    <w:rsid w:val="00157F3F"/>
    <w:rsid w:val="00160019"/>
    <w:rsid w:val="00160119"/>
    <w:rsid w:val="00160275"/>
    <w:rsid w:val="001604C9"/>
    <w:rsid w:val="001604E2"/>
    <w:rsid w:val="00160893"/>
    <w:rsid w:val="00160AFE"/>
    <w:rsid w:val="00160B90"/>
    <w:rsid w:val="0016194D"/>
    <w:rsid w:val="00161AE0"/>
    <w:rsid w:val="00161E66"/>
    <w:rsid w:val="00163ED5"/>
    <w:rsid w:val="0016441B"/>
    <w:rsid w:val="00164501"/>
    <w:rsid w:val="001658DD"/>
    <w:rsid w:val="001668EB"/>
    <w:rsid w:val="00166965"/>
    <w:rsid w:val="001670BC"/>
    <w:rsid w:val="0016787F"/>
    <w:rsid w:val="001679C4"/>
    <w:rsid w:val="00167C96"/>
    <w:rsid w:val="00167F38"/>
    <w:rsid w:val="00167F80"/>
    <w:rsid w:val="00170D5B"/>
    <w:rsid w:val="00170FD6"/>
    <w:rsid w:val="00171208"/>
    <w:rsid w:val="001712B7"/>
    <w:rsid w:val="0017159D"/>
    <w:rsid w:val="00171FD6"/>
    <w:rsid w:val="00171FE0"/>
    <w:rsid w:val="001723EB"/>
    <w:rsid w:val="00172653"/>
    <w:rsid w:val="0017268F"/>
    <w:rsid w:val="00172A17"/>
    <w:rsid w:val="00172FB0"/>
    <w:rsid w:val="00173083"/>
    <w:rsid w:val="001731A9"/>
    <w:rsid w:val="001733E0"/>
    <w:rsid w:val="001736FC"/>
    <w:rsid w:val="001739B6"/>
    <w:rsid w:val="00173B8B"/>
    <w:rsid w:val="00173FDD"/>
    <w:rsid w:val="001743FA"/>
    <w:rsid w:val="001751DB"/>
    <w:rsid w:val="0017564B"/>
    <w:rsid w:val="001756A0"/>
    <w:rsid w:val="001760FF"/>
    <w:rsid w:val="00176266"/>
    <w:rsid w:val="0017647E"/>
    <w:rsid w:val="001767A5"/>
    <w:rsid w:val="00176B66"/>
    <w:rsid w:val="0017706C"/>
    <w:rsid w:val="00177282"/>
    <w:rsid w:val="0017736E"/>
    <w:rsid w:val="001774F1"/>
    <w:rsid w:val="0017779B"/>
    <w:rsid w:val="001778CE"/>
    <w:rsid w:val="001800F3"/>
    <w:rsid w:val="001806D8"/>
    <w:rsid w:val="001808AF"/>
    <w:rsid w:val="00180F08"/>
    <w:rsid w:val="001811B2"/>
    <w:rsid w:val="0018139C"/>
    <w:rsid w:val="00181494"/>
    <w:rsid w:val="00181C98"/>
    <w:rsid w:val="00181D27"/>
    <w:rsid w:val="00181EE7"/>
    <w:rsid w:val="001820C9"/>
    <w:rsid w:val="0018239B"/>
    <w:rsid w:val="0018278F"/>
    <w:rsid w:val="0018289A"/>
    <w:rsid w:val="00182A4D"/>
    <w:rsid w:val="00182B9B"/>
    <w:rsid w:val="00183122"/>
    <w:rsid w:val="001831E9"/>
    <w:rsid w:val="00183803"/>
    <w:rsid w:val="00183EDA"/>
    <w:rsid w:val="00184272"/>
    <w:rsid w:val="001842B5"/>
    <w:rsid w:val="001846E1"/>
    <w:rsid w:val="001846FE"/>
    <w:rsid w:val="00185001"/>
    <w:rsid w:val="0018592F"/>
    <w:rsid w:val="001862C6"/>
    <w:rsid w:val="001868B0"/>
    <w:rsid w:val="00186AEE"/>
    <w:rsid w:val="00186BFA"/>
    <w:rsid w:val="001870E8"/>
    <w:rsid w:val="00187315"/>
    <w:rsid w:val="0018741A"/>
    <w:rsid w:val="001875F6"/>
    <w:rsid w:val="001876C7"/>
    <w:rsid w:val="00187849"/>
    <w:rsid w:val="00187D66"/>
    <w:rsid w:val="001903C3"/>
    <w:rsid w:val="001906E6"/>
    <w:rsid w:val="00190AC0"/>
    <w:rsid w:val="00190EFB"/>
    <w:rsid w:val="00190EFD"/>
    <w:rsid w:val="001912B8"/>
    <w:rsid w:val="0019131B"/>
    <w:rsid w:val="0019150D"/>
    <w:rsid w:val="0019160F"/>
    <w:rsid w:val="00191906"/>
    <w:rsid w:val="0019232D"/>
    <w:rsid w:val="001927E0"/>
    <w:rsid w:val="00192CC8"/>
    <w:rsid w:val="00192D6B"/>
    <w:rsid w:val="00192E33"/>
    <w:rsid w:val="001939B1"/>
    <w:rsid w:val="00193AFD"/>
    <w:rsid w:val="00193EC4"/>
    <w:rsid w:val="00194436"/>
    <w:rsid w:val="0019489B"/>
    <w:rsid w:val="0019489C"/>
    <w:rsid w:val="00194BEE"/>
    <w:rsid w:val="00195038"/>
    <w:rsid w:val="0019503A"/>
    <w:rsid w:val="0019516E"/>
    <w:rsid w:val="001953D9"/>
    <w:rsid w:val="0019556D"/>
    <w:rsid w:val="00195955"/>
    <w:rsid w:val="00195C26"/>
    <w:rsid w:val="00195D08"/>
    <w:rsid w:val="00196098"/>
    <w:rsid w:val="0019613B"/>
    <w:rsid w:val="001963B6"/>
    <w:rsid w:val="00196A88"/>
    <w:rsid w:val="00196AD9"/>
    <w:rsid w:val="00196AEF"/>
    <w:rsid w:val="00196C07"/>
    <w:rsid w:val="00196C78"/>
    <w:rsid w:val="00196E09"/>
    <w:rsid w:val="00197041"/>
    <w:rsid w:val="001972F4"/>
    <w:rsid w:val="001974C0"/>
    <w:rsid w:val="00197AA3"/>
    <w:rsid w:val="00197B34"/>
    <w:rsid w:val="001A009F"/>
    <w:rsid w:val="001A022B"/>
    <w:rsid w:val="001A02F9"/>
    <w:rsid w:val="001A0427"/>
    <w:rsid w:val="001A073E"/>
    <w:rsid w:val="001A1264"/>
    <w:rsid w:val="001A133B"/>
    <w:rsid w:val="001A1420"/>
    <w:rsid w:val="001A1640"/>
    <w:rsid w:val="001A1D11"/>
    <w:rsid w:val="001A243A"/>
    <w:rsid w:val="001A2547"/>
    <w:rsid w:val="001A25FA"/>
    <w:rsid w:val="001A2A04"/>
    <w:rsid w:val="001A2C55"/>
    <w:rsid w:val="001A3414"/>
    <w:rsid w:val="001A37D3"/>
    <w:rsid w:val="001A3E0F"/>
    <w:rsid w:val="001A3E7D"/>
    <w:rsid w:val="001A402B"/>
    <w:rsid w:val="001A4359"/>
    <w:rsid w:val="001A4415"/>
    <w:rsid w:val="001A4768"/>
    <w:rsid w:val="001A47F8"/>
    <w:rsid w:val="001A48CE"/>
    <w:rsid w:val="001A4DD6"/>
    <w:rsid w:val="001A5673"/>
    <w:rsid w:val="001A568F"/>
    <w:rsid w:val="001A5884"/>
    <w:rsid w:val="001A5B92"/>
    <w:rsid w:val="001A5CFC"/>
    <w:rsid w:val="001A5DCD"/>
    <w:rsid w:val="001A5E28"/>
    <w:rsid w:val="001A61D6"/>
    <w:rsid w:val="001A645F"/>
    <w:rsid w:val="001A6611"/>
    <w:rsid w:val="001A6B7B"/>
    <w:rsid w:val="001A6C39"/>
    <w:rsid w:val="001A6E8C"/>
    <w:rsid w:val="001A6F18"/>
    <w:rsid w:val="001A7406"/>
    <w:rsid w:val="001A74D2"/>
    <w:rsid w:val="001A7577"/>
    <w:rsid w:val="001A75FA"/>
    <w:rsid w:val="001A7DBD"/>
    <w:rsid w:val="001B0390"/>
    <w:rsid w:val="001B03F9"/>
    <w:rsid w:val="001B0E07"/>
    <w:rsid w:val="001B11E4"/>
    <w:rsid w:val="001B14A0"/>
    <w:rsid w:val="001B1A53"/>
    <w:rsid w:val="001B1A56"/>
    <w:rsid w:val="001B1D21"/>
    <w:rsid w:val="001B1DC8"/>
    <w:rsid w:val="001B1E39"/>
    <w:rsid w:val="001B1F28"/>
    <w:rsid w:val="001B2200"/>
    <w:rsid w:val="001B2963"/>
    <w:rsid w:val="001B2D08"/>
    <w:rsid w:val="001B318D"/>
    <w:rsid w:val="001B354B"/>
    <w:rsid w:val="001B3C39"/>
    <w:rsid w:val="001B3D53"/>
    <w:rsid w:val="001B3E96"/>
    <w:rsid w:val="001B4277"/>
    <w:rsid w:val="001B46FA"/>
    <w:rsid w:val="001B47A5"/>
    <w:rsid w:val="001B4A4F"/>
    <w:rsid w:val="001B5443"/>
    <w:rsid w:val="001B54B0"/>
    <w:rsid w:val="001B5A95"/>
    <w:rsid w:val="001B5C6A"/>
    <w:rsid w:val="001B5D04"/>
    <w:rsid w:val="001B6220"/>
    <w:rsid w:val="001B62F2"/>
    <w:rsid w:val="001B66C9"/>
    <w:rsid w:val="001B66F8"/>
    <w:rsid w:val="001B6F15"/>
    <w:rsid w:val="001B7016"/>
    <w:rsid w:val="001B703E"/>
    <w:rsid w:val="001B7499"/>
    <w:rsid w:val="001B75FD"/>
    <w:rsid w:val="001B7C06"/>
    <w:rsid w:val="001B7D35"/>
    <w:rsid w:val="001B7DFA"/>
    <w:rsid w:val="001C0481"/>
    <w:rsid w:val="001C1037"/>
    <w:rsid w:val="001C128F"/>
    <w:rsid w:val="001C1A1F"/>
    <w:rsid w:val="001C1B04"/>
    <w:rsid w:val="001C1EA0"/>
    <w:rsid w:val="001C1F2E"/>
    <w:rsid w:val="001C21CA"/>
    <w:rsid w:val="001C226F"/>
    <w:rsid w:val="001C236F"/>
    <w:rsid w:val="001C2549"/>
    <w:rsid w:val="001C260E"/>
    <w:rsid w:val="001C2D5B"/>
    <w:rsid w:val="001C330E"/>
    <w:rsid w:val="001C3552"/>
    <w:rsid w:val="001C3669"/>
    <w:rsid w:val="001C3895"/>
    <w:rsid w:val="001C3B93"/>
    <w:rsid w:val="001C3BF2"/>
    <w:rsid w:val="001C5303"/>
    <w:rsid w:val="001C5402"/>
    <w:rsid w:val="001C5452"/>
    <w:rsid w:val="001C54F4"/>
    <w:rsid w:val="001C55F7"/>
    <w:rsid w:val="001C577D"/>
    <w:rsid w:val="001C5F88"/>
    <w:rsid w:val="001C62F6"/>
    <w:rsid w:val="001C6859"/>
    <w:rsid w:val="001C6897"/>
    <w:rsid w:val="001C6A2E"/>
    <w:rsid w:val="001C6CB6"/>
    <w:rsid w:val="001C6DAF"/>
    <w:rsid w:val="001C7B50"/>
    <w:rsid w:val="001C7C81"/>
    <w:rsid w:val="001C7D6A"/>
    <w:rsid w:val="001D0FAE"/>
    <w:rsid w:val="001D10A6"/>
    <w:rsid w:val="001D127C"/>
    <w:rsid w:val="001D186F"/>
    <w:rsid w:val="001D1CB6"/>
    <w:rsid w:val="001D1E83"/>
    <w:rsid w:val="001D204F"/>
    <w:rsid w:val="001D21BD"/>
    <w:rsid w:val="001D22B9"/>
    <w:rsid w:val="001D23C7"/>
    <w:rsid w:val="001D28B4"/>
    <w:rsid w:val="001D2906"/>
    <w:rsid w:val="001D2E8A"/>
    <w:rsid w:val="001D3134"/>
    <w:rsid w:val="001D3811"/>
    <w:rsid w:val="001D3BC0"/>
    <w:rsid w:val="001D3C1E"/>
    <w:rsid w:val="001D3CC5"/>
    <w:rsid w:val="001D3D8A"/>
    <w:rsid w:val="001D46B8"/>
    <w:rsid w:val="001D4CB3"/>
    <w:rsid w:val="001D4DB4"/>
    <w:rsid w:val="001D5337"/>
    <w:rsid w:val="001D553A"/>
    <w:rsid w:val="001D5A59"/>
    <w:rsid w:val="001D5A86"/>
    <w:rsid w:val="001D5C35"/>
    <w:rsid w:val="001D611B"/>
    <w:rsid w:val="001D6B08"/>
    <w:rsid w:val="001D6D2B"/>
    <w:rsid w:val="001D6E95"/>
    <w:rsid w:val="001D6F2B"/>
    <w:rsid w:val="001D717D"/>
    <w:rsid w:val="001D7264"/>
    <w:rsid w:val="001D7476"/>
    <w:rsid w:val="001D7D1E"/>
    <w:rsid w:val="001D7EF0"/>
    <w:rsid w:val="001E0162"/>
    <w:rsid w:val="001E069F"/>
    <w:rsid w:val="001E0703"/>
    <w:rsid w:val="001E0D3D"/>
    <w:rsid w:val="001E0D7A"/>
    <w:rsid w:val="001E0DF2"/>
    <w:rsid w:val="001E110A"/>
    <w:rsid w:val="001E12C0"/>
    <w:rsid w:val="001E18F5"/>
    <w:rsid w:val="001E1A7E"/>
    <w:rsid w:val="001E1A97"/>
    <w:rsid w:val="001E1E44"/>
    <w:rsid w:val="001E22BF"/>
    <w:rsid w:val="001E2810"/>
    <w:rsid w:val="001E287E"/>
    <w:rsid w:val="001E2D33"/>
    <w:rsid w:val="001E3275"/>
    <w:rsid w:val="001E3B0D"/>
    <w:rsid w:val="001E4194"/>
    <w:rsid w:val="001E49BC"/>
    <w:rsid w:val="001E4CAA"/>
    <w:rsid w:val="001E4EDE"/>
    <w:rsid w:val="001E50A6"/>
    <w:rsid w:val="001E5307"/>
    <w:rsid w:val="001E5670"/>
    <w:rsid w:val="001E5E4D"/>
    <w:rsid w:val="001E5E85"/>
    <w:rsid w:val="001E5FF8"/>
    <w:rsid w:val="001E6508"/>
    <w:rsid w:val="001E6AD4"/>
    <w:rsid w:val="001E6C1D"/>
    <w:rsid w:val="001E7581"/>
    <w:rsid w:val="001E76EB"/>
    <w:rsid w:val="001E78EA"/>
    <w:rsid w:val="001E7F86"/>
    <w:rsid w:val="001F039D"/>
    <w:rsid w:val="001F0626"/>
    <w:rsid w:val="001F06F0"/>
    <w:rsid w:val="001F1452"/>
    <w:rsid w:val="001F17AC"/>
    <w:rsid w:val="001F19B4"/>
    <w:rsid w:val="001F1DD2"/>
    <w:rsid w:val="001F2763"/>
    <w:rsid w:val="001F2794"/>
    <w:rsid w:val="001F27B0"/>
    <w:rsid w:val="001F27FE"/>
    <w:rsid w:val="001F2924"/>
    <w:rsid w:val="001F2C47"/>
    <w:rsid w:val="001F2DD4"/>
    <w:rsid w:val="001F2ECD"/>
    <w:rsid w:val="001F431A"/>
    <w:rsid w:val="001F4484"/>
    <w:rsid w:val="001F46DC"/>
    <w:rsid w:val="001F4819"/>
    <w:rsid w:val="001F50B9"/>
    <w:rsid w:val="001F512E"/>
    <w:rsid w:val="001F5226"/>
    <w:rsid w:val="001F526B"/>
    <w:rsid w:val="001F5351"/>
    <w:rsid w:val="001F53F0"/>
    <w:rsid w:val="001F547B"/>
    <w:rsid w:val="001F5992"/>
    <w:rsid w:val="001F5B92"/>
    <w:rsid w:val="001F6039"/>
    <w:rsid w:val="001F60AD"/>
    <w:rsid w:val="001F6409"/>
    <w:rsid w:val="001F681A"/>
    <w:rsid w:val="001F69DB"/>
    <w:rsid w:val="001F6B4F"/>
    <w:rsid w:val="001F6C8D"/>
    <w:rsid w:val="001F74CF"/>
    <w:rsid w:val="001F78B0"/>
    <w:rsid w:val="001F7A34"/>
    <w:rsid w:val="001F7A36"/>
    <w:rsid w:val="001F7BBA"/>
    <w:rsid w:val="001F7E2B"/>
    <w:rsid w:val="00200127"/>
    <w:rsid w:val="00200A26"/>
    <w:rsid w:val="00200CDB"/>
    <w:rsid w:val="00200D4A"/>
    <w:rsid w:val="002011D0"/>
    <w:rsid w:val="002012E6"/>
    <w:rsid w:val="00201913"/>
    <w:rsid w:val="002019B6"/>
    <w:rsid w:val="00201B2F"/>
    <w:rsid w:val="00201C10"/>
    <w:rsid w:val="00201FE1"/>
    <w:rsid w:val="00202214"/>
    <w:rsid w:val="00202336"/>
    <w:rsid w:val="002024AE"/>
    <w:rsid w:val="002024B2"/>
    <w:rsid w:val="00203732"/>
    <w:rsid w:val="00203791"/>
    <w:rsid w:val="002038C9"/>
    <w:rsid w:val="00203B68"/>
    <w:rsid w:val="00204023"/>
    <w:rsid w:val="00204683"/>
    <w:rsid w:val="0020510E"/>
    <w:rsid w:val="00205123"/>
    <w:rsid w:val="00205219"/>
    <w:rsid w:val="0020567B"/>
    <w:rsid w:val="00205F5C"/>
    <w:rsid w:val="00205F6B"/>
    <w:rsid w:val="002066A5"/>
    <w:rsid w:val="00206910"/>
    <w:rsid w:val="00206C77"/>
    <w:rsid w:val="002070E4"/>
    <w:rsid w:val="00207411"/>
    <w:rsid w:val="00207433"/>
    <w:rsid w:val="0021017F"/>
    <w:rsid w:val="002104B8"/>
    <w:rsid w:val="00210723"/>
    <w:rsid w:val="00210C26"/>
    <w:rsid w:val="00211182"/>
    <w:rsid w:val="002112A3"/>
    <w:rsid w:val="002117E3"/>
    <w:rsid w:val="00211995"/>
    <w:rsid w:val="002120F3"/>
    <w:rsid w:val="002121D4"/>
    <w:rsid w:val="0021236A"/>
    <w:rsid w:val="00212B1D"/>
    <w:rsid w:val="00212D67"/>
    <w:rsid w:val="00212ED7"/>
    <w:rsid w:val="00213252"/>
    <w:rsid w:val="0021346E"/>
    <w:rsid w:val="002134BF"/>
    <w:rsid w:val="00213558"/>
    <w:rsid w:val="002137C2"/>
    <w:rsid w:val="00213AAF"/>
    <w:rsid w:val="002148B5"/>
    <w:rsid w:val="00214A62"/>
    <w:rsid w:val="00214BFC"/>
    <w:rsid w:val="00215284"/>
    <w:rsid w:val="002153F6"/>
    <w:rsid w:val="00215517"/>
    <w:rsid w:val="002157B8"/>
    <w:rsid w:val="00215953"/>
    <w:rsid w:val="00216245"/>
    <w:rsid w:val="002165F8"/>
    <w:rsid w:val="00216799"/>
    <w:rsid w:val="002167BC"/>
    <w:rsid w:val="00216947"/>
    <w:rsid w:val="00216E98"/>
    <w:rsid w:val="002175D0"/>
    <w:rsid w:val="002177B1"/>
    <w:rsid w:val="00217E3B"/>
    <w:rsid w:val="00217E4B"/>
    <w:rsid w:val="00217EB2"/>
    <w:rsid w:val="00217F73"/>
    <w:rsid w:val="002207BA"/>
    <w:rsid w:val="00220B34"/>
    <w:rsid w:val="00221156"/>
    <w:rsid w:val="00221C39"/>
    <w:rsid w:val="00221E62"/>
    <w:rsid w:val="00221FA0"/>
    <w:rsid w:val="002221CE"/>
    <w:rsid w:val="00222D79"/>
    <w:rsid w:val="00222ED3"/>
    <w:rsid w:val="00223CAA"/>
    <w:rsid w:val="00223E7E"/>
    <w:rsid w:val="00224066"/>
    <w:rsid w:val="00224AA8"/>
    <w:rsid w:val="00224B5F"/>
    <w:rsid w:val="00225421"/>
    <w:rsid w:val="00225728"/>
    <w:rsid w:val="00225968"/>
    <w:rsid w:val="00225DBB"/>
    <w:rsid w:val="00226580"/>
    <w:rsid w:val="002265F9"/>
    <w:rsid w:val="00226C94"/>
    <w:rsid w:val="002273BE"/>
    <w:rsid w:val="0022760C"/>
    <w:rsid w:val="00227C5B"/>
    <w:rsid w:val="00227C7A"/>
    <w:rsid w:val="00227C96"/>
    <w:rsid w:val="00227CCF"/>
    <w:rsid w:val="00227F46"/>
    <w:rsid w:val="0023000C"/>
    <w:rsid w:val="00230626"/>
    <w:rsid w:val="002306F0"/>
    <w:rsid w:val="002307BC"/>
    <w:rsid w:val="002309B1"/>
    <w:rsid w:val="00230A5B"/>
    <w:rsid w:val="00230F2B"/>
    <w:rsid w:val="00231524"/>
    <w:rsid w:val="002317D6"/>
    <w:rsid w:val="002319B7"/>
    <w:rsid w:val="00231E8F"/>
    <w:rsid w:val="00232124"/>
    <w:rsid w:val="00232650"/>
    <w:rsid w:val="0023291B"/>
    <w:rsid w:val="00232AAD"/>
    <w:rsid w:val="00232BBD"/>
    <w:rsid w:val="00232E3D"/>
    <w:rsid w:val="00233880"/>
    <w:rsid w:val="00233919"/>
    <w:rsid w:val="00233EA2"/>
    <w:rsid w:val="00233F49"/>
    <w:rsid w:val="00233F73"/>
    <w:rsid w:val="0023420A"/>
    <w:rsid w:val="00234811"/>
    <w:rsid w:val="00234854"/>
    <w:rsid w:val="00234A23"/>
    <w:rsid w:val="00234CFF"/>
    <w:rsid w:val="00235269"/>
    <w:rsid w:val="00235573"/>
    <w:rsid w:val="0023564A"/>
    <w:rsid w:val="002357F0"/>
    <w:rsid w:val="00235FF2"/>
    <w:rsid w:val="00236611"/>
    <w:rsid w:val="00236D12"/>
    <w:rsid w:val="00236FF4"/>
    <w:rsid w:val="002371CD"/>
    <w:rsid w:val="0023740A"/>
    <w:rsid w:val="002375D6"/>
    <w:rsid w:val="00237A8F"/>
    <w:rsid w:val="00237AB8"/>
    <w:rsid w:val="00237C19"/>
    <w:rsid w:val="00240196"/>
    <w:rsid w:val="0024085A"/>
    <w:rsid w:val="0024094A"/>
    <w:rsid w:val="00240BBB"/>
    <w:rsid w:val="00240E1B"/>
    <w:rsid w:val="002410D3"/>
    <w:rsid w:val="00241766"/>
    <w:rsid w:val="0024184F"/>
    <w:rsid w:val="00241BF5"/>
    <w:rsid w:val="00241CB0"/>
    <w:rsid w:val="00242484"/>
    <w:rsid w:val="00242599"/>
    <w:rsid w:val="0024281C"/>
    <w:rsid w:val="0024287D"/>
    <w:rsid w:val="00243043"/>
    <w:rsid w:val="0024341E"/>
    <w:rsid w:val="00243544"/>
    <w:rsid w:val="0024364F"/>
    <w:rsid w:val="002436EB"/>
    <w:rsid w:val="002437A5"/>
    <w:rsid w:val="0024386E"/>
    <w:rsid w:val="00243CA1"/>
    <w:rsid w:val="002440F1"/>
    <w:rsid w:val="002443CE"/>
    <w:rsid w:val="00244863"/>
    <w:rsid w:val="0024498E"/>
    <w:rsid w:val="00244A7D"/>
    <w:rsid w:val="00244AAA"/>
    <w:rsid w:val="00244AF1"/>
    <w:rsid w:val="00244C33"/>
    <w:rsid w:val="00244D9A"/>
    <w:rsid w:val="00245CA9"/>
    <w:rsid w:val="002460F4"/>
    <w:rsid w:val="00246126"/>
    <w:rsid w:val="0024684E"/>
    <w:rsid w:val="00246875"/>
    <w:rsid w:val="00246E15"/>
    <w:rsid w:val="00246E78"/>
    <w:rsid w:val="00246FD9"/>
    <w:rsid w:val="002470A4"/>
    <w:rsid w:val="0024710E"/>
    <w:rsid w:val="00250280"/>
    <w:rsid w:val="00250B10"/>
    <w:rsid w:val="00251621"/>
    <w:rsid w:val="00251736"/>
    <w:rsid w:val="0025187D"/>
    <w:rsid w:val="00251A98"/>
    <w:rsid w:val="00251D9C"/>
    <w:rsid w:val="002522CB"/>
    <w:rsid w:val="002522D3"/>
    <w:rsid w:val="00252541"/>
    <w:rsid w:val="00252650"/>
    <w:rsid w:val="002526BF"/>
    <w:rsid w:val="00252782"/>
    <w:rsid w:val="002527A3"/>
    <w:rsid w:val="00252C3D"/>
    <w:rsid w:val="002546EC"/>
    <w:rsid w:val="0025480A"/>
    <w:rsid w:val="00254E17"/>
    <w:rsid w:val="00254FD3"/>
    <w:rsid w:val="00255554"/>
    <w:rsid w:val="002558B6"/>
    <w:rsid w:val="00255939"/>
    <w:rsid w:val="002559D4"/>
    <w:rsid w:val="00255C41"/>
    <w:rsid w:val="00255C5C"/>
    <w:rsid w:val="00255D9E"/>
    <w:rsid w:val="00256106"/>
    <w:rsid w:val="002565C0"/>
    <w:rsid w:val="0025686E"/>
    <w:rsid w:val="00256A18"/>
    <w:rsid w:val="00256B9F"/>
    <w:rsid w:val="00257028"/>
    <w:rsid w:val="0025704D"/>
    <w:rsid w:val="00257564"/>
    <w:rsid w:val="00257740"/>
    <w:rsid w:val="00257B4F"/>
    <w:rsid w:val="00260173"/>
    <w:rsid w:val="002602C0"/>
    <w:rsid w:val="00260B21"/>
    <w:rsid w:val="00260C11"/>
    <w:rsid w:val="00260C1D"/>
    <w:rsid w:val="002611B0"/>
    <w:rsid w:val="002613E6"/>
    <w:rsid w:val="00261400"/>
    <w:rsid w:val="00261440"/>
    <w:rsid w:val="0026160A"/>
    <w:rsid w:val="00261907"/>
    <w:rsid w:val="00261B65"/>
    <w:rsid w:val="00261C7B"/>
    <w:rsid w:val="00261E92"/>
    <w:rsid w:val="002620BB"/>
    <w:rsid w:val="0026245E"/>
    <w:rsid w:val="002629BA"/>
    <w:rsid w:val="00262F75"/>
    <w:rsid w:val="00263365"/>
    <w:rsid w:val="0026361A"/>
    <w:rsid w:val="002636E3"/>
    <w:rsid w:val="00263759"/>
    <w:rsid w:val="00263768"/>
    <w:rsid w:val="00263BD7"/>
    <w:rsid w:val="00263C13"/>
    <w:rsid w:val="00263D20"/>
    <w:rsid w:val="00263F95"/>
    <w:rsid w:val="00264089"/>
    <w:rsid w:val="002643C5"/>
    <w:rsid w:val="002646EB"/>
    <w:rsid w:val="00264D1D"/>
    <w:rsid w:val="00265908"/>
    <w:rsid w:val="0026608B"/>
    <w:rsid w:val="002660E0"/>
    <w:rsid w:val="002662F8"/>
    <w:rsid w:val="00266631"/>
    <w:rsid w:val="002667A6"/>
    <w:rsid w:val="00267D40"/>
    <w:rsid w:val="00270119"/>
    <w:rsid w:val="00270259"/>
    <w:rsid w:val="0027052C"/>
    <w:rsid w:val="0027124D"/>
    <w:rsid w:val="00271382"/>
    <w:rsid w:val="00271680"/>
    <w:rsid w:val="002719DB"/>
    <w:rsid w:val="00271D72"/>
    <w:rsid w:val="00271E8C"/>
    <w:rsid w:val="00272111"/>
    <w:rsid w:val="00272193"/>
    <w:rsid w:val="00272349"/>
    <w:rsid w:val="002723DA"/>
    <w:rsid w:val="002727A1"/>
    <w:rsid w:val="00272ADD"/>
    <w:rsid w:val="00272F47"/>
    <w:rsid w:val="002737DB"/>
    <w:rsid w:val="00273A61"/>
    <w:rsid w:val="002743D9"/>
    <w:rsid w:val="002744E4"/>
    <w:rsid w:val="00274784"/>
    <w:rsid w:val="00274B8F"/>
    <w:rsid w:val="00274BD6"/>
    <w:rsid w:val="00274D01"/>
    <w:rsid w:val="002758E7"/>
    <w:rsid w:val="00276061"/>
    <w:rsid w:val="0027610B"/>
    <w:rsid w:val="0027635A"/>
    <w:rsid w:val="002764F9"/>
    <w:rsid w:val="0027698D"/>
    <w:rsid w:val="00276B94"/>
    <w:rsid w:val="00276BA0"/>
    <w:rsid w:val="00276E3C"/>
    <w:rsid w:val="0027712F"/>
    <w:rsid w:val="0027743D"/>
    <w:rsid w:val="00277891"/>
    <w:rsid w:val="00277E18"/>
    <w:rsid w:val="00280029"/>
    <w:rsid w:val="002808F8"/>
    <w:rsid w:val="00280E74"/>
    <w:rsid w:val="00281086"/>
    <w:rsid w:val="002815DD"/>
    <w:rsid w:val="0028188B"/>
    <w:rsid w:val="00282077"/>
    <w:rsid w:val="002823DB"/>
    <w:rsid w:val="00282C88"/>
    <w:rsid w:val="00282EC6"/>
    <w:rsid w:val="0028303C"/>
    <w:rsid w:val="00283077"/>
    <w:rsid w:val="00283214"/>
    <w:rsid w:val="0028326C"/>
    <w:rsid w:val="00283A10"/>
    <w:rsid w:val="00283A90"/>
    <w:rsid w:val="00283E9D"/>
    <w:rsid w:val="00284469"/>
    <w:rsid w:val="00284551"/>
    <w:rsid w:val="00284562"/>
    <w:rsid w:val="00284660"/>
    <w:rsid w:val="00284B33"/>
    <w:rsid w:val="002850BD"/>
    <w:rsid w:val="002855A5"/>
    <w:rsid w:val="002856DA"/>
    <w:rsid w:val="00285919"/>
    <w:rsid w:val="00285B8E"/>
    <w:rsid w:val="00285DA8"/>
    <w:rsid w:val="00285DE0"/>
    <w:rsid w:val="00286479"/>
    <w:rsid w:val="00286747"/>
    <w:rsid w:val="00286906"/>
    <w:rsid w:val="00286AFD"/>
    <w:rsid w:val="00286FA1"/>
    <w:rsid w:val="00287177"/>
    <w:rsid w:val="0028726F"/>
    <w:rsid w:val="0029010E"/>
    <w:rsid w:val="002909ED"/>
    <w:rsid w:val="002913CC"/>
    <w:rsid w:val="00291618"/>
    <w:rsid w:val="002916C9"/>
    <w:rsid w:val="00292027"/>
    <w:rsid w:val="00292059"/>
    <w:rsid w:val="00292353"/>
    <w:rsid w:val="00292378"/>
    <w:rsid w:val="002924F8"/>
    <w:rsid w:val="00292520"/>
    <w:rsid w:val="00292BBC"/>
    <w:rsid w:val="00292BEC"/>
    <w:rsid w:val="00292FBC"/>
    <w:rsid w:val="0029350F"/>
    <w:rsid w:val="00294529"/>
    <w:rsid w:val="00294841"/>
    <w:rsid w:val="00294878"/>
    <w:rsid w:val="0029497C"/>
    <w:rsid w:val="00294C18"/>
    <w:rsid w:val="00294F48"/>
    <w:rsid w:val="002953D8"/>
    <w:rsid w:val="0029613A"/>
    <w:rsid w:val="00296765"/>
    <w:rsid w:val="00296AD3"/>
    <w:rsid w:val="00296F8B"/>
    <w:rsid w:val="00297173"/>
    <w:rsid w:val="00297511"/>
    <w:rsid w:val="00297576"/>
    <w:rsid w:val="00297B93"/>
    <w:rsid w:val="002A0186"/>
    <w:rsid w:val="002A0BC7"/>
    <w:rsid w:val="002A1107"/>
    <w:rsid w:val="002A258F"/>
    <w:rsid w:val="002A27AC"/>
    <w:rsid w:val="002A2F65"/>
    <w:rsid w:val="002A366D"/>
    <w:rsid w:val="002A3987"/>
    <w:rsid w:val="002A3B6D"/>
    <w:rsid w:val="002A3C00"/>
    <w:rsid w:val="002A4014"/>
    <w:rsid w:val="002A435E"/>
    <w:rsid w:val="002A49E7"/>
    <w:rsid w:val="002A4A14"/>
    <w:rsid w:val="002A4B41"/>
    <w:rsid w:val="002A4B59"/>
    <w:rsid w:val="002A4EF9"/>
    <w:rsid w:val="002A5194"/>
    <w:rsid w:val="002A5287"/>
    <w:rsid w:val="002A542F"/>
    <w:rsid w:val="002A54D5"/>
    <w:rsid w:val="002A55E3"/>
    <w:rsid w:val="002A58D5"/>
    <w:rsid w:val="002A5C97"/>
    <w:rsid w:val="002A5D08"/>
    <w:rsid w:val="002A5ED4"/>
    <w:rsid w:val="002A62F7"/>
    <w:rsid w:val="002A6413"/>
    <w:rsid w:val="002A658A"/>
    <w:rsid w:val="002A693D"/>
    <w:rsid w:val="002A69FF"/>
    <w:rsid w:val="002A6BB2"/>
    <w:rsid w:val="002A7124"/>
    <w:rsid w:val="002A7643"/>
    <w:rsid w:val="002A7774"/>
    <w:rsid w:val="002A7875"/>
    <w:rsid w:val="002A7953"/>
    <w:rsid w:val="002B04D4"/>
    <w:rsid w:val="002B0963"/>
    <w:rsid w:val="002B0C07"/>
    <w:rsid w:val="002B0E47"/>
    <w:rsid w:val="002B0E4F"/>
    <w:rsid w:val="002B14DA"/>
    <w:rsid w:val="002B1612"/>
    <w:rsid w:val="002B211F"/>
    <w:rsid w:val="002B2E95"/>
    <w:rsid w:val="002B4393"/>
    <w:rsid w:val="002B4B76"/>
    <w:rsid w:val="002B5044"/>
    <w:rsid w:val="002B536E"/>
    <w:rsid w:val="002B5BD2"/>
    <w:rsid w:val="002B67F2"/>
    <w:rsid w:val="002B7177"/>
    <w:rsid w:val="002B7204"/>
    <w:rsid w:val="002B7212"/>
    <w:rsid w:val="002B7218"/>
    <w:rsid w:val="002B730E"/>
    <w:rsid w:val="002B743A"/>
    <w:rsid w:val="002C006F"/>
    <w:rsid w:val="002C0517"/>
    <w:rsid w:val="002C06B3"/>
    <w:rsid w:val="002C06ED"/>
    <w:rsid w:val="002C075A"/>
    <w:rsid w:val="002C0A3B"/>
    <w:rsid w:val="002C0C9D"/>
    <w:rsid w:val="002C1098"/>
    <w:rsid w:val="002C111E"/>
    <w:rsid w:val="002C1246"/>
    <w:rsid w:val="002C1457"/>
    <w:rsid w:val="002C15C0"/>
    <w:rsid w:val="002C1658"/>
    <w:rsid w:val="002C18FC"/>
    <w:rsid w:val="002C1DD5"/>
    <w:rsid w:val="002C1E22"/>
    <w:rsid w:val="002C21CC"/>
    <w:rsid w:val="002C2299"/>
    <w:rsid w:val="002C23E5"/>
    <w:rsid w:val="002C241A"/>
    <w:rsid w:val="002C2B06"/>
    <w:rsid w:val="002C3223"/>
    <w:rsid w:val="002C33C0"/>
    <w:rsid w:val="002C3572"/>
    <w:rsid w:val="002C376F"/>
    <w:rsid w:val="002C400D"/>
    <w:rsid w:val="002C42C2"/>
    <w:rsid w:val="002C44BA"/>
    <w:rsid w:val="002C4F79"/>
    <w:rsid w:val="002C4F85"/>
    <w:rsid w:val="002C5762"/>
    <w:rsid w:val="002C5C39"/>
    <w:rsid w:val="002C5ED5"/>
    <w:rsid w:val="002C6512"/>
    <w:rsid w:val="002C66C6"/>
    <w:rsid w:val="002C6775"/>
    <w:rsid w:val="002C7257"/>
    <w:rsid w:val="002C736A"/>
    <w:rsid w:val="002C74B8"/>
    <w:rsid w:val="002C7576"/>
    <w:rsid w:val="002C7861"/>
    <w:rsid w:val="002C7AEA"/>
    <w:rsid w:val="002C7C19"/>
    <w:rsid w:val="002D07EE"/>
    <w:rsid w:val="002D0955"/>
    <w:rsid w:val="002D0FED"/>
    <w:rsid w:val="002D10AE"/>
    <w:rsid w:val="002D1244"/>
    <w:rsid w:val="002D142B"/>
    <w:rsid w:val="002D14DB"/>
    <w:rsid w:val="002D1BBB"/>
    <w:rsid w:val="002D1CE2"/>
    <w:rsid w:val="002D1FB0"/>
    <w:rsid w:val="002D1FDE"/>
    <w:rsid w:val="002D23C9"/>
    <w:rsid w:val="002D2651"/>
    <w:rsid w:val="002D30C0"/>
    <w:rsid w:val="002D3530"/>
    <w:rsid w:val="002D357D"/>
    <w:rsid w:val="002D370E"/>
    <w:rsid w:val="002D374F"/>
    <w:rsid w:val="002D3889"/>
    <w:rsid w:val="002D3C72"/>
    <w:rsid w:val="002D3E3E"/>
    <w:rsid w:val="002D409A"/>
    <w:rsid w:val="002D43BE"/>
    <w:rsid w:val="002D43E0"/>
    <w:rsid w:val="002D455D"/>
    <w:rsid w:val="002D45F4"/>
    <w:rsid w:val="002D4923"/>
    <w:rsid w:val="002D4A73"/>
    <w:rsid w:val="002D4D03"/>
    <w:rsid w:val="002D4E3D"/>
    <w:rsid w:val="002D5222"/>
    <w:rsid w:val="002D5444"/>
    <w:rsid w:val="002D579D"/>
    <w:rsid w:val="002D5922"/>
    <w:rsid w:val="002D5ED8"/>
    <w:rsid w:val="002D60AF"/>
    <w:rsid w:val="002D63E6"/>
    <w:rsid w:val="002D6C17"/>
    <w:rsid w:val="002D6EE3"/>
    <w:rsid w:val="002D7E48"/>
    <w:rsid w:val="002E0134"/>
    <w:rsid w:val="002E0151"/>
    <w:rsid w:val="002E0181"/>
    <w:rsid w:val="002E0494"/>
    <w:rsid w:val="002E0802"/>
    <w:rsid w:val="002E0839"/>
    <w:rsid w:val="002E0C9C"/>
    <w:rsid w:val="002E0CD4"/>
    <w:rsid w:val="002E0DD6"/>
    <w:rsid w:val="002E0E99"/>
    <w:rsid w:val="002E15F1"/>
    <w:rsid w:val="002E1960"/>
    <w:rsid w:val="002E211A"/>
    <w:rsid w:val="002E212F"/>
    <w:rsid w:val="002E2867"/>
    <w:rsid w:val="002E28BA"/>
    <w:rsid w:val="002E2A3A"/>
    <w:rsid w:val="002E2CD9"/>
    <w:rsid w:val="002E3184"/>
    <w:rsid w:val="002E336C"/>
    <w:rsid w:val="002E376C"/>
    <w:rsid w:val="002E3C92"/>
    <w:rsid w:val="002E402F"/>
    <w:rsid w:val="002E4429"/>
    <w:rsid w:val="002E4589"/>
    <w:rsid w:val="002E4966"/>
    <w:rsid w:val="002E4F72"/>
    <w:rsid w:val="002E53CC"/>
    <w:rsid w:val="002E5968"/>
    <w:rsid w:val="002E59D7"/>
    <w:rsid w:val="002E5AC9"/>
    <w:rsid w:val="002E5BF6"/>
    <w:rsid w:val="002E5DA9"/>
    <w:rsid w:val="002E6186"/>
    <w:rsid w:val="002E6309"/>
    <w:rsid w:val="002E69BB"/>
    <w:rsid w:val="002E6A59"/>
    <w:rsid w:val="002E6D9E"/>
    <w:rsid w:val="002E7289"/>
    <w:rsid w:val="002E72C8"/>
    <w:rsid w:val="002E7353"/>
    <w:rsid w:val="002E76E6"/>
    <w:rsid w:val="002F0DFB"/>
    <w:rsid w:val="002F120C"/>
    <w:rsid w:val="002F135F"/>
    <w:rsid w:val="002F13F4"/>
    <w:rsid w:val="002F22C9"/>
    <w:rsid w:val="002F24E0"/>
    <w:rsid w:val="002F2A24"/>
    <w:rsid w:val="002F2C72"/>
    <w:rsid w:val="002F3002"/>
    <w:rsid w:val="002F35AE"/>
    <w:rsid w:val="002F367B"/>
    <w:rsid w:val="002F40A8"/>
    <w:rsid w:val="002F49A7"/>
    <w:rsid w:val="002F4A99"/>
    <w:rsid w:val="002F4CBD"/>
    <w:rsid w:val="002F4DCC"/>
    <w:rsid w:val="002F4E83"/>
    <w:rsid w:val="002F4E9A"/>
    <w:rsid w:val="002F4FE5"/>
    <w:rsid w:val="002F51BC"/>
    <w:rsid w:val="002F58F8"/>
    <w:rsid w:val="002F59E8"/>
    <w:rsid w:val="002F5B64"/>
    <w:rsid w:val="002F6269"/>
    <w:rsid w:val="002F641C"/>
    <w:rsid w:val="002F7186"/>
    <w:rsid w:val="002F725C"/>
    <w:rsid w:val="002F75B7"/>
    <w:rsid w:val="002F7CC1"/>
    <w:rsid w:val="002F7D5A"/>
    <w:rsid w:val="002F7EB1"/>
    <w:rsid w:val="002F7FA1"/>
    <w:rsid w:val="00300311"/>
    <w:rsid w:val="00301172"/>
    <w:rsid w:val="00301707"/>
    <w:rsid w:val="00301F12"/>
    <w:rsid w:val="0030239F"/>
    <w:rsid w:val="003026D1"/>
    <w:rsid w:val="00302776"/>
    <w:rsid w:val="003027AB"/>
    <w:rsid w:val="00302A25"/>
    <w:rsid w:val="00302E3E"/>
    <w:rsid w:val="00303643"/>
    <w:rsid w:val="0030368C"/>
    <w:rsid w:val="00303A56"/>
    <w:rsid w:val="00303D02"/>
    <w:rsid w:val="0030414C"/>
    <w:rsid w:val="00304D80"/>
    <w:rsid w:val="00304F31"/>
    <w:rsid w:val="00305458"/>
    <w:rsid w:val="003057A8"/>
    <w:rsid w:val="00306882"/>
    <w:rsid w:val="00306B5A"/>
    <w:rsid w:val="0030733D"/>
    <w:rsid w:val="0030786B"/>
    <w:rsid w:val="00307ECC"/>
    <w:rsid w:val="00310014"/>
    <w:rsid w:val="00310051"/>
    <w:rsid w:val="00310D51"/>
    <w:rsid w:val="00310DF8"/>
    <w:rsid w:val="00311133"/>
    <w:rsid w:val="0031126E"/>
    <w:rsid w:val="003112AE"/>
    <w:rsid w:val="003116B0"/>
    <w:rsid w:val="00311AF9"/>
    <w:rsid w:val="00311C85"/>
    <w:rsid w:val="00311D82"/>
    <w:rsid w:val="0031229D"/>
    <w:rsid w:val="00312674"/>
    <w:rsid w:val="0031293E"/>
    <w:rsid w:val="00312B95"/>
    <w:rsid w:val="00312C29"/>
    <w:rsid w:val="00312CA3"/>
    <w:rsid w:val="00313BA3"/>
    <w:rsid w:val="00313C82"/>
    <w:rsid w:val="00314150"/>
    <w:rsid w:val="003142F7"/>
    <w:rsid w:val="0031448E"/>
    <w:rsid w:val="003145EC"/>
    <w:rsid w:val="00314865"/>
    <w:rsid w:val="00314BC0"/>
    <w:rsid w:val="00314BEF"/>
    <w:rsid w:val="00314DAA"/>
    <w:rsid w:val="00315428"/>
    <w:rsid w:val="003156B9"/>
    <w:rsid w:val="00315DF3"/>
    <w:rsid w:val="00315E49"/>
    <w:rsid w:val="003162DF"/>
    <w:rsid w:val="003164D9"/>
    <w:rsid w:val="00316785"/>
    <w:rsid w:val="00316CC1"/>
    <w:rsid w:val="00316E42"/>
    <w:rsid w:val="003172D2"/>
    <w:rsid w:val="003174F4"/>
    <w:rsid w:val="00317919"/>
    <w:rsid w:val="00317934"/>
    <w:rsid w:val="00317A56"/>
    <w:rsid w:val="00321706"/>
    <w:rsid w:val="00321D30"/>
    <w:rsid w:val="003227FA"/>
    <w:rsid w:val="00322902"/>
    <w:rsid w:val="0032296F"/>
    <w:rsid w:val="00322C52"/>
    <w:rsid w:val="00323145"/>
    <w:rsid w:val="00324134"/>
    <w:rsid w:val="0032428F"/>
    <w:rsid w:val="003243F4"/>
    <w:rsid w:val="0032465A"/>
    <w:rsid w:val="003246D8"/>
    <w:rsid w:val="003249D8"/>
    <w:rsid w:val="00324F0C"/>
    <w:rsid w:val="00325184"/>
    <w:rsid w:val="003253CE"/>
    <w:rsid w:val="00325BDD"/>
    <w:rsid w:val="00325EFA"/>
    <w:rsid w:val="00325F0D"/>
    <w:rsid w:val="00325F25"/>
    <w:rsid w:val="00326388"/>
    <w:rsid w:val="003266E3"/>
    <w:rsid w:val="00326D59"/>
    <w:rsid w:val="00326FB7"/>
    <w:rsid w:val="00327BA0"/>
    <w:rsid w:val="00327D25"/>
    <w:rsid w:val="00327E6A"/>
    <w:rsid w:val="00327FE1"/>
    <w:rsid w:val="00330571"/>
    <w:rsid w:val="0033070B"/>
    <w:rsid w:val="0033121C"/>
    <w:rsid w:val="00331386"/>
    <w:rsid w:val="00331389"/>
    <w:rsid w:val="00331ED3"/>
    <w:rsid w:val="00331ED7"/>
    <w:rsid w:val="00332534"/>
    <w:rsid w:val="00332F35"/>
    <w:rsid w:val="003336BB"/>
    <w:rsid w:val="00333E83"/>
    <w:rsid w:val="00333FD6"/>
    <w:rsid w:val="0033407A"/>
    <w:rsid w:val="00334721"/>
    <w:rsid w:val="00334800"/>
    <w:rsid w:val="0033481E"/>
    <w:rsid w:val="00334ADD"/>
    <w:rsid w:val="00334EC0"/>
    <w:rsid w:val="00334FD2"/>
    <w:rsid w:val="00335627"/>
    <w:rsid w:val="003357B4"/>
    <w:rsid w:val="00335D6C"/>
    <w:rsid w:val="00336503"/>
    <w:rsid w:val="00336546"/>
    <w:rsid w:val="00336699"/>
    <w:rsid w:val="00336C07"/>
    <w:rsid w:val="00336E5D"/>
    <w:rsid w:val="00337677"/>
    <w:rsid w:val="00337B7F"/>
    <w:rsid w:val="00337C31"/>
    <w:rsid w:val="00337D5D"/>
    <w:rsid w:val="00340147"/>
    <w:rsid w:val="00340444"/>
    <w:rsid w:val="00340921"/>
    <w:rsid w:val="00340A31"/>
    <w:rsid w:val="00340B04"/>
    <w:rsid w:val="00340FFD"/>
    <w:rsid w:val="0034131D"/>
    <w:rsid w:val="00341AB0"/>
    <w:rsid w:val="00341CF2"/>
    <w:rsid w:val="00341E05"/>
    <w:rsid w:val="0034204F"/>
    <w:rsid w:val="003421B4"/>
    <w:rsid w:val="00342206"/>
    <w:rsid w:val="00342401"/>
    <w:rsid w:val="00342526"/>
    <w:rsid w:val="00342A18"/>
    <w:rsid w:val="00342BAD"/>
    <w:rsid w:val="00342F46"/>
    <w:rsid w:val="003432CB"/>
    <w:rsid w:val="003435F0"/>
    <w:rsid w:val="00343B1A"/>
    <w:rsid w:val="00343CAB"/>
    <w:rsid w:val="00343D16"/>
    <w:rsid w:val="0034438C"/>
    <w:rsid w:val="00344437"/>
    <w:rsid w:val="003444C5"/>
    <w:rsid w:val="003446A3"/>
    <w:rsid w:val="003446FB"/>
    <w:rsid w:val="003451FD"/>
    <w:rsid w:val="0034546A"/>
    <w:rsid w:val="0034555D"/>
    <w:rsid w:val="0034579A"/>
    <w:rsid w:val="003457D4"/>
    <w:rsid w:val="0034588F"/>
    <w:rsid w:val="00345CDA"/>
    <w:rsid w:val="00345FEE"/>
    <w:rsid w:val="003461B7"/>
    <w:rsid w:val="0034677C"/>
    <w:rsid w:val="00346F3B"/>
    <w:rsid w:val="003470BE"/>
    <w:rsid w:val="00347642"/>
    <w:rsid w:val="00347A84"/>
    <w:rsid w:val="0035003C"/>
    <w:rsid w:val="0035007B"/>
    <w:rsid w:val="003500AF"/>
    <w:rsid w:val="0035054C"/>
    <w:rsid w:val="00350C68"/>
    <w:rsid w:val="00350EB2"/>
    <w:rsid w:val="00350EE3"/>
    <w:rsid w:val="003514B5"/>
    <w:rsid w:val="00351AF0"/>
    <w:rsid w:val="00351B81"/>
    <w:rsid w:val="00351DC9"/>
    <w:rsid w:val="003529B4"/>
    <w:rsid w:val="0035363F"/>
    <w:rsid w:val="0035366E"/>
    <w:rsid w:val="00353750"/>
    <w:rsid w:val="00353B35"/>
    <w:rsid w:val="00353BA9"/>
    <w:rsid w:val="00353BF7"/>
    <w:rsid w:val="00353F41"/>
    <w:rsid w:val="0035413D"/>
    <w:rsid w:val="00354567"/>
    <w:rsid w:val="0035538B"/>
    <w:rsid w:val="00355F4F"/>
    <w:rsid w:val="0035665C"/>
    <w:rsid w:val="0035670E"/>
    <w:rsid w:val="00356979"/>
    <w:rsid w:val="00356AF5"/>
    <w:rsid w:val="00356CB9"/>
    <w:rsid w:val="00356DE2"/>
    <w:rsid w:val="00357210"/>
    <w:rsid w:val="00357544"/>
    <w:rsid w:val="00357C79"/>
    <w:rsid w:val="00357C7E"/>
    <w:rsid w:val="00357E5F"/>
    <w:rsid w:val="0036017E"/>
    <w:rsid w:val="00360759"/>
    <w:rsid w:val="00360D49"/>
    <w:rsid w:val="00360DE9"/>
    <w:rsid w:val="00360EF7"/>
    <w:rsid w:val="003611D0"/>
    <w:rsid w:val="00361546"/>
    <w:rsid w:val="0036186E"/>
    <w:rsid w:val="00361A98"/>
    <w:rsid w:val="00361B8D"/>
    <w:rsid w:val="00361FA2"/>
    <w:rsid w:val="0036212B"/>
    <w:rsid w:val="00362454"/>
    <w:rsid w:val="00363239"/>
    <w:rsid w:val="003638CC"/>
    <w:rsid w:val="00363940"/>
    <w:rsid w:val="00363C01"/>
    <w:rsid w:val="00363DE3"/>
    <w:rsid w:val="00363E4C"/>
    <w:rsid w:val="00363E79"/>
    <w:rsid w:val="00363FD1"/>
    <w:rsid w:val="003644C6"/>
    <w:rsid w:val="0036468F"/>
    <w:rsid w:val="0036485E"/>
    <w:rsid w:val="003649DC"/>
    <w:rsid w:val="00364D89"/>
    <w:rsid w:val="00364F05"/>
    <w:rsid w:val="00364F58"/>
    <w:rsid w:val="00365557"/>
    <w:rsid w:val="00365567"/>
    <w:rsid w:val="00365661"/>
    <w:rsid w:val="00365894"/>
    <w:rsid w:val="003658AF"/>
    <w:rsid w:val="003663F6"/>
    <w:rsid w:val="0036645D"/>
    <w:rsid w:val="00366680"/>
    <w:rsid w:val="00366923"/>
    <w:rsid w:val="00366C58"/>
    <w:rsid w:val="00366E71"/>
    <w:rsid w:val="003675EF"/>
    <w:rsid w:val="0037017A"/>
    <w:rsid w:val="0037036B"/>
    <w:rsid w:val="0037056C"/>
    <w:rsid w:val="003709B1"/>
    <w:rsid w:val="00370B8F"/>
    <w:rsid w:val="003712B5"/>
    <w:rsid w:val="00371517"/>
    <w:rsid w:val="00371B75"/>
    <w:rsid w:val="00371D05"/>
    <w:rsid w:val="00371D5C"/>
    <w:rsid w:val="00372DAD"/>
    <w:rsid w:val="00372F51"/>
    <w:rsid w:val="00372FBD"/>
    <w:rsid w:val="0037307E"/>
    <w:rsid w:val="00373517"/>
    <w:rsid w:val="00373667"/>
    <w:rsid w:val="00373BDD"/>
    <w:rsid w:val="00373D5B"/>
    <w:rsid w:val="003755BB"/>
    <w:rsid w:val="00375CDB"/>
    <w:rsid w:val="00376813"/>
    <w:rsid w:val="003776F1"/>
    <w:rsid w:val="00377734"/>
    <w:rsid w:val="003777D5"/>
    <w:rsid w:val="00377BF5"/>
    <w:rsid w:val="00377D9E"/>
    <w:rsid w:val="00377F0E"/>
    <w:rsid w:val="00380253"/>
    <w:rsid w:val="00380446"/>
    <w:rsid w:val="003806F5"/>
    <w:rsid w:val="00380806"/>
    <w:rsid w:val="00380C7F"/>
    <w:rsid w:val="003814F5"/>
    <w:rsid w:val="003818A8"/>
    <w:rsid w:val="00381BE0"/>
    <w:rsid w:val="00381EEF"/>
    <w:rsid w:val="0038321E"/>
    <w:rsid w:val="003832F0"/>
    <w:rsid w:val="00383425"/>
    <w:rsid w:val="0038388C"/>
    <w:rsid w:val="00383E20"/>
    <w:rsid w:val="0038447E"/>
    <w:rsid w:val="003853EC"/>
    <w:rsid w:val="0038541A"/>
    <w:rsid w:val="003856C7"/>
    <w:rsid w:val="00385862"/>
    <w:rsid w:val="0038594F"/>
    <w:rsid w:val="00385E95"/>
    <w:rsid w:val="00385EA3"/>
    <w:rsid w:val="00385EF6"/>
    <w:rsid w:val="00386542"/>
    <w:rsid w:val="003868CB"/>
    <w:rsid w:val="00386922"/>
    <w:rsid w:val="00386A8C"/>
    <w:rsid w:val="00386BA7"/>
    <w:rsid w:val="00386D3A"/>
    <w:rsid w:val="003870D7"/>
    <w:rsid w:val="00387627"/>
    <w:rsid w:val="003877E0"/>
    <w:rsid w:val="00387869"/>
    <w:rsid w:val="0039048A"/>
    <w:rsid w:val="00390497"/>
    <w:rsid w:val="003907BF"/>
    <w:rsid w:val="00390E64"/>
    <w:rsid w:val="003911CA"/>
    <w:rsid w:val="003917D4"/>
    <w:rsid w:val="00391BE4"/>
    <w:rsid w:val="00391E87"/>
    <w:rsid w:val="00391F6A"/>
    <w:rsid w:val="0039201A"/>
    <w:rsid w:val="003923D3"/>
    <w:rsid w:val="003927F3"/>
    <w:rsid w:val="003928DD"/>
    <w:rsid w:val="00392D70"/>
    <w:rsid w:val="0039304A"/>
    <w:rsid w:val="00393238"/>
    <w:rsid w:val="00393421"/>
    <w:rsid w:val="003942BC"/>
    <w:rsid w:val="00394372"/>
    <w:rsid w:val="00394709"/>
    <w:rsid w:val="003948D1"/>
    <w:rsid w:val="00394C5A"/>
    <w:rsid w:val="00394F32"/>
    <w:rsid w:val="00394FCD"/>
    <w:rsid w:val="0039519C"/>
    <w:rsid w:val="003954CD"/>
    <w:rsid w:val="00395553"/>
    <w:rsid w:val="00395E04"/>
    <w:rsid w:val="00395E28"/>
    <w:rsid w:val="003960B1"/>
    <w:rsid w:val="00396129"/>
    <w:rsid w:val="00396246"/>
    <w:rsid w:val="00396330"/>
    <w:rsid w:val="003967CD"/>
    <w:rsid w:val="00396B65"/>
    <w:rsid w:val="00397125"/>
    <w:rsid w:val="00397BD2"/>
    <w:rsid w:val="00397CF1"/>
    <w:rsid w:val="003A0323"/>
    <w:rsid w:val="003A0330"/>
    <w:rsid w:val="003A0A4A"/>
    <w:rsid w:val="003A137D"/>
    <w:rsid w:val="003A19B9"/>
    <w:rsid w:val="003A19D4"/>
    <w:rsid w:val="003A1DA5"/>
    <w:rsid w:val="003A21FC"/>
    <w:rsid w:val="003A22E4"/>
    <w:rsid w:val="003A28EE"/>
    <w:rsid w:val="003A29DF"/>
    <w:rsid w:val="003A2CE0"/>
    <w:rsid w:val="003A31EB"/>
    <w:rsid w:val="003A344D"/>
    <w:rsid w:val="003A34AF"/>
    <w:rsid w:val="003A3A30"/>
    <w:rsid w:val="003A3D25"/>
    <w:rsid w:val="003A43EF"/>
    <w:rsid w:val="003A475F"/>
    <w:rsid w:val="003A4E54"/>
    <w:rsid w:val="003A6592"/>
    <w:rsid w:val="003A66F4"/>
    <w:rsid w:val="003A7951"/>
    <w:rsid w:val="003A797F"/>
    <w:rsid w:val="003A7D38"/>
    <w:rsid w:val="003B08EA"/>
    <w:rsid w:val="003B0DDA"/>
    <w:rsid w:val="003B0EFD"/>
    <w:rsid w:val="003B11B3"/>
    <w:rsid w:val="003B1203"/>
    <w:rsid w:val="003B1377"/>
    <w:rsid w:val="003B15A4"/>
    <w:rsid w:val="003B16EE"/>
    <w:rsid w:val="003B179F"/>
    <w:rsid w:val="003B1BCD"/>
    <w:rsid w:val="003B24DA"/>
    <w:rsid w:val="003B2590"/>
    <w:rsid w:val="003B2735"/>
    <w:rsid w:val="003B2BEF"/>
    <w:rsid w:val="003B2E95"/>
    <w:rsid w:val="003B2E9D"/>
    <w:rsid w:val="003B30A2"/>
    <w:rsid w:val="003B3636"/>
    <w:rsid w:val="003B3919"/>
    <w:rsid w:val="003B3B67"/>
    <w:rsid w:val="003B3E31"/>
    <w:rsid w:val="003B3F3E"/>
    <w:rsid w:val="003B4312"/>
    <w:rsid w:val="003B4479"/>
    <w:rsid w:val="003B4750"/>
    <w:rsid w:val="003B498B"/>
    <w:rsid w:val="003B4C1C"/>
    <w:rsid w:val="003B4C36"/>
    <w:rsid w:val="003B51A7"/>
    <w:rsid w:val="003B53A3"/>
    <w:rsid w:val="003B53B0"/>
    <w:rsid w:val="003B5484"/>
    <w:rsid w:val="003B55A6"/>
    <w:rsid w:val="003B55F1"/>
    <w:rsid w:val="003B5AF4"/>
    <w:rsid w:val="003B60CD"/>
    <w:rsid w:val="003B6381"/>
    <w:rsid w:val="003B640E"/>
    <w:rsid w:val="003B6876"/>
    <w:rsid w:val="003B68F6"/>
    <w:rsid w:val="003B6A6C"/>
    <w:rsid w:val="003B6C6D"/>
    <w:rsid w:val="003B6CCD"/>
    <w:rsid w:val="003B6EED"/>
    <w:rsid w:val="003B6FCB"/>
    <w:rsid w:val="003B724B"/>
    <w:rsid w:val="003B7A51"/>
    <w:rsid w:val="003B7C69"/>
    <w:rsid w:val="003B7DFE"/>
    <w:rsid w:val="003C023F"/>
    <w:rsid w:val="003C0962"/>
    <w:rsid w:val="003C1485"/>
    <w:rsid w:val="003C14F2"/>
    <w:rsid w:val="003C18E8"/>
    <w:rsid w:val="003C1AC9"/>
    <w:rsid w:val="003C1B71"/>
    <w:rsid w:val="003C1C4E"/>
    <w:rsid w:val="003C2063"/>
    <w:rsid w:val="003C206D"/>
    <w:rsid w:val="003C292B"/>
    <w:rsid w:val="003C2D75"/>
    <w:rsid w:val="003C303B"/>
    <w:rsid w:val="003C306E"/>
    <w:rsid w:val="003C348B"/>
    <w:rsid w:val="003C364D"/>
    <w:rsid w:val="003C36D9"/>
    <w:rsid w:val="003C39A1"/>
    <w:rsid w:val="003C3A42"/>
    <w:rsid w:val="003C3A85"/>
    <w:rsid w:val="003C3DB6"/>
    <w:rsid w:val="003C45FB"/>
    <w:rsid w:val="003C4725"/>
    <w:rsid w:val="003C4A6C"/>
    <w:rsid w:val="003C4E0C"/>
    <w:rsid w:val="003C5356"/>
    <w:rsid w:val="003C5566"/>
    <w:rsid w:val="003C5711"/>
    <w:rsid w:val="003C5759"/>
    <w:rsid w:val="003C58F4"/>
    <w:rsid w:val="003C5F28"/>
    <w:rsid w:val="003C60EA"/>
    <w:rsid w:val="003C61AA"/>
    <w:rsid w:val="003C6319"/>
    <w:rsid w:val="003C63C5"/>
    <w:rsid w:val="003C6F18"/>
    <w:rsid w:val="003C774D"/>
    <w:rsid w:val="003C7C49"/>
    <w:rsid w:val="003C7D4F"/>
    <w:rsid w:val="003D0021"/>
    <w:rsid w:val="003D0412"/>
    <w:rsid w:val="003D0744"/>
    <w:rsid w:val="003D0A6C"/>
    <w:rsid w:val="003D1164"/>
    <w:rsid w:val="003D144A"/>
    <w:rsid w:val="003D146E"/>
    <w:rsid w:val="003D19A1"/>
    <w:rsid w:val="003D1C61"/>
    <w:rsid w:val="003D225D"/>
    <w:rsid w:val="003D25FA"/>
    <w:rsid w:val="003D2C78"/>
    <w:rsid w:val="003D2F9C"/>
    <w:rsid w:val="003D35D9"/>
    <w:rsid w:val="003D3CAB"/>
    <w:rsid w:val="003D433F"/>
    <w:rsid w:val="003D4CD0"/>
    <w:rsid w:val="003D4EA6"/>
    <w:rsid w:val="003D515D"/>
    <w:rsid w:val="003D51B2"/>
    <w:rsid w:val="003D5389"/>
    <w:rsid w:val="003D54D8"/>
    <w:rsid w:val="003D54EE"/>
    <w:rsid w:val="003D598D"/>
    <w:rsid w:val="003D5B88"/>
    <w:rsid w:val="003D5D63"/>
    <w:rsid w:val="003D5DA2"/>
    <w:rsid w:val="003D5EC8"/>
    <w:rsid w:val="003D6243"/>
    <w:rsid w:val="003D6283"/>
    <w:rsid w:val="003D62C7"/>
    <w:rsid w:val="003D647B"/>
    <w:rsid w:val="003D64C8"/>
    <w:rsid w:val="003D6624"/>
    <w:rsid w:val="003D740F"/>
    <w:rsid w:val="003D7441"/>
    <w:rsid w:val="003D791E"/>
    <w:rsid w:val="003D7E40"/>
    <w:rsid w:val="003D7FAB"/>
    <w:rsid w:val="003E0013"/>
    <w:rsid w:val="003E02C4"/>
    <w:rsid w:val="003E07B3"/>
    <w:rsid w:val="003E10CE"/>
    <w:rsid w:val="003E14D3"/>
    <w:rsid w:val="003E2123"/>
    <w:rsid w:val="003E2258"/>
    <w:rsid w:val="003E230F"/>
    <w:rsid w:val="003E2B48"/>
    <w:rsid w:val="003E2C05"/>
    <w:rsid w:val="003E30D0"/>
    <w:rsid w:val="003E31D3"/>
    <w:rsid w:val="003E3528"/>
    <w:rsid w:val="003E36CB"/>
    <w:rsid w:val="003E37AA"/>
    <w:rsid w:val="003E3E74"/>
    <w:rsid w:val="003E3EF0"/>
    <w:rsid w:val="003E40A1"/>
    <w:rsid w:val="003E40A5"/>
    <w:rsid w:val="003E4227"/>
    <w:rsid w:val="003E4DAD"/>
    <w:rsid w:val="003E57B2"/>
    <w:rsid w:val="003E5908"/>
    <w:rsid w:val="003E5928"/>
    <w:rsid w:val="003E5A20"/>
    <w:rsid w:val="003E5A34"/>
    <w:rsid w:val="003E5ADE"/>
    <w:rsid w:val="003E5B76"/>
    <w:rsid w:val="003E6186"/>
    <w:rsid w:val="003E65A9"/>
    <w:rsid w:val="003E67F0"/>
    <w:rsid w:val="003E6975"/>
    <w:rsid w:val="003E6B4D"/>
    <w:rsid w:val="003E6B76"/>
    <w:rsid w:val="003E74E2"/>
    <w:rsid w:val="003E7B94"/>
    <w:rsid w:val="003F007A"/>
    <w:rsid w:val="003F01EE"/>
    <w:rsid w:val="003F0632"/>
    <w:rsid w:val="003F0A49"/>
    <w:rsid w:val="003F0EDE"/>
    <w:rsid w:val="003F0F0C"/>
    <w:rsid w:val="003F1F5E"/>
    <w:rsid w:val="003F2327"/>
    <w:rsid w:val="003F254B"/>
    <w:rsid w:val="003F28D3"/>
    <w:rsid w:val="003F2FA3"/>
    <w:rsid w:val="003F3245"/>
    <w:rsid w:val="003F3442"/>
    <w:rsid w:val="003F421D"/>
    <w:rsid w:val="003F4311"/>
    <w:rsid w:val="003F47B0"/>
    <w:rsid w:val="003F4905"/>
    <w:rsid w:val="003F4ABA"/>
    <w:rsid w:val="003F4AFC"/>
    <w:rsid w:val="003F4E29"/>
    <w:rsid w:val="003F5944"/>
    <w:rsid w:val="003F5B47"/>
    <w:rsid w:val="003F5EF7"/>
    <w:rsid w:val="003F6241"/>
    <w:rsid w:val="003F6A2D"/>
    <w:rsid w:val="003F6E04"/>
    <w:rsid w:val="003F7171"/>
    <w:rsid w:val="003F76E5"/>
    <w:rsid w:val="003F7742"/>
    <w:rsid w:val="003F78A7"/>
    <w:rsid w:val="003F7915"/>
    <w:rsid w:val="003F7A0B"/>
    <w:rsid w:val="003F7AF6"/>
    <w:rsid w:val="004001DB"/>
    <w:rsid w:val="0040045D"/>
    <w:rsid w:val="00400713"/>
    <w:rsid w:val="004007E6"/>
    <w:rsid w:val="00400982"/>
    <w:rsid w:val="004009E8"/>
    <w:rsid w:val="00400A3B"/>
    <w:rsid w:val="00400D7A"/>
    <w:rsid w:val="00400DB6"/>
    <w:rsid w:val="00400E81"/>
    <w:rsid w:val="004010FE"/>
    <w:rsid w:val="00401139"/>
    <w:rsid w:val="00401488"/>
    <w:rsid w:val="00401EB1"/>
    <w:rsid w:val="004027AB"/>
    <w:rsid w:val="00402808"/>
    <w:rsid w:val="004029FC"/>
    <w:rsid w:val="0040359F"/>
    <w:rsid w:val="004046BC"/>
    <w:rsid w:val="00404A47"/>
    <w:rsid w:val="004052A2"/>
    <w:rsid w:val="004060AB"/>
    <w:rsid w:val="00406876"/>
    <w:rsid w:val="00407BF0"/>
    <w:rsid w:val="00407C21"/>
    <w:rsid w:val="0041033D"/>
    <w:rsid w:val="00410673"/>
    <w:rsid w:val="0041075B"/>
    <w:rsid w:val="00410814"/>
    <w:rsid w:val="00411028"/>
    <w:rsid w:val="00411541"/>
    <w:rsid w:val="00411907"/>
    <w:rsid w:val="00411A28"/>
    <w:rsid w:val="00411A29"/>
    <w:rsid w:val="00411B79"/>
    <w:rsid w:val="00411F03"/>
    <w:rsid w:val="004123FD"/>
    <w:rsid w:val="00412E1D"/>
    <w:rsid w:val="004131AD"/>
    <w:rsid w:val="00413518"/>
    <w:rsid w:val="00413578"/>
    <w:rsid w:val="004135E9"/>
    <w:rsid w:val="004135F3"/>
    <w:rsid w:val="00413F7E"/>
    <w:rsid w:val="00414145"/>
    <w:rsid w:val="00414315"/>
    <w:rsid w:val="0041467F"/>
    <w:rsid w:val="0041472B"/>
    <w:rsid w:val="00414982"/>
    <w:rsid w:val="00414D0D"/>
    <w:rsid w:val="004150F5"/>
    <w:rsid w:val="004162C6"/>
    <w:rsid w:val="00416581"/>
    <w:rsid w:val="00416C24"/>
    <w:rsid w:val="0041725A"/>
    <w:rsid w:val="00417A16"/>
    <w:rsid w:val="00417B47"/>
    <w:rsid w:val="004205A5"/>
    <w:rsid w:val="004206D3"/>
    <w:rsid w:val="00420A6A"/>
    <w:rsid w:val="00420BA4"/>
    <w:rsid w:val="00420BF1"/>
    <w:rsid w:val="004215AA"/>
    <w:rsid w:val="004216C1"/>
    <w:rsid w:val="004216E8"/>
    <w:rsid w:val="00421862"/>
    <w:rsid w:val="00421A09"/>
    <w:rsid w:val="00421E5B"/>
    <w:rsid w:val="00422210"/>
    <w:rsid w:val="00422277"/>
    <w:rsid w:val="00422313"/>
    <w:rsid w:val="00422C38"/>
    <w:rsid w:val="00422CCF"/>
    <w:rsid w:val="00422F9A"/>
    <w:rsid w:val="0042342B"/>
    <w:rsid w:val="0042390B"/>
    <w:rsid w:val="00423EBD"/>
    <w:rsid w:val="00424249"/>
    <w:rsid w:val="004244AB"/>
    <w:rsid w:val="0042466C"/>
    <w:rsid w:val="0042488F"/>
    <w:rsid w:val="0042529F"/>
    <w:rsid w:val="0042546F"/>
    <w:rsid w:val="00425579"/>
    <w:rsid w:val="00425D1A"/>
    <w:rsid w:val="00425E68"/>
    <w:rsid w:val="00425F20"/>
    <w:rsid w:val="004268FA"/>
    <w:rsid w:val="00426E59"/>
    <w:rsid w:val="00427045"/>
    <w:rsid w:val="004273D0"/>
    <w:rsid w:val="00427620"/>
    <w:rsid w:val="00427652"/>
    <w:rsid w:val="004277BF"/>
    <w:rsid w:val="00427D39"/>
    <w:rsid w:val="00430499"/>
    <w:rsid w:val="00430EFC"/>
    <w:rsid w:val="00430F1A"/>
    <w:rsid w:val="00430F89"/>
    <w:rsid w:val="004318A7"/>
    <w:rsid w:val="00432046"/>
    <w:rsid w:val="004323AB"/>
    <w:rsid w:val="004325FD"/>
    <w:rsid w:val="0043267F"/>
    <w:rsid w:val="004326DE"/>
    <w:rsid w:val="00432C90"/>
    <w:rsid w:val="004330A0"/>
    <w:rsid w:val="00433BE3"/>
    <w:rsid w:val="004347C0"/>
    <w:rsid w:val="00434BA9"/>
    <w:rsid w:val="00434D27"/>
    <w:rsid w:val="004351B2"/>
    <w:rsid w:val="00435424"/>
    <w:rsid w:val="00435917"/>
    <w:rsid w:val="004359A1"/>
    <w:rsid w:val="00436054"/>
    <w:rsid w:val="004363C4"/>
    <w:rsid w:val="00436581"/>
    <w:rsid w:val="0043668D"/>
    <w:rsid w:val="00437120"/>
    <w:rsid w:val="004376E7"/>
    <w:rsid w:val="0044052C"/>
    <w:rsid w:val="00440C1F"/>
    <w:rsid w:val="00440D36"/>
    <w:rsid w:val="00440D4B"/>
    <w:rsid w:val="00440D8A"/>
    <w:rsid w:val="00440F9F"/>
    <w:rsid w:val="0044146B"/>
    <w:rsid w:val="0044155A"/>
    <w:rsid w:val="004416E2"/>
    <w:rsid w:val="00441875"/>
    <w:rsid w:val="00441EA1"/>
    <w:rsid w:val="00441FCA"/>
    <w:rsid w:val="00442903"/>
    <w:rsid w:val="00442CC2"/>
    <w:rsid w:val="0044306D"/>
    <w:rsid w:val="0044332E"/>
    <w:rsid w:val="004433BF"/>
    <w:rsid w:val="0044361A"/>
    <w:rsid w:val="004436AC"/>
    <w:rsid w:val="00443B74"/>
    <w:rsid w:val="00443CF2"/>
    <w:rsid w:val="0044487F"/>
    <w:rsid w:val="0044497A"/>
    <w:rsid w:val="004449A9"/>
    <w:rsid w:val="004449F8"/>
    <w:rsid w:val="00444BF0"/>
    <w:rsid w:val="00444DE9"/>
    <w:rsid w:val="004454F1"/>
    <w:rsid w:val="00445F1F"/>
    <w:rsid w:val="00445F58"/>
    <w:rsid w:val="004461F6"/>
    <w:rsid w:val="00446703"/>
    <w:rsid w:val="00446768"/>
    <w:rsid w:val="00446F57"/>
    <w:rsid w:val="004470D8"/>
    <w:rsid w:val="004473B5"/>
    <w:rsid w:val="0044779C"/>
    <w:rsid w:val="00447905"/>
    <w:rsid w:val="004507DC"/>
    <w:rsid w:val="00450EC6"/>
    <w:rsid w:val="0045108E"/>
    <w:rsid w:val="004511D8"/>
    <w:rsid w:val="00452481"/>
    <w:rsid w:val="00452C18"/>
    <w:rsid w:val="00452DEC"/>
    <w:rsid w:val="0045353E"/>
    <w:rsid w:val="0045353F"/>
    <w:rsid w:val="00454756"/>
    <w:rsid w:val="00454795"/>
    <w:rsid w:val="00454D1E"/>
    <w:rsid w:val="00455445"/>
    <w:rsid w:val="004555EC"/>
    <w:rsid w:val="004558B4"/>
    <w:rsid w:val="00455BCB"/>
    <w:rsid w:val="0045601A"/>
    <w:rsid w:val="00456866"/>
    <w:rsid w:val="00456A94"/>
    <w:rsid w:val="00456B70"/>
    <w:rsid w:val="00456EBF"/>
    <w:rsid w:val="00456ED4"/>
    <w:rsid w:val="00457522"/>
    <w:rsid w:val="004576F9"/>
    <w:rsid w:val="00457981"/>
    <w:rsid w:val="0046016E"/>
    <w:rsid w:val="004604F2"/>
    <w:rsid w:val="00460D4B"/>
    <w:rsid w:val="00460FCA"/>
    <w:rsid w:val="004615D0"/>
    <w:rsid w:val="00461803"/>
    <w:rsid w:val="00461C80"/>
    <w:rsid w:val="00462160"/>
    <w:rsid w:val="004621F2"/>
    <w:rsid w:val="0046228D"/>
    <w:rsid w:val="0046232C"/>
    <w:rsid w:val="00462465"/>
    <w:rsid w:val="004628D3"/>
    <w:rsid w:val="00463386"/>
    <w:rsid w:val="004635ED"/>
    <w:rsid w:val="00463B73"/>
    <w:rsid w:val="004646E8"/>
    <w:rsid w:val="004647D0"/>
    <w:rsid w:val="004650F7"/>
    <w:rsid w:val="004667A8"/>
    <w:rsid w:val="00466977"/>
    <w:rsid w:val="00466B34"/>
    <w:rsid w:val="00466B4C"/>
    <w:rsid w:val="00466DDE"/>
    <w:rsid w:val="0046712A"/>
    <w:rsid w:val="00467278"/>
    <w:rsid w:val="00467664"/>
    <w:rsid w:val="00467F17"/>
    <w:rsid w:val="00467FBF"/>
    <w:rsid w:val="00470240"/>
    <w:rsid w:val="00470846"/>
    <w:rsid w:val="00470A54"/>
    <w:rsid w:val="00470CCC"/>
    <w:rsid w:val="004711A2"/>
    <w:rsid w:val="00471B8C"/>
    <w:rsid w:val="00471D05"/>
    <w:rsid w:val="00472147"/>
    <w:rsid w:val="0047218F"/>
    <w:rsid w:val="00472561"/>
    <w:rsid w:val="00472CF9"/>
    <w:rsid w:val="00472D99"/>
    <w:rsid w:val="00472F00"/>
    <w:rsid w:val="004730F8"/>
    <w:rsid w:val="00473467"/>
    <w:rsid w:val="0047350E"/>
    <w:rsid w:val="004736C4"/>
    <w:rsid w:val="00474285"/>
    <w:rsid w:val="004748C4"/>
    <w:rsid w:val="00474BBF"/>
    <w:rsid w:val="00474C70"/>
    <w:rsid w:val="00474F9A"/>
    <w:rsid w:val="00475020"/>
    <w:rsid w:val="00475114"/>
    <w:rsid w:val="0047590B"/>
    <w:rsid w:val="00475C84"/>
    <w:rsid w:val="00475F28"/>
    <w:rsid w:val="004767D8"/>
    <w:rsid w:val="0047699B"/>
    <w:rsid w:val="00476E9C"/>
    <w:rsid w:val="004770A7"/>
    <w:rsid w:val="004776FC"/>
    <w:rsid w:val="00480140"/>
    <w:rsid w:val="00480398"/>
    <w:rsid w:val="00480472"/>
    <w:rsid w:val="004814CA"/>
    <w:rsid w:val="004818F0"/>
    <w:rsid w:val="00481DD8"/>
    <w:rsid w:val="00481E9B"/>
    <w:rsid w:val="00481F22"/>
    <w:rsid w:val="004824E4"/>
    <w:rsid w:val="004825BC"/>
    <w:rsid w:val="004827C7"/>
    <w:rsid w:val="00482F6E"/>
    <w:rsid w:val="00483370"/>
    <w:rsid w:val="004833D2"/>
    <w:rsid w:val="004833E9"/>
    <w:rsid w:val="004836CC"/>
    <w:rsid w:val="0048391C"/>
    <w:rsid w:val="00483B7D"/>
    <w:rsid w:val="00483EC8"/>
    <w:rsid w:val="00484171"/>
    <w:rsid w:val="00484823"/>
    <w:rsid w:val="00484F2A"/>
    <w:rsid w:val="00485451"/>
    <w:rsid w:val="00485814"/>
    <w:rsid w:val="00485A4A"/>
    <w:rsid w:val="00485B3D"/>
    <w:rsid w:val="00485BCA"/>
    <w:rsid w:val="00485E09"/>
    <w:rsid w:val="00485FE2"/>
    <w:rsid w:val="00485FFF"/>
    <w:rsid w:val="00486156"/>
    <w:rsid w:val="00486571"/>
    <w:rsid w:val="004865BA"/>
    <w:rsid w:val="00486B88"/>
    <w:rsid w:val="00487499"/>
    <w:rsid w:val="00487652"/>
    <w:rsid w:val="00487B08"/>
    <w:rsid w:val="00487C12"/>
    <w:rsid w:val="00487F11"/>
    <w:rsid w:val="00490108"/>
    <w:rsid w:val="004902EF"/>
    <w:rsid w:val="00490AE4"/>
    <w:rsid w:val="00490B4B"/>
    <w:rsid w:val="00490EF5"/>
    <w:rsid w:val="00491110"/>
    <w:rsid w:val="00491606"/>
    <w:rsid w:val="004917AD"/>
    <w:rsid w:val="00491E94"/>
    <w:rsid w:val="00492085"/>
    <w:rsid w:val="004923E8"/>
    <w:rsid w:val="00492428"/>
    <w:rsid w:val="0049281B"/>
    <w:rsid w:val="0049399C"/>
    <w:rsid w:val="00493C38"/>
    <w:rsid w:val="00494120"/>
    <w:rsid w:val="0049484C"/>
    <w:rsid w:val="00494AD2"/>
    <w:rsid w:val="00494C84"/>
    <w:rsid w:val="004958B6"/>
    <w:rsid w:val="00495E36"/>
    <w:rsid w:val="00495EC3"/>
    <w:rsid w:val="00496601"/>
    <w:rsid w:val="00496B35"/>
    <w:rsid w:val="00496DB8"/>
    <w:rsid w:val="00497027"/>
    <w:rsid w:val="004970C3"/>
    <w:rsid w:val="004972FC"/>
    <w:rsid w:val="004977ED"/>
    <w:rsid w:val="00497CDF"/>
    <w:rsid w:val="004A05D7"/>
    <w:rsid w:val="004A0895"/>
    <w:rsid w:val="004A0BC1"/>
    <w:rsid w:val="004A0C07"/>
    <w:rsid w:val="004A0E1F"/>
    <w:rsid w:val="004A10A2"/>
    <w:rsid w:val="004A1101"/>
    <w:rsid w:val="004A1128"/>
    <w:rsid w:val="004A12B2"/>
    <w:rsid w:val="004A12BE"/>
    <w:rsid w:val="004A1561"/>
    <w:rsid w:val="004A1671"/>
    <w:rsid w:val="004A1726"/>
    <w:rsid w:val="004A189C"/>
    <w:rsid w:val="004A1E55"/>
    <w:rsid w:val="004A1E81"/>
    <w:rsid w:val="004A2B43"/>
    <w:rsid w:val="004A2E30"/>
    <w:rsid w:val="004A3315"/>
    <w:rsid w:val="004A334A"/>
    <w:rsid w:val="004A3407"/>
    <w:rsid w:val="004A380C"/>
    <w:rsid w:val="004A384E"/>
    <w:rsid w:val="004A3A03"/>
    <w:rsid w:val="004A3BEC"/>
    <w:rsid w:val="004A3CBA"/>
    <w:rsid w:val="004A40D1"/>
    <w:rsid w:val="004A4812"/>
    <w:rsid w:val="004A4C82"/>
    <w:rsid w:val="004A5144"/>
    <w:rsid w:val="004A5871"/>
    <w:rsid w:val="004A5C17"/>
    <w:rsid w:val="004A5FCD"/>
    <w:rsid w:val="004A6878"/>
    <w:rsid w:val="004A6A97"/>
    <w:rsid w:val="004A6ED3"/>
    <w:rsid w:val="004A701B"/>
    <w:rsid w:val="004A7754"/>
    <w:rsid w:val="004A7811"/>
    <w:rsid w:val="004B021C"/>
    <w:rsid w:val="004B065E"/>
    <w:rsid w:val="004B0E54"/>
    <w:rsid w:val="004B1173"/>
    <w:rsid w:val="004B117D"/>
    <w:rsid w:val="004B20B9"/>
    <w:rsid w:val="004B338D"/>
    <w:rsid w:val="004B35CA"/>
    <w:rsid w:val="004B381B"/>
    <w:rsid w:val="004B385F"/>
    <w:rsid w:val="004B3B0C"/>
    <w:rsid w:val="004B3BE3"/>
    <w:rsid w:val="004B40CB"/>
    <w:rsid w:val="004B49E6"/>
    <w:rsid w:val="004B4BD4"/>
    <w:rsid w:val="004B4C67"/>
    <w:rsid w:val="004B4D11"/>
    <w:rsid w:val="004B512B"/>
    <w:rsid w:val="004B5236"/>
    <w:rsid w:val="004B58A5"/>
    <w:rsid w:val="004B5B4E"/>
    <w:rsid w:val="004B5C28"/>
    <w:rsid w:val="004B5FA0"/>
    <w:rsid w:val="004B6055"/>
    <w:rsid w:val="004B61C1"/>
    <w:rsid w:val="004B62A2"/>
    <w:rsid w:val="004B67E8"/>
    <w:rsid w:val="004B6866"/>
    <w:rsid w:val="004B68C7"/>
    <w:rsid w:val="004B6C77"/>
    <w:rsid w:val="004B72A3"/>
    <w:rsid w:val="004B7344"/>
    <w:rsid w:val="004B76A4"/>
    <w:rsid w:val="004C005D"/>
    <w:rsid w:val="004C0072"/>
    <w:rsid w:val="004C0084"/>
    <w:rsid w:val="004C044E"/>
    <w:rsid w:val="004C0591"/>
    <w:rsid w:val="004C0B4E"/>
    <w:rsid w:val="004C0C13"/>
    <w:rsid w:val="004C0CD9"/>
    <w:rsid w:val="004C220A"/>
    <w:rsid w:val="004C2654"/>
    <w:rsid w:val="004C266B"/>
    <w:rsid w:val="004C2B50"/>
    <w:rsid w:val="004C2F6D"/>
    <w:rsid w:val="004C3106"/>
    <w:rsid w:val="004C318F"/>
    <w:rsid w:val="004C44B3"/>
    <w:rsid w:val="004C47D8"/>
    <w:rsid w:val="004C4A9D"/>
    <w:rsid w:val="004C4EA3"/>
    <w:rsid w:val="004C546B"/>
    <w:rsid w:val="004C54C4"/>
    <w:rsid w:val="004C54FF"/>
    <w:rsid w:val="004C5520"/>
    <w:rsid w:val="004C564C"/>
    <w:rsid w:val="004C5ABB"/>
    <w:rsid w:val="004C5B61"/>
    <w:rsid w:val="004C5BA5"/>
    <w:rsid w:val="004C5C00"/>
    <w:rsid w:val="004C6341"/>
    <w:rsid w:val="004C666E"/>
    <w:rsid w:val="004C7130"/>
    <w:rsid w:val="004C727D"/>
    <w:rsid w:val="004C729C"/>
    <w:rsid w:val="004C787D"/>
    <w:rsid w:val="004C7B45"/>
    <w:rsid w:val="004C7E10"/>
    <w:rsid w:val="004C7EEB"/>
    <w:rsid w:val="004D0089"/>
    <w:rsid w:val="004D00D3"/>
    <w:rsid w:val="004D067C"/>
    <w:rsid w:val="004D0B71"/>
    <w:rsid w:val="004D0C40"/>
    <w:rsid w:val="004D10C4"/>
    <w:rsid w:val="004D1C6E"/>
    <w:rsid w:val="004D1CF3"/>
    <w:rsid w:val="004D2789"/>
    <w:rsid w:val="004D28EE"/>
    <w:rsid w:val="004D307F"/>
    <w:rsid w:val="004D3473"/>
    <w:rsid w:val="004D364C"/>
    <w:rsid w:val="004D378B"/>
    <w:rsid w:val="004D40EA"/>
    <w:rsid w:val="004D427D"/>
    <w:rsid w:val="004D42F6"/>
    <w:rsid w:val="004D449D"/>
    <w:rsid w:val="004D48AE"/>
    <w:rsid w:val="004D4F10"/>
    <w:rsid w:val="004D4FFB"/>
    <w:rsid w:val="004D5011"/>
    <w:rsid w:val="004D521F"/>
    <w:rsid w:val="004D569B"/>
    <w:rsid w:val="004D5A56"/>
    <w:rsid w:val="004D5BE4"/>
    <w:rsid w:val="004D5D21"/>
    <w:rsid w:val="004D6586"/>
    <w:rsid w:val="004D6760"/>
    <w:rsid w:val="004D6F0C"/>
    <w:rsid w:val="004D7A9A"/>
    <w:rsid w:val="004D7F45"/>
    <w:rsid w:val="004E0045"/>
    <w:rsid w:val="004E0074"/>
    <w:rsid w:val="004E02B0"/>
    <w:rsid w:val="004E06A7"/>
    <w:rsid w:val="004E071D"/>
    <w:rsid w:val="004E099D"/>
    <w:rsid w:val="004E0BD4"/>
    <w:rsid w:val="004E0EC2"/>
    <w:rsid w:val="004E126C"/>
    <w:rsid w:val="004E19E2"/>
    <w:rsid w:val="004E1F6F"/>
    <w:rsid w:val="004E2084"/>
    <w:rsid w:val="004E22A7"/>
    <w:rsid w:val="004E25B5"/>
    <w:rsid w:val="004E317E"/>
    <w:rsid w:val="004E3310"/>
    <w:rsid w:val="004E385A"/>
    <w:rsid w:val="004E3AF7"/>
    <w:rsid w:val="004E3D41"/>
    <w:rsid w:val="004E455A"/>
    <w:rsid w:val="004E5105"/>
    <w:rsid w:val="004E5366"/>
    <w:rsid w:val="004E556D"/>
    <w:rsid w:val="004E577B"/>
    <w:rsid w:val="004E5791"/>
    <w:rsid w:val="004E59C0"/>
    <w:rsid w:val="004E5D0D"/>
    <w:rsid w:val="004E62E7"/>
    <w:rsid w:val="004E6355"/>
    <w:rsid w:val="004E648D"/>
    <w:rsid w:val="004E662D"/>
    <w:rsid w:val="004E67E8"/>
    <w:rsid w:val="004E6A17"/>
    <w:rsid w:val="004E6E81"/>
    <w:rsid w:val="004F01AA"/>
    <w:rsid w:val="004F0354"/>
    <w:rsid w:val="004F05C1"/>
    <w:rsid w:val="004F09BE"/>
    <w:rsid w:val="004F126A"/>
    <w:rsid w:val="004F1272"/>
    <w:rsid w:val="004F1635"/>
    <w:rsid w:val="004F16AD"/>
    <w:rsid w:val="004F1E60"/>
    <w:rsid w:val="004F2812"/>
    <w:rsid w:val="004F28A2"/>
    <w:rsid w:val="004F28C5"/>
    <w:rsid w:val="004F34E8"/>
    <w:rsid w:val="004F3901"/>
    <w:rsid w:val="004F3B2E"/>
    <w:rsid w:val="004F3D65"/>
    <w:rsid w:val="004F46E0"/>
    <w:rsid w:val="004F47BA"/>
    <w:rsid w:val="004F47C4"/>
    <w:rsid w:val="004F48A0"/>
    <w:rsid w:val="004F4992"/>
    <w:rsid w:val="004F4CB3"/>
    <w:rsid w:val="004F5307"/>
    <w:rsid w:val="004F5604"/>
    <w:rsid w:val="004F6241"/>
    <w:rsid w:val="004F6329"/>
    <w:rsid w:val="004F658D"/>
    <w:rsid w:val="004F668E"/>
    <w:rsid w:val="004F6760"/>
    <w:rsid w:val="004F6BE1"/>
    <w:rsid w:val="004F6FD9"/>
    <w:rsid w:val="004F70E5"/>
    <w:rsid w:val="004F76FC"/>
    <w:rsid w:val="004F7AD4"/>
    <w:rsid w:val="004F7CFC"/>
    <w:rsid w:val="005001A5"/>
    <w:rsid w:val="005001FB"/>
    <w:rsid w:val="005005E9"/>
    <w:rsid w:val="00500BE7"/>
    <w:rsid w:val="00501661"/>
    <w:rsid w:val="00501A40"/>
    <w:rsid w:val="00501C8C"/>
    <w:rsid w:val="00502021"/>
    <w:rsid w:val="00502371"/>
    <w:rsid w:val="0050256B"/>
    <w:rsid w:val="00502685"/>
    <w:rsid w:val="005026E8"/>
    <w:rsid w:val="0050287A"/>
    <w:rsid w:val="00502A0F"/>
    <w:rsid w:val="00502E10"/>
    <w:rsid w:val="005033AA"/>
    <w:rsid w:val="00503433"/>
    <w:rsid w:val="005039D4"/>
    <w:rsid w:val="00503B19"/>
    <w:rsid w:val="00503EE0"/>
    <w:rsid w:val="00504055"/>
    <w:rsid w:val="00504705"/>
    <w:rsid w:val="0050477A"/>
    <w:rsid w:val="00504DA3"/>
    <w:rsid w:val="00505691"/>
    <w:rsid w:val="00505805"/>
    <w:rsid w:val="00505860"/>
    <w:rsid w:val="005058ED"/>
    <w:rsid w:val="00505A03"/>
    <w:rsid w:val="00506AF9"/>
    <w:rsid w:val="0050711E"/>
    <w:rsid w:val="00507635"/>
    <w:rsid w:val="005078B4"/>
    <w:rsid w:val="00510306"/>
    <w:rsid w:val="0051055C"/>
    <w:rsid w:val="0051069A"/>
    <w:rsid w:val="00510D5A"/>
    <w:rsid w:val="00511670"/>
    <w:rsid w:val="005119DE"/>
    <w:rsid w:val="00511A3F"/>
    <w:rsid w:val="00511BE2"/>
    <w:rsid w:val="00511DE5"/>
    <w:rsid w:val="00511ECF"/>
    <w:rsid w:val="0051237E"/>
    <w:rsid w:val="0051286D"/>
    <w:rsid w:val="00512958"/>
    <w:rsid w:val="00512BD6"/>
    <w:rsid w:val="00513C0C"/>
    <w:rsid w:val="00513DFB"/>
    <w:rsid w:val="005142CB"/>
    <w:rsid w:val="005145A8"/>
    <w:rsid w:val="005145AE"/>
    <w:rsid w:val="005145FE"/>
    <w:rsid w:val="00514B78"/>
    <w:rsid w:val="00514F5A"/>
    <w:rsid w:val="0051539C"/>
    <w:rsid w:val="00515DB6"/>
    <w:rsid w:val="00515FFD"/>
    <w:rsid w:val="005161E1"/>
    <w:rsid w:val="005163A6"/>
    <w:rsid w:val="0051660A"/>
    <w:rsid w:val="005166BC"/>
    <w:rsid w:val="00516765"/>
    <w:rsid w:val="005167C1"/>
    <w:rsid w:val="00516800"/>
    <w:rsid w:val="00516D18"/>
    <w:rsid w:val="0051740D"/>
    <w:rsid w:val="00517905"/>
    <w:rsid w:val="00517B9B"/>
    <w:rsid w:val="00520380"/>
    <w:rsid w:val="00520DF4"/>
    <w:rsid w:val="00521895"/>
    <w:rsid w:val="005218A3"/>
    <w:rsid w:val="00521E08"/>
    <w:rsid w:val="00521EE4"/>
    <w:rsid w:val="005229DA"/>
    <w:rsid w:val="00522D4A"/>
    <w:rsid w:val="00522EEA"/>
    <w:rsid w:val="00522FEE"/>
    <w:rsid w:val="00523162"/>
    <w:rsid w:val="005231CB"/>
    <w:rsid w:val="005232B1"/>
    <w:rsid w:val="0052364D"/>
    <w:rsid w:val="00523B7C"/>
    <w:rsid w:val="00523DE6"/>
    <w:rsid w:val="005248D1"/>
    <w:rsid w:val="00524957"/>
    <w:rsid w:val="00524CCE"/>
    <w:rsid w:val="005250B9"/>
    <w:rsid w:val="00525457"/>
    <w:rsid w:val="005256BB"/>
    <w:rsid w:val="00525D7F"/>
    <w:rsid w:val="00525E54"/>
    <w:rsid w:val="005263BA"/>
    <w:rsid w:val="00526518"/>
    <w:rsid w:val="0052666C"/>
    <w:rsid w:val="00526D31"/>
    <w:rsid w:val="00526ED5"/>
    <w:rsid w:val="00526F3C"/>
    <w:rsid w:val="00527313"/>
    <w:rsid w:val="0052755B"/>
    <w:rsid w:val="005278A5"/>
    <w:rsid w:val="00527CCB"/>
    <w:rsid w:val="00530868"/>
    <w:rsid w:val="00530A1E"/>
    <w:rsid w:val="00530B55"/>
    <w:rsid w:val="00530B9B"/>
    <w:rsid w:val="00530E7F"/>
    <w:rsid w:val="00530F0C"/>
    <w:rsid w:val="00530F1B"/>
    <w:rsid w:val="00531290"/>
    <w:rsid w:val="0053187C"/>
    <w:rsid w:val="005320C7"/>
    <w:rsid w:val="00532168"/>
    <w:rsid w:val="00532A33"/>
    <w:rsid w:val="00532A6E"/>
    <w:rsid w:val="00532E01"/>
    <w:rsid w:val="00532E62"/>
    <w:rsid w:val="00532EF6"/>
    <w:rsid w:val="005330CA"/>
    <w:rsid w:val="00533211"/>
    <w:rsid w:val="005332CC"/>
    <w:rsid w:val="0053347B"/>
    <w:rsid w:val="00533493"/>
    <w:rsid w:val="00533670"/>
    <w:rsid w:val="00533CAB"/>
    <w:rsid w:val="00534179"/>
    <w:rsid w:val="005344EA"/>
    <w:rsid w:val="00534B05"/>
    <w:rsid w:val="00534D9F"/>
    <w:rsid w:val="00535108"/>
    <w:rsid w:val="00535989"/>
    <w:rsid w:val="00535E57"/>
    <w:rsid w:val="005362A3"/>
    <w:rsid w:val="00536859"/>
    <w:rsid w:val="00537CCD"/>
    <w:rsid w:val="00537CEE"/>
    <w:rsid w:val="00540224"/>
    <w:rsid w:val="005404AE"/>
    <w:rsid w:val="00540896"/>
    <w:rsid w:val="0054091A"/>
    <w:rsid w:val="005409A1"/>
    <w:rsid w:val="00540CC9"/>
    <w:rsid w:val="00540F3D"/>
    <w:rsid w:val="0054196A"/>
    <w:rsid w:val="00541C39"/>
    <w:rsid w:val="00542239"/>
    <w:rsid w:val="005422BA"/>
    <w:rsid w:val="00542A6F"/>
    <w:rsid w:val="00542BE1"/>
    <w:rsid w:val="00542C74"/>
    <w:rsid w:val="00542E2D"/>
    <w:rsid w:val="00542FD4"/>
    <w:rsid w:val="00543679"/>
    <w:rsid w:val="00543AEB"/>
    <w:rsid w:val="00543B08"/>
    <w:rsid w:val="00543C94"/>
    <w:rsid w:val="00543DE2"/>
    <w:rsid w:val="00543E21"/>
    <w:rsid w:val="00543F1A"/>
    <w:rsid w:val="0054406B"/>
    <w:rsid w:val="005448F0"/>
    <w:rsid w:val="00544BD2"/>
    <w:rsid w:val="00544CEB"/>
    <w:rsid w:val="00544D19"/>
    <w:rsid w:val="00544DEB"/>
    <w:rsid w:val="00545092"/>
    <w:rsid w:val="00545175"/>
    <w:rsid w:val="00545553"/>
    <w:rsid w:val="005455CF"/>
    <w:rsid w:val="00545E81"/>
    <w:rsid w:val="00546C75"/>
    <w:rsid w:val="005473AD"/>
    <w:rsid w:val="005476FF"/>
    <w:rsid w:val="005501FD"/>
    <w:rsid w:val="00550346"/>
    <w:rsid w:val="005504A7"/>
    <w:rsid w:val="00550811"/>
    <w:rsid w:val="00550B04"/>
    <w:rsid w:val="00550BA5"/>
    <w:rsid w:val="005514B7"/>
    <w:rsid w:val="00551767"/>
    <w:rsid w:val="005517C9"/>
    <w:rsid w:val="005518A4"/>
    <w:rsid w:val="0055229A"/>
    <w:rsid w:val="00552CFE"/>
    <w:rsid w:val="00552E4C"/>
    <w:rsid w:val="00552F80"/>
    <w:rsid w:val="00553432"/>
    <w:rsid w:val="005534AA"/>
    <w:rsid w:val="00553856"/>
    <w:rsid w:val="00553A57"/>
    <w:rsid w:val="0055434B"/>
    <w:rsid w:val="00554433"/>
    <w:rsid w:val="0055445C"/>
    <w:rsid w:val="0055479C"/>
    <w:rsid w:val="0055496A"/>
    <w:rsid w:val="00554BE8"/>
    <w:rsid w:val="00554F86"/>
    <w:rsid w:val="00554FCA"/>
    <w:rsid w:val="005556D0"/>
    <w:rsid w:val="00555A83"/>
    <w:rsid w:val="0055637E"/>
    <w:rsid w:val="005566AB"/>
    <w:rsid w:val="00556D46"/>
    <w:rsid w:val="005574F5"/>
    <w:rsid w:val="00557615"/>
    <w:rsid w:val="00557674"/>
    <w:rsid w:val="005577E2"/>
    <w:rsid w:val="00557863"/>
    <w:rsid w:val="00557B7E"/>
    <w:rsid w:val="00557C39"/>
    <w:rsid w:val="00557D06"/>
    <w:rsid w:val="0056019D"/>
    <w:rsid w:val="005605CD"/>
    <w:rsid w:val="00560B7C"/>
    <w:rsid w:val="005614F1"/>
    <w:rsid w:val="00561879"/>
    <w:rsid w:val="00561B29"/>
    <w:rsid w:val="00561B94"/>
    <w:rsid w:val="005622B2"/>
    <w:rsid w:val="00562473"/>
    <w:rsid w:val="00562C4F"/>
    <w:rsid w:val="00563553"/>
    <w:rsid w:val="005638EC"/>
    <w:rsid w:val="00564A4B"/>
    <w:rsid w:val="00564FFC"/>
    <w:rsid w:val="00565430"/>
    <w:rsid w:val="00565893"/>
    <w:rsid w:val="00565A66"/>
    <w:rsid w:val="00565BC7"/>
    <w:rsid w:val="00565C1D"/>
    <w:rsid w:val="00565DEC"/>
    <w:rsid w:val="00565E64"/>
    <w:rsid w:val="0056661E"/>
    <w:rsid w:val="0056699B"/>
    <w:rsid w:val="005669AF"/>
    <w:rsid w:val="00567127"/>
    <w:rsid w:val="005675AA"/>
    <w:rsid w:val="00567BA5"/>
    <w:rsid w:val="00567E89"/>
    <w:rsid w:val="005700A2"/>
    <w:rsid w:val="0057022A"/>
    <w:rsid w:val="0057079E"/>
    <w:rsid w:val="00570DE3"/>
    <w:rsid w:val="00571959"/>
    <w:rsid w:val="00571ECD"/>
    <w:rsid w:val="005720E7"/>
    <w:rsid w:val="005722F0"/>
    <w:rsid w:val="0057241D"/>
    <w:rsid w:val="005727B9"/>
    <w:rsid w:val="005727C0"/>
    <w:rsid w:val="005728BB"/>
    <w:rsid w:val="005729E4"/>
    <w:rsid w:val="005731D8"/>
    <w:rsid w:val="005733D8"/>
    <w:rsid w:val="00573592"/>
    <w:rsid w:val="005735B1"/>
    <w:rsid w:val="00573DF7"/>
    <w:rsid w:val="00574260"/>
    <w:rsid w:val="00574458"/>
    <w:rsid w:val="0057478B"/>
    <w:rsid w:val="00574AAA"/>
    <w:rsid w:val="00574BF5"/>
    <w:rsid w:val="005753B1"/>
    <w:rsid w:val="00575581"/>
    <w:rsid w:val="00575656"/>
    <w:rsid w:val="00575C47"/>
    <w:rsid w:val="00577102"/>
    <w:rsid w:val="0057749B"/>
    <w:rsid w:val="005775DD"/>
    <w:rsid w:val="0057780E"/>
    <w:rsid w:val="00577957"/>
    <w:rsid w:val="00577991"/>
    <w:rsid w:val="005779C9"/>
    <w:rsid w:val="00577C8C"/>
    <w:rsid w:val="00577F20"/>
    <w:rsid w:val="00580095"/>
    <w:rsid w:val="0058031B"/>
    <w:rsid w:val="0058039F"/>
    <w:rsid w:val="0058040A"/>
    <w:rsid w:val="00580823"/>
    <w:rsid w:val="0058094E"/>
    <w:rsid w:val="00580C96"/>
    <w:rsid w:val="00580D6D"/>
    <w:rsid w:val="00580FD9"/>
    <w:rsid w:val="005811A8"/>
    <w:rsid w:val="005815F3"/>
    <w:rsid w:val="00581898"/>
    <w:rsid w:val="0058193F"/>
    <w:rsid w:val="005819C5"/>
    <w:rsid w:val="00581FDA"/>
    <w:rsid w:val="005826B7"/>
    <w:rsid w:val="00582D68"/>
    <w:rsid w:val="00582E9B"/>
    <w:rsid w:val="00582F53"/>
    <w:rsid w:val="005833BD"/>
    <w:rsid w:val="0058362E"/>
    <w:rsid w:val="005837C4"/>
    <w:rsid w:val="00583909"/>
    <w:rsid w:val="005842E2"/>
    <w:rsid w:val="005844E0"/>
    <w:rsid w:val="005856F7"/>
    <w:rsid w:val="00585AAD"/>
    <w:rsid w:val="00585F70"/>
    <w:rsid w:val="00586319"/>
    <w:rsid w:val="005866F1"/>
    <w:rsid w:val="00586875"/>
    <w:rsid w:val="00586F43"/>
    <w:rsid w:val="00586FDC"/>
    <w:rsid w:val="00586FF1"/>
    <w:rsid w:val="00586FFD"/>
    <w:rsid w:val="0058701B"/>
    <w:rsid w:val="0058702C"/>
    <w:rsid w:val="005872C0"/>
    <w:rsid w:val="00587B60"/>
    <w:rsid w:val="00590275"/>
    <w:rsid w:val="005905DB"/>
    <w:rsid w:val="00590D03"/>
    <w:rsid w:val="00590DA4"/>
    <w:rsid w:val="00590EC4"/>
    <w:rsid w:val="005910A8"/>
    <w:rsid w:val="00591BA7"/>
    <w:rsid w:val="00591E6F"/>
    <w:rsid w:val="00591EB7"/>
    <w:rsid w:val="005928E3"/>
    <w:rsid w:val="00592B01"/>
    <w:rsid w:val="00592B38"/>
    <w:rsid w:val="00592B95"/>
    <w:rsid w:val="00592D76"/>
    <w:rsid w:val="00592DBB"/>
    <w:rsid w:val="00592FBD"/>
    <w:rsid w:val="005931DC"/>
    <w:rsid w:val="0059355C"/>
    <w:rsid w:val="005939C1"/>
    <w:rsid w:val="00593E2C"/>
    <w:rsid w:val="00593ED7"/>
    <w:rsid w:val="005945BA"/>
    <w:rsid w:val="005945C3"/>
    <w:rsid w:val="00594639"/>
    <w:rsid w:val="005953A5"/>
    <w:rsid w:val="00595AD4"/>
    <w:rsid w:val="00595B55"/>
    <w:rsid w:val="00595FFE"/>
    <w:rsid w:val="0059622D"/>
    <w:rsid w:val="00596573"/>
    <w:rsid w:val="005965D3"/>
    <w:rsid w:val="005966AE"/>
    <w:rsid w:val="005968ED"/>
    <w:rsid w:val="00596AE3"/>
    <w:rsid w:val="00596B2E"/>
    <w:rsid w:val="00596BEB"/>
    <w:rsid w:val="00596DDE"/>
    <w:rsid w:val="00597111"/>
    <w:rsid w:val="00597401"/>
    <w:rsid w:val="0059745E"/>
    <w:rsid w:val="005975E1"/>
    <w:rsid w:val="005976E1"/>
    <w:rsid w:val="00597CC5"/>
    <w:rsid w:val="00597F20"/>
    <w:rsid w:val="005A09DF"/>
    <w:rsid w:val="005A0B6E"/>
    <w:rsid w:val="005A0E65"/>
    <w:rsid w:val="005A1325"/>
    <w:rsid w:val="005A1659"/>
    <w:rsid w:val="005A1687"/>
    <w:rsid w:val="005A17D0"/>
    <w:rsid w:val="005A184B"/>
    <w:rsid w:val="005A1E14"/>
    <w:rsid w:val="005A2747"/>
    <w:rsid w:val="005A2BF2"/>
    <w:rsid w:val="005A2C24"/>
    <w:rsid w:val="005A2E26"/>
    <w:rsid w:val="005A2F6A"/>
    <w:rsid w:val="005A341F"/>
    <w:rsid w:val="005A3761"/>
    <w:rsid w:val="005A3A96"/>
    <w:rsid w:val="005A46C9"/>
    <w:rsid w:val="005A4780"/>
    <w:rsid w:val="005A4F05"/>
    <w:rsid w:val="005A525E"/>
    <w:rsid w:val="005A5270"/>
    <w:rsid w:val="005A5889"/>
    <w:rsid w:val="005A5AD5"/>
    <w:rsid w:val="005A627E"/>
    <w:rsid w:val="005A63A3"/>
    <w:rsid w:val="005A63E9"/>
    <w:rsid w:val="005A7123"/>
    <w:rsid w:val="005A7ABF"/>
    <w:rsid w:val="005A7BA9"/>
    <w:rsid w:val="005A7BAB"/>
    <w:rsid w:val="005A7E0A"/>
    <w:rsid w:val="005B00BF"/>
    <w:rsid w:val="005B028D"/>
    <w:rsid w:val="005B02BD"/>
    <w:rsid w:val="005B0735"/>
    <w:rsid w:val="005B0786"/>
    <w:rsid w:val="005B088B"/>
    <w:rsid w:val="005B0A1A"/>
    <w:rsid w:val="005B0A79"/>
    <w:rsid w:val="005B0FCB"/>
    <w:rsid w:val="005B15C3"/>
    <w:rsid w:val="005B1AC9"/>
    <w:rsid w:val="005B1B22"/>
    <w:rsid w:val="005B1BFD"/>
    <w:rsid w:val="005B25C8"/>
    <w:rsid w:val="005B2A6F"/>
    <w:rsid w:val="005B2AB7"/>
    <w:rsid w:val="005B2E34"/>
    <w:rsid w:val="005B3300"/>
    <w:rsid w:val="005B39AE"/>
    <w:rsid w:val="005B3B9B"/>
    <w:rsid w:val="005B40E3"/>
    <w:rsid w:val="005B4470"/>
    <w:rsid w:val="005B45E6"/>
    <w:rsid w:val="005B4BD2"/>
    <w:rsid w:val="005B4CE8"/>
    <w:rsid w:val="005B4D2A"/>
    <w:rsid w:val="005B4DAC"/>
    <w:rsid w:val="005B5651"/>
    <w:rsid w:val="005B57A2"/>
    <w:rsid w:val="005B5C3C"/>
    <w:rsid w:val="005B5D1D"/>
    <w:rsid w:val="005B5FD8"/>
    <w:rsid w:val="005B6592"/>
    <w:rsid w:val="005B715D"/>
    <w:rsid w:val="005B7989"/>
    <w:rsid w:val="005B7B62"/>
    <w:rsid w:val="005B7EF2"/>
    <w:rsid w:val="005C08A7"/>
    <w:rsid w:val="005C095A"/>
    <w:rsid w:val="005C0A2D"/>
    <w:rsid w:val="005C0FE6"/>
    <w:rsid w:val="005C1260"/>
    <w:rsid w:val="005C1B9C"/>
    <w:rsid w:val="005C1EB5"/>
    <w:rsid w:val="005C2D79"/>
    <w:rsid w:val="005C306F"/>
    <w:rsid w:val="005C310C"/>
    <w:rsid w:val="005C3266"/>
    <w:rsid w:val="005C32D5"/>
    <w:rsid w:val="005C32EF"/>
    <w:rsid w:val="005C3406"/>
    <w:rsid w:val="005C35F8"/>
    <w:rsid w:val="005C36EC"/>
    <w:rsid w:val="005C38F1"/>
    <w:rsid w:val="005C3917"/>
    <w:rsid w:val="005C3CB0"/>
    <w:rsid w:val="005C53E0"/>
    <w:rsid w:val="005C54E3"/>
    <w:rsid w:val="005C59AD"/>
    <w:rsid w:val="005C6424"/>
    <w:rsid w:val="005C6432"/>
    <w:rsid w:val="005C65CD"/>
    <w:rsid w:val="005C6C81"/>
    <w:rsid w:val="005C777D"/>
    <w:rsid w:val="005C7A40"/>
    <w:rsid w:val="005C7A9E"/>
    <w:rsid w:val="005C7C13"/>
    <w:rsid w:val="005C7EF8"/>
    <w:rsid w:val="005D05DA"/>
    <w:rsid w:val="005D0931"/>
    <w:rsid w:val="005D0FF4"/>
    <w:rsid w:val="005D1343"/>
    <w:rsid w:val="005D1399"/>
    <w:rsid w:val="005D19DF"/>
    <w:rsid w:val="005D1AC4"/>
    <w:rsid w:val="005D1DE5"/>
    <w:rsid w:val="005D1DF2"/>
    <w:rsid w:val="005D2254"/>
    <w:rsid w:val="005D2836"/>
    <w:rsid w:val="005D2C80"/>
    <w:rsid w:val="005D2E97"/>
    <w:rsid w:val="005D2F6E"/>
    <w:rsid w:val="005D313F"/>
    <w:rsid w:val="005D36C7"/>
    <w:rsid w:val="005D3E6F"/>
    <w:rsid w:val="005D3FCC"/>
    <w:rsid w:val="005D44FA"/>
    <w:rsid w:val="005D456E"/>
    <w:rsid w:val="005D4751"/>
    <w:rsid w:val="005D4991"/>
    <w:rsid w:val="005D49B2"/>
    <w:rsid w:val="005D49FB"/>
    <w:rsid w:val="005D5CA5"/>
    <w:rsid w:val="005D5E2A"/>
    <w:rsid w:val="005D5FAB"/>
    <w:rsid w:val="005D64DD"/>
    <w:rsid w:val="005D6665"/>
    <w:rsid w:val="005D67A0"/>
    <w:rsid w:val="005D6847"/>
    <w:rsid w:val="005D692C"/>
    <w:rsid w:val="005D779E"/>
    <w:rsid w:val="005D77BD"/>
    <w:rsid w:val="005D7C26"/>
    <w:rsid w:val="005D7FA9"/>
    <w:rsid w:val="005E0160"/>
    <w:rsid w:val="005E02DF"/>
    <w:rsid w:val="005E0457"/>
    <w:rsid w:val="005E0628"/>
    <w:rsid w:val="005E08DF"/>
    <w:rsid w:val="005E0A83"/>
    <w:rsid w:val="005E0A97"/>
    <w:rsid w:val="005E0C39"/>
    <w:rsid w:val="005E0CA1"/>
    <w:rsid w:val="005E13E3"/>
    <w:rsid w:val="005E1514"/>
    <w:rsid w:val="005E16DE"/>
    <w:rsid w:val="005E183E"/>
    <w:rsid w:val="005E1998"/>
    <w:rsid w:val="005E1B0E"/>
    <w:rsid w:val="005E1D25"/>
    <w:rsid w:val="005E240D"/>
    <w:rsid w:val="005E2566"/>
    <w:rsid w:val="005E2867"/>
    <w:rsid w:val="005E2AEF"/>
    <w:rsid w:val="005E3ECA"/>
    <w:rsid w:val="005E3F5D"/>
    <w:rsid w:val="005E4075"/>
    <w:rsid w:val="005E41D9"/>
    <w:rsid w:val="005E45CF"/>
    <w:rsid w:val="005E4A4A"/>
    <w:rsid w:val="005E4DFD"/>
    <w:rsid w:val="005E565D"/>
    <w:rsid w:val="005E569D"/>
    <w:rsid w:val="005E580D"/>
    <w:rsid w:val="005E5CD2"/>
    <w:rsid w:val="005E622A"/>
    <w:rsid w:val="005E632B"/>
    <w:rsid w:val="005E6341"/>
    <w:rsid w:val="005E6416"/>
    <w:rsid w:val="005E6848"/>
    <w:rsid w:val="005E6CCC"/>
    <w:rsid w:val="005E6E7E"/>
    <w:rsid w:val="005E6F9E"/>
    <w:rsid w:val="005E71BB"/>
    <w:rsid w:val="005E76BE"/>
    <w:rsid w:val="005E775F"/>
    <w:rsid w:val="005E77FD"/>
    <w:rsid w:val="005E7C38"/>
    <w:rsid w:val="005E7C5C"/>
    <w:rsid w:val="005F050E"/>
    <w:rsid w:val="005F09DF"/>
    <w:rsid w:val="005F0AF3"/>
    <w:rsid w:val="005F1996"/>
    <w:rsid w:val="005F20BF"/>
    <w:rsid w:val="005F2966"/>
    <w:rsid w:val="005F2B27"/>
    <w:rsid w:val="005F362F"/>
    <w:rsid w:val="005F3687"/>
    <w:rsid w:val="005F370E"/>
    <w:rsid w:val="005F3744"/>
    <w:rsid w:val="005F3864"/>
    <w:rsid w:val="005F3BD1"/>
    <w:rsid w:val="005F431E"/>
    <w:rsid w:val="005F4556"/>
    <w:rsid w:val="005F4CF5"/>
    <w:rsid w:val="005F5224"/>
    <w:rsid w:val="005F5258"/>
    <w:rsid w:val="005F54F0"/>
    <w:rsid w:val="005F55FB"/>
    <w:rsid w:val="005F5B25"/>
    <w:rsid w:val="005F5D1A"/>
    <w:rsid w:val="005F614D"/>
    <w:rsid w:val="005F63B8"/>
    <w:rsid w:val="005F6D7A"/>
    <w:rsid w:val="005F6F5D"/>
    <w:rsid w:val="005F7605"/>
    <w:rsid w:val="005F76F4"/>
    <w:rsid w:val="005F7752"/>
    <w:rsid w:val="005F7C75"/>
    <w:rsid w:val="005F7E85"/>
    <w:rsid w:val="00600267"/>
    <w:rsid w:val="00600365"/>
    <w:rsid w:val="006006AC"/>
    <w:rsid w:val="006016E7"/>
    <w:rsid w:val="00601C54"/>
    <w:rsid w:val="00601C84"/>
    <w:rsid w:val="00601C8B"/>
    <w:rsid w:val="00601E7B"/>
    <w:rsid w:val="00602249"/>
    <w:rsid w:val="0060246A"/>
    <w:rsid w:val="00603298"/>
    <w:rsid w:val="00604C60"/>
    <w:rsid w:val="0060503E"/>
    <w:rsid w:val="006050F8"/>
    <w:rsid w:val="00605143"/>
    <w:rsid w:val="006060AB"/>
    <w:rsid w:val="006062BD"/>
    <w:rsid w:val="0060644C"/>
    <w:rsid w:val="006065B3"/>
    <w:rsid w:val="00606968"/>
    <w:rsid w:val="00606C52"/>
    <w:rsid w:val="00606C9A"/>
    <w:rsid w:val="00606E43"/>
    <w:rsid w:val="006071E1"/>
    <w:rsid w:val="00607424"/>
    <w:rsid w:val="00607AB7"/>
    <w:rsid w:val="00607B58"/>
    <w:rsid w:val="0061008A"/>
    <w:rsid w:val="00610182"/>
    <w:rsid w:val="00610547"/>
    <w:rsid w:val="00610570"/>
    <w:rsid w:val="00610598"/>
    <w:rsid w:val="0061070D"/>
    <w:rsid w:val="00610CD9"/>
    <w:rsid w:val="006111BC"/>
    <w:rsid w:val="00611DCE"/>
    <w:rsid w:val="00611EDD"/>
    <w:rsid w:val="0061200A"/>
    <w:rsid w:val="00612653"/>
    <w:rsid w:val="00612666"/>
    <w:rsid w:val="00612910"/>
    <w:rsid w:val="00612C87"/>
    <w:rsid w:val="00612D6B"/>
    <w:rsid w:val="006130F6"/>
    <w:rsid w:val="006132AB"/>
    <w:rsid w:val="0061396E"/>
    <w:rsid w:val="00613AE9"/>
    <w:rsid w:val="0061414F"/>
    <w:rsid w:val="006147E5"/>
    <w:rsid w:val="00614B09"/>
    <w:rsid w:val="00615025"/>
    <w:rsid w:val="0061578B"/>
    <w:rsid w:val="006157F0"/>
    <w:rsid w:val="006159AA"/>
    <w:rsid w:val="006160A4"/>
    <w:rsid w:val="006165CA"/>
    <w:rsid w:val="00616830"/>
    <w:rsid w:val="00616BBA"/>
    <w:rsid w:val="00616C02"/>
    <w:rsid w:val="00616E1B"/>
    <w:rsid w:val="006170AB"/>
    <w:rsid w:val="0061741B"/>
    <w:rsid w:val="006177A1"/>
    <w:rsid w:val="006177C2"/>
    <w:rsid w:val="00617921"/>
    <w:rsid w:val="006179F2"/>
    <w:rsid w:val="00620585"/>
    <w:rsid w:val="00621DF4"/>
    <w:rsid w:val="006224F4"/>
    <w:rsid w:val="0062255E"/>
    <w:rsid w:val="00622A75"/>
    <w:rsid w:val="00622B85"/>
    <w:rsid w:val="0062323A"/>
    <w:rsid w:val="006237F6"/>
    <w:rsid w:val="0062390D"/>
    <w:rsid w:val="00623DC9"/>
    <w:rsid w:val="006241D2"/>
    <w:rsid w:val="00624BC9"/>
    <w:rsid w:val="00624C61"/>
    <w:rsid w:val="0062540C"/>
    <w:rsid w:val="0062549B"/>
    <w:rsid w:val="006254CF"/>
    <w:rsid w:val="0062557C"/>
    <w:rsid w:val="006256CF"/>
    <w:rsid w:val="00625752"/>
    <w:rsid w:val="006257E4"/>
    <w:rsid w:val="006258C6"/>
    <w:rsid w:val="00625B1B"/>
    <w:rsid w:val="0062634B"/>
    <w:rsid w:val="00626604"/>
    <w:rsid w:val="00626C20"/>
    <w:rsid w:val="006271E6"/>
    <w:rsid w:val="00627555"/>
    <w:rsid w:val="006301F7"/>
    <w:rsid w:val="00630238"/>
    <w:rsid w:val="006305EA"/>
    <w:rsid w:val="006309C1"/>
    <w:rsid w:val="00630AFB"/>
    <w:rsid w:val="00630C04"/>
    <w:rsid w:val="00630EDC"/>
    <w:rsid w:val="00630F8C"/>
    <w:rsid w:val="00631531"/>
    <w:rsid w:val="00631A33"/>
    <w:rsid w:val="00631BC0"/>
    <w:rsid w:val="00631BC1"/>
    <w:rsid w:val="00631F67"/>
    <w:rsid w:val="00632442"/>
    <w:rsid w:val="006334E0"/>
    <w:rsid w:val="00633507"/>
    <w:rsid w:val="0063351C"/>
    <w:rsid w:val="006338EC"/>
    <w:rsid w:val="00633A7E"/>
    <w:rsid w:val="00633AE5"/>
    <w:rsid w:val="00633C1E"/>
    <w:rsid w:val="006344AA"/>
    <w:rsid w:val="00634556"/>
    <w:rsid w:val="00634C2D"/>
    <w:rsid w:val="00634F33"/>
    <w:rsid w:val="00635B92"/>
    <w:rsid w:val="00635CE5"/>
    <w:rsid w:val="006361E9"/>
    <w:rsid w:val="006364A2"/>
    <w:rsid w:val="006365BE"/>
    <w:rsid w:val="006368DC"/>
    <w:rsid w:val="00636978"/>
    <w:rsid w:val="006375B5"/>
    <w:rsid w:val="0063780E"/>
    <w:rsid w:val="006378B6"/>
    <w:rsid w:val="00640076"/>
    <w:rsid w:val="00640185"/>
    <w:rsid w:val="0064074C"/>
    <w:rsid w:val="006408A1"/>
    <w:rsid w:val="00640D45"/>
    <w:rsid w:val="00640F1E"/>
    <w:rsid w:val="00640FED"/>
    <w:rsid w:val="00641174"/>
    <w:rsid w:val="0064159D"/>
    <w:rsid w:val="00641898"/>
    <w:rsid w:val="00641C5A"/>
    <w:rsid w:val="00641D12"/>
    <w:rsid w:val="00641D70"/>
    <w:rsid w:val="00641F7A"/>
    <w:rsid w:val="006425D8"/>
    <w:rsid w:val="00642F26"/>
    <w:rsid w:val="00643CE4"/>
    <w:rsid w:val="00643F23"/>
    <w:rsid w:val="00643F38"/>
    <w:rsid w:val="006441EB"/>
    <w:rsid w:val="0064456E"/>
    <w:rsid w:val="0064476A"/>
    <w:rsid w:val="006448F9"/>
    <w:rsid w:val="00644BF0"/>
    <w:rsid w:val="00645235"/>
    <w:rsid w:val="00645321"/>
    <w:rsid w:val="00645676"/>
    <w:rsid w:val="006459B7"/>
    <w:rsid w:val="00645D73"/>
    <w:rsid w:val="00645F5C"/>
    <w:rsid w:val="006464F1"/>
    <w:rsid w:val="0064691F"/>
    <w:rsid w:val="00646CE9"/>
    <w:rsid w:val="00646FFB"/>
    <w:rsid w:val="00647031"/>
    <w:rsid w:val="0064740B"/>
    <w:rsid w:val="00647527"/>
    <w:rsid w:val="00647593"/>
    <w:rsid w:val="006476C9"/>
    <w:rsid w:val="00647847"/>
    <w:rsid w:val="00647AB7"/>
    <w:rsid w:val="00647B3B"/>
    <w:rsid w:val="00647D50"/>
    <w:rsid w:val="00647DC0"/>
    <w:rsid w:val="00650074"/>
    <w:rsid w:val="00650A72"/>
    <w:rsid w:val="00650DA2"/>
    <w:rsid w:val="00650E54"/>
    <w:rsid w:val="006511A0"/>
    <w:rsid w:val="006516CD"/>
    <w:rsid w:val="00651704"/>
    <w:rsid w:val="00651A0F"/>
    <w:rsid w:val="00651C53"/>
    <w:rsid w:val="00651CA5"/>
    <w:rsid w:val="00651EB2"/>
    <w:rsid w:val="00651EE8"/>
    <w:rsid w:val="00651F7D"/>
    <w:rsid w:val="00652024"/>
    <w:rsid w:val="00652036"/>
    <w:rsid w:val="0065299B"/>
    <w:rsid w:val="00652AC0"/>
    <w:rsid w:val="00652DA5"/>
    <w:rsid w:val="00653276"/>
    <w:rsid w:val="00653604"/>
    <w:rsid w:val="006537F9"/>
    <w:rsid w:val="00653877"/>
    <w:rsid w:val="0065398C"/>
    <w:rsid w:val="006539B8"/>
    <w:rsid w:val="00654347"/>
    <w:rsid w:val="00654965"/>
    <w:rsid w:val="006549EE"/>
    <w:rsid w:val="006553C2"/>
    <w:rsid w:val="0065548C"/>
    <w:rsid w:val="00655950"/>
    <w:rsid w:val="00656F15"/>
    <w:rsid w:val="00657057"/>
    <w:rsid w:val="0065719A"/>
    <w:rsid w:val="00657E91"/>
    <w:rsid w:val="006603AB"/>
    <w:rsid w:val="00660493"/>
    <w:rsid w:val="00660E13"/>
    <w:rsid w:val="00660FF3"/>
    <w:rsid w:val="006610A2"/>
    <w:rsid w:val="006618E7"/>
    <w:rsid w:val="00662E66"/>
    <w:rsid w:val="0066307C"/>
    <w:rsid w:val="0066358E"/>
    <w:rsid w:val="00663799"/>
    <w:rsid w:val="006644DA"/>
    <w:rsid w:val="00664649"/>
    <w:rsid w:val="006649F9"/>
    <w:rsid w:val="00665872"/>
    <w:rsid w:val="00665F44"/>
    <w:rsid w:val="00666319"/>
    <w:rsid w:val="0066659A"/>
    <w:rsid w:val="006666E5"/>
    <w:rsid w:val="0066694B"/>
    <w:rsid w:val="00666A88"/>
    <w:rsid w:val="006671ED"/>
    <w:rsid w:val="006677BD"/>
    <w:rsid w:val="00670AA3"/>
    <w:rsid w:val="00670E7C"/>
    <w:rsid w:val="00670F33"/>
    <w:rsid w:val="00670F99"/>
    <w:rsid w:val="0067108F"/>
    <w:rsid w:val="006717C9"/>
    <w:rsid w:val="0067186C"/>
    <w:rsid w:val="006718BD"/>
    <w:rsid w:val="0067199D"/>
    <w:rsid w:val="00672322"/>
    <w:rsid w:val="006724A3"/>
    <w:rsid w:val="00672BFB"/>
    <w:rsid w:val="00672DDC"/>
    <w:rsid w:val="006730FA"/>
    <w:rsid w:val="0067357C"/>
    <w:rsid w:val="00673648"/>
    <w:rsid w:val="00673675"/>
    <w:rsid w:val="00673A5F"/>
    <w:rsid w:val="00673F19"/>
    <w:rsid w:val="00674742"/>
    <w:rsid w:val="00674B57"/>
    <w:rsid w:val="00675157"/>
    <w:rsid w:val="00675375"/>
    <w:rsid w:val="00675419"/>
    <w:rsid w:val="006757E9"/>
    <w:rsid w:val="0067587E"/>
    <w:rsid w:val="00675A23"/>
    <w:rsid w:val="00675C63"/>
    <w:rsid w:val="00675C72"/>
    <w:rsid w:val="00675D20"/>
    <w:rsid w:val="0067622D"/>
    <w:rsid w:val="00676A12"/>
    <w:rsid w:val="00676D46"/>
    <w:rsid w:val="00677474"/>
    <w:rsid w:val="00677494"/>
    <w:rsid w:val="0068044C"/>
    <w:rsid w:val="006804FE"/>
    <w:rsid w:val="00680801"/>
    <w:rsid w:val="0068099D"/>
    <w:rsid w:val="00680CA6"/>
    <w:rsid w:val="00680F4D"/>
    <w:rsid w:val="00680FA9"/>
    <w:rsid w:val="00681666"/>
    <w:rsid w:val="00681F2A"/>
    <w:rsid w:val="006821A1"/>
    <w:rsid w:val="006821CF"/>
    <w:rsid w:val="0068235B"/>
    <w:rsid w:val="006823F2"/>
    <w:rsid w:val="006827F8"/>
    <w:rsid w:val="00682ADD"/>
    <w:rsid w:val="00682E8E"/>
    <w:rsid w:val="00682F82"/>
    <w:rsid w:val="006833BB"/>
    <w:rsid w:val="006834E5"/>
    <w:rsid w:val="00683C92"/>
    <w:rsid w:val="00683C9C"/>
    <w:rsid w:val="00684250"/>
    <w:rsid w:val="00684399"/>
    <w:rsid w:val="00684538"/>
    <w:rsid w:val="00684804"/>
    <w:rsid w:val="00684A76"/>
    <w:rsid w:val="00684D91"/>
    <w:rsid w:val="00686447"/>
    <w:rsid w:val="00686502"/>
    <w:rsid w:val="006865F7"/>
    <w:rsid w:val="006867F1"/>
    <w:rsid w:val="006868E6"/>
    <w:rsid w:val="00686C13"/>
    <w:rsid w:val="00686E97"/>
    <w:rsid w:val="006870DA"/>
    <w:rsid w:val="00687703"/>
    <w:rsid w:val="00690007"/>
    <w:rsid w:val="006903BD"/>
    <w:rsid w:val="00690706"/>
    <w:rsid w:val="00691497"/>
    <w:rsid w:val="00691A98"/>
    <w:rsid w:val="00691EB0"/>
    <w:rsid w:val="00691ECB"/>
    <w:rsid w:val="00691FE8"/>
    <w:rsid w:val="006920FD"/>
    <w:rsid w:val="00692743"/>
    <w:rsid w:val="00692985"/>
    <w:rsid w:val="00692B4F"/>
    <w:rsid w:val="00692EFC"/>
    <w:rsid w:val="006930AA"/>
    <w:rsid w:val="006932C2"/>
    <w:rsid w:val="006932F0"/>
    <w:rsid w:val="0069342E"/>
    <w:rsid w:val="0069349C"/>
    <w:rsid w:val="00693B0F"/>
    <w:rsid w:val="00693C1E"/>
    <w:rsid w:val="00693CA5"/>
    <w:rsid w:val="00693D6A"/>
    <w:rsid w:val="00693D7A"/>
    <w:rsid w:val="00693E48"/>
    <w:rsid w:val="00693F56"/>
    <w:rsid w:val="00693F7D"/>
    <w:rsid w:val="0069411D"/>
    <w:rsid w:val="00695100"/>
    <w:rsid w:val="006951C5"/>
    <w:rsid w:val="006957C0"/>
    <w:rsid w:val="006957FA"/>
    <w:rsid w:val="00695BA3"/>
    <w:rsid w:val="00695D9F"/>
    <w:rsid w:val="00695ED3"/>
    <w:rsid w:val="00695F04"/>
    <w:rsid w:val="0069699F"/>
    <w:rsid w:val="006969AF"/>
    <w:rsid w:val="00696A25"/>
    <w:rsid w:val="00696C90"/>
    <w:rsid w:val="00696CCD"/>
    <w:rsid w:val="00697467"/>
    <w:rsid w:val="0069747E"/>
    <w:rsid w:val="00697756"/>
    <w:rsid w:val="00697A59"/>
    <w:rsid w:val="00697A8E"/>
    <w:rsid w:val="00697CF5"/>
    <w:rsid w:val="00697F56"/>
    <w:rsid w:val="006A0158"/>
    <w:rsid w:val="006A0425"/>
    <w:rsid w:val="006A04FA"/>
    <w:rsid w:val="006A065E"/>
    <w:rsid w:val="006A0FA0"/>
    <w:rsid w:val="006A1263"/>
    <w:rsid w:val="006A1368"/>
    <w:rsid w:val="006A1501"/>
    <w:rsid w:val="006A1525"/>
    <w:rsid w:val="006A15A5"/>
    <w:rsid w:val="006A1996"/>
    <w:rsid w:val="006A1A39"/>
    <w:rsid w:val="006A1B58"/>
    <w:rsid w:val="006A20E3"/>
    <w:rsid w:val="006A2B2D"/>
    <w:rsid w:val="006A2D0B"/>
    <w:rsid w:val="006A2D2A"/>
    <w:rsid w:val="006A2ECA"/>
    <w:rsid w:val="006A3690"/>
    <w:rsid w:val="006A37EC"/>
    <w:rsid w:val="006A38D3"/>
    <w:rsid w:val="006A3996"/>
    <w:rsid w:val="006A3C9C"/>
    <w:rsid w:val="006A3E4C"/>
    <w:rsid w:val="006A3EA4"/>
    <w:rsid w:val="006A3FB0"/>
    <w:rsid w:val="006A41F5"/>
    <w:rsid w:val="006A43B8"/>
    <w:rsid w:val="006A44AD"/>
    <w:rsid w:val="006A46BF"/>
    <w:rsid w:val="006A4937"/>
    <w:rsid w:val="006A4A67"/>
    <w:rsid w:val="006A4B57"/>
    <w:rsid w:val="006A4CB6"/>
    <w:rsid w:val="006A5018"/>
    <w:rsid w:val="006A51FF"/>
    <w:rsid w:val="006A5388"/>
    <w:rsid w:val="006A550C"/>
    <w:rsid w:val="006A5663"/>
    <w:rsid w:val="006A5D93"/>
    <w:rsid w:val="006A5DA1"/>
    <w:rsid w:val="006A5DC6"/>
    <w:rsid w:val="006A5E2C"/>
    <w:rsid w:val="006A6492"/>
    <w:rsid w:val="006A6660"/>
    <w:rsid w:val="006A6A87"/>
    <w:rsid w:val="006A702A"/>
    <w:rsid w:val="006A703C"/>
    <w:rsid w:val="006A7150"/>
    <w:rsid w:val="006A72E1"/>
    <w:rsid w:val="006A743D"/>
    <w:rsid w:val="006A76AA"/>
    <w:rsid w:val="006A7E8C"/>
    <w:rsid w:val="006B0166"/>
    <w:rsid w:val="006B042C"/>
    <w:rsid w:val="006B05F4"/>
    <w:rsid w:val="006B0C4C"/>
    <w:rsid w:val="006B1971"/>
    <w:rsid w:val="006B1995"/>
    <w:rsid w:val="006B1C90"/>
    <w:rsid w:val="006B20FF"/>
    <w:rsid w:val="006B27C6"/>
    <w:rsid w:val="006B2A4D"/>
    <w:rsid w:val="006B34D5"/>
    <w:rsid w:val="006B3551"/>
    <w:rsid w:val="006B3771"/>
    <w:rsid w:val="006B4ABE"/>
    <w:rsid w:val="006B4B01"/>
    <w:rsid w:val="006B4D52"/>
    <w:rsid w:val="006B4DFA"/>
    <w:rsid w:val="006B53D8"/>
    <w:rsid w:val="006B58AA"/>
    <w:rsid w:val="006B5F28"/>
    <w:rsid w:val="006B6253"/>
    <w:rsid w:val="006B6CED"/>
    <w:rsid w:val="006B6E17"/>
    <w:rsid w:val="006B6ED6"/>
    <w:rsid w:val="006B73A4"/>
    <w:rsid w:val="006B74DE"/>
    <w:rsid w:val="006B768B"/>
    <w:rsid w:val="006B77FD"/>
    <w:rsid w:val="006B7918"/>
    <w:rsid w:val="006B7C74"/>
    <w:rsid w:val="006C01CA"/>
    <w:rsid w:val="006C02F3"/>
    <w:rsid w:val="006C05C4"/>
    <w:rsid w:val="006C05E9"/>
    <w:rsid w:val="006C06DC"/>
    <w:rsid w:val="006C083F"/>
    <w:rsid w:val="006C0869"/>
    <w:rsid w:val="006C0975"/>
    <w:rsid w:val="006C0C66"/>
    <w:rsid w:val="006C0D91"/>
    <w:rsid w:val="006C1424"/>
    <w:rsid w:val="006C14E1"/>
    <w:rsid w:val="006C1522"/>
    <w:rsid w:val="006C2643"/>
    <w:rsid w:val="006C26A0"/>
    <w:rsid w:val="006C2724"/>
    <w:rsid w:val="006C2742"/>
    <w:rsid w:val="006C2BAB"/>
    <w:rsid w:val="006C2D0A"/>
    <w:rsid w:val="006C32C1"/>
    <w:rsid w:val="006C3C0D"/>
    <w:rsid w:val="006C4156"/>
    <w:rsid w:val="006C4E7D"/>
    <w:rsid w:val="006C5239"/>
    <w:rsid w:val="006C5311"/>
    <w:rsid w:val="006C5C9A"/>
    <w:rsid w:val="006C5D89"/>
    <w:rsid w:val="006C62CD"/>
    <w:rsid w:val="006C6484"/>
    <w:rsid w:val="006C6E03"/>
    <w:rsid w:val="006C6FAD"/>
    <w:rsid w:val="006C71C1"/>
    <w:rsid w:val="006C7730"/>
    <w:rsid w:val="006C7BE7"/>
    <w:rsid w:val="006C7CCA"/>
    <w:rsid w:val="006C7EB2"/>
    <w:rsid w:val="006D0833"/>
    <w:rsid w:val="006D08FB"/>
    <w:rsid w:val="006D0986"/>
    <w:rsid w:val="006D09DE"/>
    <w:rsid w:val="006D0A01"/>
    <w:rsid w:val="006D0A99"/>
    <w:rsid w:val="006D0B7E"/>
    <w:rsid w:val="006D1715"/>
    <w:rsid w:val="006D1722"/>
    <w:rsid w:val="006D1FE5"/>
    <w:rsid w:val="006D204B"/>
    <w:rsid w:val="006D2159"/>
    <w:rsid w:val="006D21CE"/>
    <w:rsid w:val="006D26AF"/>
    <w:rsid w:val="006D2A46"/>
    <w:rsid w:val="006D304C"/>
    <w:rsid w:val="006D32C2"/>
    <w:rsid w:val="006D37AF"/>
    <w:rsid w:val="006D3AE8"/>
    <w:rsid w:val="006D3B0E"/>
    <w:rsid w:val="006D3B70"/>
    <w:rsid w:val="006D3D0A"/>
    <w:rsid w:val="006D3EAD"/>
    <w:rsid w:val="006D3FDA"/>
    <w:rsid w:val="006D40FB"/>
    <w:rsid w:val="006D421B"/>
    <w:rsid w:val="006D48A6"/>
    <w:rsid w:val="006D48BC"/>
    <w:rsid w:val="006D4B99"/>
    <w:rsid w:val="006D4E2F"/>
    <w:rsid w:val="006D4FAA"/>
    <w:rsid w:val="006D4FE2"/>
    <w:rsid w:val="006D520B"/>
    <w:rsid w:val="006D5944"/>
    <w:rsid w:val="006D5A1E"/>
    <w:rsid w:val="006D5EDC"/>
    <w:rsid w:val="006D5FBE"/>
    <w:rsid w:val="006D61CC"/>
    <w:rsid w:val="006D6E02"/>
    <w:rsid w:val="006D706C"/>
    <w:rsid w:val="006D73F3"/>
    <w:rsid w:val="006D73FE"/>
    <w:rsid w:val="006D7561"/>
    <w:rsid w:val="006D75EB"/>
    <w:rsid w:val="006D7B4B"/>
    <w:rsid w:val="006D7E53"/>
    <w:rsid w:val="006E0105"/>
    <w:rsid w:val="006E0408"/>
    <w:rsid w:val="006E0424"/>
    <w:rsid w:val="006E043B"/>
    <w:rsid w:val="006E0623"/>
    <w:rsid w:val="006E08C1"/>
    <w:rsid w:val="006E0ABE"/>
    <w:rsid w:val="006E0CBA"/>
    <w:rsid w:val="006E113F"/>
    <w:rsid w:val="006E12BC"/>
    <w:rsid w:val="006E13C1"/>
    <w:rsid w:val="006E1784"/>
    <w:rsid w:val="006E1913"/>
    <w:rsid w:val="006E1C07"/>
    <w:rsid w:val="006E2385"/>
    <w:rsid w:val="006E23AB"/>
    <w:rsid w:val="006E2461"/>
    <w:rsid w:val="006E26B6"/>
    <w:rsid w:val="006E29E8"/>
    <w:rsid w:val="006E2C1E"/>
    <w:rsid w:val="006E30A9"/>
    <w:rsid w:val="006E3145"/>
    <w:rsid w:val="006E3606"/>
    <w:rsid w:val="006E38BD"/>
    <w:rsid w:val="006E3D8D"/>
    <w:rsid w:val="006E3F95"/>
    <w:rsid w:val="006E409B"/>
    <w:rsid w:val="006E53AF"/>
    <w:rsid w:val="006E53C8"/>
    <w:rsid w:val="006E546C"/>
    <w:rsid w:val="006E5C9C"/>
    <w:rsid w:val="006E5E4A"/>
    <w:rsid w:val="006E5F1F"/>
    <w:rsid w:val="006E6F4E"/>
    <w:rsid w:val="006E7BBC"/>
    <w:rsid w:val="006E7F1E"/>
    <w:rsid w:val="006F0691"/>
    <w:rsid w:val="006F0836"/>
    <w:rsid w:val="006F0924"/>
    <w:rsid w:val="006F0A02"/>
    <w:rsid w:val="006F0AF7"/>
    <w:rsid w:val="006F0D62"/>
    <w:rsid w:val="006F0F37"/>
    <w:rsid w:val="006F1434"/>
    <w:rsid w:val="006F167B"/>
    <w:rsid w:val="006F1B0C"/>
    <w:rsid w:val="006F23EF"/>
    <w:rsid w:val="006F247F"/>
    <w:rsid w:val="006F24EA"/>
    <w:rsid w:val="006F24F4"/>
    <w:rsid w:val="006F2802"/>
    <w:rsid w:val="006F2BA7"/>
    <w:rsid w:val="006F2DF7"/>
    <w:rsid w:val="006F2ECF"/>
    <w:rsid w:val="006F36D1"/>
    <w:rsid w:val="006F39EA"/>
    <w:rsid w:val="006F3CCC"/>
    <w:rsid w:val="006F4B2B"/>
    <w:rsid w:val="006F52BE"/>
    <w:rsid w:val="006F6154"/>
    <w:rsid w:val="006F61B6"/>
    <w:rsid w:val="006F682C"/>
    <w:rsid w:val="006F687D"/>
    <w:rsid w:val="006F6B89"/>
    <w:rsid w:val="006F6EFD"/>
    <w:rsid w:val="006F725A"/>
    <w:rsid w:val="006F7336"/>
    <w:rsid w:val="006F77A6"/>
    <w:rsid w:val="006F7A1F"/>
    <w:rsid w:val="006F7D3A"/>
    <w:rsid w:val="007001EC"/>
    <w:rsid w:val="007005D5"/>
    <w:rsid w:val="00700938"/>
    <w:rsid w:val="007009FC"/>
    <w:rsid w:val="00700D05"/>
    <w:rsid w:val="0070103E"/>
    <w:rsid w:val="0070122B"/>
    <w:rsid w:val="00701277"/>
    <w:rsid w:val="00701354"/>
    <w:rsid w:val="0070157F"/>
    <w:rsid w:val="007016CD"/>
    <w:rsid w:val="00701FFF"/>
    <w:rsid w:val="00702252"/>
    <w:rsid w:val="007028F2"/>
    <w:rsid w:val="0070298F"/>
    <w:rsid w:val="00702D34"/>
    <w:rsid w:val="007037F1"/>
    <w:rsid w:val="00703DC8"/>
    <w:rsid w:val="00704063"/>
    <w:rsid w:val="007043D5"/>
    <w:rsid w:val="0070489F"/>
    <w:rsid w:val="0070493A"/>
    <w:rsid w:val="007049AB"/>
    <w:rsid w:val="00704CE0"/>
    <w:rsid w:val="0070586B"/>
    <w:rsid w:val="00705A46"/>
    <w:rsid w:val="00706CC6"/>
    <w:rsid w:val="00707074"/>
    <w:rsid w:val="0070717C"/>
    <w:rsid w:val="00707BE7"/>
    <w:rsid w:val="00707E16"/>
    <w:rsid w:val="00710258"/>
    <w:rsid w:val="0071066A"/>
    <w:rsid w:val="007106F7"/>
    <w:rsid w:val="00710782"/>
    <w:rsid w:val="00710E68"/>
    <w:rsid w:val="00710FEF"/>
    <w:rsid w:val="007110F4"/>
    <w:rsid w:val="00711257"/>
    <w:rsid w:val="007115FB"/>
    <w:rsid w:val="00711795"/>
    <w:rsid w:val="00711AE8"/>
    <w:rsid w:val="00712128"/>
    <w:rsid w:val="007124E0"/>
    <w:rsid w:val="007125FF"/>
    <w:rsid w:val="00712ACB"/>
    <w:rsid w:val="00712CDE"/>
    <w:rsid w:val="00712D31"/>
    <w:rsid w:val="007130B5"/>
    <w:rsid w:val="0071340B"/>
    <w:rsid w:val="00713572"/>
    <w:rsid w:val="0071357E"/>
    <w:rsid w:val="00713D69"/>
    <w:rsid w:val="00713D9A"/>
    <w:rsid w:val="007145CD"/>
    <w:rsid w:val="00714D56"/>
    <w:rsid w:val="00714EC1"/>
    <w:rsid w:val="00714EF8"/>
    <w:rsid w:val="00715277"/>
    <w:rsid w:val="00715335"/>
    <w:rsid w:val="00715D2A"/>
    <w:rsid w:val="00715FAE"/>
    <w:rsid w:val="007163AD"/>
    <w:rsid w:val="00716953"/>
    <w:rsid w:val="00716DE5"/>
    <w:rsid w:val="00716F5E"/>
    <w:rsid w:val="00717502"/>
    <w:rsid w:val="0071755C"/>
    <w:rsid w:val="00717E05"/>
    <w:rsid w:val="00717E83"/>
    <w:rsid w:val="00717F5D"/>
    <w:rsid w:val="00720564"/>
    <w:rsid w:val="0072061D"/>
    <w:rsid w:val="00720A0F"/>
    <w:rsid w:val="00720B44"/>
    <w:rsid w:val="00720CAE"/>
    <w:rsid w:val="0072125E"/>
    <w:rsid w:val="007217DA"/>
    <w:rsid w:val="007219F3"/>
    <w:rsid w:val="0072234D"/>
    <w:rsid w:val="00722DF8"/>
    <w:rsid w:val="00722E91"/>
    <w:rsid w:val="00723183"/>
    <w:rsid w:val="00723283"/>
    <w:rsid w:val="00723392"/>
    <w:rsid w:val="007236E8"/>
    <w:rsid w:val="0072395F"/>
    <w:rsid w:val="00723AC0"/>
    <w:rsid w:val="007241EF"/>
    <w:rsid w:val="0072478F"/>
    <w:rsid w:val="0072498B"/>
    <w:rsid w:val="007249FE"/>
    <w:rsid w:val="00725300"/>
    <w:rsid w:val="00725463"/>
    <w:rsid w:val="0072551E"/>
    <w:rsid w:val="00725673"/>
    <w:rsid w:val="00725B01"/>
    <w:rsid w:val="0072625C"/>
    <w:rsid w:val="007263AE"/>
    <w:rsid w:val="007268DF"/>
    <w:rsid w:val="00726D69"/>
    <w:rsid w:val="00726E54"/>
    <w:rsid w:val="00726FA4"/>
    <w:rsid w:val="00727180"/>
    <w:rsid w:val="007271D3"/>
    <w:rsid w:val="007276C7"/>
    <w:rsid w:val="00727768"/>
    <w:rsid w:val="00727EEF"/>
    <w:rsid w:val="00730617"/>
    <w:rsid w:val="0073086D"/>
    <w:rsid w:val="00730EA7"/>
    <w:rsid w:val="00731041"/>
    <w:rsid w:val="0073141F"/>
    <w:rsid w:val="007314CB"/>
    <w:rsid w:val="00731628"/>
    <w:rsid w:val="00731961"/>
    <w:rsid w:val="007321BC"/>
    <w:rsid w:val="007325A2"/>
    <w:rsid w:val="00732833"/>
    <w:rsid w:val="00732969"/>
    <w:rsid w:val="00732CF1"/>
    <w:rsid w:val="00732F0E"/>
    <w:rsid w:val="00732F54"/>
    <w:rsid w:val="0073323A"/>
    <w:rsid w:val="0073330A"/>
    <w:rsid w:val="00733313"/>
    <w:rsid w:val="00733F9B"/>
    <w:rsid w:val="0073434C"/>
    <w:rsid w:val="00734929"/>
    <w:rsid w:val="0073509B"/>
    <w:rsid w:val="0073545D"/>
    <w:rsid w:val="00735771"/>
    <w:rsid w:val="007357F3"/>
    <w:rsid w:val="007358E9"/>
    <w:rsid w:val="007358EA"/>
    <w:rsid w:val="007359F7"/>
    <w:rsid w:val="00735FF8"/>
    <w:rsid w:val="007360FE"/>
    <w:rsid w:val="00736581"/>
    <w:rsid w:val="007365FE"/>
    <w:rsid w:val="007371CE"/>
    <w:rsid w:val="007378E7"/>
    <w:rsid w:val="00740A17"/>
    <w:rsid w:val="00740AA9"/>
    <w:rsid w:val="00740AFB"/>
    <w:rsid w:val="00740BE9"/>
    <w:rsid w:val="00740CCF"/>
    <w:rsid w:val="00740E14"/>
    <w:rsid w:val="007411AC"/>
    <w:rsid w:val="0074192D"/>
    <w:rsid w:val="0074199F"/>
    <w:rsid w:val="00741B95"/>
    <w:rsid w:val="00741C09"/>
    <w:rsid w:val="00741F65"/>
    <w:rsid w:val="00742058"/>
    <w:rsid w:val="00742270"/>
    <w:rsid w:val="00742CED"/>
    <w:rsid w:val="00742F34"/>
    <w:rsid w:val="00743103"/>
    <w:rsid w:val="007432EF"/>
    <w:rsid w:val="00743EA3"/>
    <w:rsid w:val="00744923"/>
    <w:rsid w:val="00745143"/>
    <w:rsid w:val="00745B99"/>
    <w:rsid w:val="00745BCF"/>
    <w:rsid w:val="00745DC1"/>
    <w:rsid w:val="0074691E"/>
    <w:rsid w:val="00746D09"/>
    <w:rsid w:val="007474CB"/>
    <w:rsid w:val="00747522"/>
    <w:rsid w:val="00747A1A"/>
    <w:rsid w:val="00747F39"/>
    <w:rsid w:val="007501BB"/>
    <w:rsid w:val="00750562"/>
    <w:rsid w:val="0075065B"/>
    <w:rsid w:val="0075090A"/>
    <w:rsid w:val="007510A3"/>
    <w:rsid w:val="0075152D"/>
    <w:rsid w:val="00751541"/>
    <w:rsid w:val="00751637"/>
    <w:rsid w:val="00751AEB"/>
    <w:rsid w:val="0075230A"/>
    <w:rsid w:val="00752DD8"/>
    <w:rsid w:val="0075312B"/>
    <w:rsid w:val="00753421"/>
    <w:rsid w:val="00753B27"/>
    <w:rsid w:val="00753C66"/>
    <w:rsid w:val="00753E4B"/>
    <w:rsid w:val="00753FE9"/>
    <w:rsid w:val="007541DE"/>
    <w:rsid w:val="00754A62"/>
    <w:rsid w:val="007552F0"/>
    <w:rsid w:val="00755AF6"/>
    <w:rsid w:val="007561E9"/>
    <w:rsid w:val="0075621C"/>
    <w:rsid w:val="007569BB"/>
    <w:rsid w:val="0075744B"/>
    <w:rsid w:val="00757577"/>
    <w:rsid w:val="00757991"/>
    <w:rsid w:val="007579CE"/>
    <w:rsid w:val="00757DBC"/>
    <w:rsid w:val="007602C8"/>
    <w:rsid w:val="00760382"/>
    <w:rsid w:val="007605A5"/>
    <w:rsid w:val="0076061C"/>
    <w:rsid w:val="007609DB"/>
    <w:rsid w:val="007612D2"/>
    <w:rsid w:val="007617B1"/>
    <w:rsid w:val="00761F3B"/>
    <w:rsid w:val="00761F3D"/>
    <w:rsid w:val="00762273"/>
    <w:rsid w:val="00762320"/>
    <w:rsid w:val="007624CF"/>
    <w:rsid w:val="00762543"/>
    <w:rsid w:val="00762AE2"/>
    <w:rsid w:val="00762B81"/>
    <w:rsid w:val="00762CA5"/>
    <w:rsid w:val="00763473"/>
    <w:rsid w:val="00763576"/>
    <w:rsid w:val="0076368A"/>
    <w:rsid w:val="007638C6"/>
    <w:rsid w:val="0076400D"/>
    <w:rsid w:val="00764011"/>
    <w:rsid w:val="0076438C"/>
    <w:rsid w:val="00764441"/>
    <w:rsid w:val="007648E4"/>
    <w:rsid w:val="0076499E"/>
    <w:rsid w:val="00764C46"/>
    <w:rsid w:val="00764F17"/>
    <w:rsid w:val="0076532B"/>
    <w:rsid w:val="007653AF"/>
    <w:rsid w:val="007658E9"/>
    <w:rsid w:val="00766182"/>
    <w:rsid w:val="0076647B"/>
    <w:rsid w:val="007667A1"/>
    <w:rsid w:val="0076693A"/>
    <w:rsid w:val="007675A1"/>
    <w:rsid w:val="007675F5"/>
    <w:rsid w:val="0076795C"/>
    <w:rsid w:val="00767A2C"/>
    <w:rsid w:val="00767F45"/>
    <w:rsid w:val="00770357"/>
    <w:rsid w:val="00770A43"/>
    <w:rsid w:val="00770C37"/>
    <w:rsid w:val="00770C48"/>
    <w:rsid w:val="00770CEF"/>
    <w:rsid w:val="0077139B"/>
    <w:rsid w:val="0077157B"/>
    <w:rsid w:val="00771602"/>
    <w:rsid w:val="007719D1"/>
    <w:rsid w:val="00771E35"/>
    <w:rsid w:val="00772845"/>
    <w:rsid w:val="007728DC"/>
    <w:rsid w:val="00773611"/>
    <w:rsid w:val="00773778"/>
    <w:rsid w:val="00773D90"/>
    <w:rsid w:val="00774AB9"/>
    <w:rsid w:val="00774CCA"/>
    <w:rsid w:val="00774DCF"/>
    <w:rsid w:val="007755C7"/>
    <w:rsid w:val="007756F0"/>
    <w:rsid w:val="007759B1"/>
    <w:rsid w:val="00775DAF"/>
    <w:rsid w:val="00775F8E"/>
    <w:rsid w:val="007763F8"/>
    <w:rsid w:val="00776483"/>
    <w:rsid w:val="007767C4"/>
    <w:rsid w:val="007767E4"/>
    <w:rsid w:val="00776A5E"/>
    <w:rsid w:val="00776B17"/>
    <w:rsid w:val="007771DC"/>
    <w:rsid w:val="0077761E"/>
    <w:rsid w:val="007776E0"/>
    <w:rsid w:val="007777BF"/>
    <w:rsid w:val="00777BB8"/>
    <w:rsid w:val="00777CF3"/>
    <w:rsid w:val="007800B8"/>
    <w:rsid w:val="00780A88"/>
    <w:rsid w:val="00780CE7"/>
    <w:rsid w:val="00780ECC"/>
    <w:rsid w:val="0078100A"/>
    <w:rsid w:val="00781300"/>
    <w:rsid w:val="007815A9"/>
    <w:rsid w:val="00781B67"/>
    <w:rsid w:val="0078221F"/>
    <w:rsid w:val="0078247A"/>
    <w:rsid w:val="007825A0"/>
    <w:rsid w:val="00782772"/>
    <w:rsid w:val="0078289A"/>
    <w:rsid w:val="00782AB0"/>
    <w:rsid w:val="00782AFF"/>
    <w:rsid w:val="00783B53"/>
    <w:rsid w:val="00783E05"/>
    <w:rsid w:val="00785231"/>
    <w:rsid w:val="0078531A"/>
    <w:rsid w:val="00785377"/>
    <w:rsid w:val="00785497"/>
    <w:rsid w:val="0078597F"/>
    <w:rsid w:val="0078599B"/>
    <w:rsid w:val="007859F1"/>
    <w:rsid w:val="00785AB2"/>
    <w:rsid w:val="00785C2B"/>
    <w:rsid w:val="0078630C"/>
    <w:rsid w:val="00786702"/>
    <w:rsid w:val="0078692A"/>
    <w:rsid w:val="00786EBB"/>
    <w:rsid w:val="00786F86"/>
    <w:rsid w:val="0078717E"/>
    <w:rsid w:val="007872C9"/>
    <w:rsid w:val="0078779C"/>
    <w:rsid w:val="007879B3"/>
    <w:rsid w:val="00787B1C"/>
    <w:rsid w:val="00787CC6"/>
    <w:rsid w:val="007901BB"/>
    <w:rsid w:val="00790CD5"/>
    <w:rsid w:val="00790D5F"/>
    <w:rsid w:val="00790D66"/>
    <w:rsid w:val="00790D88"/>
    <w:rsid w:val="0079128C"/>
    <w:rsid w:val="007913D5"/>
    <w:rsid w:val="007914A0"/>
    <w:rsid w:val="007920FC"/>
    <w:rsid w:val="00792A16"/>
    <w:rsid w:val="00792C98"/>
    <w:rsid w:val="00792EDB"/>
    <w:rsid w:val="007933D9"/>
    <w:rsid w:val="00793425"/>
    <w:rsid w:val="00793464"/>
    <w:rsid w:val="00793765"/>
    <w:rsid w:val="007937E1"/>
    <w:rsid w:val="007938C7"/>
    <w:rsid w:val="00793E91"/>
    <w:rsid w:val="00793FF4"/>
    <w:rsid w:val="007943E0"/>
    <w:rsid w:val="007946C2"/>
    <w:rsid w:val="007948BD"/>
    <w:rsid w:val="00794DB1"/>
    <w:rsid w:val="00794E38"/>
    <w:rsid w:val="00794FB1"/>
    <w:rsid w:val="00794FB3"/>
    <w:rsid w:val="007953A1"/>
    <w:rsid w:val="0079547F"/>
    <w:rsid w:val="00795637"/>
    <w:rsid w:val="0079576A"/>
    <w:rsid w:val="00795F58"/>
    <w:rsid w:val="0079609B"/>
    <w:rsid w:val="007960DB"/>
    <w:rsid w:val="00796601"/>
    <w:rsid w:val="00796B97"/>
    <w:rsid w:val="00796FBF"/>
    <w:rsid w:val="007971D5"/>
    <w:rsid w:val="0079732E"/>
    <w:rsid w:val="00797B0A"/>
    <w:rsid w:val="00797B2D"/>
    <w:rsid w:val="00797D6F"/>
    <w:rsid w:val="00797FA3"/>
    <w:rsid w:val="007A041B"/>
    <w:rsid w:val="007A0702"/>
    <w:rsid w:val="007A0F82"/>
    <w:rsid w:val="007A1176"/>
    <w:rsid w:val="007A147B"/>
    <w:rsid w:val="007A1544"/>
    <w:rsid w:val="007A1708"/>
    <w:rsid w:val="007A182E"/>
    <w:rsid w:val="007A1A10"/>
    <w:rsid w:val="007A1E56"/>
    <w:rsid w:val="007A1F8B"/>
    <w:rsid w:val="007A20FD"/>
    <w:rsid w:val="007A27D8"/>
    <w:rsid w:val="007A2A3E"/>
    <w:rsid w:val="007A3718"/>
    <w:rsid w:val="007A398E"/>
    <w:rsid w:val="007A4272"/>
    <w:rsid w:val="007A4366"/>
    <w:rsid w:val="007A44B3"/>
    <w:rsid w:val="007A45D0"/>
    <w:rsid w:val="007A4A1B"/>
    <w:rsid w:val="007A4FC0"/>
    <w:rsid w:val="007A5312"/>
    <w:rsid w:val="007A547D"/>
    <w:rsid w:val="007A588C"/>
    <w:rsid w:val="007A5A02"/>
    <w:rsid w:val="007A5A62"/>
    <w:rsid w:val="007A5BCD"/>
    <w:rsid w:val="007A6093"/>
    <w:rsid w:val="007A6656"/>
    <w:rsid w:val="007A6795"/>
    <w:rsid w:val="007A6ADD"/>
    <w:rsid w:val="007A6B99"/>
    <w:rsid w:val="007A6D54"/>
    <w:rsid w:val="007A6E8E"/>
    <w:rsid w:val="007A6EA2"/>
    <w:rsid w:val="007A7121"/>
    <w:rsid w:val="007A71C3"/>
    <w:rsid w:val="007A73B3"/>
    <w:rsid w:val="007A73ED"/>
    <w:rsid w:val="007A741F"/>
    <w:rsid w:val="007A7B8A"/>
    <w:rsid w:val="007A7CAF"/>
    <w:rsid w:val="007B03A7"/>
    <w:rsid w:val="007B0638"/>
    <w:rsid w:val="007B0796"/>
    <w:rsid w:val="007B0925"/>
    <w:rsid w:val="007B0BDE"/>
    <w:rsid w:val="007B0E0A"/>
    <w:rsid w:val="007B0EF6"/>
    <w:rsid w:val="007B1437"/>
    <w:rsid w:val="007B1556"/>
    <w:rsid w:val="007B15AC"/>
    <w:rsid w:val="007B17EB"/>
    <w:rsid w:val="007B1A96"/>
    <w:rsid w:val="007B1D0F"/>
    <w:rsid w:val="007B1D64"/>
    <w:rsid w:val="007B2075"/>
    <w:rsid w:val="007B2600"/>
    <w:rsid w:val="007B2D4D"/>
    <w:rsid w:val="007B321A"/>
    <w:rsid w:val="007B3752"/>
    <w:rsid w:val="007B3D11"/>
    <w:rsid w:val="007B3E9D"/>
    <w:rsid w:val="007B40C1"/>
    <w:rsid w:val="007B44D4"/>
    <w:rsid w:val="007B481E"/>
    <w:rsid w:val="007B4B60"/>
    <w:rsid w:val="007B4BF4"/>
    <w:rsid w:val="007B4C28"/>
    <w:rsid w:val="007B4F01"/>
    <w:rsid w:val="007B4F0A"/>
    <w:rsid w:val="007B4F18"/>
    <w:rsid w:val="007B5575"/>
    <w:rsid w:val="007B563D"/>
    <w:rsid w:val="007B584F"/>
    <w:rsid w:val="007B5E15"/>
    <w:rsid w:val="007B63FC"/>
    <w:rsid w:val="007B6414"/>
    <w:rsid w:val="007B6B55"/>
    <w:rsid w:val="007B7893"/>
    <w:rsid w:val="007B7A2A"/>
    <w:rsid w:val="007B7BEA"/>
    <w:rsid w:val="007B7DEA"/>
    <w:rsid w:val="007B7F16"/>
    <w:rsid w:val="007C047E"/>
    <w:rsid w:val="007C0545"/>
    <w:rsid w:val="007C0ED7"/>
    <w:rsid w:val="007C1029"/>
    <w:rsid w:val="007C1681"/>
    <w:rsid w:val="007C1BD1"/>
    <w:rsid w:val="007C2514"/>
    <w:rsid w:val="007C29BF"/>
    <w:rsid w:val="007C2E31"/>
    <w:rsid w:val="007C33AC"/>
    <w:rsid w:val="007C3408"/>
    <w:rsid w:val="007C3663"/>
    <w:rsid w:val="007C3D08"/>
    <w:rsid w:val="007C3D85"/>
    <w:rsid w:val="007C3D9B"/>
    <w:rsid w:val="007C40E2"/>
    <w:rsid w:val="007C4286"/>
    <w:rsid w:val="007C45DA"/>
    <w:rsid w:val="007C463B"/>
    <w:rsid w:val="007C46FC"/>
    <w:rsid w:val="007C4A2F"/>
    <w:rsid w:val="007C4F5A"/>
    <w:rsid w:val="007C54C3"/>
    <w:rsid w:val="007C6670"/>
    <w:rsid w:val="007C6B18"/>
    <w:rsid w:val="007C7E4D"/>
    <w:rsid w:val="007C7EE6"/>
    <w:rsid w:val="007D0B48"/>
    <w:rsid w:val="007D0B60"/>
    <w:rsid w:val="007D0BE4"/>
    <w:rsid w:val="007D0EEF"/>
    <w:rsid w:val="007D163F"/>
    <w:rsid w:val="007D1872"/>
    <w:rsid w:val="007D1E52"/>
    <w:rsid w:val="007D208F"/>
    <w:rsid w:val="007D234A"/>
    <w:rsid w:val="007D23E2"/>
    <w:rsid w:val="007D258F"/>
    <w:rsid w:val="007D2F88"/>
    <w:rsid w:val="007D2F89"/>
    <w:rsid w:val="007D32A0"/>
    <w:rsid w:val="007D38B3"/>
    <w:rsid w:val="007D39BF"/>
    <w:rsid w:val="007D39EA"/>
    <w:rsid w:val="007D40FF"/>
    <w:rsid w:val="007D4704"/>
    <w:rsid w:val="007D47B4"/>
    <w:rsid w:val="007D47E5"/>
    <w:rsid w:val="007D4E66"/>
    <w:rsid w:val="007D53AF"/>
    <w:rsid w:val="007D55C8"/>
    <w:rsid w:val="007D565E"/>
    <w:rsid w:val="007D56B3"/>
    <w:rsid w:val="007D56C3"/>
    <w:rsid w:val="007D6522"/>
    <w:rsid w:val="007D66B5"/>
    <w:rsid w:val="007D6780"/>
    <w:rsid w:val="007D68B8"/>
    <w:rsid w:val="007D6CBA"/>
    <w:rsid w:val="007D75E6"/>
    <w:rsid w:val="007D76CB"/>
    <w:rsid w:val="007D7774"/>
    <w:rsid w:val="007D7880"/>
    <w:rsid w:val="007D7C46"/>
    <w:rsid w:val="007E0A53"/>
    <w:rsid w:val="007E0BC0"/>
    <w:rsid w:val="007E0F05"/>
    <w:rsid w:val="007E0F4F"/>
    <w:rsid w:val="007E11B7"/>
    <w:rsid w:val="007E1AA4"/>
    <w:rsid w:val="007E1C9D"/>
    <w:rsid w:val="007E265D"/>
    <w:rsid w:val="007E28BA"/>
    <w:rsid w:val="007E3021"/>
    <w:rsid w:val="007E3168"/>
    <w:rsid w:val="007E3252"/>
    <w:rsid w:val="007E3304"/>
    <w:rsid w:val="007E34E3"/>
    <w:rsid w:val="007E36C4"/>
    <w:rsid w:val="007E39D8"/>
    <w:rsid w:val="007E3E4A"/>
    <w:rsid w:val="007E419E"/>
    <w:rsid w:val="007E4417"/>
    <w:rsid w:val="007E465B"/>
    <w:rsid w:val="007E4B86"/>
    <w:rsid w:val="007E510E"/>
    <w:rsid w:val="007E58C2"/>
    <w:rsid w:val="007E593E"/>
    <w:rsid w:val="007E5DF1"/>
    <w:rsid w:val="007E6349"/>
    <w:rsid w:val="007E6B5E"/>
    <w:rsid w:val="007E6D2D"/>
    <w:rsid w:val="007E7079"/>
    <w:rsid w:val="007E7513"/>
    <w:rsid w:val="007E75B2"/>
    <w:rsid w:val="007E7626"/>
    <w:rsid w:val="007E7665"/>
    <w:rsid w:val="007E7EC9"/>
    <w:rsid w:val="007F0486"/>
    <w:rsid w:val="007F04C9"/>
    <w:rsid w:val="007F04EA"/>
    <w:rsid w:val="007F04FB"/>
    <w:rsid w:val="007F05D2"/>
    <w:rsid w:val="007F0944"/>
    <w:rsid w:val="007F0A72"/>
    <w:rsid w:val="007F0F4A"/>
    <w:rsid w:val="007F1024"/>
    <w:rsid w:val="007F1D90"/>
    <w:rsid w:val="007F1FAA"/>
    <w:rsid w:val="007F2AFE"/>
    <w:rsid w:val="007F2B04"/>
    <w:rsid w:val="007F2D79"/>
    <w:rsid w:val="007F33DA"/>
    <w:rsid w:val="007F34EA"/>
    <w:rsid w:val="007F35AE"/>
    <w:rsid w:val="007F35F2"/>
    <w:rsid w:val="007F392D"/>
    <w:rsid w:val="007F4652"/>
    <w:rsid w:val="007F48F6"/>
    <w:rsid w:val="007F4CBA"/>
    <w:rsid w:val="007F5871"/>
    <w:rsid w:val="007F628D"/>
    <w:rsid w:val="007F66A6"/>
    <w:rsid w:val="007F690A"/>
    <w:rsid w:val="007F696E"/>
    <w:rsid w:val="007F698A"/>
    <w:rsid w:val="007F6B1A"/>
    <w:rsid w:val="007F7123"/>
    <w:rsid w:val="007F7773"/>
    <w:rsid w:val="007F77CE"/>
    <w:rsid w:val="007F7D21"/>
    <w:rsid w:val="007F7FA9"/>
    <w:rsid w:val="0080004A"/>
    <w:rsid w:val="00800331"/>
    <w:rsid w:val="008008E8"/>
    <w:rsid w:val="00800DBA"/>
    <w:rsid w:val="008019FF"/>
    <w:rsid w:val="00801E6F"/>
    <w:rsid w:val="008029DD"/>
    <w:rsid w:val="00802D5A"/>
    <w:rsid w:val="00803741"/>
    <w:rsid w:val="00803A89"/>
    <w:rsid w:val="00803AA6"/>
    <w:rsid w:val="00803BC9"/>
    <w:rsid w:val="00803D6E"/>
    <w:rsid w:val="00804176"/>
    <w:rsid w:val="0080421C"/>
    <w:rsid w:val="0080449E"/>
    <w:rsid w:val="0080499F"/>
    <w:rsid w:val="00804BCA"/>
    <w:rsid w:val="0080519D"/>
    <w:rsid w:val="00805A0A"/>
    <w:rsid w:val="00805AA9"/>
    <w:rsid w:val="00806264"/>
    <w:rsid w:val="00806A02"/>
    <w:rsid w:val="00806B69"/>
    <w:rsid w:val="00806DB0"/>
    <w:rsid w:val="008077A8"/>
    <w:rsid w:val="008078D1"/>
    <w:rsid w:val="00810311"/>
    <w:rsid w:val="00810354"/>
    <w:rsid w:val="00810709"/>
    <w:rsid w:val="00810A4E"/>
    <w:rsid w:val="00810C05"/>
    <w:rsid w:val="00810D87"/>
    <w:rsid w:val="008110BE"/>
    <w:rsid w:val="008110E1"/>
    <w:rsid w:val="00811852"/>
    <w:rsid w:val="008118F3"/>
    <w:rsid w:val="00811BA2"/>
    <w:rsid w:val="00811E5E"/>
    <w:rsid w:val="0081228D"/>
    <w:rsid w:val="00812831"/>
    <w:rsid w:val="008133F8"/>
    <w:rsid w:val="008134BA"/>
    <w:rsid w:val="00813637"/>
    <w:rsid w:val="0081386B"/>
    <w:rsid w:val="0081396C"/>
    <w:rsid w:val="00813F8B"/>
    <w:rsid w:val="008145B9"/>
    <w:rsid w:val="0081477E"/>
    <w:rsid w:val="00814A18"/>
    <w:rsid w:val="00814ADA"/>
    <w:rsid w:val="00814C91"/>
    <w:rsid w:val="00814DE4"/>
    <w:rsid w:val="008150F0"/>
    <w:rsid w:val="00815482"/>
    <w:rsid w:val="00815818"/>
    <w:rsid w:val="0081586C"/>
    <w:rsid w:val="00815BD4"/>
    <w:rsid w:val="00816134"/>
    <w:rsid w:val="008162AC"/>
    <w:rsid w:val="008162C2"/>
    <w:rsid w:val="008162C5"/>
    <w:rsid w:val="008162C6"/>
    <w:rsid w:val="0081693F"/>
    <w:rsid w:val="00816C6F"/>
    <w:rsid w:val="00817555"/>
    <w:rsid w:val="00817572"/>
    <w:rsid w:val="0081798B"/>
    <w:rsid w:val="00817A47"/>
    <w:rsid w:val="008202E9"/>
    <w:rsid w:val="008203FB"/>
    <w:rsid w:val="00820471"/>
    <w:rsid w:val="008205DE"/>
    <w:rsid w:val="00820989"/>
    <w:rsid w:val="00820C69"/>
    <w:rsid w:val="00820E55"/>
    <w:rsid w:val="00821031"/>
    <w:rsid w:val="0082111A"/>
    <w:rsid w:val="00821206"/>
    <w:rsid w:val="00821304"/>
    <w:rsid w:val="008219AE"/>
    <w:rsid w:val="008219E5"/>
    <w:rsid w:val="00822036"/>
    <w:rsid w:val="00822092"/>
    <w:rsid w:val="008220D4"/>
    <w:rsid w:val="00822623"/>
    <w:rsid w:val="0082268C"/>
    <w:rsid w:val="008228D2"/>
    <w:rsid w:val="00822C61"/>
    <w:rsid w:val="008232E6"/>
    <w:rsid w:val="0082368B"/>
    <w:rsid w:val="0082376D"/>
    <w:rsid w:val="00823CE5"/>
    <w:rsid w:val="00823D4C"/>
    <w:rsid w:val="00823E51"/>
    <w:rsid w:val="008240A8"/>
    <w:rsid w:val="00824322"/>
    <w:rsid w:val="00824382"/>
    <w:rsid w:val="00824747"/>
    <w:rsid w:val="00824A55"/>
    <w:rsid w:val="00824B02"/>
    <w:rsid w:val="00824EA2"/>
    <w:rsid w:val="0082534A"/>
    <w:rsid w:val="008254A8"/>
    <w:rsid w:val="008255D7"/>
    <w:rsid w:val="0082569C"/>
    <w:rsid w:val="00825AD6"/>
    <w:rsid w:val="00825BAF"/>
    <w:rsid w:val="00825BDB"/>
    <w:rsid w:val="008261B7"/>
    <w:rsid w:val="0082626F"/>
    <w:rsid w:val="00826329"/>
    <w:rsid w:val="0082640B"/>
    <w:rsid w:val="00827324"/>
    <w:rsid w:val="0082734D"/>
    <w:rsid w:val="008276A9"/>
    <w:rsid w:val="00827700"/>
    <w:rsid w:val="00827CBD"/>
    <w:rsid w:val="00827DC4"/>
    <w:rsid w:val="00830180"/>
    <w:rsid w:val="00830752"/>
    <w:rsid w:val="00831633"/>
    <w:rsid w:val="008318CA"/>
    <w:rsid w:val="00831AA2"/>
    <w:rsid w:val="00832528"/>
    <w:rsid w:val="0083261C"/>
    <w:rsid w:val="0083295C"/>
    <w:rsid w:val="00832965"/>
    <w:rsid w:val="00832CB1"/>
    <w:rsid w:val="008331B9"/>
    <w:rsid w:val="00833928"/>
    <w:rsid w:val="00833AB8"/>
    <w:rsid w:val="00833B4F"/>
    <w:rsid w:val="00833B52"/>
    <w:rsid w:val="0083439F"/>
    <w:rsid w:val="0083461F"/>
    <w:rsid w:val="008347F1"/>
    <w:rsid w:val="00834B00"/>
    <w:rsid w:val="00834B77"/>
    <w:rsid w:val="00834F43"/>
    <w:rsid w:val="008351EA"/>
    <w:rsid w:val="00835229"/>
    <w:rsid w:val="00835D49"/>
    <w:rsid w:val="008364B4"/>
    <w:rsid w:val="00836DF1"/>
    <w:rsid w:val="00837058"/>
    <w:rsid w:val="00837252"/>
    <w:rsid w:val="00837324"/>
    <w:rsid w:val="00837558"/>
    <w:rsid w:val="0083778E"/>
    <w:rsid w:val="00837835"/>
    <w:rsid w:val="008379EE"/>
    <w:rsid w:val="00837C6F"/>
    <w:rsid w:val="008402F5"/>
    <w:rsid w:val="008407FA"/>
    <w:rsid w:val="008413B2"/>
    <w:rsid w:val="00841D26"/>
    <w:rsid w:val="00841DC0"/>
    <w:rsid w:val="00842169"/>
    <w:rsid w:val="0084237B"/>
    <w:rsid w:val="00842931"/>
    <w:rsid w:val="00842992"/>
    <w:rsid w:val="00842D22"/>
    <w:rsid w:val="00842D82"/>
    <w:rsid w:val="00842E5F"/>
    <w:rsid w:val="00842F4E"/>
    <w:rsid w:val="00843644"/>
    <w:rsid w:val="00843744"/>
    <w:rsid w:val="0084390F"/>
    <w:rsid w:val="008439DA"/>
    <w:rsid w:val="00843A7D"/>
    <w:rsid w:val="00843AF5"/>
    <w:rsid w:val="008440C3"/>
    <w:rsid w:val="0084439D"/>
    <w:rsid w:val="0084447B"/>
    <w:rsid w:val="0084460F"/>
    <w:rsid w:val="00844822"/>
    <w:rsid w:val="00844941"/>
    <w:rsid w:val="00844C48"/>
    <w:rsid w:val="00844DCD"/>
    <w:rsid w:val="00845106"/>
    <w:rsid w:val="0084544C"/>
    <w:rsid w:val="00845554"/>
    <w:rsid w:val="00845605"/>
    <w:rsid w:val="00845A32"/>
    <w:rsid w:val="00845C0E"/>
    <w:rsid w:val="00845F92"/>
    <w:rsid w:val="0084608C"/>
    <w:rsid w:val="00846458"/>
    <w:rsid w:val="008464F8"/>
    <w:rsid w:val="00846E12"/>
    <w:rsid w:val="00847213"/>
    <w:rsid w:val="008476D4"/>
    <w:rsid w:val="00847B79"/>
    <w:rsid w:val="00847E0F"/>
    <w:rsid w:val="008503A1"/>
    <w:rsid w:val="00851B00"/>
    <w:rsid w:val="00851BBD"/>
    <w:rsid w:val="00851D99"/>
    <w:rsid w:val="00851DD6"/>
    <w:rsid w:val="00851F88"/>
    <w:rsid w:val="008520CE"/>
    <w:rsid w:val="0085211C"/>
    <w:rsid w:val="008522C1"/>
    <w:rsid w:val="0085272F"/>
    <w:rsid w:val="00852A82"/>
    <w:rsid w:val="00852C6C"/>
    <w:rsid w:val="0085324B"/>
    <w:rsid w:val="00853C62"/>
    <w:rsid w:val="00853D9C"/>
    <w:rsid w:val="00853EC2"/>
    <w:rsid w:val="00853F93"/>
    <w:rsid w:val="00854998"/>
    <w:rsid w:val="00854A12"/>
    <w:rsid w:val="00854BA9"/>
    <w:rsid w:val="00855068"/>
    <w:rsid w:val="008552BC"/>
    <w:rsid w:val="00855402"/>
    <w:rsid w:val="0085544D"/>
    <w:rsid w:val="0085551B"/>
    <w:rsid w:val="00855BD4"/>
    <w:rsid w:val="008564E0"/>
    <w:rsid w:val="00856C72"/>
    <w:rsid w:val="00856FDB"/>
    <w:rsid w:val="00857164"/>
    <w:rsid w:val="00857685"/>
    <w:rsid w:val="00857764"/>
    <w:rsid w:val="00857CF1"/>
    <w:rsid w:val="008600A0"/>
    <w:rsid w:val="00860E68"/>
    <w:rsid w:val="00861102"/>
    <w:rsid w:val="008614E4"/>
    <w:rsid w:val="008617E2"/>
    <w:rsid w:val="00861AE9"/>
    <w:rsid w:val="00862976"/>
    <w:rsid w:val="00862E71"/>
    <w:rsid w:val="0086351C"/>
    <w:rsid w:val="00863E71"/>
    <w:rsid w:val="00864342"/>
    <w:rsid w:val="0086478A"/>
    <w:rsid w:val="00864AC6"/>
    <w:rsid w:val="00864B46"/>
    <w:rsid w:val="00864BD3"/>
    <w:rsid w:val="00864CF5"/>
    <w:rsid w:val="00864DAC"/>
    <w:rsid w:val="00864FFC"/>
    <w:rsid w:val="008651CD"/>
    <w:rsid w:val="00865A8B"/>
    <w:rsid w:val="00865FB6"/>
    <w:rsid w:val="0086600A"/>
    <w:rsid w:val="008662CB"/>
    <w:rsid w:val="00866C85"/>
    <w:rsid w:val="00866F75"/>
    <w:rsid w:val="008670CD"/>
    <w:rsid w:val="008672E3"/>
    <w:rsid w:val="00867417"/>
    <w:rsid w:val="00867438"/>
    <w:rsid w:val="0086763C"/>
    <w:rsid w:val="00867B6B"/>
    <w:rsid w:val="00867C39"/>
    <w:rsid w:val="00867D19"/>
    <w:rsid w:val="00867D47"/>
    <w:rsid w:val="008700FE"/>
    <w:rsid w:val="008708D9"/>
    <w:rsid w:val="00870E1E"/>
    <w:rsid w:val="00870EF4"/>
    <w:rsid w:val="00871288"/>
    <w:rsid w:val="00871574"/>
    <w:rsid w:val="00871FED"/>
    <w:rsid w:val="00872052"/>
    <w:rsid w:val="0087236C"/>
    <w:rsid w:val="008723A5"/>
    <w:rsid w:val="0087250D"/>
    <w:rsid w:val="00872719"/>
    <w:rsid w:val="00872D95"/>
    <w:rsid w:val="0087312C"/>
    <w:rsid w:val="00873E92"/>
    <w:rsid w:val="0087499E"/>
    <w:rsid w:val="00874E86"/>
    <w:rsid w:val="0087592C"/>
    <w:rsid w:val="00875ADA"/>
    <w:rsid w:val="00875C66"/>
    <w:rsid w:val="00875EE1"/>
    <w:rsid w:val="0087660A"/>
    <w:rsid w:val="0087688E"/>
    <w:rsid w:val="00876E87"/>
    <w:rsid w:val="008770C4"/>
    <w:rsid w:val="008771E0"/>
    <w:rsid w:val="008776A1"/>
    <w:rsid w:val="00877911"/>
    <w:rsid w:val="00877997"/>
    <w:rsid w:val="00877A56"/>
    <w:rsid w:val="00877A9B"/>
    <w:rsid w:val="00877B2A"/>
    <w:rsid w:val="00877D3A"/>
    <w:rsid w:val="00877DB1"/>
    <w:rsid w:val="00877FC4"/>
    <w:rsid w:val="008809CA"/>
    <w:rsid w:val="00880DE4"/>
    <w:rsid w:val="008810A7"/>
    <w:rsid w:val="00881780"/>
    <w:rsid w:val="00881D2C"/>
    <w:rsid w:val="00882236"/>
    <w:rsid w:val="008826D0"/>
    <w:rsid w:val="00882708"/>
    <w:rsid w:val="00883230"/>
    <w:rsid w:val="0088330B"/>
    <w:rsid w:val="00883345"/>
    <w:rsid w:val="00883390"/>
    <w:rsid w:val="008836CE"/>
    <w:rsid w:val="00883C36"/>
    <w:rsid w:val="00883DA0"/>
    <w:rsid w:val="008844B8"/>
    <w:rsid w:val="00884555"/>
    <w:rsid w:val="00884887"/>
    <w:rsid w:val="00884ACF"/>
    <w:rsid w:val="00884E9A"/>
    <w:rsid w:val="00884FE8"/>
    <w:rsid w:val="00885292"/>
    <w:rsid w:val="008855E6"/>
    <w:rsid w:val="00885B2C"/>
    <w:rsid w:val="00885D64"/>
    <w:rsid w:val="00885F1B"/>
    <w:rsid w:val="008866EF"/>
    <w:rsid w:val="00886866"/>
    <w:rsid w:val="00886B9C"/>
    <w:rsid w:val="00886CA9"/>
    <w:rsid w:val="00887F85"/>
    <w:rsid w:val="008900A4"/>
    <w:rsid w:val="008901EE"/>
    <w:rsid w:val="00890CEB"/>
    <w:rsid w:val="00891749"/>
    <w:rsid w:val="00891751"/>
    <w:rsid w:val="00891D19"/>
    <w:rsid w:val="008922F2"/>
    <w:rsid w:val="00892A2A"/>
    <w:rsid w:val="0089350A"/>
    <w:rsid w:val="00893A11"/>
    <w:rsid w:val="00893A87"/>
    <w:rsid w:val="00893B2F"/>
    <w:rsid w:val="00893C29"/>
    <w:rsid w:val="0089477A"/>
    <w:rsid w:val="008947CB"/>
    <w:rsid w:val="0089568F"/>
    <w:rsid w:val="0089575C"/>
    <w:rsid w:val="008957F9"/>
    <w:rsid w:val="00895DC7"/>
    <w:rsid w:val="00895F70"/>
    <w:rsid w:val="00895F8D"/>
    <w:rsid w:val="00896114"/>
    <w:rsid w:val="008961B1"/>
    <w:rsid w:val="00896936"/>
    <w:rsid w:val="00896CED"/>
    <w:rsid w:val="00896E5D"/>
    <w:rsid w:val="00897201"/>
    <w:rsid w:val="00897300"/>
    <w:rsid w:val="00897D79"/>
    <w:rsid w:val="008A0581"/>
    <w:rsid w:val="008A0677"/>
    <w:rsid w:val="008A07CB"/>
    <w:rsid w:val="008A14C9"/>
    <w:rsid w:val="008A1B66"/>
    <w:rsid w:val="008A1D04"/>
    <w:rsid w:val="008A1DEA"/>
    <w:rsid w:val="008A1F6D"/>
    <w:rsid w:val="008A20A1"/>
    <w:rsid w:val="008A230C"/>
    <w:rsid w:val="008A270D"/>
    <w:rsid w:val="008A2AD2"/>
    <w:rsid w:val="008A2E8A"/>
    <w:rsid w:val="008A3502"/>
    <w:rsid w:val="008A3509"/>
    <w:rsid w:val="008A3947"/>
    <w:rsid w:val="008A396F"/>
    <w:rsid w:val="008A3C0A"/>
    <w:rsid w:val="008A437D"/>
    <w:rsid w:val="008A501C"/>
    <w:rsid w:val="008A5382"/>
    <w:rsid w:val="008A5899"/>
    <w:rsid w:val="008A5EA0"/>
    <w:rsid w:val="008A630A"/>
    <w:rsid w:val="008A637A"/>
    <w:rsid w:val="008A6CE0"/>
    <w:rsid w:val="008A6F34"/>
    <w:rsid w:val="008A7098"/>
    <w:rsid w:val="008A71A0"/>
    <w:rsid w:val="008A7960"/>
    <w:rsid w:val="008A7976"/>
    <w:rsid w:val="008A7F73"/>
    <w:rsid w:val="008B0283"/>
    <w:rsid w:val="008B0568"/>
    <w:rsid w:val="008B0772"/>
    <w:rsid w:val="008B07BB"/>
    <w:rsid w:val="008B132E"/>
    <w:rsid w:val="008B1D34"/>
    <w:rsid w:val="008B22A9"/>
    <w:rsid w:val="008B235F"/>
    <w:rsid w:val="008B241C"/>
    <w:rsid w:val="008B24DB"/>
    <w:rsid w:val="008B2DCA"/>
    <w:rsid w:val="008B3267"/>
    <w:rsid w:val="008B3379"/>
    <w:rsid w:val="008B33B9"/>
    <w:rsid w:val="008B33FC"/>
    <w:rsid w:val="008B3449"/>
    <w:rsid w:val="008B34BF"/>
    <w:rsid w:val="008B3641"/>
    <w:rsid w:val="008B3B7B"/>
    <w:rsid w:val="008B4098"/>
    <w:rsid w:val="008B4B31"/>
    <w:rsid w:val="008B522E"/>
    <w:rsid w:val="008B523D"/>
    <w:rsid w:val="008B53CC"/>
    <w:rsid w:val="008B5429"/>
    <w:rsid w:val="008B57D1"/>
    <w:rsid w:val="008B61C1"/>
    <w:rsid w:val="008B6689"/>
    <w:rsid w:val="008B6905"/>
    <w:rsid w:val="008B6A0E"/>
    <w:rsid w:val="008B6D98"/>
    <w:rsid w:val="008B6E47"/>
    <w:rsid w:val="008B6FD8"/>
    <w:rsid w:val="008B7174"/>
    <w:rsid w:val="008B736E"/>
    <w:rsid w:val="008B7566"/>
    <w:rsid w:val="008B7691"/>
    <w:rsid w:val="008B7F59"/>
    <w:rsid w:val="008C0435"/>
    <w:rsid w:val="008C0509"/>
    <w:rsid w:val="008C077F"/>
    <w:rsid w:val="008C082E"/>
    <w:rsid w:val="008C093A"/>
    <w:rsid w:val="008C0D71"/>
    <w:rsid w:val="008C0EFB"/>
    <w:rsid w:val="008C1057"/>
    <w:rsid w:val="008C1134"/>
    <w:rsid w:val="008C1180"/>
    <w:rsid w:val="008C14BC"/>
    <w:rsid w:val="008C1B45"/>
    <w:rsid w:val="008C1C30"/>
    <w:rsid w:val="008C1E4F"/>
    <w:rsid w:val="008C20E6"/>
    <w:rsid w:val="008C24D9"/>
    <w:rsid w:val="008C2C1E"/>
    <w:rsid w:val="008C2DD2"/>
    <w:rsid w:val="008C2F6E"/>
    <w:rsid w:val="008C35E6"/>
    <w:rsid w:val="008C39EE"/>
    <w:rsid w:val="008C3B98"/>
    <w:rsid w:val="008C3C19"/>
    <w:rsid w:val="008C3D69"/>
    <w:rsid w:val="008C46DF"/>
    <w:rsid w:val="008C477F"/>
    <w:rsid w:val="008C49E6"/>
    <w:rsid w:val="008C4DD5"/>
    <w:rsid w:val="008C566B"/>
    <w:rsid w:val="008C5761"/>
    <w:rsid w:val="008C5CE2"/>
    <w:rsid w:val="008C63D1"/>
    <w:rsid w:val="008C64B2"/>
    <w:rsid w:val="008C6B22"/>
    <w:rsid w:val="008C6C7B"/>
    <w:rsid w:val="008C6E3C"/>
    <w:rsid w:val="008C72F9"/>
    <w:rsid w:val="008D0E24"/>
    <w:rsid w:val="008D0EC3"/>
    <w:rsid w:val="008D10AE"/>
    <w:rsid w:val="008D1286"/>
    <w:rsid w:val="008D15B1"/>
    <w:rsid w:val="008D16EF"/>
    <w:rsid w:val="008D1B32"/>
    <w:rsid w:val="008D1CD5"/>
    <w:rsid w:val="008D1E52"/>
    <w:rsid w:val="008D1F7C"/>
    <w:rsid w:val="008D22B4"/>
    <w:rsid w:val="008D235F"/>
    <w:rsid w:val="008D28BC"/>
    <w:rsid w:val="008D35EC"/>
    <w:rsid w:val="008D3973"/>
    <w:rsid w:val="008D41A5"/>
    <w:rsid w:val="008D4401"/>
    <w:rsid w:val="008D47F5"/>
    <w:rsid w:val="008D4D94"/>
    <w:rsid w:val="008D55C4"/>
    <w:rsid w:val="008D5FCB"/>
    <w:rsid w:val="008D628E"/>
    <w:rsid w:val="008D666D"/>
    <w:rsid w:val="008D68B7"/>
    <w:rsid w:val="008D6E97"/>
    <w:rsid w:val="008D7577"/>
    <w:rsid w:val="008D7E21"/>
    <w:rsid w:val="008D7FC5"/>
    <w:rsid w:val="008D7FE9"/>
    <w:rsid w:val="008E0089"/>
    <w:rsid w:val="008E0110"/>
    <w:rsid w:val="008E06E4"/>
    <w:rsid w:val="008E06EE"/>
    <w:rsid w:val="008E0750"/>
    <w:rsid w:val="008E096F"/>
    <w:rsid w:val="008E0B50"/>
    <w:rsid w:val="008E0D03"/>
    <w:rsid w:val="008E0EE3"/>
    <w:rsid w:val="008E1172"/>
    <w:rsid w:val="008E1190"/>
    <w:rsid w:val="008E1247"/>
    <w:rsid w:val="008E1657"/>
    <w:rsid w:val="008E1E73"/>
    <w:rsid w:val="008E1F10"/>
    <w:rsid w:val="008E23B3"/>
    <w:rsid w:val="008E245B"/>
    <w:rsid w:val="008E24EC"/>
    <w:rsid w:val="008E2572"/>
    <w:rsid w:val="008E2CA9"/>
    <w:rsid w:val="008E30E6"/>
    <w:rsid w:val="008E3468"/>
    <w:rsid w:val="008E35D0"/>
    <w:rsid w:val="008E399B"/>
    <w:rsid w:val="008E3AFD"/>
    <w:rsid w:val="008E3B51"/>
    <w:rsid w:val="008E3E51"/>
    <w:rsid w:val="008E41E7"/>
    <w:rsid w:val="008E47AB"/>
    <w:rsid w:val="008E4C2A"/>
    <w:rsid w:val="008E4E70"/>
    <w:rsid w:val="008E5008"/>
    <w:rsid w:val="008E66B1"/>
    <w:rsid w:val="008E6B70"/>
    <w:rsid w:val="008E6C7C"/>
    <w:rsid w:val="008E6D88"/>
    <w:rsid w:val="008E71EB"/>
    <w:rsid w:val="008E728C"/>
    <w:rsid w:val="008E738F"/>
    <w:rsid w:val="008E73D7"/>
    <w:rsid w:val="008E7838"/>
    <w:rsid w:val="008E7FDF"/>
    <w:rsid w:val="008F04B2"/>
    <w:rsid w:val="008F0699"/>
    <w:rsid w:val="008F0885"/>
    <w:rsid w:val="008F0AF1"/>
    <w:rsid w:val="008F0BBB"/>
    <w:rsid w:val="008F1060"/>
    <w:rsid w:val="008F16D2"/>
    <w:rsid w:val="008F1B56"/>
    <w:rsid w:val="008F2466"/>
    <w:rsid w:val="008F25A1"/>
    <w:rsid w:val="008F2887"/>
    <w:rsid w:val="008F28F7"/>
    <w:rsid w:val="008F2AF7"/>
    <w:rsid w:val="008F3253"/>
    <w:rsid w:val="008F35E3"/>
    <w:rsid w:val="008F376D"/>
    <w:rsid w:val="008F3920"/>
    <w:rsid w:val="008F3B17"/>
    <w:rsid w:val="008F4825"/>
    <w:rsid w:val="008F50B9"/>
    <w:rsid w:val="008F50BF"/>
    <w:rsid w:val="008F516A"/>
    <w:rsid w:val="008F51C1"/>
    <w:rsid w:val="008F5282"/>
    <w:rsid w:val="008F5974"/>
    <w:rsid w:val="008F5A00"/>
    <w:rsid w:val="008F62EB"/>
    <w:rsid w:val="008F64C2"/>
    <w:rsid w:val="008F64F2"/>
    <w:rsid w:val="008F6AF8"/>
    <w:rsid w:val="008F6D7C"/>
    <w:rsid w:val="008F6DD6"/>
    <w:rsid w:val="00900454"/>
    <w:rsid w:val="0090098C"/>
    <w:rsid w:val="00900B7A"/>
    <w:rsid w:val="00900CC9"/>
    <w:rsid w:val="00900DCB"/>
    <w:rsid w:val="00900FAE"/>
    <w:rsid w:val="009010A7"/>
    <w:rsid w:val="00901E82"/>
    <w:rsid w:val="00901FCB"/>
    <w:rsid w:val="009021BB"/>
    <w:rsid w:val="00902388"/>
    <w:rsid w:val="009024DD"/>
    <w:rsid w:val="0090250B"/>
    <w:rsid w:val="00902C6B"/>
    <w:rsid w:val="00902EC4"/>
    <w:rsid w:val="00903348"/>
    <w:rsid w:val="0090350C"/>
    <w:rsid w:val="00903F7E"/>
    <w:rsid w:val="00903FD8"/>
    <w:rsid w:val="00904D4D"/>
    <w:rsid w:val="0090506F"/>
    <w:rsid w:val="00905311"/>
    <w:rsid w:val="0090559C"/>
    <w:rsid w:val="0090561A"/>
    <w:rsid w:val="00905D93"/>
    <w:rsid w:val="009061AC"/>
    <w:rsid w:val="00906375"/>
    <w:rsid w:val="009064DB"/>
    <w:rsid w:val="009066EB"/>
    <w:rsid w:val="00906F09"/>
    <w:rsid w:val="00907257"/>
    <w:rsid w:val="009072F6"/>
    <w:rsid w:val="00907AAA"/>
    <w:rsid w:val="0091018E"/>
    <w:rsid w:val="00910423"/>
    <w:rsid w:val="00910A3F"/>
    <w:rsid w:val="00910CC6"/>
    <w:rsid w:val="00910D34"/>
    <w:rsid w:val="00910F37"/>
    <w:rsid w:val="00910F72"/>
    <w:rsid w:val="00911495"/>
    <w:rsid w:val="009116AB"/>
    <w:rsid w:val="009118DA"/>
    <w:rsid w:val="009119C2"/>
    <w:rsid w:val="00911A41"/>
    <w:rsid w:val="00911BE1"/>
    <w:rsid w:val="009120F2"/>
    <w:rsid w:val="00912921"/>
    <w:rsid w:val="0091293B"/>
    <w:rsid w:val="00913018"/>
    <w:rsid w:val="0091330A"/>
    <w:rsid w:val="00913495"/>
    <w:rsid w:val="00913B06"/>
    <w:rsid w:val="009141FD"/>
    <w:rsid w:val="009144B7"/>
    <w:rsid w:val="00914867"/>
    <w:rsid w:val="00914CE2"/>
    <w:rsid w:val="00914E8E"/>
    <w:rsid w:val="009151EB"/>
    <w:rsid w:val="009154BC"/>
    <w:rsid w:val="009156B3"/>
    <w:rsid w:val="009159FC"/>
    <w:rsid w:val="00915D1F"/>
    <w:rsid w:val="00916320"/>
    <w:rsid w:val="009165B7"/>
    <w:rsid w:val="009165BC"/>
    <w:rsid w:val="009165C5"/>
    <w:rsid w:val="00916A82"/>
    <w:rsid w:val="00916D39"/>
    <w:rsid w:val="00917002"/>
    <w:rsid w:val="00917431"/>
    <w:rsid w:val="00917713"/>
    <w:rsid w:val="00917851"/>
    <w:rsid w:val="00920230"/>
    <w:rsid w:val="00920576"/>
    <w:rsid w:val="00920585"/>
    <w:rsid w:val="00920B6F"/>
    <w:rsid w:val="009212A4"/>
    <w:rsid w:val="009212DA"/>
    <w:rsid w:val="00921931"/>
    <w:rsid w:val="00921B19"/>
    <w:rsid w:val="00921F10"/>
    <w:rsid w:val="009224B6"/>
    <w:rsid w:val="0092252E"/>
    <w:rsid w:val="009225D2"/>
    <w:rsid w:val="0092275A"/>
    <w:rsid w:val="009229BC"/>
    <w:rsid w:val="00922C7A"/>
    <w:rsid w:val="00922FC2"/>
    <w:rsid w:val="0092304F"/>
    <w:rsid w:val="0092306F"/>
    <w:rsid w:val="00923549"/>
    <w:rsid w:val="00923847"/>
    <w:rsid w:val="00923B7B"/>
    <w:rsid w:val="00924659"/>
    <w:rsid w:val="00924932"/>
    <w:rsid w:val="00924B18"/>
    <w:rsid w:val="00925766"/>
    <w:rsid w:val="00925D29"/>
    <w:rsid w:val="0092613D"/>
    <w:rsid w:val="00926174"/>
    <w:rsid w:val="00926486"/>
    <w:rsid w:val="00926712"/>
    <w:rsid w:val="00926AE1"/>
    <w:rsid w:val="00926C3D"/>
    <w:rsid w:val="00926D84"/>
    <w:rsid w:val="0092711E"/>
    <w:rsid w:val="009276AC"/>
    <w:rsid w:val="00927863"/>
    <w:rsid w:val="00927A38"/>
    <w:rsid w:val="00927A88"/>
    <w:rsid w:val="00927A8E"/>
    <w:rsid w:val="00930482"/>
    <w:rsid w:val="009305C9"/>
    <w:rsid w:val="00930A74"/>
    <w:rsid w:val="00930B6B"/>
    <w:rsid w:val="00930F15"/>
    <w:rsid w:val="00931148"/>
    <w:rsid w:val="00931A63"/>
    <w:rsid w:val="00931ECA"/>
    <w:rsid w:val="009322A9"/>
    <w:rsid w:val="00932351"/>
    <w:rsid w:val="009323DF"/>
    <w:rsid w:val="00932435"/>
    <w:rsid w:val="00932B30"/>
    <w:rsid w:val="0093306B"/>
    <w:rsid w:val="009331A5"/>
    <w:rsid w:val="00933AC3"/>
    <w:rsid w:val="00934000"/>
    <w:rsid w:val="00934320"/>
    <w:rsid w:val="009343AB"/>
    <w:rsid w:val="00934E2E"/>
    <w:rsid w:val="00934E4F"/>
    <w:rsid w:val="00934EB8"/>
    <w:rsid w:val="009352E8"/>
    <w:rsid w:val="00935392"/>
    <w:rsid w:val="00935554"/>
    <w:rsid w:val="0093566A"/>
    <w:rsid w:val="00935770"/>
    <w:rsid w:val="00935966"/>
    <w:rsid w:val="00935B77"/>
    <w:rsid w:val="00935D9D"/>
    <w:rsid w:val="0093638D"/>
    <w:rsid w:val="0093664C"/>
    <w:rsid w:val="00936BED"/>
    <w:rsid w:val="00936C33"/>
    <w:rsid w:val="00936D06"/>
    <w:rsid w:val="00937016"/>
    <w:rsid w:val="0093714E"/>
    <w:rsid w:val="009378C1"/>
    <w:rsid w:val="009379CC"/>
    <w:rsid w:val="00937EFF"/>
    <w:rsid w:val="00940586"/>
    <w:rsid w:val="00940C15"/>
    <w:rsid w:val="00940E5E"/>
    <w:rsid w:val="0094101F"/>
    <w:rsid w:val="0094136D"/>
    <w:rsid w:val="00941FE0"/>
    <w:rsid w:val="0094237B"/>
    <w:rsid w:val="00942702"/>
    <w:rsid w:val="009433AA"/>
    <w:rsid w:val="00943E06"/>
    <w:rsid w:val="0094470C"/>
    <w:rsid w:val="00944A9C"/>
    <w:rsid w:val="00944C41"/>
    <w:rsid w:val="00945567"/>
    <w:rsid w:val="00945724"/>
    <w:rsid w:val="0094577B"/>
    <w:rsid w:val="00945A9C"/>
    <w:rsid w:val="00945BDF"/>
    <w:rsid w:val="00945D4C"/>
    <w:rsid w:val="0094634B"/>
    <w:rsid w:val="00946410"/>
    <w:rsid w:val="0094670F"/>
    <w:rsid w:val="009467F2"/>
    <w:rsid w:val="00946FE5"/>
    <w:rsid w:val="00947063"/>
    <w:rsid w:val="009470D4"/>
    <w:rsid w:val="00947647"/>
    <w:rsid w:val="009476AD"/>
    <w:rsid w:val="00947D4A"/>
    <w:rsid w:val="00950268"/>
    <w:rsid w:val="009504C1"/>
    <w:rsid w:val="00950842"/>
    <w:rsid w:val="009508E3"/>
    <w:rsid w:val="00950931"/>
    <w:rsid w:val="00950AB4"/>
    <w:rsid w:val="00950CBB"/>
    <w:rsid w:val="00951A5D"/>
    <w:rsid w:val="00951BF6"/>
    <w:rsid w:val="0095231B"/>
    <w:rsid w:val="009527F1"/>
    <w:rsid w:val="00952B00"/>
    <w:rsid w:val="00952CF8"/>
    <w:rsid w:val="009534B9"/>
    <w:rsid w:val="00953812"/>
    <w:rsid w:val="009539E3"/>
    <w:rsid w:val="00953A7E"/>
    <w:rsid w:val="00953BFB"/>
    <w:rsid w:val="00953C2E"/>
    <w:rsid w:val="009540CB"/>
    <w:rsid w:val="009543B8"/>
    <w:rsid w:val="00954719"/>
    <w:rsid w:val="00954B65"/>
    <w:rsid w:val="00954CC8"/>
    <w:rsid w:val="00955632"/>
    <w:rsid w:val="00955D9C"/>
    <w:rsid w:val="009562D9"/>
    <w:rsid w:val="00956598"/>
    <w:rsid w:val="00956A2B"/>
    <w:rsid w:val="00957747"/>
    <w:rsid w:val="00957A66"/>
    <w:rsid w:val="00957A69"/>
    <w:rsid w:val="00957E7E"/>
    <w:rsid w:val="009607D7"/>
    <w:rsid w:val="009609C2"/>
    <w:rsid w:val="00960A69"/>
    <w:rsid w:val="00960BCD"/>
    <w:rsid w:val="00960C11"/>
    <w:rsid w:val="00961540"/>
    <w:rsid w:val="00961B80"/>
    <w:rsid w:val="00962104"/>
    <w:rsid w:val="00962853"/>
    <w:rsid w:val="009631C5"/>
    <w:rsid w:val="0096332A"/>
    <w:rsid w:val="00963761"/>
    <w:rsid w:val="00963D09"/>
    <w:rsid w:val="0096442F"/>
    <w:rsid w:val="0096466B"/>
    <w:rsid w:val="00964868"/>
    <w:rsid w:val="00964E34"/>
    <w:rsid w:val="009650A5"/>
    <w:rsid w:val="00965381"/>
    <w:rsid w:val="0096553D"/>
    <w:rsid w:val="0096569E"/>
    <w:rsid w:val="009658E9"/>
    <w:rsid w:val="00965AFB"/>
    <w:rsid w:val="00965D4E"/>
    <w:rsid w:val="00965F8A"/>
    <w:rsid w:val="0096642D"/>
    <w:rsid w:val="0096687D"/>
    <w:rsid w:val="00966A2B"/>
    <w:rsid w:val="00966C65"/>
    <w:rsid w:val="0096706F"/>
    <w:rsid w:val="0096728D"/>
    <w:rsid w:val="00967C68"/>
    <w:rsid w:val="00967EA5"/>
    <w:rsid w:val="00970567"/>
    <w:rsid w:val="0097098C"/>
    <w:rsid w:val="00970CBF"/>
    <w:rsid w:val="00971191"/>
    <w:rsid w:val="009711A0"/>
    <w:rsid w:val="0097125A"/>
    <w:rsid w:val="0097160B"/>
    <w:rsid w:val="00971788"/>
    <w:rsid w:val="009717ED"/>
    <w:rsid w:val="00971AA3"/>
    <w:rsid w:val="00971F3D"/>
    <w:rsid w:val="00972117"/>
    <w:rsid w:val="00972120"/>
    <w:rsid w:val="00972ABA"/>
    <w:rsid w:val="00972B58"/>
    <w:rsid w:val="00972BFE"/>
    <w:rsid w:val="00973215"/>
    <w:rsid w:val="0097371B"/>
    <w:rsid w:val="0097383A"/>
    <w:rsid w:val="00973AEA"/>
    <w:rsid w:val="00973B0E"/>
    <w:rsid w:val="00973B14"/>
    <w:rsid w:val="00973F78"/>
    <w:rsid w:val="0097401B"/>
    <w:rsid w:val="00974168"/>
    <w:rsid w:val="009741EE"/>
    <w:rsid w:val="00974340"/>
    <w:rsid w:val="00974510"/>
    <w:rsid w:val="009746DD"/>
    <w:rsid w:val="0097484F"/>
    <w:rsid w:val="009751F1"/>
    <w:rsid w:val="009753DC"/>
    <w:rsid w:val="009758B9"/>
    <w:rsid w:val="00975C23"/>
    <w:rsid w:val="009763D6"/>
    <w:rsid w:val="00976524"/>
    <w:rsid w:val="00976FD5"/>
    <w:rsid w:val="00977578"/>
    <w:rsid w:val="00977737"/>
    <w:rsid w:val="009806F0"/>
    <w:rsid w:val="00980B1B"/>
    <w:rsid w:val="009811CD"/>
    <w:rsid w:val="009812DE"/>
    <w:rsid w:val="00981515"/>
    <w:rsid w:val="009817C3"/>
    <w:rsid w:val="00982014"/>
    <w:rsid w:val="009820F7"/>
    <w:rsid w:val="009828A4"/>
    <w:rsid w:val="00982AFC"/>
    <w:rsid w:val="00983235"/>
    <w:rsid w:val="009835DF"/>
    <w:rsid w:val="009836A0"/>
    <w:rsid w:val="00983CC8"/>
    <w:rsid w:val="00984839"/>
    <w:rsid w:val="00984E79"/>
    <w:rsid w:val="00985091"/>
    <w:rsid w:val="0098574F"/>
    <w:rsid w:val="009859AB"/>
    <w:rsid w:val="00985A50"/>
    <w:rsid w:val="00985A6E"/>
    <w:rsid w:val="00985F33"/>
    <w:rsid w:val="00986086"/>
    <w:rsid w:val="009866A7"/>
    <w:rsid w:val="00986C02"/>
    <w:rsid w:val="009870EE"/>
    <w:rsid w:val="009872CC"/>
    <w:rsid w:val="00987687"/>
    <w:rsid w:val="00987916"/>
    <w:rsid w:val="00987B7C"/>
    <w:rsid w:val="00990116"/>
    <w:rsid w:val="00990A9F"/>
    <w:rsid w:val="00990B0E"/>
    <w:rsid w:val="00990FAC"/>
    <w:rsid w:val="00991B22"/>
    <w:rsid w:val="00991C9D"/>
    <w:rsid w:val="00991E3F"/>
    <w:rsid w:val="00992086"/>
    <w:rsid w:val="009924F5"/>
    <w:rsid w:val="009925D2"/>
    <w:rsid w:val="0099260A"/>
    <w:rsid w:val="00992D19"/>
    <w:rsid w:val="00992D99"/>
    <w:rsid w:val="00993130"/>
    <w:rsid w:val="00993B69"/>
    <w:rsid w:val="00993FB3"/>
    <w:rsid w:val="00994293"/>
    <w:rsid w:val="00994673"/>
    <w:rsid w:val="00994D62"/>
    <w:rsid w:val="00995B3B"/>
    <w:rsid w:val="00995EF6"/>
    <w:rsid w:val="00996321"/>
    <w:rsid w:val="0099651C"/>
    <w:rsid w:val="00996540"/>
    <w:rsid w:val="0099693A"/>
    <w:rsid w:val="00996B36"/>
    <w:rsid w:val="00996B92"/>
    <w:rsid w:val="00996F49"/>
    <w:rsid w:val="009977A7"/>
    <w:rsid w:val="00997CE9"/>
    <w:rsid w:val="00997D75"/>
    <w:rsid w:val="00997F91"/>
    <w:rsid w:val="009A0A5A"/>
    <w:rsid w:val="009A0FF8"/>
    <w:rsid w:val="009A130D"/>
    <w:rsid w:val="009A1802"/>
    <w:rsid w:val="009A18ED"/>
    <w:rsid w:val="009A19F3"/>
    <w:rsid w:val="009A1A55"/>
    <w:rsid w:val="009A205C"/>
    <w:rsid w:val="009A26CF"/>
    <w:rsid w:val="009A2828"/>
    <w:rsid w:val="009A30E8"/>
    <w:rsid w:val="009A31A7"/>
    <w:rsid w:val="009A3428"/>
    <w:rsid w:val="009A3440"/>
    <w:rsid w:val="009A3AC6"/>
    <w:rsid w:val="009A3E3C"/>
    <w:rsid w:val="009A3E93"/>
    <w:rsid w:val="009A4715"/>
    <w:rsid w:val="009A4944"/>
    <w:rsid w:val="009A4969"/>
    <w:rsid w:val="009A4992"/>
    <w:rsid w:val="009A4BF1"/>
    <w:rsid w:val="009A4CFA"/>
    <w:rsid w:val="009A54BD"/>
    <w:rsid w:val="009A5564"/>
    <w:rsid w:val="009A55FD"/>
    <w:rsid w:val="009A5EBB"/>
    <w:rsid w:val="009A664F"/>
    <w:rsid w:val="009A6AB7"/>
    <w:rsid w:val="009A6DEE"/>
    <w:rsid w:val="009A7004"/>
    <w:rsid w:val="009A7080"/>
    <w:rsid w:val="009A70F7"/>
    <w:rsid w:val="009A7153"/>
    <w:rsid w:val="009A73CB"/>
    <w:rsid w:val="009A7430"/>
    <w:rsid w:val="009A784D"/>
    <w:rsid w:val="009A7865"/>
    <w:rsid w:val="009A7A68"/>
    <w:rsid w:val="009A7E20"/>
    <w:rsid w:val="009B03A0"/>
    <w:rsid w:val="009B0522"/>
    <w:rsid w:val="009B06CF"/>
    <w:rsid w:val="009B0C9F"/>
    <w:rsid w:val="009B1078"/>
    <w:rsid w:val="009B124F"/>
    <w:rsid w:val="009B15C7"/>
    <w:rsid w:val="009B1B1C"/>
    <w:rsid w:val="009B2D25"/>
    <w:rsid w:val="009B2E7C"/>
    <w:rsid w:val="009B2FB7"/>
    <w:rsid w:val="009B30D4"/>
    <w:rsid w:val="009B3771"/>
    <w:rsid w:val="009B3D6A"/>
    <w:rsid w:val="009B40E4"/>
    <w:rsid w:val="009B472D"/>
    <w:rsid w:val="009B477A"/>
    <w:rsid w:val="009B47B0"/>
    <w:rsid w:val="009B4DE1"/>
    <w:rsid w:val="009B4FB8"/>
    <w:rsid w:val="009B51A8"/>
    <w:rsid w:val="009B5FB1"/>
    <w:rsid w:val="009B61D4"/>
    <w:rsid w:val="009B6504"/>
    <w:rsid w:val="009B65A2"/>
    <w:rsid w:val="009B668A"/>
    <w:rsid w:val="009B6DA2"/>
    <w:rsid w:val="009B7039"/>
    <w:rsid w:val="009B728C"/>
    <w:rsid w:val="009B7694"/>
    <w:rsid w:val="009B7CC9"/>
    <w:rsid w:val="009C09DF"/>
    <w:rsid w:val="009C0BB4"/>
    <w:rsid w:val="009C18AE"/>
    <w:rsid w:val="009C1B6A"/>
    <w:rsid w:val="009C1D8B"/>
    <w:rsid w:val="009C300E"/>
    <w:rsid w:val="009C3380"/>
    <w:rsid w:val="009C3702"/>
    <w:rsid w:val="009C379F"/>
    <w:rsid w:val="009C3943"/>
    <w:rsid w:val="009C3AF1"/>
    <w:rsid w:val="009C3F44"/>
    <w:rsid w:val="009C46D0"/>
    <w:rsid w:val="009C4875"/>
    <w:rsid w:val="009C490B"/>
    <w:rsid w:val="009C4B1E"/>
    <w:rsid w:val="009C4B2C"/>
    <w:rsid w:val="009C50DF"/>
    <w:rsid w:val="009C52C6"/>
    <w:rsid w:val="009C5366"/>
    <w:rsid w:val="009C5396"/>
    <w:rsid w:val="009C582C"/>
    <w:rsid w:val="009C589C"/>
    <w:rsid w:val="009C5A2B"/>
    <w:rsid w:val="009C5D5E"/>
    <w:rsid w:val="009C5EAF"/>
    <w:rsid w:val="009C5F6E"/>
    <w:rsid w:val="009C610B"/>
    <w:rsid w:val="009C670A"/>
    <w:rsid w:val="009C7267"/>
    <w:rsid w:val="009C7551"/>
    <w:rsid w:val="009C77DA"/>
    <w:rsid w:val="009C7F70"/>
    <w:rsid w:val="009D03B5"/>
    <w:rsid w:val="009D03EF"/>
    <w:rsid w:val="009D04B0"/>
    <w:rsid w:val="009D0CB5"/>
    <w:rsid w:val="009D1411"/>
    <w:rsid w:val="009D1ED1"/>
    <w:rsid w:val="009D20BD"/>
    <w:rsid w:val="009D2120"/>
    <w:rsid w:val="009D2601"/>
    <w:rsid w:val="009D2789"/>
    <w:rsid w:val="009D27D6"/>
    <w:rsid w:val="009D2C71"/>
    <w:rsid w:val="009D2CCC"/>
    <w:rsid w:val="009D2CF1"/>
    <w:rsid w:val="009D2E0E"/>
    <w:rsid w:val="009D2F23"/>
    <w:rsid w:val="009D2FAC"/>
    <w:rsid w:val="009D2FE5"/>
    <w:rsid w:val="009D3192"/>
    <w:rsid w:val="009D3396"/>
    <w:rsid w:val="009D33D7"/>
    <w:rsid w:val="009D342D"/>
    <w:rsid w:val="009D376C"/>
    <w:rsid w:val="009D37E8"/>
    <w:rsid w:val="009D39BC"/>
    <w:rsid w:val="009D3A30"/>
    <w:rsid w:val="009D3F6B"/>
    <w:rsid w:val="009D41E4"/>
    <w:rsid w:val="009D4E8B"/>
    <w:rsid w:val="009D4F5F"/>
    <w:rsid w:val="009D5273"/>
    <w:rsid w:val="009D5299"/>
    <w:rsid w:val="009D54AB"/>
    <w:rsid w:val="009D5BAB"/>
    <w:rsid w:val="009D5BF5"/>
    <w:rsid w:val="009D5E67"/>
    <w:rsid w:val="009D5EBC"/>
    <w:rsid w:val="009D61FA"/>
    <w:rsid w:val="009D62AD"/>
    <w:rsid w:val="009D6C87"/>
    <w:rsid w:val="009D6DF0"/>
    <w:rsid w:val="009D740C"/>
    <w:rsid w:val="009D7E52"/>
    <w:rsid w:val="009E03B5"/>
    <w:rsid w:val="009E042D"/>
    <w:rsid w:val="009E06BB"/>
    <w:rsid w:val="009E071D"/>
    <w:rsid w:val="009E0FA9"/>
    <w:rsid w:val="009E1023"/>
    <w:rsid w:val="009E103D"/>
    <w:rsid w:val="009E1417"/>
    <w:rsid w:val="009E15DA"/>
    <w:rsid w:val="009E193B"/>
    <w:rsid w:val="009E1CE3"/>
    <w:rsid w:val="009E25E8"/>
    <w:rsid w:val="009E27AF"/>
    <w:rsid w:val="009E2CA1"/>
    <w:rsid w:val="009E3007"/>
    <w:rsid w:val="009E32AE"/>
    <w:rsid w:val="009E33FE"/>
    <w:rsid w:val="009E3C58"/>
    <w:rsid w:val="009E3DAD"/>
    <w:rsid w:val="009E41E1"/>
    <w:rsid w:val="009E42E7"/>
    <w:rsid w:val="009E4627"/>
    <w:rsid w:val="009E4BFC"/>
    <w:rsid w:val="009E4D71"/>
    <w:rsid w:val="009E4EE4"/>
    <w:rsid w:val="009E51A8"/>
    <w:rsid w:val="009E564D"/>
    <w:rsid w:val="009E56BE"/>
    <w:rsid w:val="009E5973"/>
    <w:rsid w:val="009E5A39"/>
    <w:rsid w:val="009E5B3E"/>
    <w:rsid w:val="009E5E47"/>
    <w:rsid w:val="009E615E"/>
    <w:rsid w:val="009E6238"/>
    <w:rsid w:val="009E6596"/>
    <w:rsid w:val="009E681D"/>
    <w:rsid w:val="009E69F9"/>
    <w:rsid w:val="009E71C0"/>
    <w:rsid w:val="009E742E"/>
    <w:rsid w:val="009E7AEC"/>
    <w:rsid w:val="009F00ED"/>
    <w:rsid w:val="009F05BF"/>
    <w:rsid w:val="009F0652"/>
    <w:rsid w:val="009F0778"/>
    <w:rsid w:val="009F07C7"/>
    <w:rsid w:val="009F080C"/>
    <w:rsid w:val="009F0B71"/>
    <w:rsid w:val="009F12E0"/>
    <w:rsid w:val="009F1973"/>
    <w:rsid w:val="009F25F8"/>
    <w:rsid w:val="009F26B4"/>
    <w:rsid w:val="009F282D"/>
    <w:rsid w:val="009F340C"/>
    <w:rsid w:val="009F4392"/>
    <w:rsid w:val="009F4ACB"/>
    <w:rsid w:val="009F4D17"/>
    <w:rsid w:val="009F4DB0"/>
    <w:rsid w:val="009F5D3F"/>
    <w:rsid w:val="009F6206"/>
    <w:rsid w:val="009F64EB"/>
    <w:rsid w:val="009F6B83"/>
    <w:rsid w:val="009F6D1E"/>
    <w:rsid w:val="009F6D66"/>
    <w:rsid w:val="009F6E20"/>
    <w:rsid w:val="009F7151"/>
    <w:rsid w:val="009F7301"/>
    <w:rsid w:val="009F74F3"/>
    <w:rsid w:val="009F7723"/>
    <w:rsid w:val="009F794D"/>
    <w:rsid w:val="009F7D99"/>
    <w:rsid w:val="009F7EE1"/>
    <w:rsid w:val="00A00508"/>
    <w:rsid w:val="00A00CEB"/>
    <w:rsid w:val="00A00D26"/>
    <w:rsid w:val="00A00E93"/>
    <w:rsid w:val="00A015BD"/>
    <w:rsid w:val="00A01A53"/>
    <w:rsid w:val="00A01D7C"/>
    <w:rsid w:val="00A01FEC"/>
    <w:rsid w:val="00A022B1"/>
    <w:rsid w:val="00A0234D"/>
    <w:rsid w:val="00A023EE"/>
    <w:rsid w:val="00A0254F"/>
    <w:rsid w:val="00A0276E"/>
    <w:rsid w:val="00A02F7A"/>
    <w:rsid w:val="00A03439"/>
    <w:rsid w:val="00A03458"/>
    <w:rsid w:val="00A0375B"/>
    <w:rsid w:val="00A03A04"/>
    <w:rsid w:val="00A03A58"/>
    <w:rsid w:val="00A03E7F"/>
    <w:rsid w:val="00A04063"/>
    <w:rsid w:val="00A0410E"/>
    <w:rsid w:val="00A043EF"/>
    <w:rsid w:val="00A045C1"/>
    <w:rsid w:val="00A04CFE"/>
    <w:rsid w:val="00A050D4"/>
    <w:rsid w:val="00A0516E"/>
    <w:rsid w:val="00A05461"/>
    <w:rsid w:val="00A0550A"/>
    <w:rsid w:val="00A05B9E"/>
    <w:rsid w:val="00A05D7F"/>
    <w:rsid w:val="00A05E70"/>
    <w:rsid w:val="00A05EA0"/>
    <w:rsid w:val="00A05F4D"/>
    <w:rsid w:val="00A05FF3"/>
    <w:rsid w:val="00A0604B"/>
    <w:rsid w:val="00A06252"/>
    <w:rsid w:val="00A0655F"/>
    <w:rsid w:val="00A06569"/>
    <w:rsid w:val="00A067F4"/>
    <w:rsid w:val="00A069F0"/>
    <w:rsid w:val="00A06AF0"/>
    <w:rsid w:val="00A06DCB"/>
    <w:rsid w:val="00A07416"/>
    <w:rsid w:val="00A100D1"/>
    <w:rsid w:val="00A105BE"/>
    <w:rsid w:val="00A1069C"/>
    <w:rsid w:val="00A1077E"/>
    <w:rsid w:val="00A10B86"/>
    <w:rsid w:val="00A113C0"/>
    <w:rsid w:val="00A118C3"/>
    <w:rsid w:val="00A11F3F"/>
    <w:rsid w:val="00A11F95"/>
    <w:rsid w:val="00A12061"/>
    <w:rsid w:val="00A12A72"/>
    <w:rsid w:val="00A12DE4"/>
    <w:rsid w:val="00A1372D"/>
    <w:rsid w:val="00A13F89"/>
    <w:rsid w:val="00A14191"/>
    <w:rsid w:val="00A14229"/>
    <w:rsid w:val="00A146DF"/>
    <w:rsid w:val="00A14992"/>
    <w:rsid w:val="00A14CF1"/>
    <w:rsid w:val="00A14D4B"/>
    <w:rsid w:val="00A14EED"/>
    <w:rsid w:val="00A14FC8"/>
    <w:rsid w:val="00A15233"/>
    <w:rsid w:val="00A1547D"/>
    <w:rsid w:val="00A158D2"/>
    <w:rsid w:val="00A15B24"/>
    <w:rsid w:val="00A15BDF"/>
    <w:rsid w:val="00A15EED"/>
    <w:rsid w:val="00A15FFA"/>
    <w:rsid w:val="00A16271"/>
    <w:rsid w:val="00A1673D"/>
    <w:rsid w:val="00A16D0D"/>
    <w:rsid w:val="00A1736E"/>
    <w:rsid w:val="00A1787F"/>
    <w:rsid w:val="00A17C5D"/>
    <w:rsid w:val="00A17FE7"/>
    <w:rsid w:val="00A20040"/>
    <w:rsid w:val="00A20621"/>
    <w:rsid w:val="00A20690"/>
    <w:rsid w:val="00A210C8"/>
    <w:rsid w:val="00A213E5"/>
    <w:rsid w:val="00A21614"/>
    <w:rsid w:val="00A2198C"/>
    <w:rsid w:val="00A21ED4"/>
    <w:rsid w:val="00A22085"/>
    <w:rsid w:val="00A22187"/>
    <w:rsid w:val="00A22257"/>
    <w:rsid w:val="00A22265"/>
    <w:rsid w:val="00A2245D"/>
    <w:rsid w:val="00A22876"/>
    <w:rsid w:val="00A2293A"/>
    <w:rsid w:val="00A22E33"/>
    <w:rsid w:val="00A231CF"/>
    <w:rsid w:val="00A2334C"/>
    <w:rsid w:val="00A233AC"/>
    <w:rsid w:val="00A23619"/>
    <w:rsid w:val="00A237A5"/>
    <w:rsid w:val="00A23AE6"/>
    <w:rsid w:val="00A23CA0"/>
    <w:rsid w:val="00A23E60"/>
    <w:rsid w:val="00A23F6B"/>
    <w:rsid w:val="00A24090"/>
    <w:rsid w:val="00A2420B"/>
    <w:rsid w:val="00A254F3"/>
    <w:rsid w:val="00A25733"/>
    <w:rsid w:val="00A257E0"/>
    <w:rsid w:val="00A2582D"/>
    <w:rsid w:val="00A2593B"/>
    <w:rsid w:val="00A25BE3"/>
    <w:rsid w:val="00A25F04"/>
    <w:rsid w:val="00A25F53"/>
    <w:rsid w:val="00A25F7B"/>
    <w:rsid w:val="00A266A0"/>
    <w:rsid w:val="00A2688F"/>
    <w:rsid w:val="00A26974"/>
    <w:rsid w:val="00A272ED"/>
    <w:rsid w:val="00A27823"/>
    <w:rsid w:val="00A278E3"/>
    <w:rsid w:val="00A3003D"/>
    <w:rsid w:val="00A3006A"/>
    <w:rsid w:val="00A300F9"/>
    <w:rsid w:val="00A301B4"/>
    <w:rsid w:val="00A3048C"/>
    <w:rsid w:val="00A3064A"/>
    <w:rsid w:val="00A30916"/>
    <w:rsid w:val="00A30986"/>
    <w:rsid w:val="00A30A61"/>
    <w:rsid w:val="00A30C25"/>
    <w:rsid w:val="00A30CFF"/>
    <w:rsid w:val="00A3134C"/>
    <w:rsid w:val="00A313C5"/>
    <w:rsid w:val="00A3152E"/>
    <w:rsid w:val="00A31745"/>
    <w:rsid w:val="00A31CF1"/>
    <w:rsid w:val="00A32304"/>
    <w:rsid w:val="00A32850"/>
    <w:rsid w:val="00A328BD"/>
    <w:rsid w:val="00A329DD"/>
    <w:rsid w:val="00A33B0C"/>
    <w:rsid w:val="00A33B68"/>
    <w:rsid w:val="00A33BDA"/>
    <w:rsid w:val="00A33CF9"/>
    <w:rsid w:val="00A34001"/>
    <w:rsid w:val="00A341CB"/>
    <w:rsid w:val="00A34302"/>
    <w:rsid w:val="00A344AB"/>
    <w:rsid w:val="00A344AE"/>
    <w:rsid w:val="00A351E4"/>
    <w:rsid w:val="00A3525D"/>
    <w:rsid w:val="00A35358"/>
    <w:rsid w:val="00A35420"/>
    <w:rsid w:val="00A35578"/>
    <w:rsid w:val="00A356F9"/>
    <w:rsid w:val="00A3596A"/>
    <w:rsid w:val="00A361F1"/>
    <w:rsid w:val="00A36D2E"/>
    <w:rsid w:val="00A376DE"/>
    <w:rsid w:val="00A37DCB"/>
    <w:rsid w:val="00A40117"/>
    <w:rsid w:val="00A408E7"/>
    <w:rsid w:val="00A40FEB"/>
    <w:rsid w:val="00A41097"/>
    <w:rsid w:val="00A412F3"/>
    <w:rsid w:val="00A41342"/>
    <w:rsid w:val="00A413AD"/>
    <w:rsid w:val="00A415AB"/>
    <w:rsid w:val="00A4174B"/>
    <w:rsid w:val="00A41C1A"/>
    <w:rsid w:val="00A41D49"/>
    <w:rsid w:val="00A42513"/>
    <w:rsid w:val="00A42581"/>
    <w:rsid w:val="00A42854"/>
    <w:rsid w:val="00A4297D"/>
    <w:rsid w:val="00A42B98"/>
    <w:rsid w:val="00A42CD2"/>
    <w:rsid w:val="00A430F0"/>
    <w:rsid w:val="00A4384F"/>
    <w:rsid w:val="00A438FF"/>
    <w:rsid w:val="00A44BC5"/>
    <w:rsid w:val="00A44E59"/>
    <w:rsid w:val="00A44F1E"/>
    <w:rsid w:val="00A45425"/>
    <w:rsid w:val="00A45EB1"/>
    <w:rsid w:val="00A46320"/>
    <w:rsid w:val="00A4640C"/>
    <w:rsid w:val="00A465FE"/>
    <w:rsid w:val="00A46756"/>
    <w:rsid w:val="00A46782"/>
    <w:rsid w:val="00A46A99"/>
    <w:rsid w:val="00A46ABF"/>
    <w:rsid w:val="00A46B13"/>
    <w:rsid w:val="00A46CB3"/>
    <w:rsid w:val="00A46FF7"/>
    <w:rsid w:val="00A47345"/>
    <w:rsid w:val="00A47CA3"/>
    <w:rsid w:val="00A47EC1"/>
    <w:rsid w:val="00A50CA2"/>
    <w:rsid w:val="00A50FD8"/>
    <w:rsid w:val="00A51059"/>
    <w:rsid w:val="00A515CE"/>
    <w:rsid w:val="00A51752"/>
    <w:rsid w:val="00A517F8"/>
    <w:rsid w:val="00A518F8"/>
    <w:rsid w:val="00A51BEE"/>
    <w:rsid w:val="00A5228B"/>
    <w:rsid w:val="00A52419"/>
    <w:rsid w:val="00A524D0"/>
    <w:rsid w:val="00A52576"/>
    <w:rsid w:val="00A52AD6"/>
    <w:rsid w:val="00A53088"/>
    <w:rsid w:val="00A530F2"/>
    <w:rsid w:val="00A531D1"/>
    <w:rsid w:val="00A5323B"/>
    <w:rsid w:val="00A5329C"/>
    <w:rsid w:val="00A5379E"/>
    <w:rsid w:val="00A53954"/>
    <w:rsid w:val="00A53BF9"/>
    <w:rsid w:val="00A53DC1"/>
    <w:rsid w:val="00A54204"/>
    <w:rsid w:val="00A542F8"/>
    <w:rsid w:val="00A544EE"/>
    <w:rsid w:val="00A54563"/>
    <w:rsid w:val="00A54DF7"/>
    <w:rsid w:val="00A55549"/>
    <w:rsid w:val="00A55747"/>
    <w:rsid w:val="00A564BE"/>
    <w:rsid w:val="00A56621"/>
    <w:rsid w:val="00A56EA7"/>
    <w:rsid w:val="00A57145"/>
    <w:rsid w:val="00A5731C"/>
    <w:rsid w:val="00A575BE"/>
    <w:rsid w:val="00A60339"/>
    <w:rsid w:val="00A608BF"/>
    <w:rsid w:val="00A608C5"/>
    <w:rsid w:val="00A60BF0"/>
    <w:rsid w:val="00A61316"/>
    <w:rsid w:val="00A61561"/>
    <w:rsid w:val="00A615A7"/>
    <w:rsid w:val="00A61A0C"/>
    <w:rsid w:val="00A61BF4"/>
    <w:rsid w:val="00A61EFB"/>
    <w:rsid w:val="00A62833"/>
    <w:rsid w:val="00A6291F"/>
    <w:rsid w:val="00A63351"/>
    <w:rsid w:val="00A63576"/>
    <w:rsid w:val="00A63622"/>
    <w:rsid w:val="00A63674"/>
    <w:rsid w:val="00A63706"/>
    <w:rsid w:val="00A63D30"/>
    <w:rsid w:val="00A641BD"/>
    <w:rsid w:val="00A6449F"/>
    <w:rsid w:val="00A649FF"/>
    <w:rsid w:val="00A64BE9"/>
    <w:rsid w:val="00A65133"/>
    <w:rsid w:val="00A65360"/>
    <w:rsid w:val="00A65830"/>
    <w:rsid w:val="00A65855"/>
    <w:rsid w:val="00A659B1"/>
    <w:rsid w:val="00A65AAD"/>
    <w:rsid w:val="00A66019"/>
    <w:rsid w:val="00A66059"/>
    <w:rsid w:val="00A66178"/>
    <w:rsid w:val="00A66228"/>
    <w:rsid w:val="00A668B2"/>
    <w:rsid w:val="00A66C31"/>
    <w:rsid w:val="00A6711C"/>
    <w:rsid w:val="00A675EF"/>
    <w:rsid w:val="00A67A15"/>
    <w:rsid w:val="00A67A58"/>
    <w:rsid w:val="00A70116"/>
    <w:rsid w:val="00A70B19"/>
    <w:rsid w:val="00A70C31"/>
    <w:rsid w:val="00A70CFB"/>
    <w:rsid w:val="00A710A9"/>
    <w:rsid w:val="00A7152F"/>
    <w:rsid w:val="00A7170F"/>
    <w:rsid w:val="00A717C8"/>
    <w:rsid w:val="00A7217F"/>
    <w:rsid w:val="00A72578"/>
    <w:rsid w:val="00A72674"/>
    <w:rsid w:val="00A72AFD"/>
    <w:rsid w:val="00A72AFF"/>
    <w:rsid w:val="00A72B0E"/>
    <w:rsid w:val="00A73247"/>
    <w:rsid w:val="00A73867"/>
    <w:rsid w:val="00A74433"/>
    <w:rsid w:val="00A746FA"/>
    <w:rsid w:val="00A75E79"/>
    <w:rsid w:val="00A75F6D"/>
    <w:rsid w:val="00A76039"/>
    <w:rsid w:val="00A764E6"/>
    <w:rsid w:val="00A76FDF"/>
    <w:rsid w:val="00A7702B"/>
    <w:rsid w:val="00A7719B"/>
    <w:rsid w:val="00A773C6"/>
    <w:rsid w:val="00A77924"/>
    <w:rsid w:val="00A77971"/>
    <w:rsid w:val="00A77C2A"/>
    <w:rsid w:val="00A8016B"/>
    <w:rsid w:val="00A804DE"/>
    <w:rsid w:val="00A809DF"/>
    <w:rsid w:val="00A80A92"/>
    <w:rsid w:val="00A81024"/>
    <w:rsid w:val="00A8136D"/>
    <w:rsid w:val="00A81F49"/>
    <w:rsid w:val="00A8216B"/>
    <w:rsid w:val="00A823D2"/>
    <w:rsid w:val="00A827D2"/>
    <w:rsid w:val="00A82940"/>
    <w:rsid w:val="00A82D75"/>
    <w:rsid w:val="00A82EF3"/>
    <w:rsid w:val="00A833DB"/>
    <w:rsid w:val="00A83483"/>
    <w:rsid w:val="00A83523"/>
    <w:rsid w:val="00A84C9C"/>
    <w:rsid w:val="00A84CAE"/>
    <w:rsid w:val="00A84CF7"/>
    <w:rsid w:val="00A85396"/>
    <w:rsid w:val="00A857FB"/>
    <w:rsid w:val="00A85A3E"/>
    <w:rsid w:val="00A85C4E"/>
    <w:rsid w:val="00A85FFC"/>
    <w:rsid w:val="00A865DD"/>
    <w:rsid w:val="00A86649"/>
    <w:rsid w:val="00A86A12"/>
    <w:rsid w:val="00A8717C"/>
    <w:rsid w:val="00A8788E"/>
    <w:rsid w:val="00A8797A"/>
    <w:rsid w:val="00A90603"/>
    <w:rsid w:val="00A90773"/>
    <w:rsid w:val="00A90EB5"/>
    <w:rsid w:val="00A90F95"/>
    <w:rsid w:val="00A91093"/>
    <w:rsid w:val="00A91505"/>
    <w:rsid w:val="00A9173A"/>
    <w:rsid w:val="00A91774"/>
    <w:rsid w:val="00A9180D"/>
    <w:rsid w:val="00A920D3"/>
    <w:rsid w:val="00A92274"/>
    <w:rsid w:val="00A925BB"/>
    <w:rsid w:val="00A92A6B"/>
    <w:rsid w:val="00A92BE5"/>
    <w:rsid w:val="00A92C40"/>
    <w:rsid w:val="00A934C5"/>
    <w:rsid w:val="00A93920"/>
    <w:rsid w:val="00A93CD9"/>
    <w:rsid w:val="00A940D0"/>
    <w:rsid w:val="00A942B5"/>
    <w:rsid w:val="00A94DC5"/>
    <w:rsid w:val="00A94ECC"/>
    <w:rsid w:val="00A95154"/>
    <w:rsid w:val="00A95378"/>
    <w:rsid w:val="00A954D8"/>
    <w:rsid w:val="00A955A8"/>
    <w:rsid w:val="00A95C5E"/>
    <w:rsid w:val="00A95D9E"/>
    <w:rsid w:val="00A95F90"/>
    <w:rsid w:val="00A960BB"/>
    <w:rsid w:val="00A96419"/>
    <w:rsid w:val="00A966AD"/>
    <w:rsid w:val="00A96877"/>
    <w:rsid w:val="00A9694E"/>
    <w:rsid w:val="00A969B8"/>
    <w:rsid w:val="00A96E97"/>
    <w:rsid w:val="00A97075"/>
    <w:rsid w:val="00A970A8"/>
    <w:rsid w:val="00A970D1"/>
    <w:rsid w:val="00A978EB"/>
    <w:rsid w:val="00A97A80"/>
    <w:rsid w:val="00A97D6C"/>
    <w:rsid w:val="00A97D94"/>
    <w:rsid w:val="00A97F91"/>
    <w:rsid w:val="00AA02F7"/>
    <w:rsid w:val="00AA10EF"/>
    <w:rsid w:val="00AA14CA"/>
    <w:rsid w:val="00AA153C"/>
    <w:rsid w:val="00AA1779"/>
    <w:rsid w:val="00AA192D"/>
    <w:rsid w:val="00AA1D00"/>
    <w:rsid w:val="00AA2605"/>
    <w:rsid w:val="00AA2ECC"/>
    <w:rsid w:val="00AA326A"/>
    <w:rsid w:val="00AA3DC2"/>
    <w:rsid w:val="00AA4161"/>
    <w:rsid w:val="00AA45C0"/>
    <w:rsid w:val="00AA4D4B"/>
    <w:rsid w:val="00AA4FA2"/>
    <w:rsid w:val="00AA54CC"/>
    <w:rsid w:val="00AA54E8"/>
    <w:rsid w:val="00AA5798"/>
    <w:rsid w:val="00AA5AE9"/>
    <w:rsid w:val="00AA5BE7"/>
    <w:rsid w:val="00AA5C95"/>
    <w:rsid w:val="00AA5D14"/>
    <w:rsid w:val="00AA64F6"/>
    <w:rsid w:val="00AA65CF"/>
    <w:rsid w:val="00AA670A"/>
    <w:rsid w:val="00AA6888"/>
    <w:rsid w:val="00AA7003"/>
    <w:rsid w:val="00AA7431"/>
    <w:rsid w:val="00AB04D9"/>
    <w:rsid w:val="00AB0BD4"/>
    <w:rsid w:val="00AB0D74"/>
    <w:rsid w:val="00AB18E1"/>
    <w:rsid w:val="00AB1ABF"/>
    <w:rsid w:val="00AB1E0E"/>
    <w:rsid w:val="00AB2058"/>
    <w:rsid w:val="00AB227C"/>
    <w:rsid w:val="00AB2F6C"/>
    <w:rsid w:val="00AB32D0"/>
    <w:rsid w:val="00AB3719"/>
    <w:rsid w:val="00AB3C7E"/>
    <w:rsid w:val="00AB3F74"/>
    <w:rsid w:val="00AB4188"/>
    <w:rsid w:val="00AB4323"/>
    <w:rsid w:val="00AB4670"/>
    <w:rsid w:val="00AB4889"/>
    <w:rsid w:val="00AB539B"/>
    <w:rsid w:val="00AB56A8"/>
    <w:rsid w:val="00AB6A91"/>
    <w:rsid w:val="00AB7153"/>
    <w:rsid w:val="00AB7602"/>
    <w:rsid w:val="00AB7A0E"/>
    <w:rsid w:val="00AB7A20"/>
    <w:rsid w:val="00AB7BB2"/>
    <w:rsid w:val="00AC06AA"/>
    <w:rsid w:val="00AC0EFC"/>
    <w:rsid w:val="00AC10E3"/>
    <w:rsid w:val="00AC1359"/>
    <w:rsid w:val="00AC1B4F"/>
    <w:rsid w:val="00AC1DCB"/>
    <w:rsid w:val="00AC2225"/>
    <w:rsid w:val="00AC2920"/>
    <w:rsid w:val="00AC299F"/>
    <w:rsid w:val="00AC2E56"/>
    <w:rsid w:val="00AC3675"/>
    <w:rsid w:val="00AC3C7C"/>
    <w:rsid w:val="00AC3E9C"/>
    <w:rsid w:val="00AC417A"/>
    <w:rsid w:val="00AC47E5"/>
    <w:rsid w:val="00AC4B1B"/>
    <w:rsid w:val="00AC51F1"/>
    <w:rsid w:val="00AC53BD"/>
    <w:rsid w:val="00AC5BCB"/>
    <w:rsid w:val="00AC5C16"/>
    <w:rsid w:val="00AC5DA9"/>
    <w:rsid w:val="00AC5EE3"/>
    <w:rsid w:val="00AC6120"/>
    <w:rsid w:val="00AC637A"/>
    <w:rsid w:val="00AC6670"/>
    <w:rsid w:val="00AC68B3"/>
    <w:rsid w:val="00AC69E3"/>
    <w:rsid w:val="00AC6BFB"/>
    <w:rsid w:val="00AC7290"/>
    <w:rsid w:val="00AC72C8"/>
    <w:rsid w:val="00AC7B1D"/>
    <w:rsid w:val="00AC7EFA"/>
    <w:rsid w:val="00AD0285"/>
    <w:rsid w:val="00AD03DE"/>
    <w:rsid w:val="00AD05A0"/>
    <w:rsid w:val="00AD0790"/>
    <w:rsid w:val="00AD0BF9"/>
    <w:rsid w:val="00AD12A9"/>
    <w:rsid w:val="00AD12B8"/>
    <w:rsid w:val="00AD13B8"/>
    <w:rsid w:val="00AD16F0"/>
    <w:rsid w:val="00AD1818"/>
    <w:rsid w:val="00AD1D4D"/>
    <w:rsid w:val="00AD1DE2"/>
    <w:rsid w:val="00AD1E89"/>
    <w:rsid w:val="00AD25F3"/>
    <w:rsid w:val="00AD272B"/>
    <w:rsid w:val="00AD2B66"/>
    <w:rsid w:val="00AD2D3D"/>
    <w:rsid w:val="00AD37B2"/>
    <w:rsid w:val="00AD3D11"/>
    <w:rsid w:val="00AD4015"/>
    <w:rsid w:val="00AD48F2"/>
    <w:rsid w:val="00AD49BF"/>
    <w:rsid w:val="00AD4A7D"/>
    <w:rsid w:val="00AD4CC3"/>
    <w:rsid w:val="00AD4E73"/>
    <w:rsid w:val="00AD55DC"/>
    <w:rsid w:val="00AD5C1A"/>
    <w:rsid w:val="00AD5C4D"/>
    <w:rsid w:val="00AD5D0B"/>
    <w:rsid w:val="00AD5DD9"/>
    <w:rsid w:val="00AD6228"/>
    <w:rsid w:val="00AD644C"/>
    <w:rsid w:val="00AD6631"/>
    <w:rsid w:val="00AD6899"/>
    <w:rsid w:val="00AD6987"/>
    <w:rsid w:val="00AD6B17"/>
    <w:rsid w:val="00AD6EC8"/>
    <w:rsid w:val="00AD7049"/>
    <w:rsid w:val="00AD7C8E"/>
    <w:rsid w:val="00AE062C"/>
    <w:rsid w:val="00AE0D3F"/>
    <w:rsid w:val="00AE1328"/>
    <w:rsid w:val="00AE13EF"/>
    <w:rsid w:val="00AE146F"/>
    <w:rsid w:val="00AE18DA"/>
    <w:rsid w:val="00AE1AD7"/>
    <w:rsid w:val="00AE1CE2"/>
    <w:rsid w:val="00AE1D62"/>
    <w:rsid w:val="00AE1E42"/>
    <w:rsid w:val="00AE1ECA"/>
    <w:rsid w:val="00AE22A0"/>
    <w:rsid w:val="00AE22B8"/>
    <w:rsid w:val="00AE238D"/>
    <w:rsid w:val="00AE27E6"/>
    <w:rsid w:val="00AE2979"/>
    <w:rsid w:val="00AE2FB0"/>
    <w:rsid w:val="00AE30EE"/>
    <w:rsid w:val="00AE32C1"/>
    <w:rsid w:val="00AE36FE"/>
    <w:rsid w:val="00AE3797"/>
    <w:rsid w:val="00AE3868"/>
    <w:rsid w:val="00AE39C1"/>
    <w:rsid w:val="00AE3BE9"/>
    <w:rsid w:val="00AE4281"/>
    <w:rsid w:val="00AE43BD"/>
    <w:rsid w:val="00AE5181"/>
    <w:rsid w:val="00AE53FD"/>
    <w:rsid w:val="00AE5803"/>
    <w:rsid w:val="00AE5DD6"/>
    <w:rsid w:val="00AE6FC4"/>
    <w:rsid w:val="00AE722A"/>
    <w:rsid w:val="00AE7982"/>
    <w:rsid w:val="00AE7A30"/>
    <w:rsid w:val="00AE7CF7"/>
    <w:rsid w:val="00AF025A"/>
    <w:rsid w:val="00AF041F"/>
    <w:rsid w:val="00AF04DC"/>
    <w:rsid w:val="00AF0754"/>
    <w:rsid w:val="00AF09B5"/>
    <w:rsid w:val="00AF0CB1"/>
    <w:rsid w:val="00AF0DAA"/>
    <w:rsid w:val="00AF1132"/>
    <w:rsid w:val="00AF1163"/>
    <w:rsid w:val="00AF15F6"/>
    <w:rsid w:val="00AF1643"/>
    <w:rsid w:val="00AF1899"/>
    <w:rsid w:val="00AF1D17"/>
    <w:rsid w:val="00AF1F09"/>
    <w:rsid w:val="00AF24FC"/>
    <w:rsid w:val="00AF33DB"/>
    <w:rsid w:val="00AF35FE"/>
    <w:rsid w:val="00AF36BF"/>
    <w:rsid w:val="00AF3A45"/>
    <w:rsid w:val="00AF3B1C"/>
    <w:rsid w:val="00AF40E3"/>
    <w:rsid w:val="00AF417F"/>
    <w:rsid w:val="00AF46AC"/>
    <w:rsid w:val="00AF47B1"/>
    <w:rsid w:val="00AF4F3C"/>
    <w:rsid w:val="00AF5025"/>
    <w:rsid w:val="00AF586A"/>
    <w:rsid w:val="00AF5E18"/>
    <w:rsid w:val="00AF5F4F"/>
    <w:rsid w:val="00AF61AE"/>
    <w:rsid w:val="00AF63DE"/>
    <w:rsid w:val="00AF6410"/>
    <w:rsid w:val="00AF67BD"/>
    <w:rsid w:val="00AF68EE"/>
    <w:rsid w:val="00AF6983"/>
    <w:rsid w:val="00AF6EE5"/>
    <w:rsid w:val="00AF6EF0"/>
    <w:rsid w:val="00AF7A35"/>
    <w:rsid w:val="00AF7A37"/>
    <w:rsid w:val="00AF7C0B"/>
    <w:rsid w:val="00B00881"/>
    <w:rsid w:val="00B0116D"/>
    <w:rsid w:val="00B011EC"/>
    <w:rsid w:val="00B0156B"/>
    <w:rsid w:val="00B015B7"/>
    <w:rsid w:val="00B016C5"/>
    <w:rsid w:val="00B01771"/>
    <w:rsid w:val="00B018FE"/>
    <w:rsid w:val="00B01BD7"/>
    <w:rsid w:val="00B029C9"/>
    <w:rsid w:val="00B02B89"/>
    <w:rsid w:val="00B02DAE"/>
    <w:rsid w:val="00B02F5D"/>
    <w:rsid w:val="00B03170"/>
    <w:rsid w:val="00B0333A"/>
    <w:rsid w:val="00B03A32"/>
    <w:rsid w:val="00B03B27"/>
    <w:rsid w:val="00B03B6D"/>
    <w:rsid w:val="00B03EFA"/>
    <w:rsid w:val="00B041B0"/>
    <w:rsid w:val="00B04565"/>
    <w:rsid w:val="00B046EE"/>
    <w:rsid w:val="00B0477C"/>
    <w:rsid w:val="00B0532F"/>
    <w:rsid w:val="00B05338"/>
    <w:rsid w:val="00B053EE"/>
    <w:rsid w:val="00B05CAF"/>
    <w:rsid w:val="00B06541"/>
    <w:rsid w:val="00B065CC"/>
    <w:rsid w:val="00B07050"/>
    <w:rsid w:val="00B0729E"/>
    <w:rsid w:val="00B076D7"/>
    <w:rsid w:val="00B1065C"/>
    <w:rsid w:val="00B10716"/>
    <w:rsid w:val="00B10884"/>
    <w:rsid w:val="00B10944"/>
    <w:rsid w:val="00B10CD3"/>
    <w:rsid w:val="00B11157"/>
    <w:rsid w:val="00B118BF"/>
    <w:rsid w:val="00B118CA"/>
    <w:rsid w:val="00B121F2"/>
    <w:rsid w:val="00B12256"/>
    <w:rsid w:val="00B12348"/>
    <w:rsid w:val="00B124EA"/>
    <w:rsid w:val="00B125AF"/>
    <w:rsid w:val="00B125E7"/>
    <w:rsid w:val="00B12989"/>
    <w:rsid w:val="00B129DC"/>
    <w:rsid w:val="00B13202"/>
    <w:rsid w:val="00B13AD1"/>
    <w:rsid w:val="00B13BFA"/>
    <w:rsid w:val="00B13E18"/>
    <w:rsid w:val="00B14075"/>
    <w:rsid w:val="00B14138"/>
    <w:rsid w:val="00B142E6"/>
    <w:rsid w:val="00B148A2"/>
    <w:rsid w:val="00B148E8"/>
    <w:rsid w:val="00B15241"/>
    <w:rsid w:val="00B15A79"/>
    <w:rsid w:val="00B15C05"/>
    <w:rsid w:val="00B15CAB"/>
    <w:rsid w:val="00B1657A"/>
    <w:rsid w:val="00B1679E"/>
    <w:rsid w:val="00B1682C"/>
    <w:rsid w:val="00B16B1A"/>
    <w:rsid w:val="00B173AD"/>
    <w:rsid w:val="00B17754"/>
    <w:rsid w:val="00B2020F"/>
    <w:rsid w:val="00B207AF"/>
    <w:rsid w:val="00B20B33"/>
    <w:rsid w:val="00B20D19"/>
    <w:rsid w:val="00B20EA4"/>
    <w:rsid w:val="00B21009"/>
    <w:rsid w:val="00B21029"/>
    <w:rsid w:val="00B2120A"/>
    <w:rsid w:val="00B21CA6"/>
    <w:rsid w:val="00B22692"/>
    <w:rsid w:val="00B22758"/>
    <w:rsid w:val="00B22E87"/>
    <w:rsid w:val="00B22ED3"/>
    <w:rsid w:val="00B23086"/>
    <w:rsid w:val="00B23832"/>
    <w:rsid w:val="00B23CC6"/>
    <w:rsid w:val="00B23F03"/>
    <w:rsid w:val="00B24032"/>
    <w:rsid w:val="00B241D3"/>
    <w:rsid w:val="00B24508"/>
    <w:rsid w:val="00B24721"/>
    <w:rsid w:val="00B2475E"/>
    <w:rsid w:val="00B24D7C"/>
    <w:rsid w:val="00B254B4"/>
    <w:rsid w:val="00B25992"/>
    <w:rsid w:val="00B25AAF"/>
    <w:rsid w:val="00B25F23"/>
    <w:rsid w:val="00B2631A"/>
    <w:rsid w:val="00B2699C"/>
    <w:rsid w:val="00B2707E"/>
    <w:rsid w:val="00B27693"/>
    <w:rsid w:val="00B2785C"/>
    <w:rsid w:val="00B30C78"/>
    <w:rsid w:val="00B31568"/>
    <w:rsid w:val="00B31C84"/>
    <w:rsid w:val="00B323F5"/>
    <w:rsid w:val="00B32EC0"/>
    <w:rsid w:val="00B33038"/>
    <w:rsid w:val="00B336E0"/>
    <w:rsid w:val="00B338E4"/>
    <w:rsid w:val="00B34685"/>
    <w:rsid w:val="00B3489E"/>
    <w:rsid w:val="00B348DC"/>
    <w:rsid w:val="00B34B7D"/>
    <w:rsid w:val="00B34C78"/>
    <w:rsid w:val="00B34DE4"/>
    <w:rsid w:val="00B34DF3"/>
    <w:rsid w:val="00B35383"/>
    <w:rsid w:val="00B3545D"/>
    <w:rsid w:val="00B35B39"/>
    <w:rsid w:val="00B35C1A"/>
    <w:rsid w:val="00B36098"/>
    <w:rsid w:val="00B360ED"/>
    <w:rsid w:val="00B3615F"/>
    <w:rsid w:val="00B3656C"/>
    <w:rsid w:val="00B36807"/>
    <w:rsid w:val="00B36B26"/>
    <w:rsid w:val="00B36EB6"/>
    <w:rsid w:val="00B3746B"/>
    <w:rsid w:val="00B37E14"/>
    <w:rsid w:val="00B40B3E"/>
    <w:rsid w:val="00B40CFC"/>
    <w:rsid w:val="00B40D4E"/>
    <w:rsid w:val="00B40F43"/>
    <w:rsid w:val="00B41828"/>
    <w:rsid w:val="00B4182D"/>
    <w:rsid w:val="00B421F2"/>
    <w:rsid w:val="00B4266C"/>
    <w:rsid w:val="00B42829"/>
    <w:rsid w:val="00B429A1"/>
    <w:rsid w:val="00B43318"/>
    <w:rsid w:val="00B436BA"/>
    <w:rsid w:val="00B43DDD"/>
    <w:rsid w:val="00B43F3D"/>
    <w:rsid w:val="00B449D7"/>
    <w:rsid w:val="00B44A54"/>
    <w:rsid w:val="00B45427"/>
    <w:rsid w:val="00B45660"/>
    <w:rsid w:val="00B45755"/>
    <w:rsid w:val="00B4577D"/>
    <w:rsid w:val="00B45990"/>
    <w:rsid w:val="00B465F6"/>
    <w:rsid w:val="00B46DBD"/>
    <w:rsid w:val="00B46F9C"/>
    <w:rsid w:val="00B473C1"/>
    <w:rsid w:val="00B47541"/>
    <w:rsid w:val="00B47D70"/>
    <w:rsid w:val="00B50041"/>
    <w:rsid w:val="00B5076F"/>
    <w:rsid w:val="00B51505"/>
    <w:rsid w:val="00B5165D"/>
    <w:rsid w:val="00B516C4"/>
    <w:rsid w:val="00B5183E"/>
    <w:rsid w:val="00B51A1C"/>
    <w:rsid w:val="00B5218C"/>
    <w:rsid w:val="00B5225D"/>
    <w:rsid w:val="00B52991"/>
    <w:rsid w:val="00B531AC"/>
    <w:rsid w:val="00B534DE"/>
    <w:rsid w:val="00B5353F"/>
    <w:rsid w:val="00B5354D"/>
    <w:rsid w:val="00B5373A"/>
    <w:rsid w:val="00B53B9D"/>
    <w:rsid w:val="00B54779"/>
    <w:rsid w:val="00B547CD"/>
    <w:rsid w:val="00B54945"/>
    <w:rsid w:val="00B54B36"/>
    <w:rsid w:val="00B54B3E"/>
    <w:rsid w:val="00B54D1D"/>
    <w:rsid w:val="00B54F75"/>
    <w:rsid w:val="00B551CC"/>
    <w:rsid w:val="00B551F6"/>
    <w:rsid w:val="00B5535F"/>
    <w:rsid w:val="00B55831"/>
    <w:rsid w:val="00B55A75"/>
    <w:rsid w:val="00B55C31"/>
    <w:rsid w:val="00B55C37"/>
    <w:rsid w:val="00B5606E"/>
    <w:rsid w:val="00B5638C"/>
    <w:rsid w:val="00B564D2"/>
    <w:rsid w:val="00B566E7"/>
    <w:rsid w:val="00B56F76"/>
    <w:rsid w:val="00B5762C"/>
    <w:rsid w:val="00B57799"/>
    <w:rsid w:val="00B57C64"/>
    <w:rsid w:val="00B60088"/>
    <w:rsid w:val="00B605AD"/>
    <w:rsid w:val="00B6061F"/>
    <w:rsid w:val="00B60B36"/>
    <w:rsid w:val="00B61247"/>
    <w:rsid w:val="00B614CB"/>
    <w:rsid w:val="00B61A85"/>
    <w:rsid w:val="00B61C98"/>
    <w:rsid w:val="00B61E94"/>
    <w:rsid w:val="00B6222F"/>
    <w:rsid w:val="00B622DA"/>
    <w:rsid w:val="00B622EA"/>
    <w:rsid w:val="00B62500"/>
    <w:rsid w:val="00B626CF"/>
    <w:rsid w:val="00B62FC1"/>
    <w:rsid w:val="00B632B3"/>
    <w:rsid w:val="00B63A2F"/>
    <w:rsid w:val="00B63D58"/>
    <w:rsid w:val="00B63F2C"/>
    <w:rsid w:val="00B6400E"/>
    <w:rsid w:val="00B6408F"/>
    <w:rsid w:val="00B6438E"/>
    <w:rsid w:val="00B6449C"/>
    <w:rsid w:val="00B64BBA"/>
    <w:rsid w:val="00B64EE8"/>
    <w:rsid w:val="00B653D8"/>
    <w:rsid w:val="00B659B4"/>
    <w:rsid w:val="00B65E61"/>
    <w:rsid w:val="00B66555"/>
    <w:rsid w:val="00B6662C"/>
    <w:rsid w:val="00B6676F"/>
    <w:rsid w:val="00B66944"/>
    <w:rsid w:val="00B66CED"/>
    <w:rsid w:val="00B66EAD"/>
    <w:rsid w:val="00B66F16"/>
    <w:rsid w:val="00B674A8"/>
    <w:rsid w:val="00B679A4"/>
    <w:rsid w:val="00B67D77"/>
    <w:rsid w:val="00B67EFB"/>
    <w:rsid w:val="00B703A1"/>
    <w:rsid w:val="00B70869"/>
    <w:rsid w:val="00B70889"/>
    <w:rsid w:val="00B709A1"/>
    <w:rsid w:val="00B70A13"/>
    <w:rsid w:val="00B70EA2"/>
    <w:rsid w:val="00B721E9"/>
    <w:rsid w:val="00B7298A"/>
    <w:rsid w:val="00B72BA6"/>
    <w:rsid w:val="00B73169"/>
    <w:rsid w:val="00B7347A"/>
    <w:rsid w:val="00B73520"/>
    <w:rsid w:val="00B73652"/>
    <w:rsid w:val="00B73771"/>
    <w:rsid w:val="00B73B98"/>
    <w:rsid w:val="00B73F59"/>
    <w:rsid w:val="00B74148"/>
    <w:rsid w:val="00B74578"/>
    <w:rsid w:val="00B74BE4"/>
    <w:rsid w:val="00B74CEB"/>
    <w:rsid w:val="00B75275"/>
    <w:rsid w:val="00B758C8"/>
    <w:rsid w:val="00B759D2"/>
    <w:rsid w:val="00B75D18"/>
    <w:rsid w:val="00B75FA3"/>
    <w:rsid w:val="00B761DA"/>
    <w:rsid w:val="00B7631C"/>
    <w:rsid w:val="00B764A2"/>
    <w:rsid w:val="00B766BB"/>
    <w:rsid w:val="00B77069"/>
    <w:rsid w:val="00B77215"/>
    <w:rsid w:val="00B774A9"/>
    <w:rsid w:val="00B775CE"/>
    <w:rsid w:val="00B77939"/>
    <w:rsid w:val="00B77A34"/>
    <w:rsid w:val="00B77D68"/>
    <w:rsid w:val="00B77F9F"/>
    <w:rsid w:val="00B800DD"/>
    <w:rsid w:val="00B804EC"/>
    <w:rsid w:val="00B8129C"/>
    <w:rsid w:val="00B816EA"/>
    <w:rsid w:val="00B8197C"/>
    <w:rsid w:val="00B81AAF"/>
    <w:rsid w:val="00B81BAE"/>
    <w:rsid w:val="00B81D22"/>
    <w:rsid w:val="00B81E6C"/>
    <w:rsid w:val="00B82229"/>
    <w:rsid w:val="00B8224B"/>
    <w:rsid w:val="00B8232C"/>
    <w:rsid w:val="00B82F7D"/>
    <w:rsid w:val="00B83324"/>
    <w:rsid w:val="00B8409B"/>
    <w:rsid w:val="00B84193"/>
    <w:rsid w:val="00B843F4"/>
    <w:rsid w:val="00B84513"/>
    <w:rsid w:val="00B846F8"/>
    <w:rsid w:val="00B84ACC"/>
    <w:rsid w:val="00B853B4"/>
    <w:rsid w:val="00B853FD"/>
    <w:rsid w:val="00B854E6"/>
    <w:rsid w:val="00B85691"/>
    <w:rsid w:val="00B85D96"/>
    <w:rsid w:val="00B85EBE"/>
    <w:rsid w:val="00B864DF"/>
    <w:rsid w:val="00B86516"/>
    <w:rsid w:val="00B8658A"/>
    <w:rsid w:val="00B86F3D"/>
    <w:rsid w:val="00B8745E"/>
    <w:rsid w:val="00B91129"/>
    <w:rsid w:val="00B9113F"/>
    <w:rsid w:val="00B91434"/>
    <w:rsid w:val="00B9147B"/>
    <w:rsid w:val="00B9196D"/>
    <w:rsid w:val="00B91DB3"/>
    <w:rsid w:val="00B91F65"/>
    <w:rsid w:val="00B922DD"/>
    <w:rsid w:val="00B9230E"/>
    <w:rsid w:val="00B9271C"/>
    <w:rsid w:val="00B93119"/>
    <w:rsid w:val="00B9382F"/>
    <w:rsid w:val="00B93959"/>
    <w:rsid w:val="00B93AFF"/>
    <w:rsid w:val="00B94015"/>
    <w:rsid w:val="00B94158"/>
    <w:rsid w:val="00B94736"/>
    <w:rsid w:val="00B94F05"/>
    <w:rsid w:val="00B94F56"/>
    <w:rsid w:val="00B9563B"/>
    <w:rsid w:val="00B95A6E"/>
    <w:rsid w:val="00B95CA6"/>
    <w:rsid w:val="00B96026"/>
    <w:rsid w:val="00B964C6"/>
    <w:rsid w:val="00B9659F"/>
    <w:rsid w:val="00B96641"/>
    <w:rsid w:val="00B96888"/>
    <w:rsid w:val="00B96B16"/>
    <w:rsid w:val="00B971C2"/>
    <w:rsid w:val="00B97204"/>
    <w:rsid w:val="00B97632"/>
    <w:rsid w:val="00B97991"/>
    <w:rsid w:val="00B97CDE"/>
    <w:rsid w:val="00BA0182"/>
    <w:rsid w:val="00BA06DD"/>
    <w:rsid w:val="00BA0D37"/>
    <w:rsid w:val="00BA0EB1"/>
    <w:rsid w:val="00BA13EB"/>
    <w:rsid w:val="00BA1E5A"/>
    <w:rsid w:val="00BA2190"/>
    <w:rsid w:val="00BA246E"/>
    <w:rsid w:val="00BA2710"/>
    <w:rsid w:val="00BA2950"/>
    <w:rsid w:val="00BA29ED"/>
    <w:rsid w:val="00BA2F83"/>
    <w:rsid w:val="00BA323F"/>
    <w:rsid w:val="00BA3615"/>
    <w:rsid w:val="00BA380E"/>
    <w:rsid w:val="00BA3B24"/>
    <w:rsid w:val="00BA3D28"/>
    <w:rsid w:val="00BA3E3C"/>
    <w:rsid w:val="00BA44E5"/>
    <w:rsid w:val="00BA4CB5"/>
    <w:rsid w:val="00BA4FA2"/>
    <w:rsid w:val="00BA5750"/>
    <w:rsid w:val="00BA5861"/>
    <w:rsid w:val="00BA5B94"/>
    <w:rsid w:val="00BA5E9C"/>
    <w:rsid w:val="00BA6485"/>
    <w:rsid w:val="00BA6C4E"/>
    <w:rsid w:val="00BA6FFB"/>
    <w:rsid w:val="00BA76AF"/>
    <w:rsid w:val="00BA79D3"/>
    <w:rsid w:val="00BA7D2E"/>
    <w:rsid w:val="00BB047C"/>
    <w:rsid w:val="00BB0E46"/>
    <w:rsid w:val="00BB0F35"/>
    <w:rsid w:val="00BB1000"/>
    <w:rsid w:val="00BB14FC"/>
    <w:rsid w:val="00BB18B2"/>
    <w:rsid w:val="00BB1933"/>
    <w:rsid w:val="00BB1949"/>
    <w:rsid w:val="00BB1A60"/>
    <w:rsid w:val="00BB2368"/>
    <w:rsid w:val="00BB23E5"/>
    <w:rsid w:val="00BB275F"/>
    <w:rsid w:val="00BB2A7B"/>
    <w:rsid w:val="00BB305C"/>
    <w:rsid w:val="00BB332E"/>
    <w:rsid w:val="00BB3381"/>
    <w:rsid w:val="00BB4247"/>
    <w:rsid w:val="00BB42B7"/>
    <w:rsid w:val="00BB4530"/>
    <w:rsid w:val="00BB45C0"/>
    <w:rsid w:val="00BB4781"/>
    <w:rsid w:val="00BB47D9"/>
    <w:rsid w:val="00BB49BD"/>
    <w:rsid w:val="00BB5514"/>
    <w:rsid w:val="00BB5552"/>
    <w:rsid w:val="00BB5BE4"/>
    <w:rsid w:val="00BB6028"/>
    <w:rsid w:val="00BB60D0"/>
    <w:rsid w:val="00BB6150"/>
    <w:rsid w:val="00BB671A"/>
    <w:rsid w:val="00BB6773"/>
    <w:rsid w:val="00BB6B29"/>
    <w:rsid w:val="00BB78B5"/>
    <w:rsid w:val="00BB7F31"/>
    <w:rsid w:val="00BB7F3C"/>
    <w:rsid w:val="00BC0116"/>
    <w:rsid w:val="00BC0279"/>
    <w:rsid w:val="00BC05C5"/>
    <w:rsid w:val="00BC0630"/>
    <w:rsid w:val="00BC0869"/>
    <w:rsid w:val="00BC1042"/>
    <w:rsid w:val="00BC140B"/>
    <w:rsid w:val="00BC1A31"/>
    <w:rsid w:val="00BC20D1"/>
    <w:rsid w:val="00BC21C1"/>
    <w:rsid w:val="00BC2931"/>
    <w:rsid w:val="00BC2EDB"/>
    <w:rsid w:val="00BC3588"/>
    <w:rsid w:val="00BC385F"/>
    <w:rsid w:val="00BC3AD0"/>
    <w:rsid w:val="00BC3C6E"/>
    <w:rsid w:val="00BC3E42"/>
    <w:rsid w:val="00BC4294"/>
    <w:rsid w:val="00BC4361"/>
    <w:rsid w:val="00BC4533"/>
    <w:rsid w:val="00BC4AA3"/>
    <w:rsid w:val="00BC4B77"/>
    <w:rsid w:val="00BC5DB5"/>
    <w:rsid w:val="00BC5E1D"/>
    <w:rsid w:val="00BC5F5F"/>
    <w:rsid w:val="00BC6155"/>
    <w:rsid w:val="00BC66C7"/>
    <w:rsid w:val="00BC68E0"/>
    <w:rsid w:val="00BC6C91"/>
    <w:rsid w:val="00BC70C0"/>
    <w:rsid w:val="00BC7AE2"/>
    <w:rsid w:val="00BD04CA"/>
    <w:rsid w:val="00BD0663"/>
    <w:rsid w:val="00BD0831"/>
    <w:rsid w:val="00BD0916"/>
    <w:rsid w:val="00BD0E4F"/>
    <w:rsid w:val="00BD1262"/>
    <w:rsid w:val="00BD1267"/>
    <w:rsid w:val="00BD1340"/>
    <w:rsid w:val="00BD1530"/>
    <w:rsid w:val="00BD1879"/>
    <w:rsid w:val="00BD1D66"/>
    <w:rsid w:val="00BD1E57"/>
    <w:rsid w:val="00BD21E5"/>
    <w:rsid w:val="00BD2282"/>
    <w:rsid w:val="00BD2571"/>
    <w:rsid w:val="00BD2B1B"/>
    <w:rsid w:val="00BD35F1"/>
    <w:rsid w:val="00BD39F3"/>
    <w:rsid w:val="00BD3B61"/>
    <w:rsid w:val="00BD3D70"/>
    <w:rsid w:val="00BD3E0F"/>
    <w:rsid w:val="00BD43A2"/>
    <w:rsid w:val="00BD46D0"/>
    <w:rsid w:val="00BD487D"/>
    <w:rsid w:val="00BD4C6A"/>
    <w:rsid w:val="00BD50A1"/>
    <w:rsid w:val="00BD548A"/>
    <w:rsid w:val="00BD54CC"/>
    <w:rsid w:val="00BD5833"/>
    <w:rsid w:val="00BD5B9F"/>
    <w:rsid w:val="00BD5E51"/>
    <w:rsid w:val="00BD63B0"/>
    <w:rsid w:val="00BD6568"/>
    <w:rsid w:val="00BD6882"/>
    <w:rsid w:val="00BD68C3"/>
    <w:rsid w:val="00BD6BEC"/>
    <w:rsid w:val="00BD7865"/>
    <w:rsid w:val="00BD795C"/>
    <w:rsid w:val="00BD7A13"/>
    <w:rsid w:val="00BD7D9A"/>
    <w:rsid w:val="00BE01DA"/>
    <w:rsid w:val="00BE02AB"/>
    <w:rsid w:val="00BE0965"/>
    <w:rsid w:val="00BE1405"/>
    <w:rsid w:val="00BE158E"/>
    <w:rsid w:val="00BE18BF"/>
    <w:rsid w:val="00BE21F5"/>
    <w:rsid w:val="00BE29E7"/>
    <w:rsid w:val="00BE2C63"/>
    <w:rsid w:val="00BE2CFC"/>
    <w:rsid w:val="00BE3405"/>
    <w:rsid w:val="00BE358B"/>
    <w:rsid w:val="00BE3711"/>
    <w:rsid w:val="00BE3782"/>
    <w:rsid w:val="00BE397C"/>
    <w:rsid w:val="00BE3DA7"/>
    <w:rsid w:val="00BE3E43"/>
    <w:rsid w:val="00BE43C2"/>
    <w:rsid w:val="00BE4714"/>
    <w:rsid w:val="00BE4C65"/>
    <w:rsid w:val="00BE5505"/>
    <w:rsid w:val="00BE5587"/>
    <w:rsid w:val="00BE56D7"/>
    <w:rsid w:val="00BE5C82"/>
    <w:rsid w:val="00BE64CB"/>
    <w:rsid w:val="00BE660D"/>
    <w:rsid w:val="00BE71BB"/>
    <w:rsid w:val="00BE77A1"/>
    <w:rsid w:val="00BE7A8C"/>
    <w:rsid w:val="00BE7AED"/>
    <w:rsid w:val="00BF0248"/>
    <w:rsid w:val="00BF090D"/>
    <w:rsid w:val="00BF0ACD"/>
    <w:rsid w:val="00BF0EE8"/>
    <w:rsid w:val="00BF1085"/>
    <w:rsid w:val="00BF1327"/>
    <w:rsid w:val="00BF1354"/>
    <w:rsid w:val="00BF1637"/>
    <w:rsid w:val="00BF1CC6"/>
    <w:rsid w:val="00BF22BF"/>
    <w:rsid w:val="00BF24D1"/>
    <w:rsid w:val="00BF2B38"/>
    <w:rsid w:val="00BF2BA7"/>
    <w:rsid w:val="00BF2E1A"/>
    <w:rsid w:val="00BF3744"/>
    <w:rsid w:val="00BF3A90"/>
    <w:rsid w:val="00BF3EC1"/>
    <w:rsid w:val="00BF44D0"/>
    <w:rsid w:val="00BF5461"/>
    <w:rsid w:val="00BF5A2A"/>
    <w:rsid w:val="00BF5DFF"/>
    <w:rsid w:val="00BF6042"/>
    <w:rsid w:val="00BF6238"/>
    <w:rsid w:val="00BF6C86"/>
    <w:rsid w:val="00BF759D"/>
    <w:rsid w:val="00BF78B3"/>
    <w:rsid w:val="00BF78C4"/>
    <w:rsid w:val="00BF7B9B"/>
    <w:rsid w:val="00BF7D80"/>
    <w:rsid w:val="00BF7E12"/>
    <w:rsid w:val="00BF7EB8"/>
    <w:rsid w:val="00C002DD"/>
    <w:rsid w:val="00C00308"/>
    <w:rsid w:val="00C00398"/>
    <w:rsid w:val="00C00420"/>
    <w:rsid w:val="00C00576"/>
    <w:rsid w:val="00C008C5"/>
    <w:rsid w:val="00C00A08"/>
    <w:rsid w:val="00C00E56"/>
    <w:rsid w:val="00C0108D"/>
    <w:rsid w:val="00C01130"/>
    <w:rsid w:val="00C016B7"/>
    <w:rsid w:val="00C02924"/>
    <w:rsid w:val="00C02DB9"/>
    <w:rsid w:val="00C03013"/>
    <w:rsid w:val="00C031BD"/>
    <w:rsid w:val="00C03416"/>
    <w:rsid w:val="00C036C0"/>
    <w:rsid w:val="00C03BC3"/>
    <w:rsid w:val="00C03FA1"/>
    <w:rsid w:val="00C04642"/>
    <w:rsid w:val="00C047C8"/>
    <w:rsid w:val="00C054BE"/>
    <w:rsid w:val="00C05525"/>
    <w:rsid w:val="00C0561C"/>
    <w:rsid w:val="00C05736"/>
    <w:rsid w:val="00C0593D"/>
    <w:rsid w:val="00C05DD4"/>
    <w:rsid w:val="00C06194"/>
    <w:rsid w:val="00C0645C"/>
    <w:rsid w:val="00C06B42"/>
    <w:rsid w:val="00C06B61"/>
    <w:rsid w:val="00C07075"/>
    <w:rsid w:val="00C07DAD"/>
    <w:rsid w:val="00C07DB0"/>
    <w:rsid w:val="00C1001C"/>
    <w:rsid w:val="00C1036A"/>
    <w:rsid w:val="00C10637"/>
    <w:rsid w:val="00C10679"/>
    <w:rsid w:val="00C10E6F"/>
    <w:rsid w:val="00C116FE"/>
    <w:rsid w:val="00C11D45"/>
    <w:rsid w:val="00C12678"/>
    <w:rsid w:val="00C1280F"/>
    <w:rsid w:val="00C128AD"/>
    <w:rsid w:val="00C12A84"/>
    <w:rsid w:val="00C13317"/>
    <w:rsid w:val="00C13364"/>
    <w:rsid w:val="00C133D3"/>
    <w:rsid w:val="00C13491"/>
    <w:rsid w:val="00C13626"/>
    <w:rsid w:val="00C1365C"/>
    <w:rsid w:val="00C13940"/>
    <w:rsid w:val="00C14357"/>
    <w:rsid w:val="00C1438C"/>
    <w:rsid w:val="00C14C04"/>
    <w:rsid w:val="00C14C17"/>
    <w:rsid w:val="00C15063"/>
    <w:rsid w:val="00C1559D"/>
    <w:rsid w:val="00C15C20"/>
    <w:rsid w:val="00C15D9C"/>
    <w:rsid w:val="00C16001"/>
    <w:rsid w:val="00C162C0"/>
    <w:rsid w:val="00C1645E"/>
    <w:rsid w:val="00C165BE"/>
    <w:rsid w:val="00C1678C"/>
    <w:rsid w:val="00C169D1"/>
    <w:rsid w:val="00C16EED"/>
    <w:rsid w:val="00C171B6"/>
    <w:rsid w:val="00C17B6C"/>
    <w:rsid w:val="00C2034B"/>
    <w:rsid w:val="00C20356"/>
    <w:rsid w:val="00C20544"/>
    <w:rsid w:val="00C2087D"/>
    <w:rsid w:val="00C21202"/>
    <w:rsid w:val="00C213C0"/>
    <w:rsid w:val="00C219CA"/>
    <w:rsid w:val="00C21BF0"/>
    <w:rsid w:val="00C220DE"/>
    <w:rsid w:val="00C2215C"/>
    <w:rsid w:val="00C22744"/>
    <w:rsid w:val="00C22BC9"/>
    <w:rsid w:val="00C22CF3"/>
    <w:rsid w:val="00C22D18"/>
    <w:rsid w:val="00C22E41"/>
    <w:rsid w:val="00C22FA0"/>
    <w:rsid w:val="00C23230"/>
    <w:rsid w:val="00C23301"/>
    <w:rsid w:val="00C23444"/>
    <w:rsid w:val="00C2375A"/>
    <w:rsid w:val="00C23FA8"/>
    <w:rsid w:val="00C242CD"/>
    <w:rsid w:val="00C24719"/>
    <w:rsid w:val="00C24873"/>
    <w:rsid w:val="00C24EFB"/>
    <w:rsid w:val="00C24F9D"/>
    <w:rsid w:val="00C25330"/>
    <w:rsid w:val="00C256BB"/>
    <w:rsid w:val="00C25903"/>
    <w:rsid w:val="00C25ABE"/>
    <w:rsid w:val="00C25B27"/>
    <w:rsid w:val="00C25C94"/>
    <w:rsid w:val="00C25FD6"/>
    <w:rsid w:val="00C2603B"/>
    <w:rsid w:val="00C26093"/>
    <w:rsid w:val="00C26824"/>
    <w:rsid w:val="00C27317"/>
    <w:rsid w:val="00C27E30"/>
    <w:rsid w:val="00C3017A"/>
    <w:rsid w:val="00C301EC"/>
    <w:rsid w:val="00C302A4"/>
    <w:rsid w:val="00C306F6"/>
    <w:rsid w:val="00C3096B"/>
    <w:rsid w:val="00C30A08"/>
    <w:rsid w:val="00C30B10"/>
    <w:rsid w:val="00C30B21"/>
    <w:rsid w:val="00C30C5F"/>
    <w:rsid w:val="00C30D42"/>
    <w:rsid w:val="00C30D72"/>
    <w:rsid w:val="00C30DAC"/>
    <w:rsid w:val="00C30F92"/>
    <w:rsid w:val="00C310E5"/>
    <w:rsid w:val="00C31992"/>
    <w:rsid w:val="00C31AB8"/>
    <w:rsid w:val="00C31DB5"/>
    <w:rsid w:val="00C31E67"/>
    <w:rsid w:val="00C31F92"/>
    <w:rsid w:val="00C3204C"/>
    <w:rsid w:val="00C3214C"/>
    <w:rsid w:val="00C325F3"/>
    <w:rsid w:val="00C32703"/>
    <w:rsid w:val="00C32741"/>
    <w:rsid w:val="00C3292C"/>
    <w:rsid w:val="00C32B87"/>
    <w:rsid w:val="00C32D46"/>
    <w:rsid w:val="00C3331F"/>
    <w:rsid w:val="00C33589"/>
    <w:rsid w:val="00C335C5"/>
    <w:rsid w:val="00C33F79"/>
    <w:rsid w:val="00C34127"/>
    <w:rsid w:val="00C3413F"/>
    <w:rsid w:val="00C3430C"/>
    <w:rsid w:val="00C343D9"/>
    <w:rsid w:val="00C347D4"/>
    <w:rsid w:val="00C34A98"/>
    <w:rsid w:val="00C34CD2"/>
    <w:rsid w:val="00C34CF2"/>
    <w:rsid w:val="00C34D9F"/>
    <w:rsid w:val="00C34EB2"/>
    <w:rsid w:val="00C35304"/>
    <w:rsid w:val="00C353F7"/>
    <w:rsid w:val="00C35439"/>
    <w:rsid w:val="00C35771"/>
    <w:rsid w:val="00C357C7"/>
    <w:rsid w:val="00C358CE"/>
    <w:rsid w:val="00C35995"/>
    <w:rsid w:val="00C35BD5"/>
    <w:rsid w:val="00C35EFA"/>
    <w:rsid w:val="00C36771"/>
    <w:rsid w:val="00C36E0B"/>
    <w:rsid w:val="00C370BC"/>
    <w:rsid w:val="00C37A79"/>
    <w:rsid w:val="00C37D46"/>
    <w:rsid w:val="00C400E5"/>
    <w:rsid w:val="00C401EF"/>
    <w:rsid w:val="00C4053B"/>
    <w:rsid w:val="00C40DA9"/>
    <w:rsid w:val="00C4130D"/>
    <w:rsid w:val="00C41523"/>
    <w:rsid w:val="00C4228D"/>
    <w:rsid w:val="00C4244B"/>
    <w:rsid w:val="00C426AF"/>
    <w:rsid w:val="00C42985"/>
    <w:rsid w:val="00C42A7E"/>
    <w:rsid w:val="00C42D86"/>
    <w:rsid w:val="00C430B3"/>
    <w:rsid w:val="00C43396"/>
    <w:rsid w:val="00C4352D"/>
    <w:rsid w:val="00C43747"/>
    <w:rsid w:val="00C43BE1"/>
    <w:rsid w:val="00C43DF6"/>
    <w:rsid w:val="00C441D3"/>
    <w:rsid w:val="00C44E37"/>
    <w:rsid w:val="00C44FAF"/>
    <w:rsid w:val="00C45434"/>
    <w:rsid w:val="00C45957"/>
    <w:rsid w:val="00C45D9A"/>
    <w:rsid w:val="00C4600C"/>
    <w:rsid w:val="00C461D6"/>
    <w:rsid w:val="00C46B6A"/>
    <w:rsid w:val="00C46BE7"/>
    <w:rsid w:val="00C474BD"/>
    <w:rsid w:val="00C47D9C"/>
    <w:rsid w:val="00C47E5F"/>
    <w:rsid w:val="00C47E88"/>
    <w:rsid w:val="00C47F5A"/>
    <w:rsid w:val="00C47FE0"/>
    <w:rsid w:val="00C5040A"/>
    <w:rsid w:val="00C506B9"/>
    <w:rsid w:val="00C5078A"/>
    <w:rsid w:val="00C511F5"/>
    <w:rsid w:val="00C512AB"/>
    <w:rsid w:val="00C5177A"/>
    <w:rsid w:val="00C52031"/>
    <w:rsid w:val="00C5205C"/>
    <w:rsid w:val="00C521AA"/>
    <w:rsid w:val="00C5272C"/>
    <w:rsid w:val="00C52B32"/>
    <w:rsid w:val="00C52D00"/>
    <w:rsid w:val="00C532EC"/>
    <w:rsid w:val="00C53615"/>
    <w:rsid w:val="00C537C4"/>
    <w:rsid w:val="00C53D2A"/>
    <w:rsid w:val="00C53D64"/>
    <w:rsid w:val="00C5408F"/>
    <w:rsid w:val="00C54324"/>
    <w:rsid w:val="00C54355"/>
    <w:rsid w:val="00C546D8"/>
    <w:rsid w:val="00C54778"/>
    <w:rsid w:val="00C548B8"/>
    <w:rsid w:val="00C549DF"/>
    <w:rsid w:val="00C55457"/>
    <w:rsid w:val="00C557F7"/>
    <w:rsid w:val="00C55926"/>
    <w:rsid w:val="00C55A74"/>
    <w:rsid w:val="00C56247"/>
    <w:rsid w:val="00C56508"/>
    <w:rsid w:val="00C565C2"/>
    <w:rsid w:val="00C5686E"/>
    <w:rsid w:val="00C56C0B"/>
    <w:rsid w:val="00C56C81"/>
    <w:rsid w:val="00C56F7E"/>
    <w:rsid w:val="00C5739A"/>
    <w:rsid w:val="00C57754"/>
    <w:rsid w:val="00C57A2D"/>
    <w:rsid w:val="00C57D06"/>
    <w:rsid w:val="00C57EAB"/>
    <w:rsid w:val="00C60190"/>
    <w:rsid w:val="00C60314"/>
    <w:rsid w:val="00C60461"/>
    <w:rsid w:val="00C606FC"/>
    <w:rsid w:val="00C6081E"/>
    <w:rsid w:val="00C609BC"/>
    <w:rsid w:val="00C60A2C"/>
    <w:rsid w:val="00C60A9C"/>
    <w:rsid w:val="00C60CB5"/>
    <w:rsid w:val="00C60ED2"/>
    <w:rsid w:val="00C61203"/>
    <w:rsid w:val="00C614D8"/>
    <w:rsid w:val="00C6179E"/>
    <w:rsid w:val="00C619DE"/>
    <w:rsid w:val="00C625CA"/>
    <w:rsid w:val="00C6262B"/>
    <w:rsid w:val="00C62D75"/>
    <w:rsid w:val="00C62F0C"/>
    <w:rsid w:val="00C62F42"/>
    <w:rsid w:val="00C630BD"/>
    <w:rsid w:val="00C63146"/>
    <w:rsid w:val="00C63245"/>
    <w:rsid w:val="00C63679"/>
    <w:rsid w:val="00C638D8"/>
    <w:rsid w:val="00C63CA2"/>
    <w:rsid w:val="00C63D9D"/>
    <w:rsid w:val="00C63E37"/>
    <w:rsid w:val="00C64205"/>
    <w:rsid w:val="00C64655"/>
    <w:rsid w:val="00C6499E"/>
    <w:rsid w:val="00C64A4E"/>
    <w:rsid w:val="00C64B13"/>
    <w:rsid w:val="00C64ED0"/>
    <w:rsid w:val="00C64FF8"/>
    <w:rsid w:val="00C65144"/>
    <w:rsid w:val="00C654F8"/>
    <w:rsid w:val="00C6567C"/>
    <w:rsid w:val="00C65952"/>
    <w:rsid w:val="00C662C8"/>
    <w:rsid w:val="00C666EB"/>
    <w:rsid w:val="00C66AA8"/>
    <w:rsid w:val="00C66B5E"/>
    <w:rsid w:val="00C67225"/>
    <w:rsid w:val="00C67903"/>
    <w:rsid w:val="00C67BC1"/>
    <w:rsid w:val="00C67BEE"/>
    <w:rsid w:val="00C67FB8"/>
    <w:rsid w:val="00C70334"/>
    <w:rsid w:val="00C70591"/>
    <w:rsid w:val="00C70771"/>
    <w:rsid w:val="00C708D1"/>
    <w:rsid w:val="00C70C39"/>
    <w:rsid w:val="00C70D3B"/>
    <w:rsid w:val="00C712E8"/>
    <w:rsid w:val="00C71449"/>
    <w:rsid w:val="00C7169F"/>
    <w:rsid w:val="00C71867"/>
    <w:rsid w:val="00C719C0"/>
    <w:rsid w:val="00C71CF6"/>
    <w:rsid w:val="00C7217F"/>
    <w:rsid w:val="00C721BD"/>
    <w:rsid w:val="00C7241E"/>
    <w:rsid w:val="00C7246A"/>
    <w:rsid w:val="00C72559"/>
    <w:rsid w:val="00C73C45"/>
    <w:rsid w:val="00C73E3E"/>
    <w:rsid w:val="00C73E50"/>
    <w:rsid w:val="00C74227"/>
    <w:rsid w:val="00C742AD"/>
    <w:rsid w:val="00C74457"/>
    <w:rsid w:val="00C747D3"/>
    <w:rsid w:val="00C74B25"/>
    <w:rsid w:val="00C75284"/>
    <w:rsid w:val="00C754F7"/>
    <w:rsid w:val="00C75701"/>
    <w:rsid w:val="00C75D60"/>
    <w:rsid w:val="00C75EB1"/>
    <w:rsid w:val="00C76102"/>
    <w:rsid w:val="00C7724D"/>
    <w:rsid w:val="00C775D7"/>
    <w:rsid w:val="00C77681"/>
    <w:rsid w:val="00C801E7"/>
    <w:rsid w:val="00C80865"/>
    <w:rsid w:val="00C80E5A"/>
    <w:rsid w:val="00C8159A"/>
    <w:rsid w:val="00C815D2"/>
    <w:rsid w:val="00C81A7C"/>
    <w:rsid w:val="00C82217"/>
    <w:rsid w:val="00C82A09"/>
    <w:rsid w:val="00C82A48"/>
    <w:rsid w:val="00C83080"/>
    <w:rsid w:val="00C837D8"/>
    <w:rsid w:val="00C8385D"/>
    <w:rsid w:val="00C84106"/>
    <w:rsid w:val="00C8414A"/>
    <w:rsid w:val="00C84815"/>
    <w:rsid w:val="00C84E62"/>
    <w:rsid w:val="00C85604"/>
    <w:rsid w:val="00C85CCE"/>
    <w:rsid w:val="00C85E19"/>
    <w:rsid w:val="00C862CA"/>
    <w:rsid w:val="00C86403"/>
    <w:rsid w:val="00C8675A"/>
    <w:rsid w:val="00C86B38"/>
    <w:rsid w:val="00C8700D"/>
    <w:rsid w:val="00C871F9"/>
    <w:rsid w:val="00C87750"/>
    <w:rsid w:val="00C87894"/>
    <w:rsid w:val="00C90A1C"/>
    <w:rsid w:val="00C90B10"/>
    <w:rsid w:val="00C90E59"/>
    <w:rsid w:val="00C910A2"/>
    <w:rsid w:val="00C91A88"/>
    <w:rsid w:val="00C91CED"/>
    <w:rsid w:val="00C91FB5"/>
    <w:rsid w:val="00C92115"/>
    <w:rsid w:val="00C925B9"/>
    <w:rsid w:val="00C927B8"/>
    <w:rsid w:val="00C9304F"/>
    <w:rsid w:val="00C930ED"/>
    <w:rsid w:val="00C93B44"/>
    <w:rsid w:val="00C93C56"/>
    <w:rsid w:val="00C9429F"/>
    <w:rsid w:val="00C9456F"/>
    <w:rsid w:val="00C9478F"/>
    <w:rsid w:val="00C94B1B"/>
    <w:rsid w:val="00C94CA1"/>
    <w:rsid w:val="00C94CB2"/>
    <w:rsid w:val="00C950FF"/>
    <w:rsid w:val="00C95296"/>
    <w:rsid w:val="00C95315"/>
    <w:rsid w:val="00C95342"/>
    <w:rsid w:val="00C95464"/>
    <w:rsid w:val="00C95606"/>
    <w:rsid w:val="00C95C6E"/>
    <w:rsid w:val="00C95D9E"/>
    <w:rsid w:val="00C95FD8"/>
    <w:rsid w:val="00C963A5"/>
    <w:rsid w:val="00C96EF4"/>
    <w:rsid w:val="00C97565"/>
    <w:rsid w:val="00C9774D"/>
    <w:rsid w:val="00C97817"/>
    <w:rsid w:val="00C979C0"/>
    <w:rsid w:val="00C979FF"/>
    <w:rsid w:val="00C97D49"/>
    <w:rsid w:val="00CA0803"/>
    <w:rsid w:val="00CA0A0C"/>
    <w:rsid w:val="00CA0B27"/>
    <w:rsid w:val="00CA0FBA"/>
    <w:rsid w:val="00CA120B"/>
    <w:rsid w:val="00CA1637"/>
    <w:rsid w:val="00CA1643"/>
    <w:rsid w:val="00CA1A01"/>
    <w:rsid w:val="00CA1D63"/>
    <w:rsid w:val="00CA1FF9"/>
    <w:rsid w:val="00CA202D"/>
    <w:rsid w:val="00CA22C8"/>
    <w:rsid w:val="00CA238C"/>
    <w:rsid w:val="00CA272A"/>
    <w:rsid w:val="00CA29BC"/>
    <w:rsid w:val="00CA2B42"/>
    <w:rsid w:val="00CA2BE5"/>
    <w:rsid w:val="00CA2F05"/>
    <w:rsid w:val="00CA3357"/>
    <w:rsid w:val="00CA3386"/>
    <w:rsid w:val="00CA42BD"/>
    <w:rsid w:val="00CA44CD"/>
    <w:rsid w:val="00CA476D"/>
    <w:rsid w:val="00CA49C5"/>
    <w:rsid w:val="00CA4B1F"/>
    <w:rsid w:val="00CA4C67"/>
    <w:rsid w:val="00CA5032"/>
    <w:rsid w:val="00CA56B0"/>
    <w:rsid w:val="00CA56DE"/>
    <w:rsid w:val="00CA5803"/>
    <w:rsid w:val="00CA5BA3"/>
    <w:rsid w:val="00CA5CE3"/>
    <w:rsid w:val="00CA5F25"/>
    <w:rsid w:val="00CA6160"/>
    <w:rsid w:val="00CA6329"/>
    <w:rsid w:val="00CA6612"/>
    <w:rsid w:val="00CA677C"/>
    <w:rsid w:val="00CA6927"/>
    <w:rsid w:val="00CA6CA4"/>
    <w:rsid w:val="00CA6F96"/>
    <w:rsid w:val="00CA6FF7"/>
    <w:rsid w:val="00CA7020"/>
    <w:rsid w:val="00CA73BE"/>
    <w:rsid w:val="00CA7B25"/>
    <w:rsid w:val="00CB044F"/>
    <w:rsid w:val="00CB05D0"/>
    <w:rsid w:val="00CB0615"/>
    <w:rsid w:val="00CB0651"/>
    <w:rsid w:val="00CB074D"/>
    <w:rsid w:val="00CB0881"/>
    <w:rsid w:val="00CB0989"/>
    <w:rsid w:val="00CB0A7E"/>
    <w:rsid w:val="00CB0A87"/>
    <w:rsid w:val="00CB0AAD"/>
    <w:rsid w:val="00CB0C26"/>
    <w:rsid w:val="00CB1045"/>
    <w:rsid w:val="00CB14BA"/>
    <w:rsid w:val="00CB1754"/>
    <w:rsid w:val="00CB178D"/>
    <w:rsid w:val="00CB1ACC"/>
    <w:rsid w:val="00CB1B8A"/>
    <w:rsid w:val="00CB1C78"/>
    <w:rsid w:val="00CB2194"/>
    <w:rsid w:val="00CB2318"/>
    <w:rsid w:val="00CB2868"/>
    <w:rsid w:val="00CB2BF3"/>
    <w:rsid w:val="00CB2D0A"/>
    <w:rsid w:val="00CB2F50"/>
    <w:rsid w:val="00CB3102"/>
    <w:rsid w:val="00CB3350"/>
    <w:rsid w:val="00CB33E3"/>
    <w:rsid w:val="00CB379E"/>
    <w:rsid w:val="00CB37E5"/>
    <w:rsid w:val="00CB38D7"/>
    <w:rsid w:val="00CB38EB"/>
    <w:rsid w:val="00CB4168"/>
    <w:rsid w:val="00CB4AA8"/>
    <w:rsid w:val="00CB4FA8"/>
    <w:rsid w:val="00CB5300"/>
    <w:rsid w:val="00CB543A"/>
    <w:rsid w:val="00CB56F5"/>
    <w:rsid w:val="00CB5C2F"/>
    <w:rsid w:val="00CB5DC3"/>
    <w:rsid w:val="00CB5E3C"/>
    <w:rsid w:val="00CB5F6A"/>
    <w:rsid w:val="00CB60BD"/>
    <w:rsid w:val="00CB635D"/>
    <w:rsid w:val="00CB6940"/>
    <w:rsid w:val="00CB6A01"/>
    <w:rsid w:val="00CB6BD4"/>
    <w:rsid w:val="00CB72E7"/>
    <w:rsid w:val="00CB7D8B"/>
    <w:rsid w:val="00CC0038"/>
    <w:rsid w:val="00CC0269"/>
    <w:rsid w:val="00CC02ED"/>
    <w:rsid w:val="00CC0694"/>
    <w:rsid w:val="00CC07DD"/>
    <w:rsid w:val="00CC0B74"/>
    <w:rsid w:val="00CC0E8B"/>
    <w:rsid w:val="00CC1030"/>
    <w:rsid w:val="00CC10D4"/>
    <w:rsid w:val="00CC11DA"/>
    <w:rsid w:val="00CC13CE"/>
    <w:rsid w:val="00CC1433"/>
    <w:rsid w:val="00CC1CF0"/>
    <w:rsid w:val="00CC1F05"/>
    <w:rsid w:val="00CC1F4B"/>
    <w:rsid w:val="00CC24E3"/>
    <w:rsid w:val="00CC25AF"/>
    <w:rsid w:val="00CC28E9"/>
    <w:rsid w:val="00CC318B"/>
    <w:rsid w:val="00CC32D2"/>
    <w:rsid w:val="00CC34D4"/>
    <w:rsid w:val="00CC3545"/>
    <w:rsid w:val="00CC363B"/>
    <w:rsid w:val="00CC3B25"/>
    <w:rsid w:val="00CC3E71"/>
    <w:rsid w:val="00CC3ED5"/>
    <w:rsid w:val="00CC4DB6"/>
    <w:rsid w:val="00CC53FD"/>
    <w:rsid w:val="00CC5461"/>
    <w:rsid w:val="00CC5894"/>
    <w:rsid w:val="00CC5DD8"/>
    <w:rsid w:val="00CC6449"/>
    <w:rsid w:val="00CC6FF2"/>
    <w:rsid w:val="00CC7013"/>
    <w:rsid w:val="00CC7517"/>
    <w:rsid w:val="00CC7637"/>
    <w:rsid w:val="00CC77CA"/>
    <w:rsid w:val="00CC7C14"/>
    <w:rsid w:val="00CD0115"/>
    <w:rsid w:val="00CD0853"/>
    <w:rsid w:val="00CD0918"/>
    <w:rsid w:val="00CD09AF"/>
    <w:rsid w:val="00CD0A7E"/>
    <w:rsid w:val="00CD0C22"/>
    <w:rsid w:val="00CD15A8"/>
    <w:rsid w:val="00CD1732"/>
    <w:rsid w:val="00CD17CD"/>
    <w:rsid w:val="00CD1901"/>
    <w:rsid w:val="00CD1F34"/>
    <w:rsid w:val="00CD22D2"/>
    <w:rsid w:val="00CD2668"/>
    <w:rsid w:val="00CD269F"/>
    <w:rsid w:val="00CD2C02"/>
    <w:rsid w:val="00CD2C77"/>
    <w:rsid w:val="00CD2C7A"/>
    <w:rsid w:val="00CD2CED"/>
    <w:rsid w:val="00CD3058"/>
    <w:rsid w:val="00CD35B9"/>
    <w:rsid w:val="00CD3618"/>
    <w:rsid w:val="00CD374A"/>
    <w:rsid w:val="00CD3B43"/>
    <w:rsid w:val="00CD3C3D"/>
    <w:rsid w:val="00CD3C94"/>
    <w:rsid w:val="00CD3DE9"/>
    <w:rsid w:val="00CD4096"/>
    <w:rsid w:val="00CD4100"/>
    <w:rsid w:val="00CD43D1"/>
    <w:rsid w:val="00CD4CD9"/>
    <w:rsid w:val="00CD53DC"/>
    <w:rsid w:val="00CD5D36"/>
    <w:rsid w:val="00CD5EC1"/>
    <w:rsid w:val="00CD60A0"/>
    <w:rsid w:val="00CD6468"/>
    <w:rsid w:val="00CD6498"/>
    <w:rsid w:val="00CD653A"/>
    <w:rsid w:val="00CD6799"/>
    <w:rsid w:val="00CD6AFE"/>
    <w:rsid w:val="00CD6DD9"/>
    <w:rsid w:val="00CD7367"/>
    <w:rsid w:val="00CD73A4"/>
    <w:rsid w:val="00CD7835"/>
    <w:rsid w:val="00CD7880"/>
    <w:rsid w:val="00CD7A91"/>
    <w:rsid w:val="00CD7FBF"/>
    <w:rsid w:val="00CE0047"/>
    <w:rsid w:val="00CE044F"/>
    <w:rsid w:val="00CE089E"/>
    <w:rsid w:val="00CE0B15"/>
    <w:rsid w:val="00CE1258"/>
    <w:rsid w:val="00CE1372"/>
    <w:rsid w:val="00CE13CE"/>
    <w:rsid w:val="00CE179E"/>
    <w:rsid w:val="00CE1887"/>
    <w:rsid w:val="00CE18DD"/>
    <w:rsid w:val="00CE1C89"/>
    <w:rsid w:val="00CE1E6F"/>
    <w:rsid w:val="00CE23C4"/>
    <w:rsid w:val="00CE259D"/>
    <w:rsid w:val="00CE266E"/>
    <w:rsid w:val="00CE2E6D"/>
    <w:rsid w:val="00CE31E4"/>
    <w:rsid w:val="00CE32CE"/>
    <w:rsid w:val="00CE3A3F"/>
    <w:rsid w:val="00CE3C4B"/>
    <w:rsid w:val="00CE40C6"/>
    <w:rsid w:val="00CE4145"/>
    <w:rsid w:val="00CE4DD7"/>
    <w:rsid w:val="00CE4F76"/>
    <w:rsid w:val="00CE5096"/>
    <w:rsid w:val="00CE52D4"/>
    <w:rsid w:val="00CE553A"/>
    <w:rsid w:val="00CE5D22"/>
    <w:rsid w:val="00CE5DC0"/>
    <w:rsid w:val="00CE5FB6"/>
    <w:rsid w:val="00CE6192"/>
    <w:rsid w:val="00CE69BC"/>
    <w:rsid w:val="00CE6C3E"/>
    <w:rsid w:val="00CE7083"/>
    <w:rsid w:val="00CE7460"/>
    <w:rsid w:val="00CE746D"/>
    <w:rsid w:val="00CE75A5"/>
    <w:rsid w:val="00CE78A9"/>
    <w:rsid w:val="00CE7BFB"/>
    <w:rsid w:val="00CE7D8A"/>
    <w:rsid w:val="00CE7E2A"/>
    <w:rsid w:val="00CF044D"/>
    <w:rsid w:val="00CF07AF"/>
    <w:rsid w:val="00CF0F02"/>
    <w:rsid w:val="00CF1142"/>
    <w:rsid w:val="00CF14F3"/>
    <w:rsid w:val="00CF1CCA"/>
    <w:rsid w:val="00CF234D"/>
    <w:rsid w:val="00CF2818"/>
    <w:rsid w:val="00CF2F0F"/>
    <w:rsid w:val="00CF326F"/>
    <w:rsid w:val="00CF3A6C"/>
    <w:rsid w:val="00CF3F50"/>
    <w:rsid w:val="00CF3FDA"/>
    <w:rsid w:val="00CF4347"/>
    <w:rsid w:val="00CF5392"/>
    <w:rsid w:val="00CF5398"/>
    <w:rsid w:val="00CF577A"/>
    <w:rsid w:val="00CF57A0"/>
    <w:rsid w:val="00CF580F"/>
    <w:rsid w:val="00CF5D8A"/>
    <w:rsid w:val="00CF5FC2"/>
    <w:rsid w:val="00CF603A"/>
    <w:rsid w:val="00CF61BE"/>
    <w:rsid w:val="00CF6308"/>
    <w:rsid w:val="00CF63FD"/>
    <w:rsid w:val="00CF69D1"/>
    <w:rsid w:val="00CF69E2"/>
    <w:rsid w:val="00CF6B5C"/>
    <w:rsid w:val="00CF6FC7"/>
    <w:rsid w:val="00CF7587"/>
    <w:rsid w:val="00D0026E"/>
    <w:rsid w:val="00D00D09"/>
    <w:rsid w:val="00D0100F"/>
    <w:rsid w:val="00D01203"/>
    <w:rsid w:val="00D0128A"/>
    <w:rsid w:val="00D01433"/>
    <w:rsid w:val="00D016EB"/>
    <w:rsid w:val="00D017D2"/>
    <w:rsid w:val="00D01CE4"/>
    <w:rsid w:val="00D03167"/>
    <w:rsid w:val="00D03210"/>
    <w:rsid w:val="00D0397B"/>
    <w:rsid w:val="00D03E83"/>
    <w:rsid w:val="00D041A0"/>
    <w:rsid w:val="00D04312"/>
    <w:rsid w:val="00D04496"/>
    <w:rsid w:val="00D04569"/>
    <w:rsid w:val="00D049F6"/>
    <w:rsid w:val="00D05EBD"/>
    <w:rsid w:val="00D05F2C"/>
    <w:rsid w:val="00D05FEB"/>
    <w:rsid w:val="00D061C6"/>
    <w:rsid w:val="00D067EE"/>
    <w:rsid w:val="00D06E4E"/>
    <w:rsid w:val="00D07056"/>
    <w:rsid w:val="00D070F5"/>
    <w:rsid w:val="00D079EC"/>
    <w:rsid w:val="00D07A86"/>
    <w:rsid w:val="00D07CAA"/>
    <w:rsid w:val="00D100AD"/>
    <w:rsid w:val="00D104C7"/>
    <w:rsid w:val="00D1059C"/>
    <w:rsid w:val="00D10757"/>
    <w:rsid w:val="00D108A2"/>
    <w:rsid w:val="00D1154B"/>
    <w:rsid w:val="00D11899"/>
    <w:rsid w:val="00D11B54"/>
    <w:rsid w:val="00D11B91"/>
    <w:rsid w:val="00D11CB2"/>
    <w:rsid w:val="00D11DA7"/>
    <w:rsid w:val="00D12237"/>
    <w:rsid w:val="00D12312"/>
    <w:rsid w:val="00D12575"/>
    <w:rsid w:val="00D1276B"/>
    <w:rsid w:val="00D128FD"/>
    <w:rsid w:val="00D12948"/>
    <w:rsid w:val="00D12F59"/>
    <w:rsid w:val="00D13804"/>
    <w:rsid w:val="00D13FBE"/>
    <w:rsid w:val="00D13FD1"/>
    <w:rsid w:val="00D145D1"/>
    <w:rsid w:val="00D14A94"/>
    <w:rsid w:val="00D14DD0"/>
    <w:rsid w:val="00D155D4"/>
    <w:rsid w:val="00D15881"/>
    <w:rsid w:val="00D15D81"/>
    <w:rsid w:val="00D15E9B"/>
    <w:rsid w:val="00D16528"/>
    <w:rsid w:val="00D17231"/>
    <w:rsid w:val="00D17353"/>
    <w:rsid w:val="00D1738A"/>
    <w:rsid w:val="00D173B8"/>
    <w:rsid w:val="00D1755E"/>
    <w:rsid w:val="00D17E71"/>
    <w:rsid w:val="00D2007B"/>
    <w:rsid w:val="00D2021F"/>
    <w:rsid w:val="00D20492"/>
    <w:rsid w:val="00D20504"/>
    <w:rsid w:val="00D20800"/>
    <w:rsid w:val="00D20840"/>
    <w:rsid w:val="00D2091F"/>
    <w:rsid w:val="00D20FA2"/>
    <w:rsid w:val="00D213F9"/>
    <w:rsid w:val="00D2146C"/>
    <w:rsid w:val="00D215AE"/>
    <w:rsid w:val="00D217C1"/>
    <w:rsid w:val="00D22288"/>
    <w:rsid w:val="00D22552"/>
    <w:rsid w:val="00D2291D"/>
    <w:rsid w:val="00D22997"/>
    <w:rsid w:val="00D22D9F"/>
    <w:rsid w:val="00D23007"/>
    <w:rsid w:val="00D245BA"/>
    <w:rsid w:val="00D249ED"/>
    <w:rsid w:val="00D25027"/>
    <w:rsid w:val="00D25159"/>
    <w:rsid w:val="00D2564D"/>
    <w:rsid w:val="00D25833"/>
    <w:rsid w:val="00D25D35"/>
    <w:rsid w:val="00D264C5"/>
    <w:rsid w:val="00D26A97"/>
    <w:rsid w:val="00D26B13"/>
    <w:rsid w:val="00D26D0E"/>
    <w:rsid w:val="00D26F8B"/>
    <w:rsid w:val="00D26FC8"/>
    <w:rsid w:val="00D2741E"/>
    <w:rsid w:val="00D274CB"/>
    <w:rsid w:val="00D27687"/>
    <w:rsid w:val="00D301BF"/>
    <w:rsid w:val="00D302F1"/>
    <w:rsid w:val="00D30432"/>
    <w:rsid w:val="00D30443"/>
    <w:rsid w:val="00D30499"/>
    <w:rsid w:val="00D30A86"/>
    <w:rsid w:val="00D30E54"/>
    <w:rsid w:val="00D310D3"/>
    <w:rsid w:val="00D3139D"/>
    <w:rsid w:val="00D315F7"/>
    <w:rsid w:val="00D31916"/>
    <w:rsid w:val="00D32325"/>
    <w:rsid w:val="00D324E2"/>
    <w:rsid w:val="00D32E4C"/>
    <w:rsid w:val="00D3328D"/>
    <w:rsid w:val="00D333E3"/>
    <w:rsid w:val="00D33497"/>
    <w:rsid w:val="00D3371A"/>
    <w:rsid w:val="00D33C04"/>
    <w:rsid w:val="00D33DDE"/>
    <w:rsid w:val="00D34664"/>
    <w:rsid w:val="00D348A6"/>
    <w:rsid w:val="00D356AD"/>
    <w:rsid w:val="00D35B17"/>
    <w:rsid w:val="00D35CF8"/>
    <w:rsid w:val="00D36346"/>
    <w:rsid w:val="00D36A42"/>
    <w:rsid w:val="00D36C74"/>
    <w:rsid w:val="00D36C94"/>
    <w:rsid w:val="00D36E2A"/>
    <w:rsid w:val="00D36F69"/>
    <w:rsid w:val="00D37026"/>
    <w:rsid w:val="00D37C25"/>
    <w:rsid w:val="00D37D07"/>
    <w:rsid w:val="00D37EAB"/>
    <w:rsid w:val="00D37FD1"/>
    <w:rsid w:val="00D40186"/>
    <w:rsid w:val="00D41015"/>
    <w:rsid w:val="00D41045"/>
    <w:rsid w:val="00D42060"/>
    <w:rsid w:val="00D421D1"/>
    <w:rsid w:val="00D429CE"/>
    <w:rsid w:val="00D431BB"/>
    <w:rsid w:val="00D43588"/>
    <w:rsid w:val="00D436EA"/>
    <w:rsid w:val="00D44121"/>
    <w:rsid w:val="00D447D4"/>
    <w:rsid w:val="00D449F4"/>
    <w:rsid w:val="00D44A4F"/>
    <w:rsid w:val="00D44B26"/>
    <w:rsid w:val="00D44B45"/>
    <w:rsid w:val="00D44C90"/>
    <w:rsid w:val="00D44D52"/>
    <w:rsid w:val="00D45074"/>
    <w:rsid w:val="00D4534E"/>
    <w:rsid w:val="00D4572D"/>
    <w:rsid w:val="00D45AD9"/>
    <w:rsid w:val="00D45F7A"/>
    <w:rsid w:val="00D46030"/>
    <w:rsid w:val="00D462CC"/>
    <w:rsid w:val="00D469D5"/>
    <w:rsid w:val="00D46EA1"/>
    <w:rsid w:val="00D47403"/>
    <w:rsid w:val="00D474BD"/>
    <w:rsid w:val="00D478B3"/>
    <w:rsid w:val="00D47EA7"/>
    <w:rsid w:val="00D50281"/>
    <w:rsid w:val="00D5034C"/>
    <w:rsid w:val="00D503C7"/>
    <w:rsid w:val="00D5064D"/>
    <w:rsid w:val="00D50664"/>
    <w:rsid w:val="00D52330"/>
    <w:rsid w:val="00D52415"/>
    <w:rsid w:val="00D524F6"/>
    <w:rsid w:val="00D52737"/>
    <w:rsid w:val="00D52B11"/>
    <w:rsid w:val="00D52F56"/>
    <w:rsid w:val="00D53788"/>
    <w:rsid w:val="00D5379B"/>
    <w:rsid w:val="00D53B26"/>
    <w:rsid w:val="00D53D2A"/>
    <w:rsid w:val="00D54158"/>
    <w:rsid w:val="00D541C2"/>
    <w:rsid w:val="00D545ED"/>
    <w:rsid w:val="00D54AE3"/>
    <w:rsid w:val="00D54ECB"/>
    <w:rsid w:val="00D55ECD"/>
    <w:rsid w:val="00D56017"/>
    <w:rsid w:val="00D56430"/>
    <w:rsid w:val="00D56881"/>
    <w:rsid w:val="00D56959"/>
    <w:rsid w:val="00D56B11"/>
    <w:rsid w:val="00D56CEA"/>
    <w:rsid w:val="00D56F2A"/>
    <w:rsid w:val="00D56FC2"/>
    <w:rsid w:val="00D57242"/>
    <w:rsid w:val="00D603B5"/>
    <w:rsid w:val="00D605D3"/>
    <w:rsid w:val="00D60870"/>
    <w:rsid w:val="00D60B0F"/>
    <w:rsid w:val="00D60EF6"/>
    <w:rsid w:val="00D60F69"/>
    <w:rsid w:val="00D61A13"/>
    <w:rsid w:val="00D61A44"/>
    <w:rsid w:val="00D61EBF"/>
    <w:rsid w:val="00D622E5"/>
    <w:rsid w:val="00D62581"/>
    <w:rsid w:val="00D627A2"/>
    <w:rsid w:val="00D62B0B"/>
    <w:rsid w:val="00D62D2E"/>
    <w:rsid w:val="00D62E8F"/>
    <w:rsid w:val="00D63842"/>
    <w:rsid w:val="00D6389C"/>
    <w:rsid w:val="00D6396D"/>
    <w:rsid w:val="00D63B4D"/>
    <w:rsid w:val="00D63E2C"/>
    <w:rsid w:val="00D64509"/>
    <w:rsid w:val="00D64701"/>
    <w:rsid w:val="00D6485F"/>
    <w:rsid w:val="00D648A4"/>
    <w:rsid w:val="00D65098"/>
    <w:rsid w:val="00D65447"/>
    <w:rsid w:val="00D657BE"/>
    <w:rsid w:val="00D65837"/>
    <w:rsid w:val="00D65CD7"/>
    <w:rsid w:val="00D65E3A"/>
    <w:rsid w:val="00D6627F"/>
    <w:rsid w:val="00D662EC"/>
    <w:rsid w:val="00D66304"/>
    <w:rsid w:val="00D6634F"/>
    <w:rsid w:val="00D666FF"/>
    <w:rsid w:val="00D667E0"/>
    <w:rsid w:val="00D66EFD"/>
    <w:rsid w:val="00D67764"/>
    <w:rsid w:val="00D67AF4"/>
    <w:rsid w:val="00D67D32"/>
    <w:rsid w:val="00D67E51"/>
    <w:rsid w:val="00D701CA"/>
    <w:rsid w:val="00D705F1"/>
    <w:rsid w:val="00D70808"/>
    <w:rsid w:val="00D71AF6"/>
    <w:rsid w:val="00D71DDA"/>
    <w:rsid w:val="00D721DD"/>
    <w:rsid w:val="00D721E2"/>
    <w:rsid w:val="00D7249E"/>
    <w:rsid w:val="00D72AE2"/>
    <w:rsid w:val="00D72DA9"/>
    <w:rsid w:val="00D72E02"/>
    <w:rsid w:val="00D72EEB"/>
    <w:rsid w:val="00D735E3"/>
    <w:rsid w:val="00D736B7"/>
    <w:rsid w:val="00D739C1"/>
    <w:rsid w:val="00D73A92"/>
    <w:rsid w:val="00D73BC0"/>
    <w:rsid w:val="00D73D76"/>
    <w:rsid w:val="00D74390"/>
    <w:rsid w:val="00D743B0"/>
    <w:rsid w:val="00D753F7"/>
    <w:rsid w:val="00D7568F"/>
    <w:rsid w:val="00D7578B"/>
    <w:rsid w:val="00D759BA"/>
    <w:rsid w:val="00D75BF1"/>
    <w:rsid w:val="00D75C88"/>
    <w:rsid w:val="00D761B3"/>
    <w:rsid w:val="00D76FEB"/>
    <w:rsid w:val="00D770E0"/>
    <w:rsid w:val="00D7739A"/>
    <w:rsid w:val="00D77EB4"/>
    <w:rsid w:val="00D77EF5"/>
    <w:rsid w:val="00D806AF"/>
    <w:rsid w:val="00D8072A"/>
    <w:rsid w:val="00D80BF5"/>
    <w:rsid w:val="00D8139D"/>
    <w:rsid w:val="00D8217B"/>
    <w:rsid w:val="00D82973"/>
    <w:rsid w:val="00D82B2C"/>
    <w:rsid w:val="00D82EEC"/>
    <w:rsid w:val="00D83308"/>
    <w:rsid w:val="00D83565"/>
    <w:rsid w:val="00D836DB"/>
    <w:rsid w:val="00D8442E"/>
    <w:rsid w:val="00D84794"/>
    <w:rsid w:val="00D8499B"/>
    <w:rsid w:val="00D855AF"/>
    <w:rsid w:val="00D85A5B"/>
    <w:rsid w:val="00D85D7A"/>
    <w:rsid w:val="00D86276"/>
    <w:rsid w:val="00D86320"/>
    <w:rsid w:val="00D863F1"/>
    <w:rsid w:val="00D86432"/>
    <w:rsid w:val="00D865F5"/>
    <w:rsid w:val="00D866CE"/>
    <w:rsid w:val="00D86F63"/>
    <w:rsid w:val="00D8711A"/>
    <w:rsid w:val="00D87130"/>
    <w:rsid w:val="00D871CE"/>
    <w:rsid w:val="00D871F9"/>
    <w:rsid w:val="00D8727F"/>
    <w:rsid w:val="00D8743E"/>
    <w:rsid w:val="00D874E3"/>
    <w:rsid w:val="00D87CBD"/>
    <w:rsid w:val="00D900B7"/>
    <w:rsid w:val="00D90311"/>
    <w:rsid w:val="00D9038A"/>
    <w:rsid w:val="00D905F3"/>
    <w:rsid w:val="00D90638"/>
    <w:rsid w:val="00D90798"/>
    <w:rsid w:val="00D908A0"/>
    <w:rsid w:val="00D90A0E"/>
    <w:rsid w:val="00D91549"/>
    <w:rsid w:val="00D9174F"/>
    <w:rsid w:val="00D91D78"/>
    <w:rsid w:val="00D91F89"/>
    <w:rsid w:val="00D92325"/>
    <w:rsid w:val="00D92C96"/>
    <w:rsid w:val="00D92CC3"/>
    <w:rsid w:val="00D92EC8"/>
    <w:rsid w:val="00D93278"/>
    <w:rsid w:val="00D93385"/>
    <w:rsid w:val="00D934A6"/>
    <w:rsid w:val="00D9362B"/>
    <w:rsid w:val="00D93683"/>
    <w:rsid w:val="00D93949"/>
    <w:rsid w:val="00D939D7"/>
    <w:rsid w:val="00D940ED"/>
    <w:rsid w:val="00D946FA"/>
    <w:rsid w:val="00D947E3"/>
    <w:rsid w:val="00D94CA6"/>
    <w:rsid w:val="00D94F8A"/>
    <w:rsid w:val="00D95153"/>
    <w:rsid w:val="00D955FD"/>
    <w:rsid w:val="00D957C2"/>
    <w:rsid w:val="00D95B62"/>
    <w:rsid w:val="00D9699C"/>
    <w:rsid w:val="00D96F89"/>
    <w:rsid w:val="00D973B2"/>
    <w:rsid w:val="00D97AC3"/>
    <w:rsid w:val="00D97BD1"/>
    <w:rsid w:val="00DA01DD"/>
    <w:rsid w:val="00DA058A"/>
    <w:rsid w:val="00DA0985"/>
    <w:rsid w:val="00DA0D7D"/>
    <w:rsid w:val="00DA0EC1"/>
    <w:rsid w:val="00DA0F26"/>
    <w:rsid w:val="00DA14E4"/>
    <w:rsid w:val="00DA172F"/>
    <w:rsid w:val="00DA1745"/>
    <w:rsid w:val="00DA2070"/>
    <w:rsid w:val="00DA20FD"/>
    <w:rsid w:val="00DA21F7"/>
    <w:rsid w:val="00DA234D"/>
    <w:rsid w:val="00DA2804"/>
    <w:rsid w:val="00DA2816"/>
    <w:rsid w:val="00DA3297"/>
    <w:rsid w:val="00DA344D"/>
    <w:rsid w:val="00DA39EA"/>
    <w:rsid w:val="00DA3AA3"/>
    <w:rsid w:val="00DA3AE6"/>
    <w:rsid w:val="00DA3BD5"/>
    <w:rsid w:val="00DA3EF2"/>
    <w:rsid w:val="00DA411B"/>
    <w:rsid w:val="00DA44EA"/>
    <w:rsid w:val="00DA4684"/>
    <w:rsid w:val="00DA4B98"/>
    <w:rsid w:val="00DA4C34"/>
    <w:rsid w:val="00DA4F0A"/>
    <w:rsid w:val="00DA517B"/>
    <w:rsid w:val="00DA55CE"/>
    <w:rsid w:val="00DA5A46"/>
    <w:rsid w:val="00DA5B3E"/>
    <w:rsid w:val="00DA61D3"/>
    <w:rsid w:val="00DA642A"/>
    <w:rsid w:val="00DA69E7"/>
    <w:rsid w:val="00DA6CE1"/>
    <w:rsid w:val="00DA7038"/>
    <w:rsid w:val="00DA7427"/>
    <w:rsid w:val="00DA7A4C"/>
    <w:rsid w:val="00DA7AC1"/>
    <w:rsid w:val="00DA7BB9"/>
    <w:rsid w:val="00DA7D6A"/>
    <w:rsid w:val="00DA7E6C"/>
    <w:rsid w:val="00DB02A4"/>
    <w:rsid w:val="00DB043F"/>
    <w:rsid w:val="00DB04F8"/>
    <w:rsid w:val="00DB0D29"/>
    <w:rsid w:val="00DB1072"/>
    <w:rsid w:val="00DB124D"/>
    <w:rsid w:val="00DB13F7"/>
    <w:rsid w:val="00DB1BBF"/>
    <w:rsid w:val="00DB1DC7"/>
    <w:rsid w:val="00DB1E56"/>
    <w:rsid w:val="00DB1ECE"/>
    <w:rsid w:val="00DB1FC5"/>
    <w:rsid w:val="00DB2261"/>
    <w:rsid w:val="00DB2383"/>
    <w:rsid w:val="00DB28A2"/>
    <w:rsid w:val="00DB2B00"/>
    <w:rsid w:val="00DB2B3C"/>
    <w:rsid w:val="00DB2CFE"/>
    <w:rsid w:val="00DB3547"/>
    <w:rsid w:val="00DB3BC8"/>
    <w:rsid w:val="00DB3E3C"/>
    <w:rsid w:val="00DB3F64"/>
    <w:rsid w:val="00DB3FA6"/>
    <w:rsid w:val="00DB473D"/>
    <w:rsid w:val="00DB47A1"/>
    <w:rsid w:val="00DB48D2"/>
    <w:rsid w:val="00DB49B4"/>
    <w:rsid w:val="00DB4A95"/>
    <w:rsid w:val="00DB4DFB"/>
    <w:rsid w:val="00DB5075"/>
    <w:rsid w:val="00DB594B"/>
    <w:rsid w:val="00DB5B12"/>
    <w:rsid w:val="00DB5C39"/>
    <w:rsid w:val="00DB5CA6"/>
    <w:rsid w:val="00DB6A0A"/>
    <w:rsid w:val="00DB7539"/>
    <w:rsid w:val="00DB7B5B"/>
    <w:rsid w:val="00DB7E96"/>
    <w:rsid w:val="00DB7F0C"/>
    <w:rsid w:val="00DC006A"/>
    <w:rsid w:val="00DC012B"/>
    <w:rsid w:val="00DC045E"/>
    <w:rsid w:val="00DC0465"/>
    <w:rsid w:val="00DC0630"/>
    <w:rsid w:val="00DC09AE"/>
    <w:rsid w:val="00DC0B3D"/>
    <w:rsid w:val="00DC0F52"/>
    <w:rsid w:val="00DC11DB"/>
    <w:rsid w:val="00DC1403"/>
    <w:rsid w:val="00DC14B0"/>
    <w:rsid w:val="00DC1933"/>
    <w:rsid w:val="00DC221F"/>
    <w:rsid w:val="00DC23D4"/>
    <w:rsid w:val="00DC2590"/>
    <w:rsid w:val="00DC2656"/>
    <w:rsid w:val="00DC2916"/>
    <w:rsid w:val="00DC2F95"/>
    <w:rsid w:val="00DC3550"/>
    <w:rsid w:val="00DC3970"/>
    <w:rsid w:val="00DC426A"/>
    <w:rsid w:val="00DC43B6"/>
    <w:rsid w:val="00DC48FF"/>
    <w:rsid w:val="00DC49AE"/>
    <w:rsid w:val="00DC4B5F"/>
    <w:rsid w:val="00DC4BCB"/>
    <w:rsid w:val="00DC5078"/>
    <w:rsid w:val="00DC5178"/>
    <w:rsid w:val="00DC5407"/>
    <w:rsid w:val="00DC5AEE"/>
    <w:rsid w:val="00DC5B1F"/>
    <w:rsid w:val="00DC5ED6"/>
    <w:rsid w:val="00DC5F6A"/>
    <w:rsid w:val="00DC661B"/>
    <w:rsid w:val="00DC6FDE"/>
    <w:rsid w:val="00DC7536"/>
    <w:rsid w:val="00DC7CC8"/>
    <w:rsid w:val="00DC7F60"/>
    <w:rsid w:val="00DD0198"/>
    <w:rsid w:val="00DD02FD"/>
    <w:rsid w:val="00DD03A3"/>
    <w:rsid w:val="00DD0470"/>
    <w:rsid w:val="00DD06A0"/>
    <w:rsid w:val="00DD084B"/>
    <w:rsid w:val="00DD0EC0"/>
    <w:rsid w:val="00DD1887"/>
    <w:rsid w:val="00DD2277"/>
    <w:rsid w:val="00DD239B"/>
    <w:rsid w:val="00DD251E"/>
    <w:rsid w:val="00DD275C"/>
    <w:rsid w:val="00DD27C5"/>
    <w:rsid w:val="00DD297E"/>
    <w:rsid w:val="00DD2DF6"/>
    <w:rsid w:val="00DD35AA"/>
    <w:rsid w:val="00DD3790"/>
    <w:rsid w:val="00DD3B93"/>
    <w:rsid w:val="00DD3F0E"/>
    <w:rsid w:val="00DD45EC"/>
    <w:rsid w:val="00DD46F0"/>
    <w:rsid w:val="00DD4B57"/>
    <w:rsid w:val="00DD4FDB"/>
    <w:rsid w:val="00DD503C"/>
    <w:rsid w:val="00DD50DF"/>
    <w:rsid w:val="00DD5330"/>
    <w:rsid w:val="00DD54B0"/>
    <w:rsid w:val="00DD54D2"/>
    <w:rsid w:val="00DD56CF"/>
    <w:rsid w:val="00DD5806"/>
    <w:rsid w:val="00DD5A70"/>
    <w:rsid w:val="00DD5BA6"/>
    <w:rsid w:val="00DD61B0"/>
    <w:rsid w:val="00DD62EE"/>
    <w:rsid w:val="00DD6658"/>
    <w:rsid w:val="00DD69C8"/>
    <w:rsid w:val="00DD7086"/>
    <w:rsid w:val="00DD7314"/>
    <w:rsid w:val="00DD7484"/>
    <w:rsid w:val="00DD77EE"/>
    <w:rsid w:val="00DD78CF"/>
    <w:rsid w:val="00DD7C2D"/>
    <w:rsid w:val="00DD7ED8"/>
    <w:rsid w:val="00DE0124"/>
    <w:rsid w:val="00DE0C13"/>
    <w:rsid w:val="00DE0DBD"/>
    <w:rsid w:val="00DE136F"/>
    <w:rsid w:val="00DE1813"/>
    <w:rsid w:val="00DE2169"/>
    <w:rsid w:val="00DE2331"/>
    <w:rsid w:val="00DE2B84"/>
    <w:rsid w:val="00DE2D1E"/>
    <w:rsid w:val="00DE2FFC"/>
    <w:rsid w:val="00DE350B"/>
    <w:rsid w:val="00DE3686"/>
    <w:rsid w:val="00DE3763"/>
    <w:rsid w:val="00DE384F"/>
    <w:rsid w:val="00DE39C2"/>
    <w:rsid w:val="00DE3F0D"/>
    <w:rsid w:val="00DE413C"/>
    <w:rsid w:val="00DE41C4"/>
    <w:rsid w:val="00DE4748"/>
    <w:rsid w:val="00DE56FD"/>
    <w:rsid w:val="00DE5BFF"/>
    <w:rsid w:val="00DE6104"/>
    <w:rsid w:val="00DE64EE"/>
    <w:rsid w:val="00DE6914"/>
    <w:rsid w:val="00DE6C8C"/>
    <w:rsid w:val="00DE6E96"/>
    <w:rsid w:val="00DE701E"/>
    <w:rsid w:val="00DF01DE"/>
    <w:rsid w:val="00DF0D4D"/>
    <w:rsid w:val="00DF0FB5"/>
    <w:rsid w:val="00DF18BB"/>
    <w:rsid w:val="00DF1D6A"/>
    <w:rsid w:val="00DF220D"/>
    <w:rsid w:val="00DF22C2"/>
    <w:rsid w:val="00DF2885"/>
    <w:rsid w:val="00DF2C5A"/>
    <w:rsid w:val="00DF2FE3"/>
    <w:rsid w:val="00DF3265"/>
    <w:rsid w:val="00DF4401"/>
    <w:rsid w:val="00DF443D"/>
    <w:rsid w:val="00DF4D02"/>
    <w:rsid w:val="00DF4E6E"/>
    <w:rsid w:val="00DF4FFA"/>
    <w:rsid w:val="00DF504B"/>
    <w:rsid w:val="00DF532E"/>
    <w:rsid w:val="00DF536C"/>
    <w:rsid w:val="00DF596A"/>
    <w:rsid w:val="00DF59A1"/>
    <w:rsid w:val="00DF605D"/>
    <w:rsid w:val="00DF6226"/>
    <w:rsid w:val="00DF65EC"/>
    <w:rsid w:val="00DF6A37"/>
    <w:rsid w:val="00DF6F0E"/>
    <w:rsid w:val="00DF6FB6"/>
    <w:rsid w:val="00DF7122"/>
    <w:rsid w:val="00DF726B"/>
    <w:rsid w:val="00DF74AE"/>
    <w:rsid w:val="00DF78FB"/>
    <w:rsid w:val="00DF7E50"/>
    <w:rsid w:val="00E000E8"/>
    <w:rsid w:val="00E0014A"/>
    <w:rsid w:val="00E003E2"/>
    <w:rsid w:val="00E00516"/>
    <w:rsid w:val="00E00E20"/>
    <w:rsid w:val="00E0136D"/>
    <w:rsid w:val="00E01AD5"/>
    <w:rsid w:val="00E01ADC"/>
    <w:rsid w:val="00E02128"/>
    <w:rsid w:val="00E0215F"/>
    <w:rsid w:val="00E02327"/>
    <w:rsid w:val="00E02699"/>
    <w:rsid w:val="00E02E7A"/>
    <w:rsid w:val="00E03429"/>
    <w:rsid w:val="00E035FD"/>
    <w:rsid w:val="00E037B3"/>
    <w:rsid w:val="00E038E9"/>
    <w:rsid w:val="00E03C47"/>
    <w:rsid w:val="00E04380"/>
    <w:rsid w:val="00E04855"/>
    <w:rsid w:val="00E04A46"/>
    <w:rsid w:val="00E04EF8"/>
    <w:rsid w:val="00E05281"/>
    <w:rsid w:val="00E0564E"/>
    <w:rsid w:val="00E057E0"/>
    <w:rsid w:val="00E059D2"/>
    <w:rsid w:val="00E05B53"/>
    <w:rsid w:val="00E05E6E"/>
    <w:rsid w:val="00E072B7"/>
    <w:rsid w:val="00E073D4"/>
    <w:rsid w:val="00E073F0"/>
    <w:rsid w:val="00E074B7"/>
    <w:rsid w:val="00E07A65"/>
    <w:rsid w:val="00E07D49"/>
    <w:rsid w:val="00E10549"/>
    <w:rsid w:val="00E1098F"/>
    <w:rsid w:val="00E10B53"/>
    <w:rsid w:val="00E111AD"/>
    <w:rsid w:val="00E11461"/>
    <w:rsid w:val="00E11691"/>
    <w:rsid w:val="00E11795"/>
    <w:rsid w:val="00E11A4D"/>
    <w:rsid w:val="00E11BC8"/>
    <w:rsid w:val="00E1203C"/>
    <w:rsid w:val="00E12050"/>
    <w:rsid w:val="00E127FB"/>
    <w:rsid w:val="00E12BAB"/>
    <w:rsid w:val="00E12EFC"/>
    <w:rsid w:val="00E131A9"/>
    <w:rsid w:val="00E13281"/>
    <w:rsid w:val="00E13794"/>
    <w:rsid w:val="00E1381B"/>
    <w:rsid w:val="00E13C0F"/>
    <w:rsid w:val="00E13CBE"/>
    <w:rsid w:val="00E13EAD"/>
    <w:rsid w:val="00E142B1"/>
    <w:rsid w:val="00E14875"/>
    <w:rsid w:val="00E14AFE"/>
    <w:rsid w:val="00E14C13"/>
    <w:rsid w:val="00E14E6B"/>
    <w:rsid w:val="00E154B6"/>
    <w:rsid w:val="00E1552E"/>
    <w:rsid w:val="00E15750"/>
    <w:rsid w:val="00E15B7D"/>
    <w:rsid w:val="00E15BA3"/>
    <w:rsid w:val="00E15ED5"/>
    <w:rsid w:val="00E15F96"/>
    <w:rsid w:val="00E15FA2"/>
    <w:rsid w:val="00E1616F"/>
    <w:rsid w:val="00E16358"/>
    <w:rsid w:val="00E163AF"/>
    <w:rsid w:val="00E16BB3"/>
    <w:rsid w:val="00E177EC"/>
    <w:rsid w:val="00E2043C"/>
    <w:rsid w:val="00E209CB"/>
    <w:rsid w:val="00E20ABA"/>
    <w:rsid w:val="00E20E55"/>
    <w:rsid w:val="00E21063"/>
    <w:rsid w:val="00E2109A"/>
    <w:rsid w:val="00E2153A"/>
    <w:rsid w:val="00E218F8"/>
    <w:rsid w:val="00E21F62"/>
    <w:rsid w:val="00E22070"/>
    <w:rsid w:val="00E225F9"/>
    <w:rsid w:val="00E2271F"/>
    <w:rsid w:val="00E2327F"/>
    <w:rsid w:val="00E23693"/>
    <w:rsid w:val="00E2379A"/>
    <w:rsid w:val="00E23D2F"/>
    <w:rsid w:val="00E247F7"/>
    <w:rsid w:val="00E24F42"/>
    <w:rsid w:val="00E24F78"/>
    <w:rsid w:val="00E25AE8"/>
    <w:rsid w:val="00E25B9F"/>
    <w:rsid w:val="00E25D06"/>
    <w:rsid w:val="00E25DBA"/>
    <w:rsid w:val="00E25E32"/>
    <w:rsid w:val="00E25FA6"/>
    <w:rsid w:val="00E263BE"/>
    <w:rsid w:val="00E266CD"/>
    <w:rsid w:val="00E26858"/>
    <w:rsid w:val="00E26E39"/>
    <w:rsid w:val="00E26E7D"/>
    <w:rsid w:val="00E271A3"/>
    <w:rsid w:val="00E271DD"/>
    <w:rsid w:val="00E2744B"/>
    <w:rsid w:val="00E27A5A"/>
    <w:rsid w:val="00E27A81"/>
    <w:rsid w:val="00E27B1A"/>
    <w:rsid w:val="00E27C58"/>
    <w:rsid w:val="00E27DB4"/>
    <w:rsid w:val="00E309F2"/>
    <w:rsid w:val="00E30B2E"/>
    <w:rsid w:val="00E30E30"/>
    <w:rsid w:val="00E3118E"/>
    <w:rsid w:val="00E312C3"/>
    <w:rsid w:val="00E317D2"/>
    <w:rsid w:val="00E318CC"/>
    <w:rsid w:val="00E31CE0"/>
    <w:rsid w:val="00E31DFF"/>
    <w:rsid w:val="00E31F6D"/>
    <w:rsid w:val="00E324DC"/>
    <w:rsid w:val="00E32723"/>
    <w:rsid w:val="00E3291B"/>
    <w:rsid w:val="00E32F7D"/>
    <w:rsid w:val="00E33AEA"/>
    <w:rsid w:val="00E33D7F"/>
    <w:rsid w:val="00E33D9E"/>
    <w:rsid w:val="00E33EB7"/>
    <w:rsid w:val="00E33F59"/>
    <w:rsid w:val="00E34013"/>
    <w:rsid w:val="00E34EC9"/>
    <w:rsid w:val="00E35148"/>
    <w:rsid w:val="00E351AF"/>
    <w:rsid w:val="00E35360"/>
    <w:rsid w:val="00E353CE"/>
    <w:rsid w:val="00E361ED"/>
    <w:rsid w:val="00E3647F"/>
    <w:rsid w:val="00E36784"/>
    <w:rsid w:val="00E3695B"/>
    <w:rsid w:val="00E36DA2"/>
    <w:rsid w:val="00E36F18"/>
    <w:rsid w:val="00E3787F"/>
    <w:rsid w:val="00E37C85"/>
    <w:rsid w:val="00E40973"/>
    <w:rsid w:val="00E40A12"/>
    <w:rsid w:val="00E40A2B"/>
    <w:rsid w:val="00E41062"/>
    <w:rsid w:val="00E41FA4"/>
    <w:rsid w:val="00E41FFE"/>
    <w:rsid w:val="00E42436"/>
    <w:rsid w:val="00E4254B"/>
    <w:rsid w:val="00E42675"/>
    <w:rsid w:val="00E42F06"/>
    <w:rsid w:val="00E4353D"/>
    <w:rsid w:val="00E43735"/>
    <w:rsid w:val="00E43A66"/>
    <w:rsid w:val="00E44A5A"/>
    <w:rsid w:val="00E44C6B"/>
    <w:rsid w:val="00E44DD7"/>
    <w:rsid w:val="00E4523A"/>
    <w:rsid w:val="00E459E8"/>
    <w:rsid w:val="00E467AA"/>
    <w:rsid w:val="00E469C4"/>
    <w:rsid w:val="00E4770C"/>
    <w:rsid w:val="00E47D1A"/>
    <w:rsid w:val="00E47FC7"/>
    <w:rsid w:val="00E50044"/>
    <w:rsid w:val="00E50569"/>
    <w:rsid w:val="00E5061E"/>
    <w:rsid w:val="00E5069F"/>
    <w:rsid w:val="00E50965"/>
    <w:rsid w:val="00E50FD1"/>
    <w:rsid w:val="00E515DA"/>
    <w:rsid w:val="00E516EE"/>
    <w:rsid w:val="00E51F8C"/>
    <w:rsid w:val="00E52836"/>
    <w:rsid w:val="00E52D17"/>
    <w:rsid w:val="00E52F65"/>
    <w:rsid w:val="00E53438"/>
    <w:rsid w:val="00E5367E"/>
    <w:rsid w:val="00E53709"/>
    <w:rsid w:val="00E53784"/>
    <w:rsid w:val="00E53848"/>
    <w:rsid w:val="00E53CDD"/>
    <w:rsid w:val="00E54106"/>
    <w:rsid w:val="00E54539"/>
    <w:rsid w:val="00E546EF"/>
    <w:rsid w:val="00E54856"/>
    <w:rsid w:val="00E548D2"/>
    <w:rsid w:val="00E54AA9"/>
    <w:rsid w:val="00E55065"/>
    <w:rsid w:val="00E5565B"/>
    <w:rsid w:val="00E563FD"/>
    <w:rsid w:val="00E56454"/>
    <w:rsid w:val="00E5666D"/>
    <w:rsid w:val="00E567A3"/>
    <w:rsid w:val="00E56F25"/>
    <w:rsid w:val="00E5740B"/>
    <w:rsid w:val="00E57477"/>
    <w:rsid w:val="00E575DB"/>
    <w:rsid w:val="00E57A67"/>
    <w:rsid w:val="00E60381"/>
    <w:rsid w:val="00E6068E"/>
    <w:rsid w:val="00E6088D"/>
    <w:rsid w:val="00E60EF8"/>
    <w:rsid w:val="00E615BF"/>
    <w:rsid w:val="00E61627"/>
    <w:rsid w:val="00E61C58"/>
    <w:rsid w:val="00E61F6A"/>
    <w:rsid w:val="00E61FD2"/>
    <w:rsid w:val="00E62187"/>
    <w:rsid w:val="00E62567"/>
    <w:rsid w:val="00E62787"/>
    <w:rsid w:val="00E62866"/>
    <w:rsid w:val="00E62F85"/>
    <w:rsid w:val="00E6300C"/>
    <w:rsid w:val="00E63531"/>
    <w:rsid w:val="00E63859"/>
    <w:rsid w:val="00E639B0"/>
    <w:rsid w:val="00E63C0D"/>
    <w:rsid w:val="00E646B5"/>
    <w:rsid w:val="00E64FE6"/>
    <w:rsid w:val="00E655E4"/>
    <w:rsid w:val="00E656EC"/>
    <w:rsid w:val="00E659BF"/>
    <w:rsid w:val="00E65C05"/>
    <w:rsid w:val="00E65D3F"/>
    <w:rsid w:val="00E65E4D"/>
    <w:rsid w:val="00E66052"/>
    <w:rsid w:val="00E666E7"/>
    <w:rsid w:val="00E667C0"/>
    <w:rsid w:val="00E66CFA"/>
    <w:rsid w:val="00E66EB9"/>
    <w:rsid w:val="00E671CE"/>
    <w:rsid w:val="00E673D1"/>
    <w:rsid w:val="00E675FD"/>
    <w:rsid w:val="00E67D70"/>
    <w:rsid w:val="00E67E0A"/>
    <w:rsid w:val="00E70816"/>
    <w:rsid w:val="00E70AE6"/>
    <w:rsid w:val="00E70C3D"/>
    <w:rsid w:val="00E70DB3"/>
    <w:rsid w:val="00E70EC6"/>
    <w:rsid w:val="00E70FA4"/>
    <w:rsid w:val="00E71018"/>
    <w:rsid w:val="00E710D1"/>
    <w:rsid w:val="00E712D8"/>
    <w:rsid w:val="00E71573"/>
    <w:rsid w:val="00E71622"/>
    <w:rsid w:val="00E71725"/>
    <w:rsid w:val="00E71A34"/>
    <w:rsid w:val="00E71B3D"/>
    <w:rsid w:val="00E72029"/>
    <w:rsid w:val="00E7207E"/>
    <w:rsid w:val="00E7208D"/>
    <w:rsid w:val="00E7225C"/>
    <w:rsid w:val="00E722A7"/>
    <w:rsid w:val="00E72379"/>
    <w:rsid w:val="00E7258E"/>
    <w:rsid w:val="00E725B0"/>
    <w:rsid w:val="00E72741"/>
    <w:rsid w:val="00E72BF9"/>
    <w:rsid w:val="00E72C8A"/>
    <w:rsid w:val="00E72D67"/>
    <w:rsid w:val="00E73086"/>
    <w:rsid w:val="00E730D8"/>
    <w:rsid w:val="00E73191"/>
    <w:rsid w:val="00E7330E"/>
    <w:rsid w:val="00E73623"/>
    <w:rsid w:val="00E73AEC"/>
    <w:rsid w:val="00E73BBB"/>
    <w:rsid w:val="00E73C8F"/>
    <w:rsid w:val="00E7447D"/>
    <w:rsid w:val="00E74517"/>
    <w:rsid w:val="00E755FB"/>
    <w:rsid w:val="00E75A69"/>
    <w:rsid w:val="00E75C41"/>
    <w:rsid w:val="00E75E86"/>
    <w:rsid w:val="00E75F12"/>
    <w:rsid w:val="00E7665E"/>
    <w:rsid w:val="00E76EB2"/>
    <w:rsid w:val="00E770E8"/>
    <w:rsid w:val="00E771CA"/>
    <w:rsid w:val="00E773C5"/>
    <w:rsid w:val="00E775A0"/>
    <w:rsid w:val="00E776D3"/>
    <w:rsid w:val="00E8032F"/>
    <w:rsid w:val="00E806C5"/>
    <w:rsid w:val="00E8084B"/>
    <w:rsid w:val="00E809B7"/>
    <w:rsid w:val="00E80F6E"/>
    <w:rsid w:val="00E813E0"/>
    <w:rsid w:val="00E813FD"/>
    <w:rsid w:val="00E817E4"/>
    <w:rsid w:val="00E81A1C"/>
    <w:rsid w:val="00E81B0B"/>
    <w:rsid w:val="00E82C11"/>
    <w:rsid w:val="00E82C8C"/>
    <w:rsid w:val="00E82F9C"/>
    <w:rsid w:val="00E83782"/>
    <w:rsid w:val="00E838E1"/>
    <w:rsid w:val="00E83BFE"/>
    <w:rsid w:val="00E8418E"/>
    <w:rsid w:val="00E84388"/>
    <w:rsid w:val="00E84DD0"/>
    <w:rsid w:val="00E8556E"/>
    <w:rsid w:val="00E85883"/>
    <w:rsid w:val="00E858E0"/>
    <w:rsid w:val="00E86406"/>
    <w:rsid w:val="00E8675D"/>
    <w:rsid w:val="00E868A0"/>
    <w:rsid w:val="00E869C6"/>
    <w:rsid w:val="00E86CDF"/>
    <w:rsid w:val="00E86F92"/>
    <w:rsid w:val="00E8746D"/>
    <w:rsid w:val="00E87536"/>
    <w:rsid w:val="00E8769D"/>
    <w:rsid w:val="00E87AEC"/>
    <w:rsid w:val="00E87C2C"/>
    <w:rsid w:val="00E90576"/>
    <w:rsid w:val="00E90B1A"/>
    <w:rsid w:val="00E90B9D"/>
    <w:rsid w:val="00E911BE"/>
    <w:rsid w:val="00E913EB"/>
    <w:rsid w:val="00E91F36"/>
    <w:rsid w:val="00E923C4"/>
    <w:rsid w:val="00E92B6C"/>
    <w:rsid w:val="00E92D87"/>
    <w:rsid w:val="00E92E48"/>
    <w:rsid w:val="00E93328"/>
    <w:rsid w:val="00E934B1"/>
    <w:rsid w:val="00E9423E"/>
    <w:rsid w:val="00E9531D"/>
    <w:rsid w:val="00E956AC"/>
    <w:rsid w:val="00E95FFC"/>
    <w:rsid w:val="00E9609B"/>
    <w:rsid w:val="00E9633D"/>
    <w:rsid w:val="00E96A33"/>
    <w:rsid w:val="00E96E5D"/>
    <w:rsid w:val="00E97589"/>
    <w:rsid w:val="00E97702"/>
    <w:rsid w:val="00E97C2A"/>
    <w:rsid w:val="00EA02F8"/>
    <w:rsid w:val="00EA08A4"/>
    <w:rsid w:val="00EA0B71"/>
    <w:rsid w:val="00EA1018"/>
    <w:rsid w:val="00EA10D6"/>
    <w:rsid w:val="00EA113C"/>
    <w:rsid w:val="00EA12B8"/>
    <w:rsid w:val="00EA153E"/>
    <w:rsid w:val="00EA16F7"/>
    <w:rsid w:val="00EA2308"/>
    <w:rsid w:val="00EA2581"/>
    <w:rsid w:val="00EA266A"/>
    <w:rsid w:val="00EA2A4D"/>
    <w:rsid w:val="00EA2B94"/>
    <w:rsid w:val="00EA2D3C"/>
    <w:rsid w:val="00EA34C0"/>
    <w:rsid w:val="00EA35DC"/>
    <w:rsid w:val="00EA3710"/>
    <w:rsid w:val="00EA3EE6"/>
    <w:rsid w:val="00EA3EED"/>
    <w:rsid w:val="00EA3FF3"/>
    <w:rsid w:val="00EA40B8"/>
    <w:rsid w:val="00EA42F1"/>
    <w:rsid w:val="00EA48CC"/>
    <w:rsid w:val="00EA4AFD"/>
    <w:rsid w:val="00EA5400"/>
    <w:rsid w:val="00EA5A89"/>
    <w:rsid w:val="00EA61B4"/>
    <w:rsid w:val="00EA632C"/>
    <w:rsid w:val="00EA64A0"/>
    <w:rsid w:val="00EA64F5"/>
    <w:rsid w:val="00EA68CE"/>
    <w:rsid w:val="00EA6D30"/>
    <w:rsid w:val="00EA6F80"/>
    <w:rsid w:val="00EA7040"/>
    <w:rsid w:val="00EA739A"/>
    <w:rsid w:val="00EA7A43"/>
    <w:rsid w:val="00EA7FEB"/>
    <w:rsid w:val="00EB0418"/>
    <w:rsid w:val="00EB07FB"/>
    <w:rsid w:val="00EB0AD0"/>
    <w:rsid w:val="00EB1330"/>
    <w:rsid w:val="00EB1965"/>
    <w:rsid w:val="00EB1A4A"/>
    <w:rsid w:val="00EB1A7E"/>
    <w:rsid w:val="00EB1D53"/>
    <w:rsid w:val="00EB1DD7"/>
    <w:rsid w:val="00EB2039"/>
    <w:rsid w:val="00EB20AD"/>
    <w:rsid w:val="00EB23CD"/>
    <w:rsid w:val="00EB2453"/>
    <w:rsid w:val="00EB265B"/>
    <w:rsid w:val="00EB26CE"/>
    <w:rsid w:val="00EB2A55"/>
    <w:rsid w:val="00EB4CD0"/>
    <w:rsid w:val="00EB4D1C"/>
    <w:rsid w:val="00EB52EC"/>
    <w:rsid w:val="00EB5B38"/>
    <w:rsid w:val="00EB5EDA"/>
    <w:rsid w:val="00EB60B0"/>
    <w:rsid w:val="00EB6458"/>
    <w:rsid w:val="00EB64E4"/>
    <w:rsid w:val="00EB67AC"/>
    <w:rsid w:val="00EB6CC9"/>
    <w:rsid w:val="00EB72F9"/>
    <w:rsid w:val="00EB7A03"/>
    <w:rsid w:val="00EB7A24"/>
    <w:rsid w:val="00EB7A66"/>
    <w:rsid w:val="00EB7C43"/>
    <w:rsid w:val="00EC0465"/>
    <w:rsid w:val="00EC05AB"/>
    <w:rsid w:val="00EC0BD8"/>
    <w:rsid w:val="00EC0C3C"/>
    <w:rsid w:val="00EC0EB3"/>
    <w:rsid w:val="00EC0FC3"/>
    <w:rsid w:val="00EC143E"/>
    <w:rsid w:val="00EC1445"/>
    <w:rsid w:val="00EC17B1"/>
    <w:rsid w:val="00EC19FE"/>
    <w:rsid w:val="00EC1AE8"/>
    <w:rsid w:val="00EC1DB7"/>
    <w:rsid w:val="00EC22E8"/>
    <w:rsid w:val="00EC2388"/>
    <w:rsid w:val="00EC244D"/>
    <w:rsid w:val="00EC3123"/>
    <w:rsid w:val="00EC39C4"/>
    <w:rsid w:val="00EC3A40"/>
    <w:rsid w:val="00EC3F48"/>
    <w:rsid w:val="00EC40D7"/>
    <w:rsid w:val="00EC499E"/>
    <w:rsid w:val="00EC4A41"/>
    <w:rsid w:val="00EC4D90"/>
    <w:rsid w:val="00EC52CD"/>
    <w:rsid w:val="00EC5C04"/>
    <w:rsid w:val="00EC631E"/>
    <w:rsid w:val="00EC649B"/>
    <w:rsid w:val="00EC652B"/>
    <w:rsid w:val="00EC6535"/>
    <w:rsid w:val="00EC6617"/>
    <w:rsid w:val="00EC6743"/>
    <w:rsid w:val="00EC699D"/>
    <w:rsid w:val="00EC6D83"/>
    <w:rsid w:val="00EC7984"/>
    <w:rsid w:val="00EC7A25"/>
    <w:rsid w:val="00ED00BD"/>
    <w:rsid w:val="00ED02AF"/>
    <w:rsid w:val="00ED04B1"/>
    <w:rsid w:val="00ED04C2"/>
    <w:rsid w:val="00ED0729"/>
    <w:rsid w:val="00ED0824"/>
    <w:rsid w:val="00ED0863"/>
    <w:rsid w:val="00ED0CD6"/>
    <w:rsid w:val="00ED0F00"/>
    <w:rsid w:val="00ED1337"/>
    <w:rsid w:val="00ED1B92"/>
    <w:rsid w:val="00ED29D8"/>
    <w:rsid w:val="00ED2AAF"/>
    <w:rsid w:val="00ED2F0A"/>
    <w:rsid w:val="00ED3046"/>
    <w:rsid w:val="00ED31C3"/>
    <w:rsid w:val="00ED352A"/>
    <w:rsid w:val="00ED38B2"/>
    <w:rsid w:val="00ED3BF6"/>
    <w:rsid w:val="00ED3F9D"/>
    <w:rsid w:val="00ED4312"/>
    <w:rsid w:val="00ED44DD"/>
    <w:rsid w:val="00ED4653"/>
    <w:rsid w:val="00ED4709"/>
    <w:rsid w:val="00ED4894"/>
    <w:rsid w:val="00ED492D"/>
    <w:rsid w:val="00ED4C6D"/>
    <w:rsid w:val="00ED4DA4"/>
    <w:rsid w:val="00ED4ED2"/>
    <w:rsid w:val="00ED4F2A"/>
    <w:rsid w:val="00ED5482"/>
    <w:rsid w:val="00ED562F"/>
    <w:rsid w:val="00ED5AEC"/>
    <w:rsid w:val="00ED5B56"/>
    <w:rsid w:val="00ED5FE3"/>
    <w:rsid w:val="00ED6489"/>
    <w:rsid w:val="00ED6A02"/>
    <w:rsid w:val="00ED6AF7"/>
    <w:rsid w:val="00ED6D98"/>
    <w:rsid w:val="00ED7496"/>
    <w:rsid w:val="00ED7798"/>
    <w:rsid w:val="00ED7AF1"/>
    <w:rsid w:val="00ED7C53"/>
    <w:rsid w:val="00ED7D02"/>
    <w:rsid w:val="00ED7D87"/>
    <w:rsid w:val="00EE00E8"/>
    <w:rsid w:val="00EE01F0"/>
    <w:rsid w:val="00EE071E"/>
    <w:rsid w:val="00EE0AA8"/>
    <w:rsid w:val="00EE0B25"/>
    <w:rsid w:val="00EE0B73"/>
    <w:rsid w:val="00EE0E66"/>
    <w:rsid w:val="00EE0E6D"/>
    <w:rsid w:val="00EE0EC5"/>
    <w:rsid w:val="00EE13E2"/>
    <w:rsid w:val="00EE1753"/>
    <w:rsid w:val="00EE17C3"/>
    <w:rsid w:val="00EE1C30"/>
    <w:rsid w:val="00EE2516"/>
    <w:rsid w:val="00EE264B"/>
    <w:rsid w:val="00EE26A1"/>
    <w:rsid w:val="00EE2EAF"/>
    <w:rsid w:val="00EE348A"/>
    <w:rsid w:val="00EE3695"/>
    <w:rsid w:val="00EE39E1"/>
    <w:rsid w:val="00EE3E62"/>
    <w:rsid w:val="00EE405C"/>
    <w:rsid w:val="00EE42F9"/>
    <w:rsid w:val="00EE4635"/>
    <w:rsid w:val="00EE4E01"/>
    <w:rsid w:val="00EE4ECC"/>
    <w:rsid w:val="00EE4F01"/>
    <w:rsid w:val="00EE510D"/>
    <w:rsid w:val="00EE56E0"/>
    <w:rsid w:val="00EE58B8"/>
    <w:rsid w:val="00EE5C97"/>
    <w:rsid w:val="00EE5D86"/>
    <w:rsid w:val="00EE6516"/>
    <w:rsid w:val="00EE6A56"/>
    <w:rsid w:val="00EE6C3B"/>
    <w:rsid w:val="00EE70E2"/>
    <w:rsid w:val="00EE71FF"/>
    <w:rsid w:val="00EE757E"/>
    <w:rsid w:val="00EE7B55"/>
    <w:rsid w:val="00EE7CE7"/>
    <w:rsid w:val="00EE7EDD"/>
    <w:rsid w:val="00EF01F4"/>
    <w:rsid w:val="00EF03B6"/>
    <w:rsid w:val="00EF086A"/>
    <w:rsid w:val="00EF09A2"/>
    <w:rsid w:val="00EF1322"/>
    <w:rsid w:val="00EF1428"/>
    <w:rsid w:val="00EF1514"/>
    <w:rsid w:val="00EF1540"/>
    <w:rsid w:val="00EF15DF"/>
    <w:rsid w:val="00EF1AD6"/>
    <w:rsid w:val="00EF1BCD"/>
    <w:rsid w:val="00EF1BEE"/>
    <w:rsid w:val="00EF1C0F"/>
    <w:rsid w:val="00EF1FAC"/>
    <w:rsid w:val="00EF2011"/>
    <w:rsid w:val="00EF201A"/>
    <w:rsid w:val="00EF2A87"/>
    <w:rsid w:val="00EF2C76"/>
    <w:rsid w:val="00EF39B1"/>
    <w:rsid w:val="00EF3F0C"/>
    <w:rsid w:val="00EF40DA"/>
    <w:rsid w:val="00EF4121"/>
    <w:rsid w:val="00EF450D"/>
    <w:rsid w:val="00EF452D"/>
    <w:rsid w:val="00EF45FE"/>
    <w:rsid w:val="00EF5245"/>
    <w:rsid w:val="00EF58B8"/>
    <w:rsid w:val="00EF5A46"/>
    <w:rsid w:val="00EF5B45"/>
    <w:rsid w:val="00EF6B51"/>
    <w:rsid w:val="00EF6B5C"/>
    <w:rsid w:val="00EF6C30"/>
    <w:rsid w:val="00EF711D"/>
    <w:rsid w:val="00EF73B0"/>
    <w:rsid w:val="00EF78E6"/>
    <w:rsid w:val="00EF7E62"/>
    <w:rsid w:val="00EF7EC4"/>
    <w:rsid w:val="00EF7EF5"/>
    <w:rsid w:val="00EF7F14"/>
    <w:rsid w:val="00F00199"/>
    <w:rsid w:val="00F002A5"/>
    <w:rsid w:val="00F00412"/>
    <w:rsid w:val="00F007B0"/>
    <w:rsid w:val="00F01022"/>
    <w:rsid w:val="00F012B2"/>
    <w:rsid w:val="00F01399"/>
    <w:rsid w:val="00F0157F"/>
    <w:rsid w:val="00F01784"/>
    <w:rsid w:val="00F01BB5"/>
    <w:rsid w:val="00F01E13"/>
    <w:rsid w:val="00F01EDE"/>
    <w:rsid w:val="00F02499"/>
    <w:rsid w:val="00F027A5"/>
    <w:rsid w:val="00F0284C"/>
    <w:rsid w:val="00F02A97"/>
    <w:rsid w:val="00F02F15"/>
    <w:rsid w:val="00F03187"/>
    <w:rsid w:val="00F03CC0"/>
    <w:rsid w:val="00F03CDA"/>
    <w:rsid w:val="00F03DAF"/>
    <w:rsid w:val="00F03F52"/>
    <w:rsid w:val="00F04286"/>
    <w:rsid w:val="00F04433"/>
    <w:rsid w:val="00F04468"/>
    <w:rsid w:val="00F04A90"/>
    <w:rsid w:val="00F04D37"/>
    <w:rsid w:val="00F04F08"/>
    <w:rsid w:val="00F05970"/>
    <w:rsid w:val="00F05A69"/>
    <w:rsid w:val="00F05F3F"/>
    <w:rsid w:val="00F0647A"/>
    <w:rsid w:val="00F06853"/>
    <w:rsid w:val="00F06C92"/>
    <w:rsid w:val="00F07616"/>
    <w:rsid w:val="00F077F7"/>
    <w:rsid w:val="00F07D01"/>
    <w:rsid w:val="00F07DDD"/>
    <w:rsid w:val="00F07FA5"/>
    <w:rsid w:val="00F1013C"/>
    <w:rsid w:val="00F104AB"/>
    <w:rsid w:val="00F106D3"/>
    <w:rsid w:val="00F106EC"/>
    <w:rsid w:val="00F10914"/>
    <w:rsid w:val="00F10D12"/>
    <w:rsid w:val="00F10F2B"/>
    <w:rsid w:val="00F113CE"/>
    <w:rsid w:val="00F114BF"/>
    <w:rsid w:val="00F11AC8"/>
    <w:rsid w:val="00F123CE"/>
    <w:rsid w:val="00F12663"/>
    <w:rsid w:val="00F126FF"/>
    <w:rsid w:val="00F12884"/>
    <w:rsid w:val="00F128C1"/>
    <w:rsid w:val="00F12C7A"/>
    <w:rsid w:val="00F12CCC"/>
    <w:rsid w:val="00F12ED6"/>
    <w:rsid w:val="00F13007"/>
    <w:rsid w:val="00F132F6"/>
    <w:rsid w:val="00F1405B"/>
    <w:rsid w:val="00F147C0"/>
    <w:rsid w:val="00F14857"/>
    <w:rsid w:val="00F1487C"/>
    <w:rsid w:val="00F148B2"/>
    <w:rsid w:val="00F1516E"/>
    <w:rsid w:val="00F1550A"/>
    <w:rsid w:val="00F15618"/>
    <w:rsid w:val="00F16258"/>
    <w:rsid w:val="00F16334"/>
    <w:rsid w:val="00F16616"/>
    <w:rsid w:val="00F16820"/>
    <w:rsid w:val="00F1688C"/>
    <w:rsid w:val="00F1729B"/>
    <w:rsid w:val="00F173A5"/>
    <w:rsid w:val="00F173BA"/>
    <w:rsid w:val="00F173EC"/>
    <w:rsid w:val="00F1742D"/>
    <w:rsid w:val="00F17CAC"/>
    <w:rsid w:val="00F17F67"/>
    <w:rsid w:val="00F20200"/>
    <w:rsid w:val="00F202E8"/>
    <w:rsid w:val="00F20316"/>
    <w:rsid w:val="00F20EC8"/>
    <w:rsid w:val="00F21FD8"/>
    <w:rsid w:val="00F222D6"/>
    <w:rsid w:val="00F2249E"/>
    <w:rsid w:val="00F2268B"/>
    <w:rsid w:val="00F226F2"/>
    <w:rsid w:val="00F22A17"/>
    <w:rsid w:val="00F22CE1"/>
    <w:rsid w:val="00F22DC7"/>
    <w:rsid w:val="00F22FF1"/>
    <w:rsid w:val="00F23395"/>
    <w:rsid w:val="00F233B6"/>
    <w:rsid w:val="00F23B40"/>
    <w:rsid w:val="00F246A0"/>
    <w:rsid w:val="00F246D1"/>
    <w:rsid w:val="00F24B13"/>
    <w:rsid w:val="00F24EA1"/>
    <w:rsid w:val="00F25883"/>
    <w:rsid w:val="00F258CF"/>
    <w:rsid w:val="00F2598B"/>
    <w:rsid w:val="00F25AF0"/>
    <w:rsid w:val="00F25D5B"/>
    <w:rsid w:val="00F25EB5"/>
    <w:rsid w:val="00F2631C"/>
    <w:rsid w:val="00F263B7"/>
    <w:rsid w:val="00F2660B"/>
    <w:rsid w:val="00F26D9D"/>
    <w:rsid w:val="00F26ED0"/>
    <w:rsid w:val="00F26EF7"/>
    <w:rsid w:val="00F2702B"/>
    <w:rsid w:val="00F270A5"/>
    <w:rsid w:val="00F274CC"/>
    <w:rsid w:val="00F27577"/>
    <w:rsid w:val="00F30379"/>
    <w:rsid w:val="00F303E2"/>
    <w:rsid w:val="00F3057C"/>
    <w:rsid w:val="00F309BB"/>
    <w:rsid w:val="00F30B01"/>
    <w:rsid w:val="00F316A0"/>
    <w:rsid w:val="00F32009"/>
    <w:rsid w:val="00F324DE"/>
    <w:rsid w:val="00F32B48"/>
    <w:rsid w:val="00F32C6D"/>
    <w:rsid w:val="00F33037"/>
    <w:rsid w:val="00F3332D"/>
    <w:rsid w:val="00F335E4"/>
    <w:rsid w:val="00F337A6"/>
    <w:rsid w:val="00F343E8"/>
    <w:rsid w:val="00F34405"/>
    <w:rsid w:val="00F3486D"/>
    <w:rsid w:val="00F34A54"/>
    <w:rsid w:val="00F34CE4"/>
    <w:rsid w:val="00F34D84"/>
    <w:rsid w:val="00F35586"/>
    <w:rsid w:val="00F35773"/>
    <w:rsid w:val="00F35E65"/>
    <w:rsid w:val="00F36349"/>
    <w:rsid w:val="00F36590"/>
    <w:rsid w:val="00F36897"/>
    <w:rsid w:val="00F36945"/>
    <w:rsid w:val="00F36A53"/>
    <w:rsid w:val="00F3760D"/>
    <w:rsid w:val="00F37669"/>
    <w:rsid w:val="00F379F7"/>
    <w:rsid w:val="00F37B77"/>
    <w:rsid w:val="00F37D5C"/>
    <w:rsid w:val="00F400EC"/>
    <w:rsid w:val="00F40363"/>
    <w:rsid w:val="00F404EC"/>
    <w:rsid w:val="00F40BC5"/>
    <w:rsid w:val="00F40EAC"/>
    <w:rsid w:val="00F41D09"/>
    <w:rsid w:val="00F42077"/>
    <w:rsid w:val="00F42171"/>
    <w:rsid w:val="00F42319"/>
    <w:rsid w:val="00F42849"/>
    <w:rsid w:val="00F42ACD"/>
    <w:rsid w:val="00F42C71"/>
    <w:rsid w:val="00F43093"/>
    <w:rsid w:val="00F43884"/>
    <w:rsid w:val="00F43943"/>
    <w:rsid w:val="00F43A7B"/>
    <w:rsid w:val="00F43D77"/>
    <w:rsid w:val="00F43E66"/>
    <w:rsid w:val="00F441DB"/>
    <w:rsid w:val="00F44269"/>
    <w:rsid w:val="00F446B7"/>
    <w:rsid w:val="00F44C5B"/>
    <w:rsid w:val="00F45196"/>
    <w:rsid w:val="00F451A8"/>
    <w:rsid w:val="00F45270"/>
    <w:rsid w:val="00F455FF"/>
    <w:rsid w:val="00F45DDD"/>
    <w:rsid w:val="00F45FD8"/>
    <w:rsid w:val="00F46112"/>
    <w:rsid w:val="00F46A7D"/>
    <w:rsid w:val="00F46D18"/>
    <w:rsid w:val="00F472CD"/>
    <w:rsid w:val="00F47439"/>
    <w:rsid w:val="00F50127"/>
    <w:rsid w:val="00F50416"/>
    <w:rsid w:val="00F50905"/>
    <w:rsid w:val="00F51CDE"/>
    <w:rsid w:val="00F522AA"/>
    <w:rsid w:val="00F523E0"/>
    <w:rsid w:val="00F526E2"/>
    <w:rsid w:val="00F52792"/>
    <w:rsid w:val="00F52B2C"/>
    <w:rsid w:val="00F52F61"/>
    <w:rsid w:val="00F53074"/>
    <w:rsid w:val="00F532AC"/>
    <w:rsid w:val="00F53366"/>
    <w:rsid w:val="00F53380"/>
    <w:rsid w:val="00F536E9"/>
    <w:rsid w:val="00F53B14"/>
    <w:rsid w:val="00F53E6B"/>
    <w:rsid w:val="00F541D5"/>
    <w:rsid w:val="00F54207"/>
    <w:rsid w:val="00F54346"/>
    <w:rsid w:val="00F54383"/>
    <w:rsid w:val="00F54A21"/>
    <w:rsid w:val="00F54B51"/>
    <w:rsid w:val="00F54EE9"/>
    <w:rsid w:val="00F5542B"/>
    <w:rsid w:val="00F5585D"/>
    <w:rsid w:val="00F55925"/>
    <w:rsid w:val="00F55B15"/>
    <w:rsid w:val="00F55FD7"/>
    <w:rsid w:val="00F56244"/>
    <w:rsid w:val="00F5681F"/>
    <w:rsid w:val="00F56C31"/>
    <w:rsid w:val="00F574CD"/>
    <w:rsid w:val="00F5767A"/>
    <w:rsid w:val="00F57D4D"/>
    <w:rsid w:val="00F600A0"/>
    <w:rsid w:val="00F60581"/>
    <w:rsid w:val="00F60822"/>
    <w:rsid w:val="00F60B2A"/>
    <w:rsid w:val="00F60E18"/>
    <w:rsid w:val="00F61344"/>
    <w:rsid w:val="00F61494"/>
    <w:rsid w:val="00F61579"/>
    <w:rsid w:val="00F615A4"/>
    <w:rsid w:val="00F61637"/>
    <w:rsid w:val="00F617E3"/>
    <w:rsid w:val="00F61B13"/>
    <w:rsid w:val="00F61D44"/>
    <w:rsid w:val="00F61EBB"/>
    <w:rsid w:val="00F626BE"/>
    <w:rsid w:val="00F629B2"/>
    <w:rsid w:val="00F630A6"/>
    <w:rsid w:val="00F635DF"/>
    <w:rsid w:val="00F63C3C"/>
    <w:rsid w:val="00F63ED1"/>
    <w:rsid w:val="00F63FFE"/>
    <w:rsid w:val="00F64028"/>
    <w:rsid w:val="00F640B5"/>
    <w:rsid w:val="00F64C67"/>
    <w:rsid w:val="00F64E06"/>
    <w:rsid w:val="00F651B8"/>
    <w:rsid w:val="00F6520A"/>
    <w:rsid w:val="00F654B8"/>
    <w:rsid w:val="00F6557C"/>
    <w:rsid w:val="00F66286"/>
    <w:rsid w:val="00F6650B"/>
    <w:rsid w:val="00F66851"/>
    <w:rsid w:val="00F66C04"/>
    <w:rsid w:val="00F66D40"/>
    <w:rsid w:val="00F66F11"/>
    <w:rsid w:val="00F672BE"/>
    <w:rsid w:val="00F6738F"/>
    <w:rsid w:val="00F674DD"/>
    <w:rsid w:val="00F67A25"/>
    <w:rsid w:val="00F67C01"/>
    <w:rsid w:val="00F67D50"/>
    <w:rsid w:val="00F70237"/>
    <w:rsid w:val="00F70525"/>
    <w:rsid w:val="00F70A33"/>
    <w:rsid w:val="00F70E7B"/>
    <w:rsid w:val="00F7113C"/>
    <w:rsid w:val="00F7147D"/>
    <w:rsid w:val="00F71B03"/>
    <w:rsid w:val="00F71C10"/>
    <w:rsid w:val="00F71F26"/>
    <w:rsid w:val="00F72018"/>
    <w:rsid w:val="00F7209B"/>
    <w:rsid w:val="00F724C3"/>
    <w:rsid w:val="00F725D1"/>
    <w:rsid w:val="00F727BC"/>
    <w:rsid w:val="00F72BAE"/>
    <w:rsid w:val="00F731E1"/>
    <w:rsid w:val="00F733D4"/>
    <w:rsid w:val="00F73E71"/>
    <w:rsid w:val="00F74042"/>
    <w:rsid w:val="00F7405B"/>
    <w:rsid w:val="00F74111"/>
    <w:rsid w:val="00F74135"/>
    <w:rsid w:val="00F7414F"/>
    <w:rsid w:val="00F744A4"/>
    <w:rsid w:val="00F74A84"/>
    <w:rsid w:val="00F75007"/>
    <w:rsid w:val="00F7522F"/>
    <w:rsid w:val="00F7546A"/>
    <w:rsid w:val="00F7595B"/>
    <w:rsid w:val="00F759D1"/>
    <w:rsid w:val="00F75A71"/>
    <w:rsid w:val="00F75BD6"/>
    <w:rsid w:val="00F75E92"/>
    <w:rsid w:val="00F76074"/>
    <w:rsid w:val="00F760C4"/>
    <w:rsid w:val="00F764CD"/>
    <w:rsid w:val="00F76B2C"/>
    <w:rsid w:val="00F76C44"/>
    <w:rsid w:val="00F77BA1"/>
    <w:rsid w:val="00F805F6"/>
    <w:rsid w:val="00F8078B"/>
    <w:rsid w:val="00F8097C"/>
    <w:rsid w:val="00F80BBD"/>
    <w:rsid w:val="00F80C3F"/>
    <w:rsid w:val="00F80C69"/>
    <w:rsid w:val="00F80E1B"/>
    <w:rsid w:val="00F8176D"/>
    <w:rsid w:val="00F81970"/>
    <w:rsid w:val="00F81BCC"/>
    <w:rsid w:val="00F81C21"/>
    <w:rsid w:val="00F81C66"/>
    <w:rsid w:val="00F81E4D"/>
    <w:rsid w:val="00F81F24"/>
    <w:rsid w:val="00F81FCF"/>
    <w:rsid w:val="00F8206A"/>
    <w:rsid w:val="00F8251A"/>
    <w:rsid w:val="00F828B0"/>
    <w:rsid w:val="00F82A56"/>
    <w:rsid w:val="00F82BE0"/>
    <w:rsid w:val="00F83110"/>
    <w:rsid w:val="00F83501"/>
    <w:rsid w:val="00F83628"/>
    <w:rsid w:val="00F83D66"/>
    <w:rsid w:val="00F843DB"/>
    <w:rsid w:val="00F8491B"/>
    <w:rsid w:val="00F84AC3"/>
    <w:rsid w:val="00F84D7F"/>
    <w:rsid w:val="00F84D82"/>
    <w:rsid w:val="00F84F8D"/>
    <w:rsid w:val="00F85092"/>
    <w:rsid w:val="00F85311"/>
    <w:rsid w:val="00F8551A"/>
    <w:rsid w:val="00F85732"/>
    <w:rsid w:val="00F85B8A"/>
    <w:rsid w:val="00F86140"/>
    <w:rsid w:val="00F8662F"/>
    <w:rsid w:val="00F8663E"/>
    <w:rsid w:val="00F866BD"/>
    <w:rsid w:val="00F86AE4"/>
    <w:rsid w:val="00F86BA5"/>
    <w:rsid w:val="00F87072"/>
    <w:rsid w:val="00F870B6"/>
    <w:rsid w:val="00F87375"/>
    <w:rsid w:val="00F875BD"/>
    <w:rsid w:val="00F87843"/>
    <w:rsid w:val="00F878C1"/>
    <w:rsid w:val="00F879A0"/>
    <w:rsid w:val="00F87CD3"/>
    <w:rsid w:val="00F87D48"/>
    <w:rsid w:val="00F87D79"/>
    <w:rsid w:val="00F87DB0"/>
    <w:rsid w:val="00F87DB3"/>
    <w:rsid w:val="00F87F80"/>
    <w:rsid w:val="00F90D99"/>
    <w:rsid w:val="00F91059"/>
    <w:rsid w:val="00F9117F"/>
    <w:rsid w:val="00F9146F"/>
    <w:rsid w:val="00F91E38"/>
    <w:rsid w:val="00F92CE5"/>
    <w:rsid w:val="00F92E7D"/>
    <w:rsid w:val="00F933A6"/>
    <w:rsid w:val="00F934FF"/>
    <w:rsid w:val="00F9376C"/>
    <w:rsid w:val="00F93964"/>
    <w:rsid w:val="00F94130"/>
    <w:rsid w:val="00F944FB"/>
    <w:rsid w:val="00F94657"/>
    <w:rsid w:val="00F94B2A"/>
    <w:rsid w:val="00F94B3D"/>
    <w:rsid w:val="00F94B85"/>
    <w:rsid w:val="00F94BC4"/>
    <w:rsid w:val="00F94C32"/>
    <w:rsid w:val="00F94CE2"/>
    <w:rsid w:val="00F94D44"/>
    <w:rsid w:val="00F94E43"/>
    <w:rsid w:val="00F95699"/>
    <w:rsid w:val="00F95D18"/>
    <w:rsid w:val="00F95D41"/>
    <w:rsid w:val="00F95E06"/>
    <w:rsid w:val="00F9667E"/>
    <w:rsid w:val="00F96730"/>
    <w:rsid w:val="00F96980"/>
    <w:rsid w:val="00F96B19"/>
    <w:rsid w:val="00F96CC1"/>
    <w:rsid w:val="00F978EF"/>
    <w:rsid w:val="00F979C4"/>
    <w:rsid w:val="00F97F15"/>
    <w:rsid w:val="00FA03BA"/>
    <w:rsid w:val="00FA0602"/>
    <w:rsid w:val="00FA06D2"/>
    <w:rsid w:val="00FA087E"/>
    <w:rsid w:val="00FA0AD8"/>
    <w:rsid w:val="00FA0B2C"/>
    <w:rsid w:val="00FA0B77"/>
    <w:rsid w:val="00FA1762"/>
    <w:rsid w:val="00FA17A9"/>
    <w:rsid w:val="00FA1B86"/>
    <w:rsid w:val="00FA1C92"/>
    <w:rsid w:val="00FA1F1F"/>
    <w:rsid w:val="00FA200C"/>
    <w:rsid w:val="00FA244D"/>
    <w:rsid w:val="00FA3059"/>
    <w:rsid w:val="00FA3BEF"/>
    <w:rsid w:val="00FA3C46"/>
    <w:rsid w:val="00FA3D1A"/>
    <w:rsid w:val="00FA4052"/>
    <w:rsid w:val="00FA4946"/>
    <w:rsid w:val="00FA4DF2"/>
    <w:rsid w:val="00FA51F0"/>
    <w:rsid w:val="00FA520A"/>
    <w:rsid w:val="00FA5388"/>
    <w:rsid w:val="00FA5528"/>
    <w:rsid w:val="00FA5647"/>
    <w:rsid w:val="00FA572B"/>
    <w:rsid w:val="00FA5E80"/>
    <w:rsid w:val="00FA6282"/>
    <w:rsid w:val="00FA6732"/>
    <w:rsid w:val="00FA6AAE"/>
    <w:rsid w:val="00FA6BDF"/>
    <w:rsid w:val="00FA6DBA"/>
    <w:rsid w:val="00FA70D7"/>
    <w:rsid w:val="00FA7912"/>
    <w:rsid w:val="00FA7AD2"/>
    <w:rsid w:val="00FA7BA5"/>
    <w:rsid w:val="00FA7DA3"/>
    <w:rsid w:val="00FB032A"/>
    <w:rsid w:val="00FB0598"/>
    <w:rsid w:val="00FB0785"/>
    <w:rsid w:val="00FB08CB"/>
    <w:rsid w:val="00FB0D57"/>
    <w:rsid w:val="00FB12E6"/>
    <w:rsid w:val="00FB1424"/>
    <w:rsid w:val="00FB1BC3"/>
    <w:rsid w:val="00FB1DDD"/>
    <w:rsid w:val="00FB2422"/>
    <w:rsid w:val="00FB2750"/>
    <w:rsid w:val="00FB2A99"/>
    <w:rsid w:val="00FB2B17"/>
    <w:rsid w:val="00FB2B48"/>
    <w:rsid w:val="00FB342D"/>
    <w:rsid w:val="00FB349A"/>
    <w:rsid w:val="00FB365B"/>
    <w:rsid w:val="00FB3C81"/>
    <w:rsid w:val="00FB4222"/>
    <w:rsid w:val="00FB4785"/>
    <w:rsid w:val="00FB499E"/>
    <w:rsid w:val="00FB4A51"/>
    <w:rsid w:val="00FB4B35"/>
    <w:rsid w:val="00FB4C4A"/>
    <w:rsid w:val="00FB4DE9"/>
    <w:rsid w:val="00FB504F"/>
    <w:rsid w:val="00FB5204"/>
    <w:rsid w:val="00FB5212"/>
    <w:rsid w:val="00FB54C1"/>
    <w:rsid w:val="00FB575C"/>
    <w:rsid w:val="00FB5BD1"/>
    <w:rsid w:val="00FB6384"/>
    <w:rsid w:val="00FB6982"/>
    <w:rsid w:val="00FB6E80"/>
    <w:rsid w:val="00FB7890"/>
    <w:rsid w:val="00FB7DAE"/>
    <w:rsid w:val="00FC0471"/>
    <w:rsid w:val="00FC04F4"/>
    <w:rsid w:val="00FC074C"/>
    <w:rsid w:val="00FC0A48"/>
    <w:rsid w:val="00FC0D90"/>
    <w:rsid w:val="00FC0FE2"/>
    <w:rsid w:val="00FC103A"/>
    <w:rsid w:val="00FC1306"/>
    <w:rsid w:val="00FC151A"/>
    <w:rsid w:val="00FC1B97"/>
    <w:rsid w:val="00FC1BAB"/>
    <w:rsid w:val="00FC1EE9"/>
    <w:rsid w:val="00FC2053"/>
    <w:rsid w:val="00FC20B7"/>
    <w:rsid w:val="00FC250B"/>
    <w:rsid w:val="00FC2817"/>
    <w:rsid w:val="00FC29EB"/>
    <w:rsid w:val="00FC2A10"/>
    <w:rsid w:val="00FC2B64"/>
    <w:rsid w:val="00FC2D39"/>
    <w:rsid w:val="00FC3DFF"/>
    <w:rsid w:val="00FC586C"/>
    <w:rsid w:val="00FC5930"/>
    <w:rsid w:val="00FC5CD9"/>
    <w:rsid w:val="00FC6193"/>
    <w:rsid w:val="00FC65DB"/>
    <w:rsid w:val="00FC666E"/>
    <w:rsid w:val="00FC67DC"/>
    <w:rsid w:val="00FC6A28"/>
    <w:rsid w:val="00FC6B4D"/>
    <w:rsid w:val="00FC6C23"/>
    <w:rsid w:val="00FC7313"/>
    <w:rsid w:val="00FC77A1"/>
    <w:rsid w:val="00FC7A08"/>
    <w:rsid w:val="00FC7ACF"/>
    <w:rsid w:val="00FD01E0"/>
    <w:rsid w:val="00FD0209"/>
    <w:rsid w:val="00FD0500"/>
    <w:rsid w:val="00FD06A3"/>
    <w:rsid w:val="00FD0723"/>
    <w:rsid w:val="00FD0EFA"/>
    <w:rsid w:val="00FD0F93"/>
    <w:rsid w:val="00FD140C"/>
    <w:rsid w:val="00FD1AF0"/>
    <w:rsid w:val="00FD233A"/>
    <w:rsid w:val="00FD236F"/>
    <w:rsid w:val="00FD26BE"/>
    <w:rsid w:val="00FD27CB"/>
    <w:rsid w:val="00FD2BB1"/>
    <w:rsid w:val="00FD2C89"/>
    <w:rsid w:val="00FD3323"/>
    <w:rsid w:val="00FD37B0"/>
    <w:rsid w:val="00FD37EA"/>
    <w:rsid w:val="00FD3B59"/>
    <w:rsid w:val="00FD3CE0"/>
    <w:rsid w:val="00FD45A3"/>
    <w:rsid w:val="00FD4B58"/>
    <w:rsid w:val="00FD4D38"/>
    <w:rsid w:val="00FD4D92"/>
    <w:rsid w:val="00FD4DE0"/>
    <w:rsid w:val="00FD4E48"/>
    <w:rsid w:val="00FD5777"/>
    <w:rsid w:val="00FD588E"/>
    <w:rsid w:val="00FD58E5"/>
    <w:rsid w:val="00FD5F29"/>
    <w:rsid w:val="00FD5F9D"/>
    <w:rsid w:val="00FD6B33"/>
    <w:rsid w:val="00FD6BF2"/>
    <w:rsid w:val="00FD6CA7"/>
    <w:rsid w:val="00FD718F"/>
    <w:rsid w:val="00FD723E"/>
    <w:rsid w:val="00FD7584"/>
    <w:rsid w:val="00FD797F"/>
    <w:rsid w:val="00FD79EC"/>
    <w:rsid w:val="00FD7A65"/>
    <w:rsid w:val="00FD7AF4"/>
    <w:rsid w:val="00FD7EE7"/>
    <w:rsid w:val="00FE010D"/>
    <w:rsid w:val="00FE02CC"/>
    <w:rsid w:val="00FE03D7"/>
    <w:rsid w:val="00FE0AE4"/>
    <w:rsid w:val="00FE0CDB"/>
    <w:rsid w:val="00FE0D6F"/>
    <w:rsid w:val="00FE1A50"/>
    <w:rsid w:val="00FE1C33"/>
    <w:rsid w:val="00FE1DF0"/>
    <w:rsid w:val="00FE2720"/>
    <w:rsid w:val="00FE2A01"/>
    <w:rsid w:val="00FE2B85"/>
    <w:rsid w:val="00FE36FD"/>
    <w:rsid w:val="00FE4382"/>
    <w:rsid w:val="00FE494F"/>
    <w:rsid w:val="00FE4980"/>
    <w:rsid w:val="00FE4C38"/>
    <w:rsid w:val="00FE4DE2"/>
    <w:rsid w:val="00FE5016"/>
    <w:rsid w:val="00FE614A"/>
    <w:rsid w:val="00FE6407"/>
    <w:rsid w:val="00FE6698"/>
    <w:rsid w:val="00FE687A"/>
    <w:rsid w:val="00FE6DD0"/>
    <w:rsid w:val="00FE7086"/>
    <w:rsid w:val="00FF0B7A"/>
    <w:rsid w:val="00FF14A7"/>
    <w:rsid w:val="00FF159C"/>
    <w:rsid w:val="00FF15A0"/>
    <w:rsid w:val="00FF1863"/>
    <w:rsid w:val="00FF1942"/>
    <w:rsid w:val="00FF19C4"/>
    <w:rsid w:val="00FF1AF6"/>
    <w:rsid w:val="00FF1C27"/>
    <w:rsid w:val="00FF1E54"/>
    <w:rsid w:val="00FF20B2"/>
    <w:rsid w:val="00FF25C9"/>
    <w:rsid w:val="00FF2990"/>
    <w:rsid w:val="00FF2C9F"/>
    <w:rsid w:val="00FF32A4"/>
    <w:rsid w:val="00FF3342"/>
    <w:rsid w:val="00FF3826"/>
    <w:rsid w:val="00FF3A54"/>
    <w:rsid w:val="00FF3DAA"/>
    <w:rsid w:val="00FF3DDC"/>
    <w:rsid w:val="00FF449A"/>
    <w:rsid w:val="00FF451D"/>
    <w:rsid w:val="00FF4559"/>
    <w:rsid w:val="00FF479D"/>
    <w:rsid w:val="00FF4F73"/>
    <w:rsid w:val="00FF525D"/>
    <w:rsid w:val="00FF5368"/>
    <w:rsid w:val="00FF5658"/>
    <w:rsid w:val="00FF5732"/>
    <w:rsid w:val="00FF5909"/>
    <w:rsid w:val="00FF5C0D"/>
    <w:rsid w:val="00FF6311"/>
    <w:rsid w:val="00FF6372"/>
    <w:rsid w:val="00FF6BF9"/>
    <w:rsid w:val="00FF759D"/>
    <w:rsid w:val="00FF7617"/>
    <w:rsid w:val="00FF77FB"/>
    <w:rsid w:val="00FF784A"/>
    <w:rsid w:val="00FF7B6B"/>
    <w:rsid w:val="00FF7DAC"/>
    <w:rsid w:val="00FF7F06"/>
    <w:rsid w:val="0118A70C"/>
    <w:rsid w:val="011C8410"/>
    <w:rsid w:val="02B37CAE"/>
    <w:rsid w:val="02BD6272"/>
    <w:rsid w:val="02D1777A"/>
    <w:rsid w:val="02D83D7B"/>
    <w:rsid w:val="02E55F3D"/>
    <w:rsid w:val="036DB07A"/>
    <w:rsid w:val="038C7915"/>
    <w:rsid w:val="03F366DF"/>
    <w:rsid w:val="044F4D0F"/>
    <w:rsid w:val="045DB59D"/>
    <w:rsid w:val="04FD7703"/>
    <w:rsid w:val="054983AF"/>
    <w:rsid w:val="0576E576"/>
    <w:rsid w:val="05A24E91"/>
    <w:rsid w:val="0635B117"/>
    <w:rsid w:val="064B50FC"/>
    <w:rsid w:val="0795B988"/>
    <w:rsid w:val="081FC941"/>
    <w:rsid w:val="083E9DF0"/>
    <w:rsid w:val="08CBD60C"/>
    <w:rsid w:val="090FE52C"/>
    <w:rsid w:val="09D3F42D"/>
    <w:rsid w:val="09DAA75C"/>
    <w:rsid w:val="09FBBA99"/>
    <w:rsid w:val="0A46143C"/>
    <w:rsid w:val="0B008FED"/>
    <w:rsid w:val="0B7F99B1"/>
    <w:rsid w:val="0B910A5D"/>
    <w:rsid w:val="0C04C41D"/>
    <w:rsid w:val="0C274766"/>
    <w:rsid w:val="0CB4BF11"/>
    <w:rsid w:val="0CFD25D1"/>
    <w:rsid w:val="0CFFEC97"/>
    <w:rsid w:val="0D58AD15"/>
    <w:rsid w:val="0E2E40CA"/>
    <w:rsid w:val="0EB46E68"/>
    <w:rsid w:val="0F317AAA"/>
    <w:rsid w:val="0F38ED7E"/>
    <w:rsid w:val="0F59C8BC"/>
    <w:rsid w:val="0FD8636E"/>
    <w:rsid w:val="0FFCFED8"/>
    <w:rsid w:val="1051F5AB"/>
    <w:rsid w:val="1079DFF1"/>
    <w:rsid w:val="109D199A"/>
    <w:rsid w:val="1122898B"/>
    <w:rsid w:val="11921B84"/>
    <w:rsid w:val="119A0436"/>
    <w:rsid w:val="11E0FF2A"/>
    <w:rsid w:val="128CD32A"/>
    <w:rsid w:val="12C1FF58"/>
    <w:rsid w:val="12DD3CC3"/>
    <w:rsid w:val="12FC2B45"/>
    <w:rsid w:val="13B61F15"/>
    <w:rsid w:val="13CCB9BB"/>
    <w:rsid w:val="13FC0D7D"/>
    <w:rsid w:val="1485F5C8"/>
    <w:rsid w:val="148B4C19"/>
    <w:rsid w:val="152BB6AB"/>
    <w:rsid w:val="15305E26"/>
    <w:rsid w:val="159D7331"/>
    <w:rsid w:val="164EB23E"/>
    <w:rsid w:val="166FE8BE"/>
    <w:rsid w:val="16E7D6BE"/>
    <w:rsid w:val="172249D6"/>
    <w:rsid w:val="177449FD"/>
    <w:rsid w:val="17954549"/>
    <w:rsid w:val="17B3BDF9"/>
    <w:rsid w:val="17EA7FA1"/>
    <w:rsid w:val="184ED752"/>
    <w:rsid w:val="1922D225"/>
    <w:rsid w:val="192ED0B7"/>
    <w:rsid w:val="19B5867A"/>
    <w:rsid w:val="19B88196"/>
    <w:rsid w:val="19BFF7E6"/>
    <w:rsid w:val="19CDE8D8"/>
    <w:rsid w:val="1B6A2D09"/>
    <w:rsid w:val="1C812A13"/>
    <w:rsid w:val="1D89396A"/>
    <w:rsid w:val="1E1B7A37"/>
    <w:rsid w:val="1E221C2A"/>
    <w:rsid w:val="1E2C07F1"/>
    <w:rsid w:val="1E4DCA2F"/>
    <w:rsid w:val="1E922AC2"/>
    <w:rsid w:val="1EEC79FC"/>
    <w:rsid w:val="1FBB688A"/>
    <w:rsid w:val="2014EDED"/>
    <w:rsid w:val="2094C67A"/>
    <w:rsid w:val="216A1AD2"/>
    <w:rsid w:val="218269B8"/>
    <w:rsid w:val="21CAADC2"/>
    <w:rsid w:val="21E4B94E"/>
    <w:rsid w:val="2224DDCE"/>
    <w:rsid w:val="242DE752"/>
    <w:rsid w:val="243AF3D2"/>
    <w:rsid w:val="24C832D9"/>
    <w:rsid w:val="24F9CD68"/>
    <w:rsid w:val="262D2E0F"/>
    <w:rsid w:val="266F83E3"/>
    <w:rsid w:val="2719AD59"/>
    <w:rsid w:val="273EBE50"/>
    <w:rsid w:val="275977F1"/>
    <w:rsid w:val="27919617"/>
    <w:rsid w:val="27C5B6D6"/>
    <w:rsid w:val="27CFA500"/>
    <w:rsid w:val="28CE17E2"/>
    <w:rsid w:val="29A2AD9E"/>
    <w:rsid w:val="29B36D86"/>
    <w:rsid w:val="2AF556F7"/>
    <w:rsid w:val="2B2BF6F5"/>
    <w:rsid w:val="2B5FA4C9"/>
    <w:rsid w:val="2B6CC503"/>
    <w:rsid w:val="2B8ACEC0"/>
    <w:rsid w:val="2BA13EC1"/>
    <w:rsid w:val="2BD71474"/>
    <w:rsid w:val="2C07B237"/>
    <w:rsid w:val="2C6292AB"/>
    <w:rsid w:val="2D3FFBCB"/>
    <w:rsid w:val="2D455031"/>
    <w:rsid w:val="2D95DBFF"/>
    <w:rsid w:val="2E27A7F1"/>
    <w:rsid w:val="2E2AD317"/>
    <w:rsid w:val="2E7C32C4"/>
    <w:rsid w:val="2EBF1E71"/>
    <w:rsid w:val="2EEABF68"/>
    <w:rsid w:val="2F19976F"/>
    <w:rsid w:val="2F8D2621"/>
    <w:rsid w:val="30511A8D"/>
    <w:rsid w:val="30E3A89E"/>
    <w:rsid w:val="30F1AC7D"/>
    <w:rsid w:val="311431AF"/>
    <w:rsid w:val="317196F5"/>
    <w:rsid w:val="318DAE04"/>
    <w:rsid w:val="31F14461"/>
    <w:rsid w:val="320E3A7B"/>
    <w:rsid w:val="32FA3679"/>
    <w:rsid w:val="33381B14"/>
    <w:rsid w:val="33D87028"/>
    <w:rsid w:val="33F0DE2F"/>
    <w:rsid w:val="3437C1F8"/>
    <w:rsid w:val="34E04F8E"/>
    <w:rsid w:val="356300DF"/>
    <w:rsid w:val="35E8F781"/>
    <w:rsid w:val="363E76A8"/>
    <w:rsid w:val="36422937"/>
    <w:rsid w:val="367F285B"/>
    <w:rsid w:val="36850994"/>
    <w:rsid w:val="36A09595"/>
    <w:rsid w:val="36CDB37F"/>
    <w:rsid w:val="37064041"/>
    <w:rsid w:val="371101F8"/>
    <w:rsid w:val="37FB6887"/>
    <w:rsid w:val="385168FE"/>
    <w:rsid w:val="386FDE22"/>
    <w:rsid w:val="3890ED33"/>
    <w:rsid w:val="38B65BA6"/>
    <w:rsid w:val="393FCB9C"/>
    <w:rsid w:val="3A35DD02"/>
    <w:rsid w:val="3AD6E419"/>
    <w:rsid w:val="3AD736A3"/>
    <w:rsid w:val="3B22800C"/>
    <w:rsid w:val="3BD864D6"/>
    <w:rsid w:val="3C25E242"/>
    <w:rsid w:val="3C4C0AD9"/>
    <w:rsid w:val="3C608FFF"/>
    <w:rsid w:val="3C6F53AC"/>
    <w:rsid w:val="3C7836A7"/>
    <w:rsid w:val="3CE16649"/>
    <w:rsid w:val="3D0A9623"/>
    <w:rsid w:val="3D221122"/>
    <w:rsid w:val="3D8D2DF3"/>
    <w:rsid w:val="3DA59E6C"/>
    <w:rsid w:val="3DCB5D3F"/>
    <w:rsid w:val="3F9ECB70"/>
    <w:rsid w:val="3FAF02A0"/>
    <w:rsid w:val="3FB02466"/>
    <w:rsid w:val="3FC1AC27"/>
    <w:rsid w:val="40345DFE"/>
    <w:rsid w:val="4036CF95"/>
    <w:rsid w:val="409B2A52"/>
    <w:rsid w:val="41007213"/>
    <w:rsid w:val="420BC34A"/>
    <w:rsid w:val="420D5D63"/>
    <w:rsid w:val="42ADEF30"/>
    <w:rsid w:val="42CADFC9"/>
    <w:rsid w:val="43615927"/>
    <w:rsid w:val="437286C9"/>
    <w:rsid w:val="43B782F1"/>
    <w:rsid w:val="4414E51C"/>
    <w:rsid w:val="44987344"/>
    <w:rsid w:val="4538919D"/>
    <w:rsid w:val="45A23189"/>
    <w:rsid w:val="46271246"/>
    <w:rsid w:val="471AE7DC"/>
    <w:rsid w:val="471AFD8A"/>
    <w:rsid w:val="473D9BA9"/>
    <w:rsid w:val="4751BD07"/>
    <w:rsid w:val="4753C9AE"/>
    <w:rsid w:val="47778E5C"/>
    <w:rsid w:val="478177AB"/>
    <w:rsid w:val="481E5159"/>
    <w:rsid w:val="48691DDA"/>
    <w:rsid w:val="48AEF93E"/>
    <w:rsid w:val="48D9805C"/>
    <w:rsid w:val="491A9CF8"/>
    <w:rsid w:val="4A001B43"/>
    <w:rsid w:val="4A653CFF"/>
    <w:rsid w:val="4A7EF359"/>
    <w:rsid w:val="4A8977C2"/>
    <w:rsid w:val="4AB65E02"/>
    <w:rsid w:val="4BAF52C3"/>
    <w:rsid w:val="4BCDA474"/>
    <w:rsid w:val="4C5631D7"/>
    <w:rsid w:val="4CA4DA73"/>
    <w:rsid w:val="4CCC2B42"/>
    <w:rsid w:val="4CE352BD"/>
    <w:rsid w:val="4D1D9D1F"/>
    <w:rsid w:val="4D4B598F"/>
    <w:rsid w:val="4D63B409"/>
    <w:rsid w:val="4DDDBF0D"/>
    <w:rsid w:val="4E180704"/>
    <w:rsid w:val="4E196FC9"/>
    <w:rsid w:val="4E2B384D"/>
    <w:rsid w:val="4E418CC7"/>
    <w:rsid w:val="4EC52856"/>
    <w:rsid w:val="4ECE6F02"/>
    <w:rsid w:val="4EE07D4A"/>
    <w:rsid w:val="503D6C16"/>
    <w:rsid w:val="507A47BE"/>
    <w:rsid w:val="50ED679C"/>
    <w:rsid w:val="51407B97"/>
    <w:rsid w:val="51B58D15"/>
    <w:rsid w:val="51E1C1CC"/>
    <w:rsid w:val="5261EA5D"/>
    <w:rsid w:val="52B85FD0"/>
    <w:rsid w:val="53515356"/>
    <w:rsid w:val="53515D76"/>
    <w:rsid w:val="53673E39"/>
    <w:rsid w:val="537D922D"/>
    <w:rsid w:val="53B52E16"/>
    <w:rsid w:val="54404B1A"/>
    <w:rsid w:val="5489B77B"/>
    <w:rsid w:val="54961C12"/>
    <w:rsid w:val="54E56ED8"/>
    <w:rsid w:val="54EBCD94"/>
    <w:rsid w:val="55717343"/>
    <w:rsid w:val="559751AF"/>
    <w:rsid w:val="55B33C5F"/>
    <w:rsid w:val="56B34295"/>
    <w:rsid w:val="57470FAA"/>
    <w:rsid w:val="57C0A1DF"/>
    <w:rsid w:val="57E6AA50"/>
    <w:rsid w:val="5832E61E"/>
    <w:rsid w:val="585252D8"/>
    <w:rsid w:val="585D3557"/>
    <w:rsid w:val="591D5743"/>
    <w:rsid w:val="59A0EECB"/>
    <w:rsid w:val="59C09EFA"/>
    <w:rsid w:val="59EB4A52"/>
    <w:rsid w:val="5A223542"/>
    <w:rsid w:val="5A4F51FA"/>
    <w:rsid w:val="5A649888"/>
    <w:rsid w:val="5AC79B50"/>
    <w:rsid w:val="5B339FBE"/>
    <w:rsid w:val="5B4E75B7"/>
    <w:rsid w:val="5B4F8E09"/>
    <w:rsid w:val="5C95EF77"/>
    <w:rsid w:val="5CA6C0AE"/>
    <w:rsid w:val="5CBC78D0"/>
    <w:rsid w:val="5D6ACF98"/>
    <w:rsid w:val="5DAB7EDB"/>
    <w:rsid w:val="5DBF875E"/>
    <w:rsid w:val="5E7AC84F"/>
    <w:rsid w:val="5EAAC0CA"/>
    <w:rsid w:val="5EAC54B9"/>
    <w:rsid w:val="5ECCB52B"/>
    <w:rsid w:val="5F388903"/>
    <w:rsid w:val="5F444D30"/>
    <w:rsid w:val="5FF967A4"/>
    <w:rsid w:val="610CC875"/>
    <w:rsid w:val="61484B2C"/>
    <w:rsid w:val="61CE2124"/>
    <w:rsid w:val="62B984D8"/>
    <w:rsid w:val="62CBB7A6"/>
    <w:rsid w:val="63167534"/>
    <w:rsid w:val="632B865B"/>
    <w:rsid w:val="6423F40D"/>
    <w:rsid w:val="64374BFE"/>
    <w:rsid w:val="64F33490"/>
    <w:rsid w:val="654723C7"/>
    <w:rsid w:val="65E04BE2"/>
    <w:rsid w:val="6640F742"/>
    <w:rsid w:val="67397B78"/>
    <w:rsid w:val="6746656C"/>
    <w:rsid w:val="67FA226C"/>
    <w:rsid w:val="68711D2E"/>
    <w:rsid w:val="694F7FDA"/>
    <w:rsid w:val="699C6E95"/>
    <w:rsid w:val="69DF9A71"/>
    <w:rsid w:val="69F9A367"/>
    <w:rsid w:val="6A64635B"/>
    <w:rsid w:val="6A89478B"/>
    <w:rsid w:val="6ACA85B7"/>
    <w:rsid w:val="6B04CBE3"/>
    <w:rsid w:val="6B7958B9"/>
    <w:rsid w:val="6BD698A3"/>
    <w:rsid w:val="6C456EBC"/>
    <w:rsid w:val="6E9E9B1B"/>
    <w:rsid w:val="6F03C98E"/>
    <w:rsid w:val="6F0CF940"/>
    <w:rsid w:val="6F71E9D5"/>
    <w:rsid w:val="6FC1F062"/>
    <w:rsid w:val="6FCA8C1B"/>
    <w:rsid w:val="6FE800D8"/>
    <w:rsid w:val="7035B9A3"/>
    <w:rsid w:val="7069E1CF"/>
    <w:rsid w:val="70E40632"/>
    <w:rsid w:val="70E9A673"/>
    <w:rsid w:val="71665C7C"/>
    <w:rsid w:val="71F7C869"/>
    <w:rsid w:val="7221BE01"/>
    <w:rsid w:val="727AA777"/>
    <w:rsid w:val="7289B884"/>
    <w:rsid w:val="72CBAFE2"/>
    <w:rsid w:val="731840EA"/>
    <w:rsid w:val="738305D2"/>
    <w:rsid w:val="73A2227C"/>
    <w:rsid w:val="73C50711"/>
    <w:rsid w:val="73E45415"/>
    <w:rsid w:val="7435A37F"/>
    <w:rsid w:val="74583FA0"/>
    <w:rsid w:val="74D138DE"/>
    <w:rsid w:val="74E88C37"/>
    <w:rsid w:val="75530DCA"/>
    <w:rsid w:val="7584BEA6"/>
    <w:rsid w:val="7597BB10"/>
    <w:rsid w:val="75A4D76F"/>
    <w:rsid w:val="75F807C6"/>
    <w:rsid w:val="7683566A"/>
    <w:rsid w:val="76F5EDB3"/>
    <w:rsid w:val="7758FC66"/>
    <w:rsid w:val="777921FA"/>
    <w:rsid w:val="778EC4D2"/>
    <w:rsid w:val="77B533E8"/>
    <w:rsid w:val="77C70A88"/>
    <w:rsid w:val="780E134E"/>
    <w:rsid w:val="784647AA"/>
    <w:rsid w:val="785317E0"/>
    <w:rsid w:val="796E3CDC"/>
    <w:rsid w:val="7979A39D"/>
    <w:rsid w:val="79C0AB1E"/>
    <w:rsid w:val="79E7F5D0"/>
    <w:rsid w:val="7A80ABFC"/>
    <w:rsid w:val="7B364A1D"/>
    <w:rsid w:val="7BB82F4E"/>
    <w:rsid w:val="7BF3AA05"/>
    <w:rsid w:val="7C3F031E"/>
    <w:rsid w:val="7C62D2FC"/>
    <w:rsid w:val="7CA73E66"/>
    <w:rsid w:val="7CCD869A"/>
    <w:rsid w:val="7CFB144E"/>
    <w:rsid w:val="7D36DC3E"/>
    <w:rsid w:val="7DD17F44"/>
    <w:rsid w:val="7E2722F0"/>
    <w:rsid w:val="7EDC51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0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ED"/>
  </w:style>
  <w:style w:type="paragraph" w:styleId="Heading1">
    <w:name w:val="heading 1"/>
    <w:basedOn w:val="Normal"/>
    <w:link w:val="Heading1Char"/>
    <w:autoRedefine/>
    <w:uiPriority w:val="9"/>
    <w:qFormat/>
    <w:rsid w:val="003D144A"/>
    <w:pPr>
      <w:spacing w:before="161" w:after="161" w:line="240" w:lineRule="auto"/>
      <w:outlineLvl w:val="0"/>
    </w:pPr>
    <w:rPr>
      <w:rFonts w:asciiTheme="majorHAnsi" w:eastAsia="Times New Roman" w:hAnsiTheme="majorHAnsi" w:cs="Times New Roman"/>
      <w:b/>
      <w:bCs/>
      <w:color w:val="323E4F" w:themeColor="text2" w:themeShade="BF"/>
      <w:kern w:val="36"/>
      <w:sz w:val="48"/>
      <w:szCs w:val="48"/>
      <w:lang w:eastAsia="en-AU"/>
    </w:rPr>
  </w:style>
  <w:style w:type="paragraph" w:styleId="Heading2">
    <w:name w:val="heading 2"/>
    <w:basedOn w:val="Normal"/>
    <w:next w:val="Normal"/>
    <w:link w:val="Heading2Char"/>
    <w:autoRedefine/>
    <w:uiPriority w:val="9"/>
    <w:unhideWhenUsed/>
    <w:qFormat/>
    <w:rsid w:val="00532A33"/>
    <w:pPr>
      <w:keepNext/>
      <w:keepLines/>
      <w:spacing w:after="120" w:line="240" w:lineRule="auto"/>
      <w:outlineLvl w:val="1"/>
    </w:pPr>
    <w:rPr>
      <w:rFonts w:ascii="Calibri Light" w:eastAsia="Calibri Light" w:hAnsi="Calibri Light" w:cs="Calibri Light"/>
      <w:b/>
      <w:bCs/>
      <w:color w:val="2F5496" w:themeColor="accent1" w:themeShade="BF"/>
      <w:sz w:val="36"/>
      <w:szCs w:val="36"/>
      <w:lang w:val="en" w:eastAsia="en-AU"/>
    </w:rPr>
  </w:style>
  <w:style w:type="paragraph" w:styleId="Heading3">
    <w:name w:val="heading 3"/>
    <w:basedOn w:val="Normal"/>
    <w:next w:val="Normal"/>
    <w:link w:val="Heading3Char"/>
    <w:uiPriority w:val="9"/>
    <w:unhideWhenUsed/>
    <w:qFormat/>
    <w:rsid w:val="006C1424"/>
    <w:pPr>
      <w:spacing w:before="100" w:beforeAutospacing="1" w:after="100" w:afterAutospacing="1" w:line="312" w:lineRule="atLeast"/>
      <w:outlineLvl w:val="2"/>
    </w:pPr>
    <w:rPr>
      <w:rFonts w:eastAsia="Segoe UI" w:cstheme="minorHAnsi"/>
      <w:b/>
      <w:color w:val="011A3C"/>
      <w:sz w:val="36"/>
      <w:szCs w:val="36"/>
      <w:lang w:val="en" w:eastAsia="en-AU"/>
    </w:rPr>
  </w:style>
  <w:style w:type="paragraph" w:styleId="Heading4">
    <w:name w:val="heading 4"/>
    <w:basedOn w:val="Normal"/>
    <w:next w:val="Normal"/>
    <w:link w:val="Heading4Char"/>
    <w:uiPriority w:val="9"/>
    <w:unhideWhenUsed/>
    <w:qFormat/>
    <w:rsid w:val="008A14C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A14C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D086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086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D086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086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44A"/>
    <w:rPr>
      <w:rFonts w:asciiTheme="majorHAnsi" w:eastAsia="Times New Roman" w:hAnsiTheme="majorHAnsi" w:cs="Times New Roman"/>
      <w:b/>
      <w:bCs/>
      <w:color w:val="323E4F" w:themeColor="text2" w:themeShade="BF"/>
      <w:kern w:val="36"/>
      <w:sz w:val="48"/>
      <w:szCs w:val="48"/>
      <w:lang w:eastAsia="en-AU"/>
    </w:rPr>
  </w:style>
  <w:style w:type="character" w:customStyle="1" w:styleId="Heading2Char">
    <w:name w:val="Heading 2 Char"/>
    <w:basedOn w:val="DefaultParagraphFont"/>
    <w:link w:val="Heading2"/>
    <w:uiPriority w:val="9"/>
    <w:rsid w:val="00532A33"/>
    <w:rPr>
      <w:rFonts w:ascii="Calibri Light" w:eastAsia="Calibri Light" w:hAnsi="Calibri Light" w:cs="Calibri Light"/>
      <w:b/>
      <w:bCs/>
      <w:color w:val="2F5496" w:themeColor="accent1" w:themeShade="BF"/>
      <w:sz w:val="36"/>
      <w:szCs w:val="36"/>
      <w:lang w:val="en" w:eastAsia="en-AU"/>
    </w:rPr>
  </w:style>
  <w:style w:type="character" w:customStyle="1" w:styleId="Heading3Char">
    <w:name w:val="Heading 3 Char"/>
    <w:basedOn w:val="DefaultParagraphFont"/>
    <w:link w:val="Heading3"/>
    <w:uiPriority w:val="9"/>
    <w:rsid w:val="006C1424"/>
    <w:rPr>
      <w:rFonts w:eastAsia="Segoe UI" w:cstheme="minorHAnsi"/>
      <w:b/>
      <w:color w:val="011A3C"/>
      <w:sz w:val="36"/>
      <w:szCs w:val="36"/>
      <w:lang w:val="en" w:eastAsia="en-AU"/>
    </w:rPr>
  </w:style>
  <w:style w:type="character" w:customStyle="1" w:styleId="Heading4Char">
    <w:name w:val="Heading 4 Char"/>
    <w:basedOn w:val="DefaultParagraphFont"/>
    <w:link w:val="Heading4"/>
    <w:uiPriority w:val="9"/>
    <w:rsid w:val="00EA34C0"/>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5E41D9"/>
    <w:pPr>
      <w:spacing w:after="0" w:line="240" w:lineRule="auto"/>
    </w:pPr>
    <w:rPr>
      <w:rFonts w:ascii="Courier New" w:hAnsi="Courier New" w:cs="Courier New"/>
      <w:sz w:val="18"/>
      <w:szCs w:val="18"/>
    </w:rPr>
  </w:style>
  <w:style w:type="character" w:customStyle="1" w:styleId="BalloonTextChar">
    <w:name w:val="Balloon Text Char"/>
    <w:basedOn w:val="DefaultParagraphFont"/>
    <w:link w:val="BalloonText"/>
    <w:uiPriority w:val="99"/>
    <w:semiHidden/>
    <w:rsid w:val="005E41D9"/>
    <w:rPr>
      <w:rFonts w:ascii="Courier New" w:hAnsi="Courier New" w:cs="Courier New"/>
      <w:sz w:val="18"/>
      <w:szCs w:val="18"/>
    </w:rPr>
  </w:style>
  <w:style w:type="character" w:styleId="CommentReference">
    <w:name w:val="annotation reference"/>
    <w:basedOn w:val="DefaultParagraphFont"/>
    <w:uiPriority w:val="99"/>
    <w:unhideWhenUsed/>
    <w:rsid w:val="005E41D9"/>
    <w:rPr>
      <w:sz w:val="16"/>
      <w:szCs w:val="16"/>
    </w:rPr>
  </w:style>
  <w:style w:type="paragraph" w:styleId="CommentText">
    <w:name w:val="annotation text"/>
    <w:basedOn w:val="Normal"/>
    <w:link w:val="CommentTextChar"/>
    <w:uiPriority w:val="99"/>
    <w:unhideWhenUsed/>
    <w:rsid w:val="005E41D9"/>
    <w:pPr>
      <w:spacing w:line="240" w:lineRule="auto"/>
    </w:pPr>
    <w:rPr>
      <w:sz w:val="20"/>
      <w:szCs w:val="20"/>
    </w:rPr>
  </w:style>
  <w:style w:type="character" w:customStyle="1" w:styleId="CommentTextChar">
    <w:name w:val="Comment Text Char"/>
    <w:basedOn w:val="DefaultParagraphFont"/>
    <w:link w:val="CommentText"/>
    <w:uiPriority w:val="99"/>
    <w:rsid w:val="005E41D9"/>
    <w:rPr>
      <w:sz w:val="20"/>
      <w:szCs w:val="20"/>
    </w:rPr>
  </w:style>
  <w:style w:type="paragraph" w:styleId="ListParagraph">
    <w:name w:val="List Paragraph"/>
    <w:aliases w:val="Bullet Point,List Paragraph - bullets,Use Case List Paragraph,Bullet List,List Paragraph11,Bullet point,L,List Paragraph1,Recommendation,DDM Gen Text,NFP GP Bulleted List,bullet point list,Bullet points,Content descriptions,Dot Points"/>
    <w:basedOn w:val="Normal"/>
    <w:link w:val="ListParagraphChar"/>
    <w:uiPriority w:val="34"/>
    <w:qFormat/>
    <w:rsid w:val="005E41D9"/>
    <w:pPr>
      <w:ind w:left="720"/>
      <w:contextualSpacing/>
    </w:pPr>
  </w:style>
  <w:style w:type="paragraph" w:styleId="CommentSubject">
    <w:name w:val="annotation subject"/>
    <w:basedOn w:val="CommentText"/>
    <w:next w:val="CommentText"/>
    <w:link w:val="CommentSubjectChar"/>
    <w:uiPriority w:val="99"/>
    <w:semiHidden/>
    <w:unhideWhenUsed/>
    <w:rsid w:val="005E41D9"/>
    <w:rPr>
      <w:b/>
      <w:bCs/>
    </w:rPr>
  </w:style>
  <w:style w:type="character" w:customStyle="1" w:styleId="CommentSubjectChar">
    <w:name w:val="Comment Subject Char"/>
    <w:basedOn w:val="CommentTextChar"/>
    <w:link w:val="CommentSubject"/>
    <w:uiPriority w:val="99"/>
    <w:semiHidden/>
    <w:rsid w:val="005E41D9"/>
    <w:rPr>
      <w:b/>
      <w:bCs/>
      <w:sz w:val="20"/>
      <w:szCs w:val="20"/>
    </w:rPr>
  </w:style>
  <w:style w:type="paragraph" w:styleId="NoSpacing">
    <w:name w:val="No Spacing"/>
    <w:link w:val="NoSpacingChar"/>
    <w:uiPriority w:val="1"/>
    <w:qFormat/>
    <w:rsid w:val="004E1F6F"/>
    <w:pPr>
      <w:spacing w:after="0" w:line="240" w:lineRule="auto"/>
    </w:pPr>
  </w:style>
  <w:style w:type="character" w:styleId="IntenseReference">
    <w:name w:val="Intense Reference"/>
    <w:basedOn w:val="DefaultParagraphFont"/>
    <w:uiPriority w:val="32"/>
    <w:qFormat/>
    <w:rsid w:val="00116D76"/>
    <w:rPr>
      <w:b/>
      <w:bCs/>
      <w:smallCaps/>
      <w:color w:val="4472C4" w:themeColor="accent1"/>
      <w:spacing w:val="5"/>
    </w:rPr>
  </w:style>
  <w:style w:type="paragraph" w:styleId="Title">
    <w:name w:val="Title"/>
    <w:basedOn w:val="Normal"/>
    <w:next w:val="Normal"/>
    <w:link w:val="TitleChar"/>
    <w:uiPriority w:val="10"/>
    <w:qFormat/>
    <w:rsid w:val="00116D7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116D76"/>
    <w:rPr>
      <w:rFonts w:asciiTheme="majorHAnsi" w:eastAsiaTheme="majorEastAsia" w:hAnsiTheme="majorHAnsi" w:cstheme="majorBidi"/>
      <w:spacing w:val="-10"/>
      <w:kern w:val="28"/>
      <w:sz w:val="40"/>
      <w:szCs w:val="56"/>
    </w:rPr>
  </w:style>
  <w:style w:type="character" w:styleId="Hyperlink">
    <w:name w:val="Hyperlink"/>
    <w:basedOn w:val="DefaultParagraphFont"/>
    <w:uiPriority w:val="99"/>
    <w:unhideWhenUsed/>
    <w:rsid w:val="0076693A"/>
    <w:rPr>
      <w:color w:val="0563C1" w:themeColor="hyperlink"/>
      <w:u w:val="single"/>
    </w:rPr>
  </w:style>
  <w:style w:type="paragraph" w:styleId="NormalWeb">
    <w:name w:val="Normal (Web)"/>
    <w:basedOn w:val="Normal"/>
    <w:link w:val="NormalWebChar"/>
    <w:uiPriority w:val="99"/>
    <w:unhideWhenUsed/>
    <w:rsid w:val="00ED4312"/>
    <w:pPr>
      <w:spacing w:before="100" w:beforeAutospacing="1" w:after="100" w:afterAutospacing="1" w:line="240" w:lineRule="auto"/>
    </w:pPr>
    <w:rPr>
      <w:rFonts w:ascii="Yu Mincho Light" w:eastAsia="Yu Mincho Light" w:hAnsi="Yu Mincho Light" w:cs="Yu Mincho Light"/>
      <w:sz w:val="24"/>
      <w:szCs w:val="24"/>
      <w:lang w:eastAsia="en-AU"/>
    </w:rPr>
  </w:style>
  <w:style w:type="paragraph" w:customStyle="1" w:styleId="det-publication-menuitem">
    <w:name w:val="det-publication-menu__item"/>
    <w:basedOn w:val="Normal"/>
    <w:rsid w:val="00ED4312"/>
    <w:pPr>
      <w:spacing w:before="100" w:beforeAutospacing="1" w:after="100" w:afterAutospacing="1" w:line="240" w:lineRule="auto"/>
    </w:pPr>
    <w:rPr>
      <w:rFonts w:ascii="Yu Mincho Light" w:eastAsia="Yu Mincho Light" w:hAnsi="Yu Mincho Light" w:cs="Yu Mincho Light"/>
      <w:sz w:val="24"/>
      <w:szCs w:val="24"/>
      <w:lang w:eastAsia="en-AU"/>
    </w:rPr>
  </w:style>
  <w:style w:type="character" w:customStyle="1" w:styleId="rpl-linkinner1">
    <w:name w:val="rpl-link__inner1"/>
    <w:basedOn w:val="DefaultParagraphFont"/>
    <w:rsid w:val="00ED4312"/>
    <w:rPr>
      <w:vanish w:val="0"/>
      <w:webHidden w:val="0"/>
      <w:specVanish w:val="0"/>
    </w:rPr>
  </w:style>
  <w:style w:type="character" w:customStyle="1" w:styleId="det-publication-menuitem-link-text">
    <w:name w:val="det-publication-menu__item-link-text"/>
    <w:basedOn w:val="DefaultParagraphFont"/>
    <w:rsid w:val="00ED4312"/>
  </w:style>
  <w:style w:type="character" w:customStyle="1" w:styleId="det-chapters-title">
    <w:name w:val="det-chapters-title"/>
    <w:basedOn w:val="DefaultParagraphFont"/>
    <w:rsid w:val="00ED4312"/>
  </w:style>
  <w:style w:type="character" w:customStyle="1" w:styleId="rpl-text-label2">
    <w:name w:val="rpl-text-label2"/>
    <w:basedOn w:val="DefaultParagraphFont"/>
    <w:rsid w:val="00ED4312"/>
    <w:rPr>
      <w:strike w:val="0"/>
      <w:dstrike w:val="0"/>
      <w:color w:val="011A3C"/>
      <w:u w:val="none"/>
      <w:effect w:val="none"/>
    </w:rPr>
  </w:style>
  <w:style w:type="character" w:styleId="Strong">
    <w:name w:val="Strong"/>
    <w:basedOn w:val="DefaultParagraphFont"/>
    <w:uiPriority w:val="22"/>
    <w:qFormat/>
    <w:rsid w:val="00ED4312"/>
    <w:rPr>
      <w:b/>
      <w:bCs/>
    </w:rPr>
  </w:style>
  <w:style w:type="character" w:customStyle="1" w:styleId="rpl-text-icongroup1">
    <w:name w:val="rpl-text-icon__group1"/>
    <w:basedOn w:val="DefaultParagraphFont"/>
    <w:rsid w:val="00ED4312"/>
  </w:style>
  <w:style w:type="paragraph" w:styleId="TOCHeading">
    <w:name w:val="TOC Heading"/>
    <w:basedOn w:val="Heading1"/>
    <w:next w:val="Normal"/>
    <w:uiPriority w:val="39"/>
    <w:unhideWhenUsed/>
    <w:qFormat/>
    <w:rsid w:val="00BE4C65"/>
    <w:pPr>
      <w:keepNext/>
      <w:keepLines/>
      <w:spacing w:before="240" w:after="0" w:line="259" w:lineRule="auto"/>
      <w:outlineLvl w:val="9"/>
    </w:pPr>
    <w:rPr>
      <w:rFonts w:eastAsiaTheme="majorEastAsia"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7A6EA2"/>
    <w:pPr>
      <w:tabs>
        <w:tab w:val="right" w:leader="dot" w:pos="9016"/>
      </w:tabs>
      <w:spacing w:after="100"/>
    </w:pPr>
  </w:style>
  <w:style w:type="paragraph" w:styleId="TOC2">
    <w:name w:val="toc 2"/>
    <w:basedOn w:val="Normal"/>
    <w:next w:val="Normal"/>
    <w:autoRedefine/>
    <w:uiPriority w:val="39"/>
    <w:unhideWhenUsed/>
    <w:rsid w:val="00EF1514"/>
    <w:pPr>
      <w:tabs>
        <w:tab w:val="right" w:leader="dot" w:pos="9016"/>
      </w:tabs>
      <w:spacing w:after="100"/>
      <w:ind w:left="220"/>
    </w:pPr>
  </w:style>
  <w:style w:type="paragraph" w:styleId="TOC3">
    <w:name w:val="toc 3"/>
    <w:basedOn w:val="Normal"/>
    <w:next w:val="Normal"/>
    <w:autoRedefine/>
    <w:uiPriority w:val="39"/>
    <w:unhideWhenUsed/>
    <w:rsid w:val="00BE4C65"/>
    <w:pPr>
      <w:spacing w:after="100"/>
      <w:ind w:left="440"/>
    </w:pPr>
  </w:style>
  <w:style w:type="character" w:customStyle="1" w:styleId="NoSpacingChar">
    <w:name w:val="No Spacing Char"/>
    <w:basedOn w:val="DefaultParagraphFont"/>
    <w:link w:val="NoSpacing"/>
    <w:uiPriority w:val="1"/>
    <w:rsid w:val="00777BB8"/>
  </w:style>
  <w:style w:type="paragraph" w:styleId="Subtitle">
    <w:name w:val="Subtitle"/>
    <w:basedOn w:val="Normal"/>
    <w:next w:val="Normal"/>
    <w:link w:val="SubtitleChar"/>
    <w:uiPriority w:val="11"/>
    <w:qFormat/>
    <w:rsid w:val="006920FD"/>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6920FD"/>
    <w:rPr>
      <w:rFonts w:eastAsiaTheme="minorEastAsia" w:cs="Times New Roman"/>
      <w:color w:val="5A5A5A" w:themeColor="text1" w:themeTint="A5"/>
      <w:spacing w:val="15"/>
      <w:lang w:val="en-US"/>
    </w:rPr>
  </w:style>
  <w:style w:type="paragraph" w:styleId="Revision">
    <w:name w:val="Revision"/>
    <w:hidden/>
    <w:uiPriority w:val="99"/>
    <w:semiHidden/>
    <w:rsid w:val="006C7CCA"/>
    <w:pPr>
      <w:spacing w:after="0" w:line="240" w:lineRule="auto"/>
    </w:pPr>
  </w:style>
  <w:style w:type="character" w:styleId="UnresolvedMention">
    <w:name w:val="Unresolved Mention"/>
    <w:basedOn w:val="DefaultParagraphFont"/>
    <w:uiPriority w:val="99"/>
    <w:unhideWhenUsed/>
    <w:rsid w:val="007F1D90"/>
    <w:rPr>
      <w:color w:val="605E5C"/>
      <w:shd w:val="clear" w:color="auto" w:fill="E1DFDD"/>
    </w:rPr>
  </w:style>
  <w:style w:type="paragraph" w:styleId="Header">
    <w:name w:val="header"/>
    <w:basedOn w:val="Normal"/>
    <w:link w:val="HeaderChar"/>
    <w:uiPriority w:val="99"/>
    <w:unhideWhenUsed/>
    <w:rsid w:val="00196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C78"/>
  </w:style>
  <w:style w:type="paragraph" w:styleId="Footer">
    <w:name w:val="footer"/>
    <w:basedOn w:val="Normal"/>
    <w:link w:val="FooterChar"/>
    <w:uiPriority w:val="99"/>
    <w:unhideWhenUsed/>
    <w:rsid w:val="00196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C78"/>
  </w:style>
  <w:style w:type="character" w:styleId="FollowedHyperlink">
    <w:name w:val="FollowedHyperlink"/>
    <w:basedOn w:val="DefaultParagraphFont"/>
    <w:uiPriority w:val="99"/>
    <w:semiHidden/>
    <w:unhideWhenUsed/>
    <w:rsid w:val="00740CCF"/>
    <w:rPr>
      <w:color w:val="954F72" w:themeColor="followedHyperlink"/>
      <w:u w:val="single"/>
    </w:rPr>
  </w:style>
  <w:style w:type="character" w:customStyle="1" w:styleId="ListParagraphChar">
    <w:name w:val="List Paragraph Char"/>
    <w:aliases w:val="Bullet Point Char,List Paragraph - bullets Char,Use Case List Paragraph Char,Bullet List Char,List Paragraph11 Char,Bullet point Char,L Char,List Paragraph1 Char,Recommendation Char,DDM Gen Text Char,NFP GP Bulleted List Char"/>
    <w:basedOn w:val="DefaultParagraphFont"/>
    <w:link w:val="ListParagraph"/>
    <w:uiPriority w:val="34"/>
    <w:qFormat/>
    <w:locked/>
    <w:rsid w:val="00F20EC8"/>
  </w:style>
  <w:style w:type="table" w:styleId="TableGrid">
    <w:name w:val="Table Grid"/>
    <w:basedOn w:val="TableNormal"/>
    <w:uiPriority w:val="39"/>
    <w:rsid w:val="00F20EC8"/>
    <w:pPr>
      <w:spacing w:after="0" w:line="240" w:lineRule="auto"/>
    </w:pPr>
    <w:rPr>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paragraph" w:customStyle="1" w:styleId="wysiwyg-callout">
    <w:name w:val="wysiwyg-callout"/>
    <w:basedOn w:val="Normal"/>
    <w:rsid w:val="00BB5BE4"/>
    <w:pPr>
      <w:spacing w:before="100" w:beforeAutospacing="1" w:after="100" w:afterAutospacing="1" w:line="240" w:lineRule="auto"/>
    </w:pPr>
    <w:rPr>
      <w:rFonts w:ascii="Yu Mincho Light" w:eastAsia="Yu Mincho Light" w:hAnsi="Yu Mincho Light" w:cs="Yu Mincho Light"/>
      <w:sz w:val="24"/>
      <w:szCs w:val="24"/>
      <w:lang w:eastAsia="en-AU"/>
    </w:rPr>
  </w:style>
  <w:style w:type="table" w:customStyle="1" w:styleId="TableGrid11">
    <w:name w:val="Table Grid11"/>
    <w:basedOn w:val="TableNormal"/>
    <w:rsid w:val="00BB5BE4"/>
    <w:pPr>
      <w:spacing w:after="90" w:line="220" w:lineRule="atLeast"/>
    </w:pPr>
    <w:rPr>
      <w:rFonts w:ascii="Yu Mincho Light" w:eastAsia="Yu Mincho Light" w:hAnsi="Yu Mincho Light" w:cs="Yu Mincho Light"/>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next w:val="Normal"/>
    <w:qFormat/>
    <w:rsid w:val="007A1176"/>
    <w:pPr>
      <w:spacing w:after="120" w:line="240" w:lineRule="auto"/>
    </w:pPr>
    <w:rPr>
      <w:szCs w:val="24"/>
    </w:rPr>
  </w:style>
  <w:style w:type="character" w:customStyle="1" w:styleId="NormalWebChar">
    <w:name w:val="Normal (Web) Char"/>
    <w:basedOn w:val="DefaultParagraphFont"/>
    <w:link w:val="NormalWeb"/>
    <w:uiPriority w:val="99"/>
    <w:rsid w:val="000B5124"/>
    <w:rPr>
      <w:rFonts w:ascii="Yu Mincho Light" w:eastAsia="Yu Mincho Light" w:hAnsi="Yu Mincho Light" w:cs="Yu Mincho Light"/>
      <w:sz w:val="24"/>
      <w:szCs w:val="24"/>
      <w:lang w:eastAsia="en-AU"/>
    </w:rPr>
  </w:style>
  <w:style w:type="character" w:customStyle="1" w:styleId="normaltextrun">
    <w:name w:val="normaltextrun"/>
    <w:basedOn w:val="DefaultParagraphFont"/>
    <w:rsid w:val="000B5124"/>
  </w:style>
  <w:style w:type="character" w:customStyle="1" w:styleId="rpl-text-label">
    <w:name w:val="rpl-text-label"/>
    <w:basedOn w:val="DefaultParagraphFont"/>
    <w:rsid w:val="00F66851"/>
  </w:style>
  <w:style w:type="character" w:customStyle="1" w:styleId="rpl-text-icongroup">
    <w:name w:val="rpl-text-icon__group"/>
    <w:basedOn w:val="DefaultParagraphFont"/>
    <w:rsid w:val="00F66851"/>
  </w:style>
  <w:style w:type="character" w:customStyle="1" w:styleId="Heading5Char">
    <w:name w:val="Heading 5 Char"/>
    <w:basedOn w:val="DefaultParagraphFont"/>
    <w:link w:val="Heading5"/>
    <w:uiPriority w:val="9"/>
    <w:rsid w:val="00F66851"/>
    <w:rPr>
      <w:rFonts w:asciiTheme="majorHAnsi" w:eastAsiaTheme="majorEastAsia" w:hAnsiTheme="majorHAnsi" w:cstheme="majorBidi"/>
      <w:color w:val="2F5496" w:themeColor="accent1" w:themeShade="BF"/>
    </w:rPr>
  </w:style>
  <w:style w:type="paragraph" w:customStyle="1" w:styleId="mld-paragraph">
    <w:name w:val="mld-paragraph"/>
    <w:basedOn w:val="Normal"/>
    <w:rsid w:val="00683C9C"/>
    <w:pPr>
      <w:spacing w:before="100" w:beforeAutospacing="1" w:after="100" w:afterAutospacing="1" w:line="240" w:lineRule="auto"/>
    </w:pPr>
    <w:rPr>
      <w:rFonts w:ascii="VIC" w:hAnsi="VIC" w:cs="VIC"/>
      <w:lang w:eastAsia="en-AU"/>
    </w:rPr>
  </w:style>
  <w:style w:type="paragraph" w:styleId="BodyText">
    <w:name w:val="Body Text"/>
    <w:basedOn w:val="Normal"/>
    <w:link w:val="BodyTextChar"/>
    <w:semiHidden/>
    <w:unhideWhenUsed/>
    <w:qFormat/>
    <w:rsid w:val="00F8251A"/>
    <w:pPr>
      <w:spacing w:before="120" w:after="120" w:line="288" w:lineRule="auto"/>
      <w:jc w:val="both"/>
    </w:pPr>
    <w:rPr>
      <w:rFonts w:ascii="Cambria Math" w:hAnsi="Cambria Math"/>
      <w:color w:val="323E4F" w:themeColor="text2" w:themeShade="BF"/>
      <w:spacing w:val="4"/>
      <w:kern w:val="20"/>
      <w:sz w:val="20"/>
    </w:rPr>
  </w:style>
  <w:style w:type="character" w:customStyle="1" w:styleId="BodyTextChar">
    <w:name w:val="Body Text Char"/>
    <w:basedOn w:val="DefaultParagraphFont"/>
    <w:link w:val="BodyText"/>
    <w:semiHidden/>
    <w:rsid w:val="00F8251A"/>
    <w:rPr>
      <w:rFonts w:ascii="Cambria Math" w:hAnsi="Cambria Math"/>
      <w:color w:val="323E4F" w:themeColor="text2" w:themeShade="BF"/>
      <w:spacing w:val="4"/>
      <w:kern w:val="20"/>
      <w:sz w:val="20"/>
    </w:rPr>
  </w:style>
  <w:style w:type="table" w:customStyle="1" w:styleId="TableGrid111">
    <w:name w:val="Table Grid111"/>
    <w:basedOn w:val="TableNormal"/>
    <w:rsid w:val="00F8251A"/>
    <w:pPr>
      <w:spacing w:after="90" w:line="220" w:lineRule="atLeast"/>
    </w:pPr>
    <w:rPr>
      <w:rFonts w:ascii="Yu Mincho Light" w:eastAsia="Yu Mincho Light" w:hAnsi="Yu Mincho Light" w:cs="Yu Mincho Light"/>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ED0863"/>
  </w:style>
  <w:style w:type="paragraph" w:styleId="BlockText">
    <w:name w:val="Block Text"/>
    <w:basedOn w:val="Normal"/>
    <w:uiPriority w:val="99"/>
    <w:semiHidden/>
    <w:unhideWhenUsed/>
    <w:rsid w:val="00ED086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2">
    <w:name w:val="Body Text 2"/>
    <w:basedOn w:val="Normal"/>
    <w:link w:val="BodyText2Char"/>
    <w:uiPriority w:val="99"/>
    <w:semiHidden/>
    <w:unhideWhenUsed/>
    <w:rsid w:val="00ED0863"/>
    <w:pPr>
      <w:spacing w:after="120" w:line="480" w:lineRule="auto"/>
    </w:pPr>
  </w:style>
  <w:style w:type="character" w:customStyle="1" w:styleId="BodyText2Char">
    <w:name w:val="Body Text 2 Char"/>
    <w:basedOn w:val="DefaultParagraphFont"/>
    <w:link w:val="BodyText2"/>
    <w:uiPriority w:val="99"/>
    <w:semiHidden/>
    <w:rsid w:val="00ED0863"/>
  </w:style>
  <w:style w:type="paragraph" w:styleId="BodyText3">
    <w:name w:val="Body Text 3"/>
    <w:basedOn w:val="Normal"/>
    <w:link w:val="BodyText3Char"/>
    <w:uiPriority w:val="99"/>
    <w:semiHidden/>
    <w:unhideWhenUsed/>
    <w:rsid w:val="00ED0863"/>
    <w:pPr>
      <w:spacing w:after="120"/>
    </w:pPr>
    <w:rPr>
      <w:sz w:val="16"/>
      <w:szCs w:val="16"/>
    </w:rPr>
  </w:style>
  <w:style w:type="character" w:customStyle="1" w:styleId="BodyText3Char">
    <w:name w:val="Body Text 3 Char"/>
    <w:basedOn w:val="DefaultParagraphFont"/>
    <w:link w:val="BodyText3"/>
    <w:uiPriority w:val="99"/>
    <w:semiHidden/>
    <w:rsid w:val="00ED0863"/>
    <w:rPr>
      <w:sz w:val="16"/>
      <w:szCs w:val="16"/>
    </w:rPr>
  </w:style>
  <w:style w:type="paragraph" w:styleId="BodyTextFirstIndent">
    <w:name w:val="Body Text First Indent"/>
    <w:basedOn w:val="BodyText"/>
    <w:link w:val="BodyTextFirstIndentChar"/>
    <w:uiPriority w:val="99"/>
    <w:semiHidden/>
    <w:unhideWhenUsed/>
    <w:rsid w:val="00ED0863"/>
    <w:pPr>
      <w:spacing w:before="0" w:after="160" w:line="259" w:lineRule="auto"/>
      <w:ind w:firstLine="360"/>
      <w:jc w:val="left"/>
    </w:pPr>
    <w:rPr>
      <w:rFonts w:asciiTheme="minorHAnsi" w:hAnsiTheme="minorHAnsi"/>
      <w:color w:val="auto"/>
      <w:spacing w:val="0"/>
      <w:kern w:val="0"/>
      <w:sz w:val="22"/>
    </w:rPr>
  </w:style>
  <w:style w:type="character" w:customStyle="1" w:styleId="BodyTextFirstIndentChar">
    <w:name w:val="Body Text First Indent Char"/>
    <w:basedOn w:val="BodyTextChar"/>
    <w:link w:val="BodyTextFirstIndent"/>
    <w:uiPriority w:val="99"/>
    <w:semiHidden/>
    <w:rsid w:val="00ED0863"/>
    <w:rPr>
      <w:rFonts w:ascii="Arial" w:hAnsi="Arial"/>
      <w:color w:val="323E4F" w:themeColor="text2" w:themeShade="BF"/>
      <w:spacing w:val="4"/>
      <w:kern w:val="20"/>
      <w:sz w:val="20"/>
    </w:rPr>
  </w:style>
  <w:style w:type="paragraph" w:styleId="BodyTextIndent">
    <w:name w:val="Body Text Indent"/>
    <w:basedOn w:val="Normal"/>
    <w:link w:val="BodyTextIndentChar"/>
    <w:uiPriority w:val="99"/>
    <w:semiHidden/>
    <w:unhideWhenUsed/>
    <w:rsid w:val="00ED0863"/>
    <w:pPr>
      <w:spacing w:after="120"/>
      <w:ind w:left="283"/>
    </w:pPr>
  </w:style>
  <w:style w:type="character" w:customStyle="1" w:styleId="BodyTextIndentChar">
    <w:name w:val="Body Text Indent Char"/>
    <w:basedOn w:val="DefaultParagraphFont"/>
    <w:link w:val="BodyTextIndent"/>
    <w:uiPriority w:val="99"/>
    <w:semiHidden/>
    <w:rsid w:val="00ED0863"/>
  </w:style>
  <w:style w:type="paragraph" w:styleId="BodyTextFirstIndent2">
    <w:name w:val="Body Text First Indent 2"/>
    <w:basedOn w:val="BodyTextIndent"/>
    <w:link w:val="BodyTextFirstIndent2Char"/>
    <w:uiPriority w:val="99"/>
    <w:semiHidden/>
    <w:unhideWhenUsed/>
    <w:rsid w:val="00ED0863"/>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ED0863"/>
  </w:style>
  <w:style w:type="paragraph" w:styleId="BodyTextIndent2">
    <w:name w:val="Body Text Indent 2"/>
    <w:basedOn w:val="Normal"/>
    <w:link w:val="BodyTextIndent2Char"/>
    <w:uiPriority w:val="99"/>
    <w:semiHidden/>
    <w:unhideWhenUsed/>
    <w:rsid w:val="00ED0863"/>
    <w:pPr>
      <w:spacing w:after="120" w:line="480" w:lineRule="auto"/>
      <w:ind w:left="283"/>
    </w:pPr>
  </w:style>
  <w:style w:type="character" w:customStyle="1" w:styleId="BodyTextIndent2Char">
    <w:name w:val="Body Text Indent 2 Char"/>
    <w:basedOn w:val="DefaultParagraphFont"/>
    <w:link w:val="BodyTextIndent2"/>
    <w:uiPriority w:val="99"/>
    <w:semiHidden/>
    <w:rsid w:val="00ED0863"/>
  </w:style>
  <w:style w:type="paragraph" w:styleId="BodyTextIndent3">
    <w:name w:val="Body Text Indent 3"/>
    <w:basedOn w:val="Normal"/>
    <w:link w:val="BodyTextIndent3Char"/>
    <w:uiPriority w:val="99"/>
    <w:semiHidden/>
    <w:unhideWhenUsed/>
    <w:rsid w:val="00ED086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0863"/>
    <w:rPr>
      <w:sz w:val="16"/>
      <w:szCs w:val="16"/>
    </w:rPr>
  </w:style>
  <w:style w:type="paragraph" w:styleId="Caption">
    <w:name w:val="caption"/>
    <w:basedOn w:val="Normal"/>
    <w:next w:val="Normal"/>
    <w:uiPriority w:val="35"/>
    <w:semiHidden/>
    <w:unhideWhenUsed/>
    <w:qFormat/>
    <w:rsid w:val="00ED086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D0863"/>
    <w:pPr>
      <w:spacing w:after="0" w:line="240" w:lineRule="auto"/>
      <w:ind w:left="4252"/>
    </w:pPr>
  </w:style>
  <w:style w:type="character" w:customStyle="1" w:styleId="ClosingChar">
    <w:name w:val="Closing Char"/>
    <w:basedOn w:val="DefaultParagraphFont"/>
    <w:link w:val="Closing"/>
    <w:uiPriority w:val="99"/>
    <w:semiHidden/>
    <w:rsid w:val="00ED0863"/>
  </w:style>
  <w:style w:type="paragraph" w:styleId="Date">
    <w:name w:val="Date"/>
    <w:basedOn w:val="Normal"/>
    <w:next w:val="Normal"/>
    <w:link w:val="DateChar"/>
    <w:uiPriority w:val="99"/>
    <w:semiHidden/>
    <w:unhideWhenUsed/>
    <w:rsid w:val="00ED0863"/>
  </w:style>
  <w:style w:type="character" w:customStyle="1" w:styleId="DateChar">
    <w:name w:val="Date Char"/>
    <w:basedOn w:val="DefaultParagraphFont"/>
    <w:link w:val="Date"/>
    <w:uiPriority w:val="99"/>
    <w:semiHidden/>
    <w:rsid w:val="00ED0863"/>
  </w:style>
  <w:style w:type="paragraph" w:styleId="DocumentMap">
    <w:name w:val="Document Map"/>
    <w:basedOn w:val="Normal"/>
    <w:link w:val="DocumentMapChar"/>
    <w:uiPriority w:val="99"/>
    <w:semiHidden/>
    <w:unhideWhenUsed/>
    <w:rsid w:val="00ED0863"/>
    <w:pPr>
      <w:spacing w:after="0" w:line="240" w:lineRule="auto"/>
    </w:pPr>
    <w:rPr>
      <w:rFonts w:ascii="Courier New" w:hAnsi="Courier New" w:cs="Courier New"/>
      <w:sz w:val="16"/>
      <w:szCs w:val="16"/>
    </w:rPr>
  </w:style>
  <w:style w:type="character" w:customStyle="1" w:styleId="DocumentMapChar">
    <w:name w:val="Document Map Char"/>
    <w:basedOn w:val="DefaultParagraphFont"/>
    <w:link w:val="DocumentMap"/>
    <w:uiPriority w:val="99"/>
    <w:semiHidden/>
    <w:rsid w:val="00ED0863"/>
    <w:rPr>
      <w:rFonts w:ascii="Courier New" w:hAnsi="Courier New" w:cs="Courier New"/>
      <w:sz w:val="16"/>
      <w:szCs w:val="16"/>
    </w:rPr>
  </w:style>
  <w:style w:type="paragraph" w:styleId="E-mailSignature">
    <w:name w:val="E-mail Signature"/>
    <w:basedOn w:val="Normal"/>
    <w:link w:val="E-mailSignatureChar"/>
    <w:uiPriority w:val="99"/>
    <w:semiHidden/>
    <w:unhideWhenUsed/>
    <w:rsid w:val="00ED0863"/>
    <w:pPr>
      <w:spacing w:after="0" w:line="240" w:lineRule="auto"/>
    </w:pPr>
  </w:style>
  <w:style w:type="character" w:customStyle="1" w:styleId="E-mailSignatureChar">
    <w:name w:val="E-mail Signature Char"/>
    <w:basedOn w:val="DefaultParagraphFont"/>
    <w:link w:val="E-mailSignature"/>
    <w:uiPriority w:val="99"/>
    <w:semiHidden/>
    <w:rsid w:val="00ED0863"/>
  </w:style>
  <w:style w:type="paragraph" w:styleId="EndnoteText">
    <w:name w:val="endnote text"/>
    <w:basedOn w:val="Normal"/>
    <w:link w:val="EndnoteTextChar"/>
    <w:uiPriority w:val="99"/>
    <w:semiHidden/>
    <w:unhideWhenUsed/>
    <w:rsid w:val="00ED08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0863"/>
    <w:rPr>
      <w:sz w:val="20"/>
      <w:szCs w:val="20"/>
    </w:rPr>
  </w:style>
  <w:style w:type="paragraph" w:styleId="EnvelopeAddress">
    <w:name w:val="envelope address"/>
    <w:basedOn w:val="Normal"/>
    <w:uiPriority w:val="99"/>
    <w:semiHidden/>
    <w:unhideWhenUsed/>
    <w:rsid w:val="00ED08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D086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D08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0863"/>
    <w:rPr>
      <w:sz w:val="20"/>
      <w:szCs w:val="20"/>
    </w:rPr>
  </w:style>
  <w:style w:type="character" w:customStyle="1" w:styleId="Heading6Char">
    <w:name w:val="Heading 6 Char"/>
    <w:basedOn w:val="DefaultParagraphFont"/>
    <w:link w:val="Heading6"/>
    <w:uiPriority w:val="9"/>
    <w:semiHidden/>
    <w:rsid w:val="00ED086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D086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D08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086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D0863"/>
    <w:pPr>
      <w:spacing w:after="0" w:line="240" w:lineRule="auto"/>
    </w:pPr>
    <w:rPr>
      <w:i/>
      <w:iCs/>
    </w:rPr>
  </w:style>
  <w:style w:type="character" w:customStyle="1" w:styleId="HTMLAddressChar">
    <w:name w:val="HTML Address Char"/>
    <w:basedOn w:val="DefaultParagraphFont"/>
    <w:link w:val="HTMLAddress"/>
    <w:uiPriority w:val="99"/>
    <w:semiHidden/>
    <w:rsid w:val="00ED0863"/>
    <w:rPr>
      <w:i/>
      <w:iCs/>
    </w:rPr>
  </w:style>
  <w:style w:type="paragraph" w:styleId="HTMLPreformatted">
    <w:name w:val="HTML Preformatted"/>
    <w:basedOn w:val="Normal"/>
    <w:link w:val="HTMLPreformattedChar"/>
    <w:uiPriority w:val="99"/>
    <w:semiHidden/>
    <w:unhideWhenUsed/>
    <w:rsid w:val="00ED0863"/>
    <w:pPr>
      <w:spacing w:after="0" w:line="240" w:lineRule="auto"/>
    </w:pPr>
    <w:rPr>
      <w:rFonts w:ascii="VIC-Regular" w:hAnsi="VIC-Regular"/>
      <w:sz w:val="20"/>
      <w:szCs w:val="20"/>
    </w:rPr>
  </w:style>
  <w:style w:type="character" w:customStyle="1" w:styleId="HTMLPreformattedChar">
    <w:name w:val="HTML Preformatted Char"/>
    <w:basedOn w:val="DefaultParagraphFont"/>
    <w:link w:val="HTMLPreformatted"/>
    <w:uiPriority w:val="99"/>
    <w:semiHidden/>
    <w:rsid w:val="00ED0863"/>
    <w:rPr>
      <w:rFonts w:ascii="VIC-Regular" w:hAnsi="VIC-Regular"/>
      <w:sz w:val="20"/>
      <w:szCs w:val="20"/>
    </w:rPr>
  </w:style>
  <w:style w:type="paragraph" w:styleId="Index1">
    <w:name w:val="index 1"/>
    <w:basedOn w:val="Normal"/>
    <w:next w:val="Normal"/>
    <w:autoRedefine/>
    <w:uiPriority w:val="99"/>
    <w:semiHidden/>
    <w:unhideWhenUsed/>
    <w:rsid w:val="00ED0863"/>
    <w:pPr>
      <w:spacing w:after="0" w:line="240" w:lineRule="auto"/>
      <w:ind w:left="220" w:hanging="220"/>
    </w:pPr>
  </w:style>
  <w:style w:type="paragraph" w:styleId="Index2">
    <w:name w:val="index 2"/>
    <w:basedOn w:val="Normal"/>
    <w:next w:val="Normal"/>
    <w:autoRedefine/>
    <w:uiPriority w:val="99"/>
    <w:semiHidden/>
    <w:unhideWhenUsed/>
    <w:rsid w:val="00ED0863"/>
    <w:pPr>
      <w:spacing w:after="0" w:line="240" w:lineRule="auto"/>
      <w:ind w:left="440" w:hanging="220"/>
    </w:pPr>
  </w:style>
  <w:style w:type="paragraph" w:styleId="Index3">
    <w:name w:val="index 3"/>
    <w:basedOn w:val="Normal"/>
    <w:next w:val="Normal"/>
    <w:autoRedefine/>
    <w:uiPriority w:val="99"/>
    <w:semiHidden/>
    <w:unhideWhenUsed/>
    <w:rsid w:val="00ED0863"/>
    <w:pPr>
      <w:spacing w:after="0" w:line="240" w:lineRule="auto"/>
      <w:ind w:left="660" w:hanging="220"/>
    </w:pPr>
  </w:style>
  <w:style w:type="paragraph" w:styleId="Index4">
    <w:name w:val="index 4"/>
    <w:basedOn w:val="Normal"/>
    <w:next w:val="Normal"/>
    <w:autoRedefine/>
    <w:uiPriority w:val="99"/>
    <w:semiHidden/>
    <w:unhideWhenUsed/>
    <w:rsid w:val="00ED0863"/>
    <w:pPr>
      <w:spacing w:after="0" w:line="240" w:lineRule="auto"/>
      <w:ind w:left="880" w:hanging="220"/>
    </w:pPr>
  </w:style>
  <w:style w:type="paragraph" w:styleId="Index5">
    <w:name w:val="index 5"/>
    <w:basedOn w:val="Normal"/>
    <w:next w:val="Normal"/>
    <w:autoRedefine/>
    <w:uiPriority w:val="99"/>
    <w:semiHidden/>
    <w:unhideWhenUsed/>
    <w:rsid w:val="00ED0863"/>
    <w:pPr>
      <w:spacing w:after="0" w:line="240" w:lineRule="auto"/>
      <w:ind w:left="1100" w:hanging="220"/>
    </w:pPr>
  </w:style>
  <w:style w:type="paragraph" w:styleId="Index6">
    <w:name w:val="index 6"/>
    <w:basedOn w:val="Normal"/>
    <w:next w:val="Normal"/>
    <w:autoRedefine/>
    <w:uiPriority w:val="99"/>
    <w:semiHidden/>
    <w:unhideWhenUsed/>
    <w:rsid w:val="00ED0863"/>
    <w:pPr>
      <w:spacing w:after="0" w:line="240" w:lineRule="auto"/>
      <w:ind w:left="1320" w:hanging="220"/>
    </w:pPr>
  </w:style>
  <w:style w:type="paragraph" w:styleId="Index7">
    <w:name w:val="index 7"/>
    <w:basedOn w:val="Normal"/>
    <w:next w:val="Normal"/>
    <w:autoRedefine/>
    <w:uiPriority w:val="99"/>
    <w:semiHidden/>
    <w:unhideWhenUsed/>
    <w:rsid w:val="00ED0863"/>
    <w:pPr>
      <w:spacing w:after="0" w:line="240" w:lineRule="auto"/>
      <w:ind w:left="1540" w:hanging="220"/>
    </w:pPr>
  </w:style>
  <w:style w:type="paragraph" w:styleId="Index8">
    <w:name w:val="index 8"/>
    <w:basedOn w:val="Normal"/>
    <w:next w:val="Normal"/>
    <w:autoRedefine/>
    <w:uiPriority w:val="99"/>
    <w:semiHidden/>
    <w:unhideWhenUsed/>
    <w:rsid w:val="00ED0863"/>
    <w:pPr>
      <w:spacing w:after="0" w:line="240" w:lineRule="auto"/>
      <w:ind w:left="1760" w:hanging="220"/>
    </w:pPr>
  </w:style>
  <w:style w:type="paragraph" w:styleId="Index9">
    <w:name w:val="index 9"/>
    <w:basedOn w:val="Normal"/>
    <w:next w:val="Normal"/>
    <w:autoRedefine/>
    <w:uiPriority w:val="99"/>
    <w:semiHidden/>
    <w:unhideWhenUsed/>
    <w:rsid w:val="00ED0863"/>
    <w:pPr>
      <w:spacing w:after="0" w:line="240" w:lineRule="auto"/>
      <w:ind w:left="1980" w:hanging="220"/>
    </w:pPr>
  </w:style>
  <w:style w:type="paragraph" w:styleId="IndexHeading">
    <w:name w:val="index heading"/>
    <w:basedOn w:val="Normal"/>
    <w:next w:val="Index1"/>
    <w:uiPriority w:val="99"/>
    <w:semiHidden/>
    <w:unhideWhenUsed/>
    <w:rsid w:val="00ED086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08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D0863"/>
    <w:rPr>
      <w:i/>
      <w:iCs/>
      <w:color w:val="4472C4" w:themeColor="accent1"/>
    </w:rPr>
  </w:style>
  <w:style w:type="paragraph" w:styleId="List">
    <w:name w:val="List"/>
    <w:basedOn w:val="Normal"/>
    <w:uiPriority w:val="99"/>
    <w:semiHidden/>
    <w:unhideWhenUsed/>
    <w:rsid w:val="00ED0863"/>
    <w:pPr>
      <w:ind w:left="283" w:hanging="283"/>
      <w:contextualSpacing/>
    </w:pPr>
  </w:style>
  <w:style w:type="paragraph" w:styleId="List2">
    <w:name w:val="List 2"/>
    <w:basedOn w:val="Normal"/>
    <w:uiPriority w:val="99"/>
    <w:semiHidden/>
    <w:unhideWhenUsed/>
    <w:rsid w:val="00ED0863"/>
    <w:pPr>
      <w:ind w:left="566" w:hanging="283"/>
      <w:contextualSpacing/>
    </w:pPr>
  </w:style>
  <w:style w:type="paragraph" w:styleId="List3">
    <w:name w:val="List 3"/>
    <w:basedOn w:val="Normal"/>
    <w:uiPriority w:val="99"/>
    <w:semiHidden/>
    <w:unhideWhenUsed/>
    <w:rsid w:val="00ED0863"/>
    <w:pPr>
      <w:ind w:left="849" w:hanging="283"/>
      <w:contextualSpacing/>
    </w:pPr>
  </w:style>
  <w:style w:type="paragraph" w:styleId="List4">
    <w:name w:val="List 4"/>
    <w:basedOn w:val="Normal"/>
    <w:uiPriority w:val="99"/>
    <w:semiHidden/>
    <w:unhideWhenUsed/>
    <w:rsid w:val="00ED0863"/>
    <w:pPr>
      <w:ind w:left="1132" w:hanging="283"/>
      <w:contextualSpacing/>
    </w:pPr>
  </w:style>
  <w:style w:type="paragraph" w:styleId="List5">
    <w:name w:val="List 5"/>
    <w:basedOn w:val="Normal"/>
    <w:uiPriority w:val="99"/>
    <w:semiHidden/>
    <w:unhideWhenUsed/>
    <w:rsid w:val="00ED0863"/>
    <w:pPr>
      <w:ind w:left="1415" w:hanging="283"/>
      <w:contextualSpacing/>
    </w:pPr>
  </w:style>
  <w:style w:type="paragraph" w:styleId="ListBullet">
    <w:name w:val="List Bullet"/>
    <w:basedOn w:val="Normal"/>
    <w:uiPriority w:val="99"/>
    <w:semiHidden/>
    <w:unhideWhenUsed/>
    <w:rsid w:val="00ED0863"/>
    <w:pPr>
      <w:numPr>
        <w:numId w:val="35"/>
      </w:numPr>
      <w:contextualSpacing/>
    </w:pPr>
  </w:style>
  <w:style w:type="paragraph" w:styleId="ListBullet2">
    <w:name w:val="List Bullet 2"/>
    <w:basedOn w:val="Normal"/>
    <w:uiPriority w:val="99"/>
    <w:semiHidden/>
    <w:unhideWhenUsed/>
    <w:rsid w:val="00ED0863"/>
    <w:pPr>
      <w:numPr>
        <w:numId w:val="36"/>
      </w:numPr>
      <w:contextualSpacing/>
    </w:pPr>
  </w:style>
  <w:style w:type="paragraph" w:styleId="ListBullet3">
    <w:name w:val="List Bullet 3"/>
    <w:basedOn w:val="Normal"/>
    <w:uiPriority w:val="99"/>
    <w:semiHidden/>
    <w:unhideWhenUsed/>
    <w:rsid w:val="00ED0863"/>
    <w:pPr>
      <w:numPr>
        <w:numId w:val="37"/>
      </w:numPr>
      <w:contextualSpacing/>
    </w:pPr>
  </w:style>
  <w:style w:type="paragraph" w:styleId="ListBullet4">
    <w:name w:val="List Bullet 4"/>
    <w:basedOn w:val="Normal"/>
    <w:uiPriority w:val="99"/>
    <w:semiHidden/>
    <w:unhideWhenUsed/>
    <w:rsid w:val="00ED0863"/>
    <w:pPr>
      <w:numPr>
        <w:numId w:val="38"/>
      </w:numPr>
      <w:contextualSpacing/>
    </w:pPr>
  </w:style>
  <w:style w:type="paragraph" w:styleId="ListBullet5">
    <w:name w:val="List Bullet 5"/>
    <w:basedOn w:val="Normal"/>
    <w:uiPriority w:val="99"/>
    <w:semiHidden/>
    <w:unhideWhenUsed/>
    <w:rsid w:val="00ED0863"/>
    <w:pPr>
      <w:numPr>
        <w:numId w:val="39"/>
      </w:numPr>
      <w:contextualSpacing/>
    </w:pPr>
  </w:style>
  <w:style w:type="paragraph" w:styleId="ListContinue">
    <w:name w:val="List Continue"/>
    <w:basedOn w:val="Normal"/>
    <w:uiPriority w:val="99"/>
    <w:semiHidden/>
    <w:unhideWhenUsed/>
    <w:rsid w:val="00ED0863"/>
    <w:pPr>
      <w:spacing w:after="120"/>
      <w:ind w:left="283"/>
      <w:contextualSpacing/>
    </w:pPr>
  </w:style>
  <w:style w:type="paragraph" w:styleId="ListContinue2">
    <w:name w:val="List Continue 2"/>
    <w:basedOn w:val="Normal"/>
    <w:uiPriority w:val="99"/>
    <w:semiHidden/>
    <w:unhideWhenUsed/>
    <w:rsid w:val="00ED0863"/>
    <w:pPr>
      <w:spacing w:after="120"/>
      <w:ind w:left="566"/>
      <w:contextualSpacing/>
    </w:pPr>
  </w:style>
  <w:style w:type="paragraph" w:styleId="ListContinue3">
    <w:name w:val="List Continue 3"/>
    <w:basedOn w:val="Normal"/>
    <w:uiPriority w:val="99"/>
    <w:semiHidden/>
    <w:unhideWhenUsed/>
    <w:rsid w:val="00ED0863"/>
    <w:pPr>
      <w:spacing w:after="120"/>
      <w:ind w:left="849"/>
      <w:contextualSpacing/>
    </w:pPr>
  </w:style>
  <w:style w:type="paragraph" w:styleId="ListContinue4">
    <w:name w:val="List Continue 4"/>
    <w:basedOn w:val="Normal"/>
    <w:uiPriority w:val="99"/>
    <w:semiHidden/>
    <w:unhideWhenUsed/>
    <w:rsid w:val="00ED0863"/>
    <w:pPr>
      <w:spacing w:after="120"/>
      <w:ind w:left="1132"/>
      <w:contextualSpacing/>
    </w:pPr>
  </w:style>
  <w:style w:type="paragraph" w:styleId="ListContinue5">
    <w:name w:val="List Continue 5"/>
    <w:basedOn w:val="Normal"/>
    <w:uiPriority w:val="99"/>
    <w:semiHidden/>
    <w:unhideWhenUsed/>
    <w:rsid w:val="00ED0863"/>
    <w:pPr>
      <w:spacing w:after="120"/>
      <w:ind w:left="1415"/>
      <w:contextualSpacing/>
    </w:pPr>
  </w:style>
  <w:style w:type="paragraph" w:styleId="ListNumber">
    <w:name w:val="List Number"/>
    <w:basedOn w:val="Normal"/>
    <w:uiPriority w:val="99"/>
    <w:semiHidden/>
    <w:unhideWhenUsed/>
    <w:rsid w:val="00ED0863"/>
    <w:pPr>
      <w:numPr>
        <w:numId w:val="40"/>
      </w:numPr>
      <w:contextualSpacing/>
    </w:pPr>
  </w:style>
  <w:style w:type="paragraph" w:styleId="ListNumber2">
    <w:name w:val="List Number 2"/>
    <w:basedOn w:val="Normal"/>
    <w:uiPriority w:val="99"/>
    <w:semiHidden/>
    <w:unhideWhenUsed/>
    <w:rsid w:val="00ED0863"/>
    <w:pPr>
      <w:numPr>
        <w:numId w:val="41"/>
      </w:numPr>
      <w:contextualSpacing/>
    </w:pPr>
  </w:style>
  <w:style w:type="paragraph" w:styleId="ListNumber3">
    <w:name w:val="List Number 3"/>
    <w:basedOn w:val="Normal"/>
    <w:uiPriority w:val="99"/>
    <w:semiHidden/>
    <w:unhideWhenUsed/>
    <w:rsid w:val="00ED0863"/>
    <w:pPr>
      <w:numPr>
        <w:numId w:val="42"/>
      </w:numPr>
      <w:contextualSpacing/>
    </w:pPr>
  </w:style>
  <w:style w:type="paragraph" w:styleId="ListNumber4">
    <w:name w:val="List Number 4"/>
    <w:basedOn w:val="Normal"/>
    <w:uiPriority w:val="99"/>
    <w:semiHidden/>
    <w:unhideWhenUsed/>
    <w:rsid w:val="00ED0863"/>
    <w:pPr>
      <w:numPr>
        <w:numId w:val="43"/>
      </w:numPr>
      <w:contextualSpacing/>
    </w:pPr>
  </w:style>
  <w:style w:type="paragraph" w:styleId="ListNumber5">
    <w:name w:val="List Number 5"/>
    <w:basedOn w:val="Normal"/>
    <w:uiPriority w:val="99"/>
    <w:semiHidden/>
    <w:unhideWhenUsed/>
    <w:rsid w:val="00ED0863"/>
    <w:pPr>
      <w:numPr>
        <w:numId w:val="44"/>
      </w:numPr>
      <w:contextualSpacing/>
    </w:pPr>
  </w:style>
  <w:style w:type="paragraph" w:styleId="MacroText">
    <w:name w:val="macro"/>
    <w:link w:val="MacroTextChar"/>
    <w:uiPriority w:val="99"/>
    <w:semiHidden/>
    <w:unhideWhenUsed/>
    <w:rsid w:val="00ED0863"/>
    <w:pPr>
      <w:tabs>
        <w:tab w:val="left" w:pos="480"/>
        <w:tab w:val="left" w:pos="960"/>
        <w:tab w:val="left" w:pos="1440"/>
        <w:tab w:val="left" w:pos="1920"/>
        <w:tab w:val="left" w:pos="2400"/>
        <w:tab w:val="left" w:pos="2880"/>
        <w:tab w:val="left" w:pos="3360"/>
        <w:tab w:val="left" w:pos="3840"/>
        <w:tab w:val="left" w:pos="4320"/>
      </w:tabs>
      <w:spacing w:after="0"/>
    </w:pPr>
    <w:rPr>
      <w:rFonts w:ascii="VIC-Regular" w:hAnsi="VIC-Regular"/>
      <w:sz w:val="20"/>
      <w:szCs w:val="20"/>
    </w:rPr>
  </w:style>
  <w:style w:type="character" w:customStyle="1" w:styleId="MacroTextChar">
    <w:name w:val="Macro Text Char"/>
    <w:basedOn w:val="DefaultParagraphFont"/>
    <w:link w:val="MacroText"/>
    <w:uiPriority w:val="99"/>
    <w:semiHidden/>
    <w:rsid w:val="00ED0863"/>
    <w:rPr>
      <w:rFonts w:ascii="VIC-Regular" w:hAnsi="VIC-Regular"/>
      <w:sz w:val="20"/>
      <w:szCs w:val="20"/>
    </w:rPr>
  </w:style>
  <w:style w:type="paragraph" w:styleId="MessageHeader">
    <w:name w:val="Message Header"/>
    <w:basedOn w:val="Normal"/>
    <w:link w:val="MessageHeaderChar"/>
    <w:uiPriority w:val="99"/>
    <w:semiHidden/>
    <w:unhideWhenUsed/>
    <w:rsid w:val="00ED08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D086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ED0863"/>
    <w:pPr>
      <w:ind w:left="720"/>
    </w:pPr>
  </w:style>
  <w:style w:type="paragraph" w:styleId="NoteHeading">
    <w:name w:val="Note Heading"/>
    <w:basedOn w:val="Normal"/>
    <w:next w:val="Normal"/>
    <w:link w:val="NoteHeadingChar"/>
    <w:uiPriority w:val="99"/>
    <w:semiHidden/>
    <w:unhideWhenUsed/>
    <w:rsid w:val="00ED0863"/>
    <w:pPr>
      <w:spacing w:after="0" w:line="240" w:lineRule="auto"/>
    </w:pPr>
  </w:style>
  <w:style w:type="character" w:customStyle="1" w:styleId="NoteHeadingChar">
    <w:name w:val="Note Heading Char"/>
    <w:basedOn w:val="DefaultParagraphFont"/>
    <w:link w:val="NoteHeading"/>
    <w:uiPriority w:val="99"/>
    <w:semiHidden/>
    <w:rsid w:val="00ED0863"/>
  </w:style>
  <w:style w:type="paragraph" w:styleId="PlainText">
    <w:name w:val="Plain Text"/>
    <w:basedOn w:val="Normal"/>
    <w:link w:val="PlainTextChar"/>
    <w:uiPriority w:val="99"/>
    <w:semiHidden/>
    <w:unhideWhenUsed/>
    <w:rsid w:val="00ED0863"/>
    <w:pPr>
      <w:spacing w:after="0" w:line="240" w:lineRule="auto"/>
    </w:pPr>
    <w:rPr>
      <w:rFonts w:ascii="VIC-Regular" w:hAnsi="VIC-Regular"/>
      <w:sz w:val="21"/>
      <w:szCs w:val="21"/>
    </w:rPr>
  </w:style>
  <w:style w:type="character" w:customStyle="1" w:styleId="PlainTextChar">
    <w:name w:val="Plain Text Char"/>
    <w:basedOn w:val="DefaultParagraphFont"/>
    <w:link w:val="PlainText"/>
    <w:uiPriority w:val="99"/>
    <w:semiHidden/>
    <w:rsid w:val="00ED0863"/>
    <w:rPr>
      <w:rFonts w:ascii="VIC-Regular" w:hAnsi="VIC-Regular"/>
      <w:sz w:val="21"/>
      <w:szCs w:val="21"/>
    </w:rPr>
  </w:style>
  <w:style w:type="paragraph" w:styleId="Quote">
    <w:name w:val="Quote"/>
    <w:basedOn w:val="Normal"/>
    <w:next w:val="Normal"/>
    <w:link w:val="QuoteChar"/>
    <w:uiPriority w:val="29"/>
    <w:qFormat/>
    <w:rsid w:val="00ED08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863"/>
    <w:rPr>
      <w:i/>
      <w:iCs/>
      <w:color w:val="404040" w:themeColor="text1" w:themeTint="BF"/>
    </w:rPr>
  </w:style>
  <w:style w:type="paragraph" w:styleId="Salutation">
    <w:name w:val="Salutation"/>
    <w:basedOn w:val="Normal"/>
    <w:next w:val="Normal"/>
    <w:link w:val="SalutationChar"/>
    <w:uiPriority w:val="99"/>
    <w:semiHidden/>
    <w:unhideWhenUsed/>
    <w:rsid w:val="00ED0863"/>
  </w:style>
  <w:style w:type="character" w:customStyle="1" w:styleId="SalutationChar">
    <w:name w:val="Salutation Char"/>
    <w:basedOn w:val="DefaultParagraphFont"/>
    <w:link w:val="Salutation"/>
    <w:uiPriority w:val="99"/>
    <w:semiHidden/>
    <w:rsid w:val="00ED0863"/>
  </w:style>
  <w:style w:type="paragraph" w:styleId="Signature">
    <w:name w:val="Signature"/>
    <w:basedOn w:val="Normal"/>
    <w:link w:val="SignatureChar"/>
    <w:uiPriority w:val="99"/>
    <w:semiHidden/>
    <w:unhideWhenUsed/>
    <w:rsid w:val="00ED0863"/>
    <w:pPr>
      <w:spacing w:after="0" w:line="240" w:lineRule="auto"/>
      <w:ind w:left="4252"/>
    </w:pPr>
  </w:style>
  <w:style w:type="character" w:customStyle="1" w:styleId="SignatureChar">
    <w:name w:val="Signature Char"/>
    <w:basedOn w:val="DefaultParagraphFont"/>
    <w:link w:val="Signature"/>
    <w:uiPriority w:val="99"/>
    <w:semiHidden/>
    <w:rsid w:val="00ED0863"/>
  </w:style>
  <w:style w:type="paragraph" w:styleId="TableofAuthorities">
    <w:name w:val="table of authorities"/>
    <w:basedOn w:val="Normal"/>
    <w:next w:val="Normal"/>
    <w:uiPriority w:val="99"/>
    <w:semiHidden/>
    <w:unhideWhenUsed/>
    <w:rsid w:val="00ED0863"/>
    <w:pPr>
      <w:spacing w:after="0"/>
      <w:ind w:left="220" w:hanging="220"/>
    </w:pPr>
  </w:style>
  <w:style w:type="paragraph" w:styleId="TableofFigures">
    <w:name w:val="table of figures"/>
    <w:basedOn w:val="Normal"/>
    <w:next w:val="Normal"/>
    <w:uiPriority w:val="99"/>
    <w:semiHidden/>
    <w:unhideWhenUsed/>
    <w:rsid w:val="00ED0863"/>
    <w:pPr>
      <w:spacing w:after="0"/>
    </w:pPr>
  </w:style>
  <w:style w:type="paragraph" w:styleId="TOAHeading">
    <w:name w:val="toa heading"/>
    <w:basedOn w:val="Normal"/>
    <w:next w:val="Normal"/>
    <w:uiPriority w:val="99"/>
    <w:semiHidden/>
    <w:unhideWhenUsed/>
    <w:rsid w:val="00ED0863"/>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ED0863"/>
    <w:pPr>
      <w:spacing w:after="100"/>
      <w:ind w:left="660"/>
    </w:pPr>
  </w:style>
  <w:style w:type="paragraph" w:styleId="TOC5">
    <w:name w:val="toc 5"/>
    <w:basedOn w:val="Normal"/>
    <w:next w:val="Normal"/>
    <w:autoRedefine/>
    <w:uiPriority w:val="39"/>
    <w:semiHidden/>
    <w:unhideWhenUsed/>
    <w:rsid w:val="00ED0863"/>
    <w:pPr>
      <w:spacing w:after="100"/>
      <w:ind w:left="880"/>
    </w:pPr>
  </w:style>
  <w:style w:type="paragraph" w:styleId="TOC6">
    <w:name w:val="toc 6"/>
    <w:basedOn w:val="Normal"/>
    <w:next w:val="Normal"/>
    <w:autoRedefine/>
    <w:uiPriority w:val="39"/>
    <w:semiHidden/>
    <w:unhideWhenUsed/>
    <w:rsid w:val="00ED0863"/>
    <w:pPr>
      <w:spacing w:after="100"/>
      <w:ind w:left="1100"/>
    </w:pPr>
  </w:style>
  <w:style w:type="paragraph" w:styleId="TOC7">
    <w:name w:val="toc 7"/>
    <w:basedOn w:val="Normal"/>
    <w:next w:val="Normal"/>
    <w:autoRedefine/>
    <w:uiPriority w:val="39"/>
    <w:semiHidden/>
    <w:unhideWhenUsed/>
    <w:rsid w:val="00ED0863"/>
    <w:pPr>
      <w:spacing w:after="100"/>
      <w:ind w:left="1320"/>
    </w:pPr>
  </w:style>
  <w:style w:type="paragraph" w:styleId="TOC8">
    <w:name w:val="toc 8"/>
    <w:basedOn w:val="Normal"/>
    <w:next w:val="Normal"/>
    <w:autoRedefine/>
    <w:uiPriority w:val="39"/>
    <w:semiHidden/>
    <w:unhideWhenUsed/>
    <w:rsid w:val="00ED0863"/>
    <w:pPr>
      <w:spacing w:after="100"/>
      <w:ind w:left="1540"/>
    </w:pPr>
  </w:style>
  <w:style w:type="paragraph" w:styleId="TOC9">
    <w:name w:val="toc 9"/>
    <w:basedOn w:val="Normal"/>
    <w:next w:val="Normal"/>
    <w:autoRedefine/>
    <w:uiPriority w:val="39"/>
    <w:semiHidden/>
    <w:unhideWhenUsed/>
    <w:rsid w:val="00ED0863"/>
    <w:pPr>
      <w:spacing w:after="100"/>
      <w:ind w:left="1760"/>
    </w:pPr>
  </w:style>
  <w:style w:type="paragraph" w:customStyle="1" w:styleId="xmsonormal">
    <w:name w:val="x_msonormal"/>
    <w:basedOn w:val="Normal"/>
    <w:rsid w:val="00B421F2"/>
    <w:pPr>
      <w:spacing w:after="0" w:line="240" w:lineRule="auto"/>
    </w:pPr>
    <w:rPr>
      <w:rFonts w:ascii="VIC" w:hAnsi="VIC" w:cs="VIC"/>
      <w:lang w:eastAsia="en-AU"/>
    </w:rPr>
  </w:style>
  <w:style w:type="table" w:styleId="TableGridLight">
    <w:name w:val="Grid Table Light"/>
    <w:basedOn w:val="TableNormal"/>
    <w:uiPriority w:val="40"/>
    <w:rsid w:val="005D692C"/>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B34DF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34DF3"/>
    <w:rPr>
      <w:color w:val="808080"/>
    </w:rPr>
  </w:style>
  <w:style w:type="character" w:styleId="Mention">
    <w:name w:val="Mention"/>
    <w:basedOn w:val="DefaultParagraphFont"/>
    <w:uiPriority w:val="99"/>
    <w:unhideWhenUsed/>
    <w:rsid w:val="00912921"/>
    <w:rPr>
      <w:color w:val="2B579A"/>
      <w:shd w:val="clear" w:color="auto" w:fill="E1DFDD"/>
    </w:rPr>
  </w:style>
  <w:style w:type="paragraph" w:customStyle="1" w:styleId="Body">
    <w:name w:val="Body"/>
    <w:basedOn w:val="Normal"/>
    <w:link w:val="BodyChar"/>
    <w:qFormat/>
    <w:rsid w:val="004C7EEB"/>
    <w:pPr>
      <w:spacing w:after="274" w:line="240" w:lineRule="auto"/>
      <w:jc w:val="both"/>
    </w:pPr>
    <w:rPr>
      <w:rFonts w:ascii="Calibri" w:hAnsi="Calibri"/>
      <w:sz w:val="21"/>
      <w:szCs w:val="21"/>
      <w:lang w:val="en-GB"/>
    </w:rPr>
  </w:style>
  <w:style w:type="character" w:customStyle="1" w:styleId="BodyChar">
    <w:name w:val="Body Char"/>
    <w:basedOn w:val="DefaultParagraphFont"/>
    <w:link w:val="Body"/>
    <w:rsid w:val="004C7EEB"/>
    <w:rPr>
      <w:rFonts w:ascii="Calibri" w:hAnsi="Calibri"/>
      <w:sz w:val="21"/>
      <w:szCs w:val="21"/>
      <w:lang w:val="en-GB"/>
    </w:rPr>
  </w:style>
  <w:style w:type="table" w:customStyle="1" w:styleId="GridTable4-Accent51">
    <w:name w:val="Grid Table 4 - Accent 51"/>
    <w:basedOn w:val="TableNormal"/>
    <w:next w:val="GridTable4-Accent5"/>
    <w:uiPriority w:val="49"/>
    <w:rsid w:val="00A47CA3"/>
    <w:pPr>
      <w:spacing w:after="0" w:line="240" w:lineRule="auto"/>
    </w:pPr>
    <w:rPr>
      <w:sz w:val="24"/>
      <w:szCs w:val="24"/>
      <w:lang w:val="en-GB"/>
    </w:rPr>
    <w:tblPr>
      <w:tblStyleRowBandSize w:val="1"/>
      <w:tblStyleColBandSize w:val="1"/>
      <w:tblBorders>
        <w:top w:val="single" w:sz="4" w:space="0" w:color="9BC7CE"/>
        <w:left w:val="single" w:sz="4" w:space="0" w:color="9BC7CE"/>
        <w:bottom w:val="single" w:sz="4" w:space="0" w:color="9BC7CE"/>
        <w:right w:val="single" w:sz="4" w:space="0" w:color="9BC7CE"/>
        <w:insideH w:val="single" w:sz="4" w:space="0" w:color="9BC7CE"/>
        <w:insideV w:val="single" w:sz="4" w:space="0" w:color="9BC7CE"/>
      </w:tblBorders>
    </w:tblPr>
    <w:tblStylePr w:type="firstRow">
      <w:rPr>
        <w:b/>
        <w:bCs/>
        <w:color w:val="FFFFFF"/>
      </w:rPr>
      <w:tblPr/>
      <w:tcPr>
        <w:tcBorders>
          <w:top w:val="single" w:sz="4" w:space="0" w:color="5AA2AE"/>
          <w:left w:val="single" w:sz="4" w:space="0" w:color="5AA2AE"/>
          <w:bottom w:val="single" w:sz="4" w:space="0" w:color="5AA2AE"/>
          <w:right w:val="single" w:sz="4" w:space="0" w:color="5AA2AE"/>
          <w:insideH w:val="nil"/>
          <w:insideV w:val="nil"/>
        </w:tcBorders>
        <w:shd w:val="clear" w:color="auto" w:fill="5AA2AE"/>
      </w:tcPr>
    </w:tblStylePr>
    <w:tblStylePr w:type="lastRow">
      <w:rPr>
        <w:b/>
        <w:bCs/>
      </w:rPr>
      <w:tblPr/>
      <w:tcPr>
        <w:tcBorders>
          <w:top w:val="double" w:sz="4" w:space="0" w:color="5AA2AE"/>
        </w:tcBorders>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table" w:styleId="GridTable4-Accent5">
    <w:name w:val="Grid Table 4 Accent 5"/>
    <w:basedOn w:val="TableNormal"/>
    <w:uiPriority w:val="49"/>
    <w:rsid w:val="00A47CA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agraph">
    <w:name w:val="paragraph"/>
    <w:basedOn w:val="Normal"/>
    <w:rsid w:val="00062DA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A14229"/>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A14229"/>
    <w:pPr>
      <w:spacing w:after="0" w:line="240" w:lineRule="auto"/>
    </w:pPr>
    <w:rPr>
      <w:sz w:val="24"/>
      <w:szCs w:val="24"/>
      <w:lang w:val="en-GB"/>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ext">
    <w:name w:val="Text"/>
    <w:basedOn w:val="Normal"/>
    <w:link w:val="TextChar"/>
    <w:uiPriority w:val="5"/>
    <w:qFormat/>
    <w:rsid w:val="000C3AA5"/>
    <w:pPr>
      <w:spacing w:after="0" w:line="240" w:lineRule="auto"/>
    </w:pPr>
    <w:rPr>
      <w:rFonts w:ascii="Arial" w:hAnsi="Arial"/>
      <w:b/>
      <w:color w:val="4472C4" w:themeColor="accent1"/>
      <w:sz w:val="28"/>
      <w:szCs w:val="24"/>
    </w:rPr>
  </w:style>
  <w:style w:type="character" w:customStyle="1" w:styleId="TextChar">
    <w:name w:val="Text Char"/>
    <w:basedOn w:val="DefaultParagraphFont"/>
    <w:link w:val="Text"/>
    <w:uiPriority w:val="5"/>
    <w:rsid w:val="000C3AA5"/>
    <w:rPr>
      <w:rFonts w:ascii="Arial" w:hAnsi="Arial"/>
      <w:b/>
      <w:color w:val="4472C4" w:themeColor="accent1"/>
      <w:sz w:val="28"/>
      <w:szCs w:val="24"/>
    </w:rPr>
  </w:style>
  <w:style w:type="character" w:customStyle="1" w:styleId="findhit">
    <w:name w:val="findhit"/>
    <w:basedOn w:val="DefaultParagraphFont"/>
    <w:rsid w:val="00C353F7"/>
  </w:style>
  <w:style w:type="character" w:customStyle="1" w:styleId="eop">
    <w:name w:val="eop"/>
    <w:basedOn w:val="DefaultParagraphFont"/>
    <w:rsid w:val="00C353F7"/>
  </w:style>
  <w:style w:type="table" w:customStyle="1" w:styleId="TableGrid1">
    <w:name w:val="Table Grid1"/>
    <w:basedOn w:val="TableNormal"/>
    <w:next w:val="TableGrid"/>
    <w:uiPriority w:val="39"/>
    <w:rsid w:val="00617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Legal1">
    <w:name w:val="ME Legal 1"/>
    <w:aliases w:val="l1,ME Legal 11,1"/>
    <w:basedOn w:val="Normal"/>
    <w:rsid w:val="00C6567C"/>
    <w:pPr>
      <w:keepNext/>
      <w:numPr>
        <w:numId w:val="156"/>
      </w:numPr>
      <w:spacing w:before="480" w:after="60" w:line="240" w:lineRule="atLeast"/>
    </w:pPr>
    <w:rPr>
      <w:rFonts w:ascii="Arial" w:hAnsi="Arial" w:cs="Arial"/>
      <w:spacing w:val="-6"/>
      <w:sz w:val="28"/>
      <w:szCs w:val="28"/>
      <w:lang w:eastAsia="zh-CN"/>
    </w:rPr>
  </w:style>
  <w:style w:type="paragraph" w:customStyle="1" w:styleId="MELegal2">
    <w:name w:val="ME Legal 2"/>
    <w:aliases w:val="l2,ME Legal 21,2"/>
    <w:basedOn w:val="Normal"/>
    <w:rsid w:val="00C6567C"/>
    <w:pPr>
      <w:keepNext/>
      <w:numPr>
        <w:ilvl w:val="1"/>
        <w:numId w:val="156"/>
      </w:numPr>
      <w:spacing w:before="240" w:after="60" w:line="240" w:lineRule="atLeast"/>
    </w:pPr>
    <w:rPr>
      <w:rFonts w:ascii="Arial Bold" w:hAnsi="Arial Bold" w:cs="Calibri"/>
      <w:b/>
      <w:bCs/>
      <w:spacing w:val="-6"/>
      <w:lang w:eastAsia="zh-CN"/>
    </w:rPr>
  </w:style>
  <w:style w:type="character" w:customStyle="1" w:styleId="MELegal3Char">
    <w:name w:val="ME Legal 3 Char"/>
    <w:aliases w:val="l3 Char,l3 Char Char,3 Char Char,ME Legal 31 Char,l3 + Left:  2.4 cm Char,First line:  0 cm Char Char"/>
    <w:basedOn w:val="DefaultParagraphFont"/>
    <w:link w:val="MELegal3"/>
    <w:locked/>
    <w:rsid w:val="00C6567C"/>
    <w:rPr>
      <w:rFonts w:ascii="Arial" w:hAnsi="Arial" w:cs="Arial"/>
      <w:lang w:eastAsia="zh-CN"/>
    </w:rPr>
  </w:style>
  <w:style w:type="paragraph" w:customStyle="1" w:styleId="MELegal3">
    <w:name w:val="ME Legal 3"/>
    <w:aliases w:val="l3,ME Legal 31,3,l3 + Left:  2.4 cm,First line:  0 cm,l3 + Right:  0.5 cm + Right:  0.5 cm,l3 + Left:  1.2 cm,First lin..."/>
    <w:basedOn w:val="Normal"/>
    <w:link w:val="MELegal3Char"/>
    <w:rsid w:val="00C6567C"/>
    <w:pPr>
      <w:numPr>
        <w:ilvl w:val="2"/>
        <w:numId w:val="156"/>
      </w:numPr>
      <w:spacing w:after="120" w:line="240" w:lineRule="atLeast"/>
    </w:pPr>
    <w:rPr>
      <w:rFonts w:ascii="Arial" w:hAnsi="Arial" w:cs="Arial"/>
      <w:lang w:eastAsia="zh-CN"/>
    </w:rPr>
  </w:style>
  <w:style w:type="paragraph" w:customStyle="1" w:styleId="MELegal4">
    <w:name w:val="ME Legal 4"/>
    <w:aliases w:val="l4,ME Legal 41"/>
    <w:basedOn w:val="Normal"/>
    <w:rsid w:val="00C6567C"/>
    <w:pPr>
      <w:numPr>
        <w:ilvl w:val="3"/>
        <w:numId w:val="156"/>
      </w:numPr>
      <w:spacing w:after="120" w:line="240" w:lineRule="atLeast"/>
    </w:pPr>
    <w:rPr>
      <w:rFonts w:ascii="Arial" w:hAnsi="Arial" w:cs="Arial"/>
      <w:sz w:val="20"/>
      <w:szCs w:val="20"/>
      <w:lang w:eastAsia="zh-CN"/>
    </w:rPr>
  </w:style>
  <w:style w:type="paragraph" w:customStyle="1" w:styleId="MELegal5">
    <w:name w:val="ME Legal 5"/>
    <w:aliases w:val="l5,ME Legal 51"/>
    <w:basedOn w:val="Normal"/>
    <w:rsid w:val="00C6567C"/>
    <w:pPr>
      <w:numPr>
        <w:ilvl w:val="4"/>
        <w:numId w:val="156"/>
      </w:numPr>
      <w:spacing w:after="120" w:line="240" w:lineRule="atLeast"/>
    </w:pPr>
    <w:rPr>
      <w:rFonts w:ascii="Arial" w:hAnsi="Arial" w:cs="Arial"/>
      <w:sz w:val="20"/>
      <w:szCs w:val="20"/>
      <w:lang w:eastAsia="zh-CN"/>
    </w:rPr>
  </w:style>
  <w:style w:type="paragraph" w:customStyle="1" w:styleId="MELegal6">
    <w:name w:val="ME Legal 6"/>
    <w:basedOn w:val="Normal"/>
    <w:rsid w:val="00C6567C"/>
    <w:pPr>
      <w:numPr>
        <w:ilvl w:val="5"/>
        <w:numId w:val="156"/>
      </w:numPr>
      <w:spacing w:after="120" w:line="240" w:lineRule="atLeast"/>
    </w:pPr>
    <w:rPr>
      <w:rFonts w:ascii="Arial" w:hAnsi="Arial" w:cs="Arial"/>
      <w:sz w:val="20"/>
      <w:szCs w:val="20"/>
      <w:lang w:eastAsia="zh-CN"/>
    </w:rPr>
  </w:style>
  <w:style w:type="paragraph" w:customStyle="1" w:styleId="MELegal7">
    <w:name w:val="ME Legal 7"/>
    <w:basedOn w:val="Normal"/>
    <w:rsid w:val="00C6567C"/>
    <w:pPr>
      <w:numPr>
        <w:ilvl w:val="6"/>
        <w:numId w:val="156"/>
      </w:numPr>
      <w:spacing w:after="120" w:line="240" w:lineRule="atLeast"/>
    </w:pPr>
    <w:rPr>
      <w:rFonts w:ascii="Arial" w:hAnsi="Arial" w:cs="Arial"/>
      <w:sz w:val="20"/>
      <w:szCs w:val="20"/>
      <w:lang w:eastAsia="zh-CN"/>
    </w:rPr>
  </w:style>
  <w:style w:type="paragraph" w:customStyle="1" w:styleId="MELegal8">
    <w:name w:val="ME Legal 8"/>
    <w:basedOn w:val="Normal"/>
    <w:rsid w:val="00C6567C"/>
    <w:pPr>
      <w:numPr>
        <w:ilvl w:val="7"/>
        <w:numId w:val="156"/>
      </w:numPr>
      <w:spacing w:after="120" w:line="240" w:lineRule="atLeast"/>
      <w:ind w:left="643" w:hanging="360"/>
    </w:pPr>
    <w:rPr>
      <w:rFonts w:ascii="Arial" w:hAnsi="Arial" w:cs="Arial"/>
      <w:sz w:val="20"/>
      <w:szCs w:val="20"/>
      <w:lang w:eastAsia="zh-CN"/>
    </w:rPr>
  </w:style>
  <w:style w:type="paragraph" w:customStyle="1" w:styleId="MELegal9">
    <w:name w:val="ME Legal 9"/>
    <w:basedOn w:val="Normal"/>
    <w:rsid w:val="00C6567C"/>
    <w:pPr>
      <w:numPr>
        <w:ilvl w:val="8"/>
        <w:numId w:val="156"/>
      </w:numPr>
      <w:spacing w:after="120" w:line="240" w:lineRule="atLeast"/>
      <w:ind w:left="643" w:hanging="360"/>
    </w:pPr>
    <w:rPr>
      <w:rFonts w:ascii="Arial" w:hAnsi="Arial" w:cs="Arial"/>
      <w:sz w:val="20"/>
      <w:szCs w:val="20"/>
      <w:lang w:eastAsia="zh-CN"/>
    </w:rPr>
  </w:style>
  <w:style w:type="numbering" w:customStyle="1" w:styleId="MELegal">
    <w:name w:val="ME Legal"/>
    <w:uiPriority w:val="99"/>
    <w:rsid w:val="00C6567C"/>
    <w:pPr>
      <w:numPr>
        <w:numId w:val="156"/>
      </w:numPr>
    </w:pPr>
  </w:style>
  <w:style w:type="character" w:customStyle="1" w:styleId="contentpasted13">
    <w:name w:val="contentpasted13"/>
    <w:basedOn w:val="DefaultParagraphFont"/>
    <w:rsid w:val="00E548D2"/>
  </w:style>
  <w:style w:type="character" w:customStyle="1" w:styleId="contentpasted14">
    <w:name w:val="contentpasted14"/>
    <w:basedOn w:val="DefaultParagraphFont"/>
    <w:rsid w:val="00E548D2"/>
  </w:style>
  <w:style w:type="table" w:customStyle="1" w:styleId="ListTable3-Accent11">
    <w:name w:val="List Table 3 - Accent 11"/>
    <w:basedOn w:val="TableNormal"/>
    <w:next w:val="ListTable3-Accent1"/>
    <w:uiPriority w:val="48"/>
    <w:rsid w:val="00213252"/>
    <w:pPr>
      <w:spacing w:after="0" w:line="240" w:lineRule="auto"/>
    </w:pPr>
    <w:rPr>
      <w:kern w:val="2"/>
      <w14:ligatures w14:val="standardContextual"/>
    </w:rPr>
    <w:tblPr>
      <w:tblStyleRowBandSize w:val="1"/>
      <w:tblStyleColBandSize w:val="1"/>
      <w:tblBorders>
        <w:top w:val="single" w:sz="4" w:space="0" w:color="004C96"/>
        <w:left w:val="single" w:sz="4" w:space="0" w:color="004C96"/>
        <w:bottom w:val="single" w:sz="4" w:space="0" w:color="004C96"/>
        <w:right w:val="single" w:sz="4" w:space="0" w:color="004C96"/>
      </w:tblBorders>
    </w:tblPr>
    <w:tblStylePr w:type="firstRow">
      <w:rPr>
        <w:b/>
        <w:bCs/>
        <w:color w:val="FFFFFF"/>
      </w:rPr>
      <w:tblPr/>
      <w:tcPr>
        <w:shd w:val="clear" w:color="auto" w:fill="004C96"/>
      </w:tcPr>
    </w:tblStylePr>
    <w:tblStylePr w:type="lastRow">
      <w:rPr>
        <w:b/>
        <w:bCs/>
      </w:rPr>
      <w:tblPr/>
      <w:tcPr>
        <w:tcBorders>
          <w:top w:val="double" w:sz="4" w:space="0" w:color="004C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4C96"/>
          <w:right w:val="single" w:sz="4" w:space="0" w:color="004C96"/>
        </w:tcBorders>
      </w:tcPr>
    </w:tblStylePr>
    <w:tblStylePr w:type="band1Horz">
      <w:tblPr/>
      <w:tcPr>
        <w:tcBorders>
          <w:top w:val="single" w:sz="4" w:space="0" w:color="004C96"/>
          <w:bottom w:val="single" w:sz="4" w:space="0" w:color="004C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6"/>
          <w:left w:val="nil"/>
        </w:tcBorders>
      </w:tcPr>
    </w:tblStylePr>
    <w:tblStylePr w:type="swCell">
      <w:tblPr/>
      <w:tcPr>
        <w:tcBorders>
          <w:top w:val="double" w:sz="4" w:space="0" w:color="004C96"/>
          <w:right w:val="nil"/>
        </w:tcBorders>
      </w:tcPr>
    </w:tblStylePr>
  </w:style>
  <w:style w:type="table" w:styleId="ListTable3-Accent1">
    <w:name w:val="List Table 3 Accent 1"/>
    <w:basedOn w:val="TableNormal"/>
    <w:uiPriority w:val="48"/>
    <w:rsid w:val="0021325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958">
      <w:bodyDiv w:val="1"/>
      <w:marLeft w:val="0"/>
      <w:marRight w:val="0"/>
      <w:marTop w:val="0"/>
      <w:marBottom w:val="0"/>
      <w:divBdr>
        <w:top w:val="none" w:sz="0" w:space="0" w:color="auto"/>
        <w:left w:val="none" w:sz="0" w:space="0" w:color="auto"/>
        <w:bottom w:val="none" w:sz="0" w:space="0" w:color="auto"/>
        <w:right w:val="none" w:sz="0" w:space="0" w:color="auto"/>
      </w:divBdr>
    </w:div>
    <w:div w:id="32851383">
      <w:bodyDiv w:val="1"/>
      <w:marLeft w:val="0"/>
      <w:marRight w:val="0"/>
      <w:marTop w:val="0"/>
      <w:marBottom w:val="0"/>
      <w:divBdr>
        <w:top w:val="none" w:sz="0" w:space="0" w:color="auto"/>
        <w:left w:val="none" w:sz="0" w:space="0" w:color="auto"/>
        <w:bottom w:val="none" w:sz="0" w:space="0" w:color="auto"/>
        <w:right w:val="none" w:sz="0" w:space="0" w:color="auto"/>
      </w:divBdr>
    </w:div>
    <w:div w:id="39283105">
      <w:bodyDiv w:val="1"/>
      <w:marLeft w:val="0"/>
      <w:marRight w:val="0"/>
      <w:marTop w:val="0"/>
      <w:marBottom w:val="0"/>
      <w:divBdr>
        <w:top w:val="none" w:sz="0" w:space="0" w:color="auto"/>
        <w:left w:val="none" w:sz="0" w:space="0" w:color="auto"/>
        <w:bottom w:val="none" w:sz="0" w:space="0" w:color="auto"/>
        <w:right w:val="none" w:sz="0" w:space="0" w:color="auto"/>
      </w:divBdr>
    </w:div>
    <w:div w:id="43604560">
      <w:bodyDiv w:val="1"/>
      <w:marLeft w:val="0"/>
      <w:marRight w:val="0"/>
      <w:marTop w:val="0"/>
      <w:marBottom w:val="0"/>
      <w:divBdr>
        <w:top w:val="none" w:sz="0" w:space="0" w:color="auto"/>
        <w:left w:val="none" w:sz="0" w:space="0" w:color="auto"/>
        <w:bottom w:val="none" w:sz="0" w:space="0" w:color="auto"/>
        <w:right w:val="none" w:sz="0" w:space="0" w:color="auto"/>
      </w:divBdr>
    </w:div>
    <w:div w:id="72552503">
      <w:bodyDiv w:val="1"/>
      <w:marLeft w:val="0"/>
      <w:marRight w:val="0"/>
      <w:marTop w:val="0"/>
      <w:marBottom w:val="0"/>
      <w:divBdr>
        <w:top w:val="none" w:sz="0" w:space="0" w:color="auto"/>
        <w:left w:val="none" w:sz="0" w:space="0" w:color="auto"/>
        <w:bottom w:val="none" w:sz="0" w:space="0" w:color="auto"/>
        <w:right w:val="none" w:sz="0" w:space="0" w:color="auto"/>
      </w:divBdr>
      <w:divsChild>
        <w:div w:id="1479569166">
          <w:marLeft w:val="0"/>
          <w:marRight w:val="0"/>
          <w:marTop w:val="0"/>
          <w:marBottom w:val="0"/>
          <w:divBdr>
            <w:top w:val="none" w:sz="0" w:space="0" w:color="auto"/>
            <w:left w:val="none" w:sz="0" w:space="0" w:color="auto"/>
            <w:bottom w:val="none" w:sz="0" w:space="0" w:color="auto"/>
            <w:right w:val="none" w:sz="0" w:space="0" w:color="auto"/>
          </w:divBdr>
          <w:divsChild>
            <w:div w:id="1490829168">
              <w:marLeft w:val="0"/>
              <w:marRight w:val="0"/>
              <w:marTop w:val="0"/>
              <w:marBottom w:val="0"/>
              <w:divBdr>
                <w:top w:val="none" w:sz="0" w:space="0" w:color="auto"/>
                <w:left w:val="none" w:sz="0" w:space="0" w:color="auto"/>
                <w:bottom w:val="none" w:sz="0" w:space="0" w:color="auto"/>
                <w:right w:val="none" w:sz="0" w:space="0" w:color="auto"/>
              </w:divBdr>
              <w:divsChild>
                <w:div w:id="962271633">
                  <w:marLeft w:val="0"/>
                  <w:marRight w:val="0"/>
                  <w:marTop w:val="0"/>
                  <w:marBottom w:val="0"/>
                  <w:divBdr>
                    <w:top w:val="none" w:sz="0" w:space="0" w:color="auto"/>
                    <w:left w:val="none" w:sz="0" w:space="0" w:color="auto"/>
                    <w:bottom w:val="none" w:sz="0" w:space="0" w:color="auto"/>
                    <w:right w:val="none" w:sz="0" w:space="0" w:color="auto"/>
                  </w:divBdr>
                  <w:divsChild>
                    <w:div w:id="2118863725">
                      <w:marLeft w:val="0"/>
                      <w:marRight w:val="0"/>
                      <w:marTop w:val="0"/>
                      <w:marBottom w:val="0"/>
                      <w:divBdr>
                        <w:top w:val="none" w:sz="0" w:space="0" w:color="auto"/>
                        <w:left w:val="none" w:sz="0" w:space="0" w:color="auto"/>
                        <w:bottom w:val="none" w:sz="0" w:space="0" w:color="auto"/>
                        <w:right w:val="none" w:sz="0" w:space="0" w:color="auto"/>
                      </w:divBdr>
                      <w:divsChild>
                        <w:div w:id="50615935">
                          <w:marLeft w:val="0"/>
                          <w:marRight w:val="0"/>
                          <w:marTop w:val="0"/>
                          <w:marBottom w:val="0"/>
                          <w:divBdr>
                            <w:top w:val="none" w:sz="0" w:space="0" w:color="auto"/>
                            <w:left w:val="none" w:sz="0" w:space="0" w:color="auto"/>
                            <w:bottom w:val="none" w:sz="0" w:space="0" w:color="auto"/>
                            <w:right w:val="none" w:sz="0" w:space="0" w:color="auto"/>
                          </w:divBdr>
                          <w:divsChild>
                            <w:div w:id="1451824023">
                              <w:marLeft w:val="0"/>
                              <w:marRight w:val="0"/>
                              <w:marTop w:val="0"/>
                              <w:marBottom w:val="0"/>
                              <w:divBdr>
                                <w:top w:val="none" w:sz="0" w:space="0" w:color="auto"/>
                                <w:left w:val="none" w:sz="0" w:space="0" w:color="auto"/>
                                <w:bottom w:val="none" w:sz="0" w:space="0" w:color="auto"/>
                                <w:right w:val="none" w:sz="0" w:space="0" w:color="auto"/>
                              </w:divBdr>
                              <w:divsChild>
                                <w:div w:id="305625202">
                                  <w:marLeft w:val="0"/>
                                  <w:marRight w:val="0"/>
                                  <w:marTop w:val="0"/>
                                  <w:marBottom w:val="0"/>
                                  <w:divBdr>
                                    <w:top w:val="none" w:sz="0" w:space="0" w:color="auto"/>
                                    <w:left w:val="none" w:sz="0" w:space="0" w:color="auto"/>
                                    <w:bottom w:val="none" w:sz="0" w:space="0" w:color="auto"/>
                                    <w:right w:val="none" w:sz="0" w:space="0" w:color="auto"/>
                                  </w:divBdr>
                                  <w:divsChild>
                                    <w:div w:id="717172583">
                                      <w:marLeft w:val="0"/>
                                      <w:marRight w:val="0"/>
                                      <w:marTop w:val="0"/>
                                      <w:marBottom w:val="0"/>
                                      <w:divBdr>
                                        <w:top w:val="none" w:sz="0" w:space="0" w:color="auto"/>
                                        <w:left w:val="none" w:sz="0" w:space="0" w:color="auto"/>
                                        <w:bottom w:val="none" w:sz="0" w:space="0" w:color="auto"/>
                                        <w:right w:val="none" w:sz="0" w:space="0" w:color="auto"/>
                                      </w:divBdr>
                                      <w:divsChild>
                                        <w:div w:id="3087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7764">
                          <w:marLeft w:val="0"/>
                          <w:marRight w:val="0"/>
                          <w:marTop w:val="0"/>
                          <w:marBottom w:val="0"/>
                          <w:divBdr>
                            <w:top w:val="none" w:sz="0" w:space="0" w:color="auto"/>
                            <w:left w:val="none" w:sz="0" w:space="0" w:color="auto"/>
                            <w:bottom w:val="none" w:sz="0" w:space="0" w:color="auto"/>
                            <w:right w:val="none" w:sz="0" w:space="0" w:color="auto"/>
                          </w:divBdr>
                          <w:divsChild>
                            <w:div w:id="846823236">
                              <w:marLeft w:val="0"/>
                              <w:marRight w:val="0"/>
                              <w:marTop w:val="0"/>
                              <w:marBottom w:val="0"/>
                              <w:divBdr>
                                <w:top w:val="none" w:sz="0" w:space="0" w:color="auto"/>
                                <w:left w:val="none" w:sz="0" w:space="0" w:color="auto"/>
                                <w:bottom w:val="none" w:sz="0" w:space="0" w:color="auto"/>
                                <w:right w:val="none" w:sz="0" w:space="0" w:color="auto"/>
                              </w:divBdr>
                              <w:divsChild>
                                <w:div w:id="1073046600">
                                  <w:marLeft w:val="0"/>
                                  <w:marRight w:val="0"/>
                                  <w:marTop w:val="0"/>
                                  <w:marBottom w:val="0"/>
                                  <w:divBdr>
                                    <w:top w:val="none" w:sz="0" w:space="0" w:color="auto"/>
                                    <w:left w:val="none" w:sz="0" w:space="0" w:color="auto"/>
                                    <w:bottom w:val="none" w:sz="0" w:space="0" w:color="auto"/>
                                    <w:right w:val="none" w:sz="0" w:space="0" w:color="auto"/>
                                  </w:divBdr>
                                  <w:divsChild>
                                    <w:div w:id="1252155941">
                                      <w:marLeft w:val="0"/>
                                      <w:marRight w:val="0"/>
                                      <w:marTop w:val="0"/>
                                      <w:marBottom w:val="0"/>
                                      <w:divBdr>
                                        <w:top w:val="none" w:sz="0" w:space="0" w:color="auto"/>
                                        <w:left w:val="none" w:sz="0" w:space="0" w:color="auto"/>
                                        <w:bottom w:val="none" w:sz="0" w:space="0" w:color="auto"/>
                                        <w:right w:val="none" w:sz="0" w:space="0" w:color="auto"/>
                                      </w:divBdr>
                                      <w:divsChild>
                                        <w:div w:id="160170555">
                                          <w:marLeft w:val="0"/>
                                          <w:marRight w:val="0"/>
                                          <w:marTop w:val="0"/>
                                          <w:marBottom w:val="0"/>
                                          <w:divBdr>
                                            <w:top w:val="none" w:sz="0" w:space="0" w:color="auto"/>
                                            <w:left w:val="none" w:sz="0" w:space="0" w:color="auto"/>
                                            <w:bottom w:val="none" w:sz="0" w:space="0" w:color="auto"/>
                                            <w:right w:val="none" w:sz="0" w:space="0" w:color="auto"/>
                                          </w:divBdr>
                                          <w:divsChild>
                                            <w:div w:id="331031291">
                                              <w:marLeft w:val="0"/>
                                              <w:marRight w:val="0"/>
                                              <w:marTop w:val="0"/>
                                              <w:marBottom w:val="0"/>
                                              <w:divBdr>
                                                <w:top w:val="none" w:sz="0" w:space="0" w:color="auto"/>
                                                <w:left w:val="none" w:sz="0" w:space="0" w:color="auto"/>
                                                <w:bottom w:val="none" w:sz="0" w:space="0" w:color="auto"/>
                                                <w:right w:val="none" w:sz="0" w:space="0" w:color="auto"/>
                                              </w:divBdr>
                                              <w:divsChild>
                                                <w:div w:id="6378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9637">
                                          <w:marLeft w:val="0"/>
                                          <w:marRight w:val="0"/>
                                          <w:marTop w:val="0"/>
                                          <w:marBottom w:val="0"/>
                                          <w:divBdr>
                                            <w:top w:val="none" w:sz="0" w:space="0" w:color="auto"/>
                                            <w:left w:val="none" w:sz="0" w:space="0" w:color="auto"/>
                                            <w:bottom w:val="none" w:sz="0" w:space="0" w:color="auto"/>
                                            <w:right w:val="none" w:sz="0" w:space="0" w:color="auto"/>
                                          </w:divBdr>
                                          <w:divsChild>
                                            <w:div w:id="1594391618">
                                              <w:marLeft w:val="0"/>
                                              <w:marRight w:val="0"/>
                                              <w:marTop w:val="0"/>
                                              <w:marBottom w:val="0"/>
                                              <w:divBdr>
                                                <w:top w:val="none" w:sz="0" w:space="0" w:color="auto"/>
                                                <w:left w:val="none" w:sz="0" w:space="0" w:color="auto"/>
                                                <w:bottom w:val="none" w:sz="0" w:space="0" w:color="auto"/>
                                                <w:right w:val="none" w:sz="0" w:space="0" w:color="auto"/>
                                              </w:divBdr>
                                              <w:divsChild>
                                                <w:div w:id="2867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186126">
      <w:bodyDiv w:val="1"/>
      <w:marLeft w:val="0"/>
      <w:marRight w:val="0"/>
      <w:marTop w:val="0"/>
      <w:marBottom w:val="0"/>
      <w:divBdr>
        <w:top w:val="none" w:sz="0" w:space="0" w:color="auto"/>
        <w:left w:val="none" w:sz="0" w:space="0" w:color="auto"/>
        <w:bottom w:val="none" w:sz="0" w:space="0" w:color="auto"/>
        <w:right w:val="none" w:sz="0" w:space="0" w:color="auto"/>
      </w:divBdr>
    </w:div>
    <w:div w:id="79451241">
      <w:bodyDiv w:val="1"/>
      <w:marLeft w:val="0"/>
      <w:marRight w:val="0"/>
      <w:marTop w:val="0"/>
      <w:marBottom w:val="0"/>
      <w:divBdr>
        <w:top w:val="none" w:sz="0" w:space="0" w:color="auto"/>
        <w:left w:val="none" w:sz="0" w:space="0" w:color="auto"/>
        <w:bottom w:val="none" w:sz="0" w:space="0" w:color="auto"/>
        <w:right w:val="none" w:sz="0" w:space="0" w:color="auto"/>
      </w:divBdr>
    </w:div>
    <w:div w:id="83041792">
      <w:bodyDiv w:val="1"/>
      <w:marLeft w:val="0"/>
      <w:marRight w:val="0"/>
      <w:marTop w:val="0"/>
      <w:marBottom w:val="0"/>
      <w:divBdr>
        <w:top w:val="none" w:sz="0" w:space="0" w:color="auto"/>
        <w:left w:val="none" w:sz="0" w:space="0" w:color="auto"/>
        <w:bottom w:val="none" w:sz="0" w:space="0" w:color="auto"/>
        <w:right w:val="none" w:sz="0" w:space="0" w:color="auto"/>
      </w:divBdr>
    </w:div>
    <w:div w:id="90853841">
      <w:bodyDiv w:val="1"/>
      <w:marLeft w:val="0"/>
      <w:marRight w:val="0"/>
      <w:marTop w:val="0"/>
      <w:marBottom w:val="0"/>
      <w:divBdr>
        <w:top w:val="none" w:sz="0" w:space="0" w:color="auto"/>
        <w:left w:val="none" w:sz="0" w:space="0" w:color="auto"/>
        <w:bottom w:val="none" w:sz="0" w:space="0" w:color="auto"/>
        <w:right w:val="none" w:sz="0" w:space="0" w:color="auto"/>
      </w:divBdr>
    </w:div>
    <w:div w:id="92476107">
      <w:bodyDiv w:val="1"/>
      <w:marLeft w:val="0"/>
      <w:marRight w:val="0"/>
      <w:marTop w:val="0"/>
      <w:marBottom w:val="0"/>
      <w:divBdr>
        <w:top w:val="none" w:sz="0" w:space="0" w:color="auto"/>
        <w:left w:val="none" w:sz="0" w:space="0" w:color="auto"/>
        <w:bottom w:val="none" w:sz="0" w:space="0" w:color="auto"/>
        <w:right w:val="none" w:sz="0" w:space="0" w:color="auto"/>
      </w:divBdr>
    </w:div>
    <w:div w:id="100609977">
      <w:bodyDiv w:val="1"/>
      <w:marLeft w:val="0"/>
      <w:marRight w:val="0"/>
      <w:marTop w:val="0"/>
      <w:marBottom w:val="0"/>
      <w:divBdr>
        <w:top w:val="none" w:sz="0" w:space="0" w:color="auto"/>
        <w:left w:val="none" w:sz="0" w:space="0" w:color="auto"/>
        <w:bottom w:val="none" w:sz="0" w:space="0" w:color="auto"/>
        <w:right w:val="none" w:sz="0" w:space="0" w:color="auto"/>
      </w:divBdr>
    </w:div>
    <w:div w:id="103816850">
      <w:bodyDiv w:val="1"/>
      <w:marLeft w:val="0"/>
      <w:marRight w:val="0"/>
      <w:marTop w:val="0"/>
      <w:marBottom w:val="0"/>
      <w:divBdr>
        <w:top w:val="none" w:sz="0" w:space="0" w:color="auto"/>
        <w:left w:val="none" w:sz="0" w:space="0" w:color="auto"/>
        <w:bottom w:val="none" w:sz="0" w:space="0" w:color="auto"/>
        <w:right w:val="none" w:sz="0" w:space="0" w:color="auto"/>
      </w:divBdr>
    </w:div>
    <w:div w:id="109670063">
      <w:bodyDiv w:val="1"/>
      <w:marLeft w:val="0"/>
      <w:marRight w:val="0"/>
      <w:marTop w:val="0"/>
      <w:marBottom w:val="0"/>
      <w:divBdr>
        <w:top w:val="none" w:sz="0" w:space="0" w:color="auto"/>
        <w:left w:val="none" w:sz="0" w:space="0" w:color="auto"/>
        <w:bottom w:val="none" w:sz="0" w:space="0" w:color="auto"/>
        <w:right w:val="none" w:sz="0" w:space="0" w:color="auto"/>
      </w:divBdr>
    </w:div>
    <w:div w:id="109980046">
      <w:bodyDiv w:val="1"/>
      <w:marLeft w:val="0"/>
      <w:marRight w:val="0"/>
      <w:marTop w:val="0"/>
      <w:marBottom w:val="0"/>
      <w:divBdr>
        <w:top w:val="none" w:sz="0" w:space="0" w:color="auto"/>
        <w:left w:val="none" w:sz="0" w:space="0" w:color="auto"/>
        <w:bottom w:val="none" w:sz="0" w:space="0" w:color="auto"/>
        <w:right w:val="none" w:sz="0" w:space="0" w:color="auto"/>
      </w:divBdr>
    </w:div>
    <w:div w:id="127213407">
      <w:bodyDiv w:val="1"/>
      <w:marLeft w:val="0"/>
      <w:marRight w:val="0"/>
      <w:marTop w:val="0"/>
      <w:marBottom w:val="0"/>
      <w:divBdr>
        <w:top w:val="none" w:sz="0" w:space="0" w:color="auto"/>
        <w:left w:val="none" w:sz="0" w:space="0" w:color="auto"/>
        <w:bottom w:val="none" w:sz="0" w:space="0" w:color="auto"/>
        <w:right w:val="none" w:sz="0" w:space="0" w:color="auto"/>
      </w:divBdr>
    </w:div>
    <w:div w:id="150874834">
      <w:bodyDiv w:val="1"/>
      <w:marLeft w:val="0"/>
      <w:marRight w:val="0"/>
      <w:marTop w:val="0"/>
      <w:marBottom w:val="0"/>
      <w:divBdr>
        <w:top w:val="none" w:sz="0" w:space="0" w:color="auto"/>
        <w:left w:val="none" w:sz="0" w:space="0" w:color="auto"/>
        <w:bottom w:val="none" w:sz="0" w:space="0" w:color="auto"/>
        <w:right w:val="none" w:sz="0" w:space="0" w:color="auto"/>
      </w:divBdr>
    </w:div>
    <w:div w:id="155806857">
      <w:bodyDiv w:val="1"/>
      <w:marLeft w:val="0"/>
      <w:marRight w:val="0"/>
      <w:marTop w:val="0"/>
      <w:marBottom w:val="0"/>
      <w:divBdr>
        <w:top w:val="none" w:sz="0" w:space="0" w:color="auto"/>
        <w:left w:val="none" w:sz="0" w:space="0" w:color="auto"/>
        <w:bottom w:val="none" w:sz="0" w:space="0" w:color="auto"/>
        <w:right w:val="none" w:sz="0" w:space="0" w:color="auto"/>
      </w:divBdr>
    </w:div>
    <w:div w:id="160244020">
      <w:bodyDiv w:val="1"/>
      <w:marLeft w:val="0"/>
      <w:marRight w:val="0"/>
      <w:marTop w:val="0"/>
      <w:marBottom w:val="0"/>
      <w:divBdr>
        <w:top w:val="none" w:sz="0" w:space="0" w:color="auto"/>
        <w:left w:val="none" w:sz="0" w:space="0" w:color="auto"/>
        <w:bottom w:val="none" w:sz="0" w:space="0" w:color="auto"/>
        <w:right w:val="none" w:sz="0" w:space="0" w:color="auto"/>
      </w:divBdr>
    </w:div>
    <w:div w:id="167142714">
      <w:bodyDiv w:val="1"/>
      <w:marLeft w:val="0"/>
      <w:marRight w:val="0"/>
      <w:marTop w:val="0"/>
      <w:marBottom w:val="0"/>
      <w:divBdr>
        <w:top w:val="none" w:sz="0" w:space="0" w:color="auto"/>
        <w:left w:val="none" w:sz="0" w:space="0" w:color="auto"/>
        <w:bottom w:val="none" w:sz="0" w:space="0" w:color="auto"/>
        <w:right w:val="none" w:sz="0" w:space="0" w:color="auto"/>
      </w:divBdr>
    </w:div>
    <w:div w:id="170267101">
      <w:bodyDiv w:val="1"/>
      <w:marLeft w:val="0"/>
      <w:marRight w:val="0"/>
      <w:marTop w:val="0"/>
      <w:marBottom w:val="0"/>
      <w:divBdr>
        <w:top w:val="none" w:sz="0" w:space="0" w:color="auto"/>
        <w:left w:val="none" w:sz="0" w:space="0" w:color="auto"/>
        <w:bottom w:val="none" w:sz="0" w:space="0" w:color="auto"/>
        <w:right w:val="none" w:sz="0" w:space="0" w:color="auto"/>
      </w:divBdr>
    </w:div>
    <w:div w:id="188564885">
      <w:bodyDiv w:val="1"/>
      <w:marLeft w:val="0"/>
      <w:marRight w:val="0"/>
      <w:marTop w:val="0"/>
      <w:marBottom w:val="0"/>
      <w:divBdr>
        <w:top w:val="none" w:sz="0" w:space="0" w:color="auto"/>
        <w:left w:val="none" w:sz="0" w:space="0" w:color="auto"/>
        <w:bottom w:val="none" w:sz="0" w:space="0" w:color="auto"/>
        <w:right w:val="none" w:sz="0" w:space="0" w:color="auto"/>
      </w:divBdr>
    </w:div>
    <w:div w:id="236407665">
      <w:bodyDiv w:val="1"/>
      <w:marLeft w:val="0"/>
      <w:marRight w:val="0"/>
      <w:marTop w:val="0"/>
      <w:marBottom w:val="0"/>
      <w:divBdr>
        <w:top w:val="none" w:sz="0" w:space="0" w:color="auto"/>
        <w:left w:val="none" w:sz="0" w:space="0" w:color="auto"/>
        <w:bottom w:val="none" w:sz="0" w:space="0" w:color="auto"/>
        <w:right w:val="none" w:sz="0" w:space="0" w:color="auto"/>
      </w:divBdr>
    </w:div>
    <w:div w:id="239877462">
      <w:bodyDiv w:val="1"/>
      <w:marLeft w:val="0"/>
      <w:marRight w:val="0"/>
      <w:marTop w:val="0"/>
      <w:marBottom w:val="0"/>
      <w:divBdr>
        <w:top w:val="none" w:sz="0" w:space="0" w:color="auto"/>
        <w:left w:val="none" w:sz="0" w:space="0" w:color="auto"/>
        <w:bottom w:val="none" w:sz="0" w:space="0" w:color="auto"/>
        <w:right w:val="none" w:sz="0" w:space="0" w:color="auto"/>
      </w:divBdr>
    </w:div>
    <w:div w:id="242882569">
      <w:bodyDiv w:val="1"/>
      <w:marLeft w:val="0"/>
      <w:marRight w:val="0"/>
      <w:marTop w:val="0"/>
      <w:marBottom w:val="0"/>
      <w:divBdr>
        <w:top w:val="none" w:sz="0" w:space="0" w:color="auto"/>
        <w:left w:val="none" w:sz="0" w:space="0" w:color="auto"/>
        <w:bottom w:val="none" w:sz="0" w:space="0" w:color="auto"/>
        <w:right w:val="none" w:sz="0" w:space="0" w:color="auto"/>
      </w:divBdr>
    </w:div>
    <w:div w:id="248127396">
      <w:bodyDiv w:val="1"/>
      <w:marLeft w:val="0"/>
      <w:marRight w:val="0"/>
      <w:marTop w:val="0"/>
      <w:marBottom w:val="0"/>
      <w:divBdr>
        <w:top w:val="none" w:sz="0" w:space="0" w:color="auto"/>
        <w:left w:val="none" w:sz="0" w:space="0" w:color="auto"/>
        <w:bottom w:val="none" w:sz="0" w:space="0" w:color="auto"/>
        <w:right w:val="none" w:sz="0" w:space="0" w:color="auto"/>
      </w:divBdr>
      <w:divsChild>
        <w:div w:id="964576301">
          <w:marLeft w:val="0"/>
          <w:marRight w:val="0"/>
          <w:marTop w:val="0"/>
          <w:marBottom w:val="0"/>
          <w:divBdr>
            <w:top w:val="none" w:sz="0" w:space="0" w:color="auto"/>
            <w:left w:val="none" w:sz="0" w:space="0" w:color="auto"/>
            <w:bottom w:val="none" w:sz="0" w:space="0" w:color="auto"/>
            <w:right w:val="none" w:sz="0" w:space="0" w:color="auto"/>
          </w:divBdr>
          <w:divsChild>
            <w:div w:id="62610410">
              <w:marLeft w:val="0"/>
              <w:marRight w:val="0"/>
              <w:marTop w:val="0"/>
              <w:marBottom w:val="0"/>
              <w:divBdr>
                <w:top w:val="none" w:sz="0" w:space="0" w:color="auto"/>
                <w:left w:val="none" w:sz="0" w:space="0" w:color="auto"/>
                <w:bottom w:val="none" w:sz="0" w:space="0" w:color="auto"/>
                <w:right w:val="none" w:sz="0" w:space="0" w:color="auto"/>
              </w:divBdr>
              <w:divsChild>
                <w:div w:id="1199927084">
                  <w:marLeft w:val="0"/>
                  <w:marRight w:val="0"/>
                  <w:marTop w:val="0"/>
                  <w:marBottom w:val="0"/>
                  <w:divBdr>
                    <w:top w:val="none" w:sz="0" w:space="0" w:color="auto"/>
                    <w:left w:val="none" w:sz="0" w:space="0" w:color="auto"/>
                    <w:bottom w:val="none" w:sz="0" w:space="0" w:color="auto"/>
                    <w:right w:val="none" w:sz="0" w:space="0" w:color="auto"/>
                  </w:divBdr>
                  <w:divsChild>
                    <w:div w:id="776175573">
                      <w:marLeft w:val="0"/>
                      <w:marRight w:val="0"/>
                      <w:marTop w:val="0"/>
                      <w:marBottom w:val="0"/>
                      <w:divBdr>
                        <w:top w:val="none" w:sz="0" w:space="0" w:color="auto"/>
                        <w:left w:val="none" w:sz="0" w:space="0" w:color="auto"/>
                        <w:bottom w:val="none" w:sz="0" w:space="0" w:color="auto"/>
                        <w:right w:val="none" w:sz="0" w:space="0" w:color="auto"/>
                      </w:divBdr>
                      <w:divsChild>
                        <w:div w:id="244538592">
                          <w:marLeft w:val="0"/>
                          <w:marRight w:val="0"/>
                          <w:marTop w:val="0"/>
                          <w:marBottom w:val="0"/>
                          <w:divBdr>
                            <w:top w:val="none" w:sz="0" w:space="0" w:color="auto"/>
                            <w:left w:val="none" w:sz="0" w:space="0" w:color="auto"/>
                            <w:bottom w:val="none" w:sz="0" w:space="0" w:color="auto"/>
                            <w:right w:val="none" w:sz="0" w:space="0" w:color="auto"/>
                          </w:divBdr>
                          <w:divsChild>
                            <w:div w:id="1330521157">
                              <w:marLeft w:val="0"/>
                              <w:marRight w:val="0"/>
                              <w:marTop w:val="0"/>
                              <w:marBottom w:val="0"/>
                              <w:divBdr>
                                <w:top w:val="none" w:sz="0" w:space="0" w:color="auto"/>
                                <w:left w:val="none" w:sz="0" w:space="0" w:color="auto"/>
                                <w:bottom w:val="none" w:sz="0" w:space="0" w:color="auto"/>
                                <w:right w:val="none" w:sz="0" w:space="0" w:color="auto"/>
                              </w:divBdr>
                              <w:divsChild>
                                <w:div w:id="1729953977">
                                  <w:marLeft w:val="0"/>
                                  <w:marRight w:val="0"/>
                                  <w:marTop w:val="0"/>
                                  <w:marBottom w:val="0"/>
                                  <w:divBdr>
                                    <w:top w:val="none" w:sz="0" w:space="0" w:color="auto"/>
                                    <w:left w:val="none" w:sz="0" w:space="0" w:color="auto"/>
                                    <w:bottom w:val="none" w:sz="0" w:space="0" w:color="auto"/>
                                    <w:right w:val="none" w:sz="0" w:space="0" w:color="auto"/>
                                  </w:divBdr>
                                  <w:divsChild>
                                    <w:div w:id="1198350952">
                                      <w:marLeft w:val="0"/>
                                      <w:marRight w:val="0"/>
                                      <w:marTop w:val="0"/>
                                      <w:marBottom w:val="0"/>
                                      <w:divBdr>
                                        <w:top w:val="none" w:sz="0" w:space="0" w:color="auto"/>
                                        <w:left w:val="none" w:sz="0" w:space="0" w:color="auto"/>
                                        <w:bottom w:val="none" w:sz="0" w:space="0" w:color="auto"/>
                                        <w:right w:val="none" w:sz="0" w:space="0" w:color="auto"/>
                                      </w:divBdr>
                                      <w:divsChild>
                                        <w:div w:id="525362882">
                                          <w:marLeft w:val="0"/>
                                          <w:marRight w:val="0"/>
                                          <w:marTop w:val="0"/>
                                          <w:marBottom w:val="0"/>
                                          <w:divBdr>
                                            <w:top w:val="none" w:sz="0" w:space="0" w:color="auto"/>
                                            <w:left w:val="none" w:sz="0" w:space="0" w:color="auto"/>
                                            <w:bottom w:val="none" w:sz="0" w:space="0" w:color="auto"/>
                                            <w:right w:val="none" w:sz="0" w:space="0" w:color="auto"/>
                                          </w:divBdr>
                                          <w:divsChild>
                                            <w:div w:id="1207715979">
                                              <w:marLeft w:val="0"/>
                                              <w:marRight w:val="0"/>
                                              <w:marTop w:val="0"/>
                                              <w:marBottom w:val="0"/>
                                              <w:divBdr>
                                                <w:top w:val="none" w:sz="0" w:space="0" w:color="auto"/>
                                                <w:left w:val="none" w:sz="0" w:space="0" w:color="auto"/>
                                                <w:bottom w:val="none" w:sz="0" w:space="0" w:color="auto"/>
                                                <w:right w:val="none" w:sz="0" w:space="0" w:color="auto"/>
                                              </w:divBdr>
                                              <w:divsChild>
                                                <w:div w:id="18889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523">
                                          <w:marLeft w:val="0"/>
                                          <w:marRight w:val="0"/>
                                          <w:marTop w:val="0"/>
                                          <w:marBottom w:val="0"/>
                                          <w:divBdr>
                                            <w:top w:val="none" w:sz="0" w:space="0" w:color="auto"/>
                                            <w:left w:val="none" w:sz="0" w:space="0" w:color="auto"/>
                                            <w:bottom w:val="none" w:sz="0" w:space="0" w:color="auto"/>
                                            <w:right w:val="none" w:sz="0" w:space="0" w:color="auto"/>
                                          </w:divBdr>
                                          <w:divsChild>
                                            <w:div w:id="1699040761">
                                              <w:marLeft w:val="0"/>
                                              <w:marRight w:val="0"/>
                                              <w:marTop w:val="0"/>
                                              <w:marBottom w:val="0"/>
                                              <w:divBdr>
                                                <w:top w:val="none" w:sz="0" w:space="0" w:color="auto"/>
                                                <w:left w:val="none" w:sz="0" w:space="0" w:color="auto"/>
                                                <w:bottom w:val="none" w:sz="0" w:space="0" w:color="auto"/>
                                                <w:right w:val="none" w:sz="0" w:space="0" w:color="auto"/>
                                              </w:divBdr>
                                              <w:divsChild>
                                                <w:div w:id="15996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434936">
                          <w:marLeft w:val="0"/>
                          <w:marRight w:val="0"/>
                          <w:marTop w:val="0"/>
                          <w:marBottom w:val="0"/>
                          <w:divBdr>
                            <w:top w:val="none" w:sz="0" w:space="0" w:color="auto"/>
                            <w:left w:val="none" w:sz="0" w:space="0" w:color="auto"/>
                            <w:bottom w:val="none" w:sz="0" w:space="0" w:color="auto"/>
                            <w:right w:val="none" w:sz="0" w:space="0" w:color="auto"/>
                          </w:divBdr>
                          <w:divsChild>
                            <w:div w:id="1233202819">
                              <w:marLeft w:val="0"/>
                              <w:marRight w:val="0"/>
                              <w:marTop w:val="0"/>
                              <w:marBottom w:val="0"/>
                              <w:divBdr>
                                <w:top w:val="none" w:sz="0" w:space="0" w:color="auto"/>
                                <w:left w:val="none" w:sz="0" w:space="0" w:color="auto"/>
                                <w:bottom w:val="none" w:sz="0" w:space="0" w:color="auto"/>
                                <w:right w:val="none" w:sz="0" w:space="0" w:color="auto"/>
                              </w:divBdr>
                              <w:divsChild>
                                <w:div w:id="925722563">
                                  <w:marLeft w:val="0"/>
                                  <w:marRight w:val="0"/>
                                  <w:marTop w:val="0"/>
                                  <w:marBottom w:val="0"/>
                                  <w:divBdr>
                                    <w:top w:val="none" w:sz="0" w:space="0" w:color="auto"/>
                                    <w:left w:val="none" w:sz="0" w:space="0" w:color="auto"/>
                                    <w:bottom w:val="none" w:sz="0" w:space="0" w:color="auto"/>
                                    <w:right w:val="none" w:sz="0" w:space="0" w:color="auto"/>
                                  </w:divBdr>
                                  <w:divsChild>
                                    <w:div w:id="205142111">
                                      <w:marLeft w:val="0"/>
                                      <w:marRight w:val="0"/>
                                      <w:marTop w:val="0"/>
                                      <w:marBottom w:val="0"/>
                                      <w:divBdr>
                                        <w:top w:val="none" w:sz="0" w:space="0" w:color="auto"/>
                                        <w:left w:val="none" w:sz="0" w:space="0" w:color="auto"/>
                                        <w:bottom w:val="none" w:sz="0" w:space="0" w:color="auto"/>
                                        <w:right w:val="none" w:sz="0" w:space="0" w:color="auto"/>
                                      </w:divBdr>
                                      <w:divsChild>
                                        <w:div w:id="9165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3056915">
      <w:bodyDiv w:val="1"/>
      <w:marLeft w:val="0"/>
      <w:marRight w:val="0"/>
      <w:marTop w:val="0"/>
      <w:marBottom w:val="0"/>
      <w:divBdr>
        <w:top w:val="none" w:sz="0" w:space="0" w:color="auto"/>
        <w:left w:val="none" w:sz="0" w:space="0" w:color="auto"/>
        <w:bottom w:val="none" w:sz="0" w:space="0" w:color="auto"/>
        <w:right w:val="none" w:sz="0" w:space="0" w:color="auto"/>
      </w:divBdr>
    </w:div>
    <w:div w:id="262156958">
      <w:bodyDiv w:val="1"/>
      <w:marLeft w:val="0"/>
      <w:marRight w:val="0"/>
      <w:marTop w:val="0"/>
      <w:marBottom w:val="0"/>
      <w:divBdr>
        <w:top w:val="none" w:sz="0" w:space="0" w:color="auto"/>
        <w:left w:val="none" w:sz="0" w:space="0" w:color="auto"/>
        <w:bottom w:val="none" w:sz="0" w:space="0" w:color="auto"/>
        <w:right w:val="none" w:sz="0" w:space="0" w:color="auto"/>
      </w:divBdr>
    </w:div>
    <w:div w:id="271594231">
      <w:bodyDiv w:val="1"/>
      <w:marLeft w:val="0"/>
      <w:marRight w:val="0"/>
      <w:marTop w:val="0"/>
      <w:marBottom w:val="0"/>
      <w:divBdr>
        <w:top w:val="none" w:sz="0" w:space="0" w:color="auto"/>
        <w:left w:val="none" w:sz="0" w:space="0" w:color="auto"/>
        <w:bottom w:val="none" w:sz="0" w:space="0" w:color="auto"/>
        <w:right w:val="none" w:sz="0" w:space="0" w:color="auto"/>
      </w:divBdr>
    </w:div>
    <w:div w:id="272320952">
      <w:bodyDiv w:val="1"/>
      <w:marLeft w:val="0"/>
      <w:marRight w:val="0"/>
      <w:marTop w:val="0"/>
      <w:marBottom w:val="0"/>
      <w:divBdr>
        <w:top w:val="none" w:sz="0" w:space="0" w:color="auto"/>
        <w:left w:val="none" w:sz="0" w:space="0" w:color="auto"/>
        <w:bottom w:val="none" w:sz="0" w:space="0" w:color="auto"/>
        <w:right w:val="none" w:sz="0" w:space="0" w:color="auto"/>
      </w:divBdr>
    </w:div>
    <w:div w:id="272829073">
      <w:bodyDiv w:val="1"/>
      <w:marLeft w:val="0"/>
      <w:marRight w:val="0"/>
      <w:marTop w:val="0"/>
      <w:marBottom w:val="0"/>
      <w:divBdr>
        <w:top w:val="none" w:sz="0" w:space="0" w:color="auto"/>
        <w:left w:val="none" w:sz="0" w:space="0" w:color="auto"/>
        <w:bottom w:val="none" w:sz="0" w:space="0" w:color="auto"/>
        <w:right w:val="none" w:sz="0" w:space="0" w:color="auto"/>
      </w:divBdr>
    </w:div>
    <w:div w:id="275254925">
      <w:bodyDiv w:val="1"/>
      <w:marLeft w:val="0"/>
      <w:marRight w:val="0"/>
      <w:marTop w:val="0"/>
      <w:marBottom w:val="0"/>
      <w:divBdr>
        <w:top w:val="none" w:sz="0" w:space="0" w:color="auto"/>
        <w:left w:val="none" w:sz="0" w:space="0" w:color="auto"/>
        <w:bottom w:val="none" w:sz="0" w:space="0" w:color="auto"/>
        <w:right w:val="none" w:sz="0" w:space="0" w:color="auto"/>
      </w:divBdr>
    </w:div>
    <w:div w:id="284580945">
      <w:bodyDiv w:val="1"/>
      <w:marLeft w:val="0"/>
      <w:marRight w:val="0"/>
      <w:marTop w:val="0"/>
      <w:marBottom w:val="0"/>
      <w:divBdr>
        <w:top w:val="none" w:sz="0" w:space="0" w:color="auto"/>
        <w:left w:val="none" w:sz="0" w:space="0" w:color="auto"/>
        <w:bottom w:val="none" w:sz="0" w:space="0" w:color="auto"/>
        <w:right w:val="none" w:sz="0" w:space="0" w:color="auto"/>
      </w:divBdr>
    </w:div>
    <w:div w:id="299387207">
      <w:bodyDiv w:val="1"/>
      <w:marLeft w:val="0"/>
      <w:marRight w:val="0"/>
      <w:marTop w:val="0"/>
      <w:marBottom w:val="0"/>
      <w:divBdr>
        <w:top w:val="none" w:sz="0" w:space="0" w:color="auto"/>
        <w:left w:val="none" w:sz="0" w:space="0" w:color="auto"/>
        <w:bottom w:val="none" w:sz="0" w:space="0" w:color="auto"/>
        <w:right w:val="none" w:sz="0" w:space="0" w:color="auto"/>
      </w:divBdr>
    </w:div>
    <w:div w:id="317344089">
      <w:bodyDiv w:val="1"/>
      <w:marLeft w:val="0"/>
      <w:marRight w:val="0"/>
      <w:marTop w:val="0"/>
      <w:marBottom w:val="0"/>
      <w:divBdr>
        <w:top w:val="none" w:sz="0" w:space="0" w:color="auto"/>
        <w:left w:val="none" w:sz="0" w:space="0" w:color="auto"/>
        <w:bottom w:val="none" w:sz="0" w:space="0" w:color="auto"/>
        <w:right w:val="none" w:sz="0" w:space="0" w:color="auto"/>
      </w:divBdr>
    </w:div>
    <w:div w:id="322970772">
      <w:bodyDiv w:val="1"/>
      <w:marLeft w:val="0"/>
      <w:marRight w:val="0"/>
      <w:marTop w:val="0"/>
      <w:marBottom w:val="0"/>
      <w:divBdr>
        <w:top w:val="none" w:sz="0" w:space="0" w:color="auto"/>
        <w:left w:val="none" w:sz="0" w:space="0" w:color="auto"/>
        <w:bottom w:val="none" w:sz="0" w:space="0" w:color="auto"/>
        <w:right w:val="none" w:sz="0" w:space="0" w:color="auto"/>
      </w:divBdr>
    </w:div>
    <w:div w:id="333068855">
      <w:bodyDiv w:val="1"/>
      <w:marLeft w:val="0"/>
      <w:marRight w:val="0"/>
      <w:marTop w:val="0"/>
      <w:marBottom w:val="0"/>
      <w:divBdr>
        <w:top w:val="none" w:sz="0" w:space="0" w:color="auto"/>
        <w:left w:val="none" w:sz="0" w:space="0" w:color="auto"/>
        <w:bottom w:val="none" w:sz="0" w:space="0" w:color="auto"/>
        <w:right w:val="none" w:sz="0" w:space="0" w:color="auto"/>
      </w:divBdr>
    </w:div>
    <w:div w:id="340278888">
      <w:bodyDiv w:val="1"/>
      <w:marLeft w:val="0"/>
      <w:marRight w:val="0"/>
      <w:marTop w:val="0"/>
      <w:marBottom w:val="0"/>
      <w:divBdr>
        <w:top w:val="none" w:sz="0" w:space="0" w:color="auto"/>
        <w:left w:val="none" w:sz="0" w:space="0" w:color="auto"/>
        <w:bottom w:val="none" w:sz="0" w:space="0" w:color="auto"/>
        <w:right w:val="none" w:sz="0" w:space="0" w:color="auto"/>
      </w:divBdr>
    </w:div>
    <w:div w:id="357514539">
      <w:bodyDiv w:val="1"/>
      <w:marLeft w:val="0"/>
      <w:marRight w:val="0"/>
      <w:marTop w:val="0"/>
      <w:marBottom w:val="0"/>
      <w:divBdr>
        <w:top w:val="none" w:sz="0" w:space="0" w:color="auto"/>
        <w:left w:val="none" w:sz="0" w:space="0" w:color="auto"/>
        <w:bottom w:val="none" w:sz="0" w:space="0" w:color="auto"/>
        <w:right w:val="none" w:sz="0" w:space="0" w:color="auto"/>
      </w:divBdr>
      <w:divsChild>
        <w:div w:id="493961755">
          <w:marLeft w:val="0"/>
          <w:marRight w:val="0"/>
          <w:marTop w:val="0"/>
          <w:marBottom w:val="0"/>
          <w:divBdr>
            <w:top w:val="none" w:sz="0" w:space="0" w:color="auto"/>
            <w:left w:val="none" w:sz="0" w:space="0" w:color="auto"/>
            <w:bottom w:val="none" w:sz="0" w:space="0" w:color="auto"/>
            <w:right w:val="none" w:sz="0" w:space="0" w:color="auto"/>
          </w:divBdr>
          <w:divsChild>
            <w:div w:id="656304329">
              <w:marLeft w:val="0"/>
              <w:marRight w:val="0"/>
              <w:marTop w:val="0"/>
              <w:marBottom w:val="0"/>
              <w:divBdr>
                <w:top w:val="none" w:sz="0" w:space="0" w:color="auto"/>
                <w:left w:val="none" w:sz="0" w:space="0" w:color="auto"/>
                <w:bottom w:val="none" w:sz="0" w:space="0" w:color="auto"/>
                <w:right w:val="none" w:sz="0" w:space="0" w:color="auto"/>
              </w:divBdr>
              <w:divsChild>
                <w:div w:id="420568959">
                  <w:marLeft w:val="0"/>
                  <w:marRight w:val="0"/>
                  <w:marTop w:val="0"/>
                  <w:marBottom w:val="0"/>
                  <w:divBdr>
                    <w:top w:val="none" w:sz="0" w:space="0" w:color="auto"/>
                    <w:left w:val="none" w:sz="0" w:space="0" w:color="auto"/>
                    <w:bottom w:val="none" w:sz="0" w:space="0" w:color="auto"/>
                    <w:right w:val="none" w:sz="0" w:space="0" w:color="auto"/>
                  </w:divBdr>
                  <w:divsChild>
                    <w:div w:id="680935529">
                      <w:marLeft w:val="0"/>
                      <w:marRight w:val="0"/>
                      <w:marTop w:val="0"/>
                      <w:marBottom w:val="0"/>
                      <w:divBdr>
                        <w:top w:val="none" w:sz="0" w:space="0" w:color="auto"/>
                        <w:left w:val="none" w:sz="0" w:space="0" w:color="auto"/>
                        <w:bottom w:val="none" w:sz="0" w:space="0" w:color="auto"/>
                        <w:right w:val="none" w:sz="0" w:space="0" w:color="auto"/>
                      </w:divBdr>
                      <w:divsChild>
                        <w:div w:id="71203429">
                          <w:marLeft w:val="0"/>
                          <w:marRight w:val="0"/>
                          <w:marTop w:val="0"/>
                          <w:marBottom w:val="0"/>
                          <w:divBdr>
                            <w:top w:val="none" w:sz="0" w:space="0" w:color="auto"/>
                            <w:left w:val="none" w:sz="0" w:space="0" w:color="auto"/>
                            <w:bottom w:val="none" w:sz="0" w:space="0" w:color="auto"/>
                            <w:right w:val="none" w:sz="0" w:space="0" w:color="auto"/>
                          </w:divBdr>
                          <w:divsChild>
                            <w:div w:id="194391277">
                              <w:marLeft w:val="0"/>
                              <w:marRight w:val="0"/>
                              <w:marTop w:val="0"/>
                              <w:marBottom w:val="0"/>
                              <w:divBdr>
                                <w:top w:val="none" w:sz="0" w:space="0" w:color="auto"/>
                                <w:left w:val="none" w:sz="0" w:space="0" w:color="auto"/>
                                <w:bottom w:val="none" w:sz="0" w:space="0" w:color="auto"/>
                                <w:right w:val="none" w:sz="0" w:space="0" w:color="auto"/>
                              </w:divBdr>
                              <w:divsChild>
                                <w:div w:id="152068653">
                                  <w:marLeft w:val="0"/>
                                  <w:marRight w:val="0"/>
                                  <w:marTop w:val="0"/>
                                  <w:marBottom w:val="0"/>
                                  <w:divBdr>
                                    <w:top w:val="none" w:sz="0" w:space="0" w:color="auto"/>
                                    <w:left w:val="none" w:sz="0" w:space="0" w:color="auto"/>
                                    <w:bottom w:val="none" w:sz="0" w:space="0" w:color="auto"/>
                                    <w:right w:val="none" w:sz="0" w:space="0" w:color="auto"/>
                                  </w:divBdr>
                                  <w:divsChild>
                                    <w:div w:id="550307864">
                                      <w:marLeft w:val="0"/>
                                      <w:marRight w:val="0"/>
                                      <w:marTop w:val="0"/>
                                      <w:marBottom w:val="0"/>
                                      <w:divBdr>
                                        <w:top w:val="none" w:sz="0" w:space="0" w:color="auto"/>
                                        <w:left w:val="none" w:sz="0" w:space="0" w:color="auto"/>
                                        <w:bottom w:val="none" w:sz="0" w:space="0" w:color="auto"/>
                                        <w:right w:val="none" w:sz="0" w:space="0" w:color="auto"/>
                                      </w:divBdr>
                                      <w:divsChild>
                                        <w:div w:id="10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3841">
                          <w:marLeft w:val="0"/>
                          <w:marRight w:val="0"/>
                          <w:marTop w:val="0"/>
                          <w:marBottom w:val="0"/>
                          <w:divBdr>
                            <w:top w:val="none" w:sz="0" w:space="0" w:color="auto"/>
                            <w:left w:val="none" w:sz="0" w:space="0" w:color="auto"/>
                            <w:bottom w:val="none" w:sz="0" w:space="0" w:color="auto"/>
                            <w:right w:val="none" w:sz="0" w:space="0" w:color="auto"/>
                          </w:divBdr>
                          <w:divsChild>
                            <w:div w:id="229925851">
                              <w:marLeft w:val="0"/>
                              <w:marRight w:val="0"/>
                              <w:marTop w:val="0"/>
                              <w:marBottom w:val="0"/>
                              <w:divBdr>
                                <w:top w:val="none" w:sz="0" w:space="0" w:color="auto"/>
                                <w:left w:val="none" w:sz="0" w:space="0" w:color="auto"/>
                                <w:bottom w:val="none" w:sz="0" w:space="0" w:color="auto"/>
                                <w:right w:val="none" w:sz="0" w:space="0" w:color="auto"/>
                              </w:divBdr>
                              <w:divsChild>
                                <w:div w:id="140925301">
                                  <w:marLeft w:val="0"/>
                                  <w:marRight w:val="0"/>
                                  <w:marTop w:val="0"/>
                                  <w:marBottom w:val="0"/>
                                  <w:divBdr>
                                    <w:top w:val="none" w:sz="0" w:space="0" w:color="auto"/>
                                    <w:left w:val="none" w:sz="0" w:space="0" w:color="auto"/>
                                    <w:bottom w:val="none" w:sz="0" w:space="0" w:color="auto"/>
                                    <w:right w:val="none" w:sz="0" w:space="0" w:color="auto"/>
                                  </w:divBdr>
                                  <w:divsChild>
                                    <w:div w:id="1869677702">
                                      <w:marLeft w:val="0"/>
                                      <w:marRight w:val="0"/>
                                      <w:marTop w:val="0"/>
                                      <w:marBottom w:val="0"/>
                                      <w:divBdr>
                                        <w:top w:val="none" w:sz="0" w:space="0" w:color="auto"/>
                                        <w:left w:val="none" w:sz="0" w:space="0" w:color="auto"/>
                                        <w:bottom w:val="none" w:sz="0" w:space="0" w:color="auto"/>
                                        <w:right w:val="none" w:sz="0" w:space="0" w:color="auto"/>
                                      </w:divBdr>
                                      <w:divsChild>
                                        <w:div w:id="932399028">
                                          <w:marLeft w:val="0"/>
                                          <w:marRight w:val="0"/>
                                          <w:marTop w:val="0"/>
                                          <w:marBottom w:val="0"/>
                                          <w:divBdr>
                                            <w:top w:val="none" w:sz="0" w:space="0" w:color="auto"/>
                                            <w:left w:val="none" w:sz="0" w:space="0" w:color="auto"/>
                                            <w:bottom w:val="none" w:sz="0" w:space="0" w:color="auto"/>
                                            <w:right w:val="none" w:sz="0" w:space="0" w:color="auto"/>
                                          </w:divBdr>
                                          <w:divsChild>
                                            <w:div w:id="579952618">
                                              <w:marLeft w:val="0"/>
                                              <w:marRight w:val="0"/>
                                              <w:marTop w:val="0"/>
                                              <w:marBottom w:val="0"/>
                                              <w:divBdr>
                                                <w:top w:val="none" w:sz="0" w:space="0" w:color="auto"/>
                                                <w:left w:val="none" w:sz="0" w:space="0" w:color="auto"/>
                                                <w:bottom w:val="none" w:sz="0" w:space="0" w:color="auto"/>
                                                <w:right w:val="none" w:sz="0" w:space="0" w:color="auto"/>
                                              </w:divBdr>
                                              <w:divsChild>
                                                <w:div w:id="8656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6215">
                                          <w:marLeft w:val="0"/>
                                          <w:marRight w:val="0"/>
                                          <w:marTop w:val="0"/>
                                          <w:marBottom w:val="0"/>
                                          <w:divBdr>
                                            <w:top w:val="none" w:sz="0" w:space="0" w:color="auto"/>
                                            <w:left w:val="none" w:sz="0" w:space="0" w:color="auto"/>
                                            <w:bottom w:val="none" w:sz="0" w:space="0" w:color="auto"/>
                                            <w:right w:val="none" w:sz="0" w:space="0" w:color="auto"/>
                                          </w:divBdr>
                                          <w:divsChild>
                                            <w:div w:id="1978681528">
                                              <w:marLeft w:val="0"/>
                                              <w:marRight w:val="0"/>
                                              <w:marTop w:val="0"/>
                                              <w:marBottom w:val="0"/>
                                              <w:divBdr>
                                                <w:top w:val="none" w:sz="0" w:space="0" w:color="auto"/>
                                                <w:left w:val="none" w:sz="0" w:space="0" w:color="auto"/>
                                                <w:bottom w:val="none" w:sz="0" w:space="0" w:color="auto"/>
                                                <w:right w:val="none" w:sz="0" w:space="0" w:color="auto"/>
                                              </w:divBdr>
                                              <w:divsChild>
                                                <w:div w:id="59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707141">
      <w:bodyDiv w:val="1"/>
      <w:marLeft w:val="0"/>
      <w:marRight w:val="0"/>
      <w:marTop w:val="0"/>
      <w:marBottom w:val="0"/>
      <w:divBdr>
        <w:top w:val="none" w:sz="0" w:space="0" w:color="auto"/>
        <w:left w:val="none" w:sz="0" w:space="0" w:color="auto"/>
        <w:bottom w:val="none" w:sz="0" w:space="0" w:color="auto"/>
        <w:right w:val="none" w:sz="0" w:space="0" w:color="auto"/>
      </w:divBdr>
    </w:div>
    <w:div w:id="374431782">
      <w:bodyDiv w:val="1"/>
      <w:marLeft w:val="0"/>
      <w:marRight w:val="0"/>
      <w:marTop w:val="0"/>
      <w:marBottom w:val="0"/>
      <w:divBdr>
        <w:top w:val="none" w:sz="0" w:space="0" w:color="auto"/>
        <w:left w:val="none" w:sz="0" w:space="0" w:color="auto"/>
        <w:bottom w:val="none" w:sz="0" w:space="0" w:color="auto"/>
        <w:right w:val="none" w:sz="0" w:space="0" w:color="auto"/>
      </w:divBdr>
    </w:div>
    <w:div w:id="387068013">
      <w:bodyDiv w:val="1"/>
      <w:marLeft w:val="0"/>
      <w:marRight w:val="0"/>
      <w:marTop w:val="0"/>
      <w:marBottom w:val="0"/>
      <w:divBdr>
        <w:top w:val="none" w:sz="0" w:space="0" w:color="auto"/>
        <w:left w:val="none" w:sz="0" w:space="0" w:color="auto"/>
        <w:bottom w:val="none" w:sz="0" w:space="0" w:color="auto"/>
        <w:right w:val="none" w:sz="0" w:space="0" w:color="auto"/>
      </w:divBdr>
    </w:div>
    <w:div w:id="388387345">
      <w:bodyDiv w:val="1"/>
      <w:marLeft w:val="0"/>
      <w:marRight w:val="0"/>
      <w:marTop w:val="0"/>
      <w:marBottom w:val="0"/>
      <w:divBdr>
        <w:top w:val="none" w:sz="0" w:space="0" w:color="auto"/>
        <w:left w:val="none" w:sz="0" w:space="0" w:color="auto"/>
        <w:bottom w:val="none" w:sz="0" w:space="0" w:color="auto"/>
        <w:right w:val="none" w:sz="0" w:space="0" w:color="auto"/>
      </w:divBdr>
    </w:div>
    <w:div w:id="398677762">
      <w:bodyDiv w:val="1"/>
      <w:marLeft w:val="0"/>
      <w:marRight w:val="0"/>
      <w:marTop w:val="0"/>
      <w:marBottom w:val="0"/>
      <w:divBdr>
        <w:top w:val="none" w:sz="0" w:space="0" w:color="auto"/>
        <w:left w:val="none" w:sz="0" w:space="0" w:color="auto"/>
        <w:bottom w:val="none" w:sz="0" w:space="0" w:color="auto"/>
        <w:right w:val="none" w:sz="0" w:space="0" w:color="auto"/>
      </w:divBdr>
    </w:div>
    <w:div w:id="404180461">
      <w:bodyDiv w:val="1"/>
      <w:marLeft w:val="0"/>
      <w:marRight w:val="0"/>
      <w:marTop w:val="0"/>
      <w:marBottom w:val="0"/>
      <w:divBdr>
        <w:top w:val="none" w:sz="0" w:space="0" w:color="auto"/>
        <w:left w:val="none" w:sz="0" w:space="0" w:color="auto"/>
        <w:bottom w:val="none" w:sz="0" w:space="0" w:color="auto"/>
        <w:right w:val="none" w:sz="0" w:space="0" w:color="auto"/>
      </w:divBdr>
    </w:div>
    <w:div w:id="430055915">
      <w:bodyDiv w:val="1"/>
      <w:marLeft w:val="0"/>
      <w:marRight w:val="0"/>
      <w:marTop w:val="0"/>
      <w:marBottom w:val="0"/>
      <w:divBdr>
        <w:top w:val="none" w:sz="0" w:space="0" w:color="auto"/>
        <w:left w:val="none" w:sz="0" w:space="0" w:color="auto"/>
        <w:bottom w:val="none" w:sz="0" w:space="0" w:color="auto"/>
        <w:right w:val="none" w:sz="0" w:space="0" w:color="auto"/>
      </w:divBdr>
    </w:div>
    <w:div w:id="430441662">
      <w:bodyDiv w:val="1"/>
      <w:marLeft w:val="0"/>
      <w:marRight w:val="0"/>
      <w:marTop w:val="0"/>
      <w:marBottom w:val="0"/>
      <w:divBdr>
        <w:top w:val="none" w:sz="0" w:space="0" w:color="auto"/>
        <w:left w:val="none" w:sz="0" w:space="0" w:color="auto"/>
        <w:bottom w:val="none" w:sz="0" w:space="0" w:color="auto"/>
        <w:right w:val="none" w:sz="0" w:space="0" w:color="auto"/>
      </w:divBdr>
    </w:div>
    <w:div w:id="441847887">
      <w:bodyDiv w:val="1"/>
      <w:marLeft w:val="0"/>
      <w:marRight w:val="0"/>
      <w:marTop w:val="0"/>
      <w:marBottom w:val="0"/>
      <w:divBdr>
        <w:top w:val="none" w:sz="0" w:space="0" w:color="auto"/>
        <w:left w:val="none" w:sz="0" w:space="0" w:color="auto"/>
        <w:bottom w:val="none" w:sz="0" w:space="0" w:color="auto"/>
        <w:right w:val="none" w:sz="0" w:space="0" w:color="auto"/>
      </w:divBdr>
    </w:div>
    <w:div w:id="461386592">
      <w:bodyDiv w:val="1"/>
      <w:marLeft w:val="0"/>
      <w:marRight w:val="0"/>
      <w:marTop w:val="0"/>
      <w:marBottom w:val="0"/>
      <w:divBdr>
        <w:top w:val="none" w:sz="0" w:space="0" w:color="auto"/>
        <w:left w:val="none" w:sz="0" w:space="0" w:color="auto"/>
        <w:bottom w:val="none" w:sz="0" w:space="0" w:color="auto"/>
        <w:right w:val="none" w:sz="0" w:space="0" w:color="auto"/>
      </w:divBdr>
    </w:div>
    <w:div w:id="467363419">
      <w:bodyDiv w:val="1"/>
      <w:marLeft w:val="0"/>
      <w:marRight w:val="0"/>
      <w:marTop w:val="0"/>
      <w:marBottom w:val="0"/>
      <w:divBdr>
        <w:top w:val="none" w:sz="0" w:space="0" w:color="auto"/>
        <w:left w:val="none" w:sz="0" w:space="0" w:color="auto"/>
        <w:bottom w:val="none" w:sz="0" w:space="0" w:color="auto"/>
        <w:right w:val="none" w:sz="0" w:space="0" w:color="auto"/>
      </w:divBdr>
      <w:divsChild>
        <w:div w:id="1443957001">
          <w:marLeft w:val="0"/>
          <w:marRight w:val="0"/>
          <w:marTop w:val="0"/>
          <w:marBottom w:val="0"/>
          <w:divBdr>
            <w:top w:val="none" w:sz="0" w:space="0" w:color="auto"/>
            <w:left w:val="none" w:sz="0" w:space="0" w:color="auto"/>
            <w:bottom w:val="none" w:sz="0" w:space="0" w:color="auto"/>
            <w:right w:val="none" w:sz="0" w:space="0" w:color="auto"/>
          </w:divBdr>
          <w:divsChild>
            <w:div w:id="420033412">
              <w:marLeft w:val="0"/>
              <w:marRight w:val="0"/>
              <w:marTop w:val="0"/>
              <w:marBottom w:val="0"/>
              <w:divBdr>
                <w:top w:val="none" w:sz="0" w:space="0" w:color="auto"/>
                <w:left w:val="none" w:sz="0" w:space="0" w:color="auto"/>
                <w:bottom w:val="none" w:sz="0" w:space="0" w:color="auto"/>
                <w:right w:val="none" w:sz="0" w:space="0" w:color="auto"/>
              </w:divBdr>
              <w:divsChild>
                <w:div w:id="2056925178">
                  <w:marLeft w:val="0"/>
                  <w:marRight w:val="0"/>
                  <w:marTop w:val="0"/>
                  <w:marBottom w:val="0"/>
                  <w:divBdr>
                    <w:top w:val="none" w:sz="0" w:space="0" w:color="auto"/>
                    <w:left w:val="none" w:sz="0" w:space="0" w:color="auto"/>
                    <w:bottom w:val="none" w:sz="0" w:space="0" w:color="auto"/>
                    <w:right w:val="none" w:sz="0" w:space="0" w:color="auto"/>
                  </w:divBdr>
                  <w:divsChild>
                    <w:div w:id="365571165">
                      <w:marLeft w:val="0"/>
                      <w:marRight w:val="0"/>
                      <w:marTop w:val="0"/>
                      <w:marBottom w:val="0"/>
                      <w:divBdr>
                        <w:top w:val="none" w:sz="0" w:space="0" w:color="auto"/>
                        <w:left w:val="none" w:sz="0" w:space="0" w:color="auto"/>
                        <w:bottom w:val="none" w:sz="0" w:space="0" w:color="auto"/>
                        <w:right w:val="none" w:sz="0" w:space="0" w:color="auto"/>
                      </w:divBdr>
                      <w:divsChild>
                        <w:div w:id="735006769">
                          <w:marLeft w:val="0"/>
                          <w:marRight w:val="0"/>
                          <w:marTop w:val="0"/>
                          <w:marBottom w:val="0"/>
                          <w:divBdr>
                            <w:top w:val="none" w:sz="0" w:space="0" w:color="auto"/>
                            <w:left w:val="none" w:sz="0" w:space="0" w:color="auto"/>
                            <w:bottom w:val="none" w:sz="0" w:space="0" w:color="auto"/>
                            <w:right w:val="none" w:sz="0" w:space="0" w:color="auto"/>
                          </w:divBdr>
                          <w:divsChild>
                            <w:div w:id="1491826010">
                              <w:marLeft w:val="0"/>
                              <w:marRight w:val="0"/>
                              <w:marTop w:val="0"/>
                              <w:marBottom w:val="0"/>
                              <w:divBdr>
                                <w:top w:val="none" w:sz="0" w:space="0" w:color="auto"/>
                                <w:left w:val="none" w:sz="0" w:space="0" w:color="auto"/>
                                <w:bottom w:val="none" w:sz="0" w:space="0" w:color="auto"/>
                                <w:right w:val="none" w:sz="0" w:space="0" w:color="auto"/>
                              </w:divBdr>
                              <w:divsChild>
                                <w:div w:id="1446272352">
                                  <w:marLeft w:val="0"/>
                                  <w:marRight w:val="0"/>
                                  <w:marTop w:val="0"/>
                                  <w:marBottom w:val="0"/>
                                  <w:divBdr>
                                    <w:top w:val="none" w:sz="0" w:space="0" w:color="auto"/>
                                    <w:left w:val="none" w:sz="0" w:space="0" w:color="auto"/>
                                    <w:bottom w:val="none" w:sz="0" w:space="0" w:color="auto"/>
                                    <w:right w:val="none" w:sz="0" w:space="0" w:color="auto"/>
                                  </w:divBdr>
                                  <w:divsChild>
                                    <w:div w:id="1990399330">
                                      <w:marLeft w:val="0"/>
                                      <w:marRight w:val="0"/>
                                      <w:marTop w:val="0"/>
                                      <w:marBottom w:val="0"/>
                                      <w:divBdr>
                                        <w:top w:val="none" w:sz="0" w:space="0" w:color="auto"/>
                                        <w:left w:val="none" w:sz="0" w:space="0" w:color="auto"/>
                                        <w:bottom w:val="none" w:sz="0" w:space="0" w:color="auto"/>
                                        <w:right w:val="none" w:sz="0" w:space="0" w:color="auto"/>
                                      </w:divBdr>
                                      <w:divsChild>
                                        <w:div w:id="1400901633">
                                          <w:marLeft w:val="0"/>
                                          <w:marRight w:val="0"/>
                                          <w:marTop w:val="0"/>
                                          <w:marBottom w:val="0"/>
                                          <w:divBdr>
                                            <w:top w:val="none" w:sz="0" w:space="0" w:color="auto"/>
                                            <w:left w:val="none" w:sz="0" w:space="0" w:color="auto"/>
                                            <w:bottom w:val="none" w:sz="0" w:space="0" w:color="auto"/>
                                            <w:right w:val="none" w:sz="0" w:space="0" w:color="auto"/>
                                          </w:divBdr>
                                          <w:divsChild>
                                            <w:div w:id="736828704">
                                              <w:marLeft w:val="0"/>
                                              <w:marRight w:val="0"/>
                                              <w:marTop w:val="0"/>
                                              <w:marBottom w:val="0"/>
                                              <w:divBdr>
                                                <w:top w:val="none" w:sz="0" w:space="0" w:color="auto"/>
                                                <w:left w:val="none" w:sz="0" w:space="0" w:color="auto"/>
                                                <w:bottom w:val="none" w:sz="0" w:space="0" w:color="auto"/>
                                                <w:right w:val="none" w:sz="0" w:space="0" w:color="auto"/>
                                              </w:divBdr>
                                              <w:divsChild>
                                                <w:div w:id="195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78713">
      <w:bodyDiv w:val="1"/>
      <w:marLeft w:val="0"/>
      <w:marRight w:val="0"/>
      <w:marTop w:val="0"/>
      <w:marBottom w:val="0"/>
      <w:divBdr>
        <w:top w:val="none" w:sz="0" w:space="0" w:color="auto"/>
        <w:left w:val="none" w:sz="0" w:space="0" w:color="auto"/>
        <w:bottom w:val="none" w:sz="0" w:space="0" w:color="auto"/>
        <w:right w:val="none" w:sz="0" w:space="0" w:color="auto"/>
      </w:divBdr>
    </w:div>
    <w:div w:id="481041497">
      <w:bodyDiv w:val="1"/>
      <w:marLeft w:val="0"/>
      <w:marRight w:val="0"/>
      <w:marTop w:val="0"/>
      <w:marBottom w:val="0"/>
      <w:divBdr>
        <w:top w:val="none" w:sz="0" w:space="0" w:color="auto"/>
        <w:left w:val="none" w:sz="0" w:space="0" w:color="auto"/>
        <w:bottom w:val="none" w:sz="0" w:space="0" w:color="auto"/>
        <w:right w:val="none" w:sz="0" w:space="0" w:color="auto"/>
      </w:divBdr>
    </w:div>
    <w:div w:id="493498848">
      <w:bodyDiv w:val="1"/>
      <w:marLeft w:val="0"/>
      <w:marRight w:val="0"/>
      <w:marTop w:val="0"/>
      <w:marBottom w:val="0"/>
      <w:divBdr>
        <w:top w:val="none" w:sz="0" w:space="0" w:color="auto"/>
        <w:left w:val="none" w:sz="0" w:space="0" w:color="auto"/>
        <w:bottom w:val="none" w:sz="0" w:space="0" w:color="auto"/>
        <w:right w:val="none" w:sz="0" w:space="0" w:color="auto"/>
      </w:divBdr>
      <w:divsChild>
        <w:div w:id="814033304">
          <w:marLeft w:val="0"/>
          <w:marRight w:val="0"/>
          <w:marTop w:val="0"/>
          <w:marBottom w:val="0"/>
          <w:divBdr>
            <w:top w:val="none" w:sz="0" w:space="0" w:color="auto"/>
            <w:left w:val="none" w:sz="0" w:space="0" w:color="auto"/>
            <w:bottom w:val="none" w:sz="0" w:space="0" w:color="auto"/>
            <w:right w:val="none" w:sz="0" w:space="0" w:color="auto"/>
          </w:divBdr>
        </w:div>
        <w:div w:id="2029061571">
          <w:marLeft w:val="0"/>
          <w:marRight w:val="0"/>
          <w:marTop w:val="0"/>
          <w:marBottom w:val="0"/>
          <w:divBdr>
            <w:top w:val="none" w:sz="0" w:space="0" w:color="auto"/>
            <w:left w:val="none" w:sz="0" w:space="0" w:color="auto"/>
            <w:bottom w:val="none" w:sz="0" w:space="0" w:color="auto"/>
            <w:right w:val="none" w:sz="0" w:space="0" w:color="auto"/>
          </w:divBdr>
          <w:divsChild>
            <w:div w:id="1690793339">
              <w:marLeft w:val="0"/>
              <w:marRight w:val="165"/>
              <w:marTop w:val="150"/>
              <w:marBottom w:val="0"/>
              <w:divBdr>
                <w:top w:val="none" w:sz="0" w:space="0" w:color="auto"/>
                <w:left w:val="none" w:sz="0" w:space="0" w:color="auto"/>
                <w:bottom w:val="none" w:sz="0" w:space="0" w:color="auto"/>
                <w:right w:val="none" w:sz="0" w:space="0" w:color="auto"/>
              </w:divBdr>
              <w:divsChild>
                <w:div w:id="968167758">
                  <w:marLeft w:val="0"/>
                  <w:marRight w:val="0"/>
                  <w:marTop w:val="0"/>
                  <w:marBottom w:val="0"/>
                  <w:divBdr>
                    <w:top w:val="none" w:sz="0" w:space="0" w:color="auto"/>
                    <w:left w:val="none" w:sz="0" w:space="0" w:color="auto"/>
                    <w:bottom w:val="none" w:sz="0" w:space="0" w:color="auto"/>
                    <w:right w:val="none" w:sz="0" w:space="0" w:color="auto"/>
                  </w:divBdr>
                  <w:divsChild>
                    <w:div w:id="9008250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82841">
      <w:bodyDiv w:val="1"/>
      <w:marLeft w:val="0"/>
      <w:marRight w:val="0"/>
      <w:marTop w:val="0"/>
      <w:marBottom w:val="0"/>
      <w:divBdr>
        <w:top w:val="none" w:sz="0" w:space="0" w:color="auto"/>
        <w:left w:val="none" w:sz="0" w:space="0" w:color="auto"/>
        <w:bottom w:val="none" w:sz="0" w:space="0" w:color="auto"/>
        <w:right w:val="none" w:sz="0" w:space="0" w:color="auto"/>
      </w:divBdr>
    </w:div>
    <w:div w:id="511147991">
      <w:bodyDiv w:val="1"/>
      <w:marLeft w:val="0"/>
      <w:marRight w:val="0"/>
      <w:marTop w:val="0"/>
      <w:marBottom w:val="0"/>
      <w:divBdr>
        <w:top w:val="none" w:sz="0" w:space="0" w:color="auto"/>
        <w:left w:val="none" w:sz="0" w:space="0" w:color="auto"/>
        <w:bottom w:val="none" w:sz="0" w:space="0" w:color="auto"/>
        <w:right w:val="none" w:sz="0" w:space="0" w:color="auto"/>
      </w:divBdr>
    </w:div>
    <w:div w:id="525555775">
      <w:bodyDiv w:val="1"/>
      <w:marLeft w:val="0"/>
      <w:marRight w:val="0"/>
      <w:marTop w:val="0"/>
      <w:marBottom w:val="0"/>
      <w:divBdr>
        <w:top w:val="none" w:sz="0" w:space="0" w:color="auto"/>
        <w:left w:val="none" w:sz="0" w:space="0" w:color="auto"/>
        <w:bottom w:val="none" w:sz="0" w:space="0" w:color="auto"/>
        <w:right w:val="none" w:sz="0" w:space="0" w:color="auto"/>
      </w:divBdr>
    </w:div>
    <w:div w:id="552885225">
      <w:bodyDiv w:val="1"/>
      <w:marLeft w:val="0"/>
      <w:marRight w:val="0"/>
      <w:marTop w:val="0"/>
      <w:marBottom w:val="0"/>
      <w:divBdr>
        <w:top w:val="none" w:sz="0" w:space="0" w:color="auto"/>
        <w:left w:val="none" w:sz="0" w:space="0" w:color="auto"/>
        <w:bottom w:val="none" w:sz="0" w:space="0" w:color="auto"/>
        <w:right w:val="none" w:sz="0" w:space="0" w:color="auto"/>
      </w:divBdr>
      <w:divsChild>
        <w:div w:id="205408335">
          <w:marLeft w:val="0"/>
          <w:marRight w:val="0"/>
          <w:marTop w:val="0"/>
          <w:marBottom w:val="0"/>
          <w:divBdr>
            <w:top w:val="none" w:sz="0" w:space="0" w:color="auto"/>
            <w:left w:val="none" w:sz="0" w:space="0" w:color="auto"/>
            <w:bottom w:val="none" w:sz="0" w:space="0" w:color="auto"/>
            <w:right w:val="none" w:sz="0" w:space="0" w:color="auto"/>
          </w:divBdr>
          <w:divsChild>
            <w:div w:id="1729526066">
              <w:marLeft w:val="0"/>
              <w:marRight w:val="0"/>
              <w:marTop w:val="0"/>
              <w:marBottom w:val="0"/>
              <w:divBdr>
                <w:top w:val="none" w:sz="0" w:space="0" w:color="auto"/>
                <w:left w:val="none" w:sz="0" w:space="0" w:color="auto"/>
                <w:bottom w:val="none" w:sz="0" w:space="0" w:color="auto"/>
                <w:right w:val="none" w:sz="0" w:space="0" w:color="auto"/>
              </w:divBdr>
              <w:divsChild>
                <w:div w:id="1254506453">
                  <w:marLeft w:val="0"/>
                  <w:marRight w:val="0"/>
                  <w:marTop w:val="0"/>
                  <w:marBottom w:val="0"/>
                  <w:divBdr>
                    <w:top w:val="none" w:sz="0" w:space="0" w:color="auto"/>
                    <w:left w:val="none" w:sz="0" w:space="0" w:color="auto"/>
                    <w:bottom w:val="none" w:sz="0" w:space="0" w:color="auto"/>
                    <w:right w:val="none" w:sz="0" w:space="0" w:color="auto"/>
                  </w:divBdr>
                  <w:divsChild>
                    <w:div w:id="347491569">
                      <w:marLeft w:val="0"/>
                      <w:marRight w:val="0"/>
                      <w:marTop w:val="0"/>
                      <w:marBottom w:val="0"/>
                      <w:divBdr>
                        <w:top w:val="none" w:sz="0" w:space="0" w:color="auto"/>
                        <w:left w:val="none" w:sz="0" w:space="0" w:color="auto"/>
                        <w:bottom w:val="none" w:sz="0" w:space="0" w:color="auto"/>
                        <w:right w:val="none" w:sz="0" w:space="0" w:color="auto"/>
                      </w:divBdr>
                      <w:divsChild>
                        <w:div w:id="551691187">
                          <w:marLeft w:val="0"/>
                          <w:marRight w:val="0"/>
                          <w:marTop w:val="0"/>
                          <w:marBottom w:val="0"/>
                          <w:divBdr>
                            <w:top w:val="none" w:sz="0" w:space="0" w:color="auto"/>
                            <w:left w:val="none" w:sz="0" w:space="0" w:color="auto"/>
                            <w:bottom w:val="none" w:sz="0" w:space="0" w:color="auto"/>
                            <w:right w:val="none" w:sz="0" w:space="0" w:color="auto"/>
                          </w:divBdr>
                          <w:divsChild>
                            <w:div w:id="1471630068">
                              <w:marLeft w:val="0"/>
                              <w:marRight w:val="0"/>
                              <w:marTop w:val="0"/>
                              <w:marBottom w:val="0"/>
                              <w:divBdr>
                                <w:top w:val="none" w:sz="0" w:space="0" w:color="auto"/>
                                <w:left w:val="none" w:sz="0" w:space="0" w:color="auto"/>
                                <w:bottom w:val="none" w:sz="0" w:space="0" w:color="auto"/>
                                <w:right w:val="none" w:sz="0" w:space="0" w:color="auto"/>
                              </w:divBdr>
                              <w:divsChild>
                                <w:div w:id="1330406052">
                                  <w:marLeft w:val="0"/>
                                  <w:marRight w:val="0"/>
                                  <w:marTop w:val="0"/>
                                  <w:marBottom w:val="0"/>
                                  <w:divBdr>
                                    <w:top w:val="none" w:sz="0" w:space="0" w:color="auto"/>
                                    <w:left w:val="none" w:sz="0" w:space="0" w:color="auto"/>
                                    <w:bottom w:val="none" w:sz="0" w:space="0" w:color="auto"/>
                                    <w:right w:val="none" w:sz="0" w:space="0" w:color="auto"/>
                                  </w:divBdr>
                                  <w:divsChild>
                                    <w:div w:id="957956299">
                                      <w:marLeft w:val="0"/>
                                      <w:marRight w:val="0"/>
                                      <w:marTop w:val="0"/>
                                      <w:marBottom w:val="0"/>
                                      <w:divBdr>
                                        <w:top w:val="none" w:sz="0" w:space="0" w:color="auto"/>
                                        <w:left w:val="none" w:sz="0" w:space="0" w:color="auto"/>
                                        <w:bottom w:val="none" w:sz="0" w:space="0" w:color="auto"/>
                                        <w:right w:val="none" w:sz="0" w:space="0" w:color="auto"/>
                                      </w:divBdr>
                                      <w:divsChild>
                                        <w:div w:id="1230849318">
                                          <w:marLeft w:val="0"/>
                                          <w:marRight w:val="0"/>
                                          <w:marTop w:val="0"/>
                                          <w:marBottom w:val="0"/>
                                          <w:divBdr>
                                            <w:top w:val="none" w:sz="0" w:space="0" w:color="auto"/>
                                            <w:left w:val="none" w:sz="0" w:space="0" w:color="auto"/>
                                            <w:bottom w:val="none" w:sz="0" w:space="0" w:color="auto"/>
                                            <w:right w:val="none" w:sz="0" w:space="0" w:color="auto"/>
                                          </w:divBdr>
                                          <w:divsChild>
                                            <w:div w:id="242835353">
                                              <w:marLeft w:val="0"/>
                                              <w:marRight w:val="0"/>
                                              <w:marTop w:val="0"/>
                                              <w:marBottom w:val="0"/>
                                              <w:divBdr>
                                                <w:top w:val="none" w:sz="0" w:space="0" w:color="auto"/>
                                                <w:left w:val="none" w:sz="0" w:space="0" w:color="auto"/>
                                                <w:bottom w:val="none" w:sz="0" w:space="0" w:color="auto"/>
                                                <w:right w:val="none" w:sz="0" w:space="0" w:color="auto"/>
                                              </w:divBdr>
                                              <w:divsChild>
                                                <w:div w:id="1818297254">
                                                  <w:marLeft w:val="0"/>
                                                  <w:marRight w:val="0"/>
                                                  <w:marTop w:val="0"/>
                                                  <w:marBottom w:val="0"/>
                                                  <w:divBdr>
                                                    <w:top w:val="none" w:sz="0" w:space="0" w:color="auto"/>
                                                    <w:left w:val="none" w:sz="0" w:space="0" w:color="auto"/>
                                                    <w:bottom w:val="none" w:sz="0" w:space="0" w:color="auto"/>
                                                    <w:right w:val="none" w:sz="0" w:space="0" w:color="auto"/>
                                                  </w:divBdr>
                                                  <w:divsChild>
                                                    <w:div w:id="108283583">
                                                      <w:marLeft w:val="0"/>
                                                      <w:marRight w:val="0"/>
                                                      <w:marTop w:val="0"/>
                                                      <w:marBottom w:val="0"/>
                                                      <w:divBdr>
                                                        <w:top w:val="none" w:sz="0" w:space="0" w:color="auto"/>
                                                        <w:left w:val="none" w:sz="0" w:space="0" w:color="auto"/>
                                                        <w:bottom w:val="none" w:sz="0" w:space="0" w:color="auto"/>
                                                        <w:right w:val="none" w:sz="0" w:space="0" w:color="auto"/>
                                                      </w:divBdr>
                                                    </w:div>
                                                    <w:div w:id="14986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5187">
                                              <w:marLeft w:val="0"/>
                                              <w:marRight w:val="0"/>
                                              <w:marTop w:val="0"/>
                                              <w:marBottom w:val="0"/>
                                              <w:divBdr>
                                                <w:top w:val="none" w:sz="0" w:space="0" w:color="auto"/>
                                                <w:left w:val="none" w:sz="0" w:space="0" w:color="auto"/>
                                                <w:bottom w:val="none" w:sz="0" w:space="0" w:color="auto"/>
                                                <w:right w:val="none" w:sz="0" w:space="0" w:color="auto"/>
                                              </w:divBdr>
                                              <w:divsChild>
                                                <w:div w:id="1784957733">
                                                  <w:marLeft w:val="0"/>
                                                  <w:marRight w:val="0"/>
                                                  <w:marTop w:val="0"/>
                                                  <w:marBottom w:val="0"/>
                                                  <w:divBdr>
                                                    <w:top w:val="none" w:sz="0" w:space="0" w:color="auto"/>
                                                    <w:left w:val="none" w:sz="0" w:space="0" w:color="auto"/>
                                                    <w:bottom w:val="none" w:sz="0" w:space="0" w:color="auto"/>
                                                    <w:right w:val="none" w:sz="0" w:space="0" w:color="auto"/>
                                                  </w:divBdr>
                                                  <w:divsChild>
                                                    <w:div w:id="834611092">
                                                      <w:marLeft w:val="0"/>
                                                      <w:marRight w:val="0"/>
                                                      <w:marTop w:val="0"/>
                                                      <w:marBottom w:val="0"/>
                                                      <w:divBdr>
                                                        <w:top w:val="none" w:sz="0" w:space="0" w:color="auto"/>
                                                        <w:left w:val="none" w:sz="0" w:space="0" w:color="auto"/>
                                                        <w:bottom w:val="none" w:sz="0" w:space="0" w:color="auto"/>
                                                        <w:right w:val="none" w:sz="0" w:space="0" w:color="auto"/>
                                                      </w:divBdr>
                                                    </w:div>
                                                    <w:div w:id="9668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09759">
                                          <w:marLeft w:val="0"/>
                                          <w:marRight w:val="0"/>
                                          <w:marTop w:val="0"/>
                                          <w:marBottom w:val="0"/>
                                          <w:divBdr>
                                            <w:top w:val="none" w:sz="0" w:space="0" w:color="auto"/>
                                            <w:left w:val="none" w:sz="0" w:space="0" w:color="auto"/>
                                            <w:bottom w:val="none" w:sz="0" w:space="0" w:color="auto"/>
                                            <w:right w:val="none" w:sz="0" w:space="0" w:color="auto"/>
                                          </w:divBdr>
                                        </w:div>
                                        <w:div w:id="2043088019">
                                          <w:marLeft w:val="0"/>
                                          <w:marRight w:val="0"/>
                                          <w:marTop w:val="0"/>
                                          <w:marBottom w:val="0"/>
                                          <w:divBdr>
                                            <w:top w:val="none" w:sz="0" w:space="0" w:color="auto"/>
                                            <w:left w:val="none" w:sz="0" w:space="0" w:color="auto"/>
                                            <w:bottom w:val="none" w:sz="0" w:space="0" w:color="auto"/>
                                            <w:right w:val="none" w:sz="0" w:space="0" w:color="auto"/>
                                          </w:divBdr>
                                          <w:divsChild>
                                            <w:div w:id="963391498">
                                              <w:marLeft w:val="0"/>
                                              <w:marRight w:val="0"/>
                                              <w:marTop w:val="0"/>
                                              <w:marBottom w:val="0"/>
                                              <w:divBdr>
                                                <w:top w:val="none" w:sz="0" w:space="0" w:color="auto"/>
                                                <w:left w:val="none" w:sz="0" w:space="0" w:color="auto"/>
                                                <w:bottom w:val="none" w:sz="0" w:space="0" w:color="auto"/>
                                                <w:right w:val="none" w:sz="0" w:space="0" w:color="auto"/>
                                              </w:divBdr>
                                              <w:divsChild>
                                                <w:div w:id="6916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506247">
      <w:bodyDiv w:val="1"/>
      <w:marLeft w:val="0"/>
      <w:marRight w:val="0"/>
      <w:marTop w:val="0"/>
      <w:marBottom w:val="0"/>
      <w:divBdr>
        <w:top w:val="none" w:sz="0" w:space="0" w:color="auto"/>
        <w:left w:val="none" w:sz="0" w:space="0" w:color="auto"/>
        <w:bottom w:val="none" w:sz="0" w:space="0" w:color="auto"/>
        <w:right w:val="none" w:sz="0" w:space="0" w:color="auto"/>
      </w:divBdr>
    </w:div>
    <w:div w:id="564490935">
      <w:bodyDiv w:val="1"/>
      <w:marLeft w:val="0"/>
      <w:marRight w:val="0"/>
      <w:marTop w:val="0"/>
      <w:marBottom w:val="0"/>
      <w:divBdr>
        <w:top w:val="none" w:sz="0" w:space="0" w:color="auto"/>
        <w:left w:val="none" w:sz="0" w:space="0" w:color="auto"/>
        <w:bottom w:val="none" w:sz="0" w:space="0" w:color="auto"/>
        <w:right w:val="none" w:sz="0" w:space="0" w:color="auto"/>
      </w:divBdr>
    </w:div>
    <w:div w:id="575482206">
      <w:bodyDiv w:val="1"/>
      <w:marLeft w:val="0"/>
      <w:marRight w:val="0"/>
      <w:marTop w:val="0"/>
      <w:marBottom w:val="0"/>
      <w:divBdr>
        <w:top w:val="none" w:sz="0" w:space="0" w:color="auto"/>
        <w:left w:val="none" w:sz="0" w:space="0" w:color="auto"/>
        <w:bottom w:val="none" w:sz="0" w:space="0" w:color="auto"/>
        <w:right w:val="none" w:sz="0" w:space="0" w:color="auto"/>
      </w:divBdr>
    </w:div>
    <w:div w:id="586966720">
      <w:bodyDiv w:val="1"/>
      <w:marLeft w:val="0"/>
      <w:marRight w:val="0"/>
      <w:marTop w:val="0"/>
      <w:marBottom w:val="0"/>
      <w:divBdr>
        <w:top w:val="none" w:sz="0" w:space="0" w:color="auto"/>
        <w:left w:val="none" w:sz="0" w:space="0" w:color="auto"/>
        <w:bottom w:val="none" w:sz="0" w:space="0" w:color="auto"/>
        <w:right w:val="none" w:sz="0" w:space="0" w:color="auto"/>
      </w:divBdr>
    </w:div>
    <w:div w:id="596792184">
      <w:bodyDiv w:val="1"/>
      <w:marLeft w:val="0"/>
      <w:marRight w:val="0"/>
      <w:marTop w:val="0"/>
      <w:marBottom w:val="0"/>
      <w:divBdr>
        <w:top w:val="none" w:sz="0" w:space="0" w:color="auto"/>
        <w:left w:val="none" w:sz="0" w:space="0" w:color="auto"/>
        <w:bottom w:val="none" w:sz="0" w:space="0" w:color="auto"/>
        <w:right w:val="none" w:sz="0" w:space="0" w:color="auto"/>
      </w:divBdr>
    </w:div>
    <w:div w:id="597720222">
      <w:bodyDiv w:val="1"/>
      <w:marLeft w:val="0"/>
      <w:marRight w:val="0"/>
      <w:marTop w:val="0"/>
      <w:marBottom w:val="0"/>
      <w:divBdr>
        <w:top w:val="none" w:sz="0" w:space="0" w:color="auto"/>
        <w:left w:val="none" w:sz="0" w:space="0" w:color="auto"/>
        <w:bottom w:val="none" w:sz="0" w:space="0" w:color="auto"/>
        <w:right w:val="none" w:sz="0" w:space="0" w:color="auto"/>
      </w:divBdr>
    </w:div>
    <w:div w:id="597753914">
      <w:bodyDiv w:val="1"/>
      <w:marLeft w:val="0"/>
      <w:marRight w:val="0"/>
      <w:marTop w:val="0"/>
      <w:marBottom w:val="0"/>
      <w:divBdr>
        <w:top w:val="none" w:sz="0" w:space="0" w:color="auto"/>
        <w:left w:val="none" w:sz="0" w:space="0" w:color="auto"/>
        <w:bottom w:val="none" w:sz="0" w:space="0" w:color="auto"/>
        <w:right w:val="none" w:sz="0" w:space="0" w:color="auto"/>
      </w:divBdr>
    </w:div>
    <w:div w:id="599029251">
      <w:bodyDiv w:val="1"/>
      <w:marLeft w:val="0"/>
      <w:marRight w:val="0"/>
      <w:marTop w:val="0"/>
      <w:marBottom w:val="0"/>
      <w:divBdr>
        <w:top w:val="none" w:sz="0" w:space="0" w:color="auto"/>
        <w:left w:val="none" w:sz="0" w:space="0" w:color="auto"/>
        <w:bottom w:val="none" w:sz="0" w:space="0" w:color="auto"/>
        <w:right w:val="none" w:sz="0" w:space="0" w:color="auto"/>
      </w:divBdr>
      <w:divsChild>
        <w:div w:id="1377200013">
          <w:marLeft w:val="0"/>
          <w:marRight w:val="0"/>
          <w:marTop w:val="0"/>
          <w:marBottom w:val="0"/>
          <w:divBdr>
            <w:top w:val="none" w:sz="0" w:space="0" w:color="auto"/>
            <w:left w:val="none" w:sz="0" w:space="0" w:color="auto"/>
            <w:bottom w:val="none" w:sz="0" w:space="0" w:color="auto"/>
            <w:right w:val="none" w:sz="0" w:space="0" w:color="auto"/>
          </w:divBdr>
          <w:divsChild>
            <w:div w:id="866017512">
              <w:marLeft w:val="0"/>
              <w:marRight w:val="0"/>
              <w:marTop w:val="0"/>
              <w:marBottom w:val="0"/>
              <w:divBdr>
                <w:top w:val="none" w:sz="0" w:space="0" w:color="auto"/>
                <w:left w:val="none" w:sz="0" w:space="0" w:color="auto"/>
                <w:bottom w:val="none" w:sz="0" w:space="0" w:color="auto"/>
                <w:right w:val="none" w:sz="0" w:space="0" w:color="auto"/>
              </w:divBdr>
              <w:divsChild>
                <w:div w:id="1813323272">
                  <w:marLeft w:val="0"/>
                  <w:marRight w:val="0"/>
                  <w:marTop w:val="0"/>
                  <w:marBottom w:val="0"/>
                  <w:divBdr>
                    <w:top w:val="none" w:sz="0" w:space="0" w:color="auto"/>
                    <w:left w:val="none" w:sz="0" w:space="0" w:color="auto"/>
                    <w:bottom w:val="none" w:sz="0" w:space="0" w:color="auto"/>
                    <w:right w:val="none" w:sz="0" w:space="0" w:color="auto"/>
                  </w:divBdr>
                  <w:divsChild>
                    <w:div w:id="537812781">
                      <w:marLeft w:val="0"/>
                      <w:marRight w:val="0"/>
                      <w:marTop w:val="0"/>
                      <w:marBottom w:val="0"/>
                      <w:divBdr>
                        <w:top w:val="none" w:sz="0" w:space="0" w:color="auto"/>
                        <w:left w:val="none" w:sz="0" w:space="0" w:color="auto"/>
                        <w:bottom w:val="none" w:sz="0" w:space="0" w:color="auto"/>
                        <w:right w:val="none" w:sz="0" w:space="0" w:color="auto"/>
                      </w:divBdr>
                      <w:divsChild>
                        <w:div w:id="2045597252">
                          <w:marLeft w:val="0"/>
                          <w:marRight w:val="0"/>
                          <w:marTop w:val="0"/>
                          <w:marBottom w:val="0"/>
                          <w:divBdr>
                            <w:top w:val="none" w:sz="0" w:space="0" w:color="auto"/>
                            <w:left w:val="none" w:sz="0" w:space="0" w:color="auto"/>
                            <w:bottom w:val="none" w:sz="0" w:space="0" w:color="auto"/>
                            <w:right w:val="none" w:sz="0" w:space="0" w:color="auto"/>
                          </w:divBdr>
                          <w:divsChild>
                            <w:div w:id="621885614">
                              <w:marLeft w:val="0"/>
                              <w:marRight w:val="0"/>
                              <w:marTop w:val="0"/>
                              <w:marBottom w:val="0"/>
                              <w:divBdr>
                                <w:top w:val="none" w:sz="0" w:space="0" w:color="auto"/>
                                <w:left w:val="none" w:sz="0" w:space="0" w:color="auto"/>
                                <w:bottom w:val="none" w:sz="0" w:space="0" w:color="auto"/>
                                <w:right w:val="none" w:sz="0" w:space="0" w:color="auto"/>
                              </w:divBdr>
                              <w:divsChild>
                                <w:div w:id="2098285764">
                                  <w:marLeft w:val="0"/>
                                  <w:marRight w:val="0"/>
                                  <w:marTop w:val="0"/>
                                  <w:marBottom w:val="0"/>
                                  <w:divBdr>
                                    <w:top w:val="none" w:sz="0" w:space="0" w:color="auto"/>
                                    <w:left w:val="none" w:sz="0" w:space="0" w:color="auto"/>
                                    <w:bottom w:val="none" w:sz="0" w:space="0" w:color="auto"/>
                                    <w:right w:val="none" w:sz="0" w:space="0" w:color="auto"/>
                                  </w:divBdr>
                                  <w:divsChild>
                                    <w:div w:id="509413670">
                                      <w:marLeft w:val="0"/>
                                      <w:marRight w:val="0"/>
                                      <w:marTop w:val="0"/>
                                      <w:marBottom w:val="0"/>
                                      <w:divBdr>
                                        <w:top w:val="none" w:sz="0" w:space="0" w:color="auto"/>
                                        <w:left w:val="none" w:sz="0" w:space="0" w:color="auto"/>
                                        <w:bottom w:val="none" w:sz="0" w:space="0" w:color="auto"/>
                                        <w:right w:val="none" w:sz="0" w:space="0" w:color="auto"/>
                                      </w:divBdr>
                                      <w:divsChild>
                                        <w:div w:id="1796026125">
                                          <w:marLeft w:val="0"/>
                                          <w:marRight w:val="0"/>
                                          <w:marTop w:val="0"/>
                                          <w:marBottom w:val="0"/>
                                          <w:divBdr>
                                            <w:top w:val="none" w:sz="0" w:space="0" w:color="auto"/>
                                            <w:left w:val="none" w:sz="0" w:space="0" w:color="auto"/>
                                            <w:bottom w:val="none" w:sz="0" w:space="0" w:color="auto"/>
                                            <w:right w:val="none" w:sz="0" w:space="0" w:color="auto"/>
                                          </w:divBdr>
                                          <w:divsChild>
                                            <w:div w:id="1335304587">
                                              <w:marLeft w:val="0"/>
                                              <w:marRight w:val="0"/>
                                              <w:marTop w:val="0"/>
                                              <w:marBottom w:val="0"/>
                                              <w:divBdr>
                                                <w:top w:val="none" w:sz="0" w:space="0" w:color="auto"/>
                                                <w:left w:val="none" w:sz="0" w:space="0" w:color="auto"/>
                                                <w:bottom w:val="none" w:sz="0" w:space="0" w:color="auto"/>
                                                <w:right w:val="none" w:sz="0" w:space="0" w:color="auto"/>
                                              </w:divBdr>
                                              <w:divsChild>
                                                <w:div w:id="10901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8858531">
      <w:bodyDiv w:val="1"/>
      <w:marLeft w:val="0"/>
      <w:marRight w:val="0"/>
      <w:marTop w:val="0"/>
      <w:marBottom w:val="0"/>
      <w:divBdr>
        <w:top w:val="none" w:sz="0" w:space="0" w:color="auto"/>
        <w:left w:val="none" w:sz="0" w:space="0" w:color="auto"/>
        <w:bottom w:val="none" w:sz="0" w:space="0" w:color="auto"/>
        <w:right w:val="none" w:sz="0" w:space="0" w:color="auto"/>
      </w:divBdr>
    </w:div>
    <w:div w:id="626424757">
      <w:bodyDiv w:val="1"/>
      <w:marLeft w:val="0"/>
      <w:marRight w:val="0"/>
      <w:marTop w:val="0"/>
      <w:marBottom w:val="0"/>
      <w:divBdr>
        <w:top w:val="none" w:sz="0" w:space="0" w:color="auto"/>
        <w:left w:val="none" w:sz="0" w:space="0" w:color="auto"/>
        <w:bottom w:val="none" w:sz="0" w:space="0" w:color="auto"/>
        <w:right w:val="none" w:sz="0" w:space="0" w:color="auto"/>
      </w:divBdr>
    </w:div>
    <w:div w:id="659425480">
      <w:bodyDiv w:val="1"/>
      <w:marLeft w:val="0"/>
      <w:marRight w:val="0"/>
      <w:marTop w:val="0"/>
      <w:marBottom w:val="0"/>
      <w:divBdr>
        <w:top w:val="none" w:sz="0" w:space="0" w:color="auto"/>
        <w:left w:val="none" w:sz="0" w:space="0" w:color="auto"/>
        <w:bottom w:val="none" w:sz="0" w:space="0" w:color="auto"/>
        <w:right w:val="none" w:sz="0" w:space="0" w:color="auto"/>
      </w:divBdr>
    </w:div>
    <w:div w:id="661465954">
      <w:bodyDiv w:val="1"/>
      <w:marLeft w:val="0"/>
      <w:marRight w:val="0"/>
      <w:marTop w:val="0"/>
      <w:marBottom w:val="0"/>
      <w:divBdr>
        <w:top w:val="none" w:sz="0" w:space="0" w:color="auto"/>
        <w:left w:val="none" w:sz="0" w:space="0" w:color="auto"/>
        <w:bottom w:val="none" w:sz="0" w:space="0" w:color="auto"/>
        <w:right w:val="none" w:sz="0" w:space="0" w:color="auto"/>
      </w:divBdr>
      <w:divsChild>
        <w:div w:id="749040552">
          <w:marLeft w:val="0"/>
          <w:marRight w:val="0"/>
          <w:marTop w:val="0"/>
          <w:marBottom w:val="0"/>
          <w:divBdr>
            <w:top w:val="none" w:sz="0" w:space="0" w:color="auto"/>
            <w:left w:val="none" w:sz="0" w:space="0" w:color="auto"/>
            <w:bottom w:val="none" w:sz="0" w:space="0" w:color="auto"/>
            <w:right w:val="none" w:sz="0" w:space="0" w:color="auto"/>
          </w:divBdr>
          <w:divsChild>
            <w:div w:id="292564306">
              <w:marLeft w:val="0"/>
              <w:marRight w:val="0"/>
              <w:marTop w:val="0"/>
              <w:marBottom w:val="0"/>
              <w:divBdr>
                <w:top w:val="none" w:sz="0" w:space="0" w:color="auto"/>
                <w:left w:val="none" w:sz="0" w:space="0" w:color="auto"/>
                <w:bottom w:val="none" w:sz="0" w:space="0" w:color="auto"/>
                <w:right w:val="none" w:sz="0" w:space="0" w:color="auto"/>
              </w:divBdr>
              <w:divsChild>
                <w:div w:id="956982006">
                  <w:marLeft w:val="0"/>
                  <w:marRight w:val="0"/>
                  <w:marTop w:val="0"/>
                  <w:marBottom w:val="0"/>
                  <w:divBdr>
                    <w:top w:val="none" w:sz="0" w:space="0" w:color="auto"/>
                    <w:left w:val="none" w:sz="0" w:space="0" w:color="auto"/>
                    <w:bottom w:val="none" w:sz="0" w:space="0" w:color="auto"/>
                    <w:right w:val="none" w:sz="0" w:space="0" w:color="auto"/>
                  </w:divBdr>
                  <w:divsChild>
                    <w:div w:id="1510102057">
                      <w:marLeft w:val="0"/>
                      <w:marRight w:val="0"/>
                      <w:marTop w:val="0"/>
                      <w:marBottom w:val="0"/>
                      <w:divBdr>
                        <w:top w:val="none" w:sz="0" w:space="0" w:color="auto"/>
                        <w:left w:val="none" w:sz="0" w:space="0" w:color="auto"/>
                        <w:bottom w:val="none" w:sz="0" w:space="0" w:color="auto"/>
                        <w:right w:val="none" w:sz="0" w:space="0" w:color="auto"/>
                      </w:divBdr>
                      <w:divsChild>
                        <w:div w:id="221143353">
                          <w:marLeft w:val="0"/>
                          <w:marRight w:val="0"/>
                          <w:marTop w:val="0"/>
                          <w:marBottom w:val="0"/>
                          <w:divBdr>
                            <w:top w:val="none" w:sz="0" w:space="0" w:color="auto"/>
                            <w:left w:val="none" w:sz="0" w:space="0" w:color="auto"/>
                            <w:bottom w:val="none" w:sz="0" w:space="0" w:color="auto"/>
                            <w:right w:val="none" w:sz="0" w:space="0" w:color="auto"/>
                          </w:divBdr>
                          <w:divsChild>
                            <w:div w:id="929433707">
                              <w:marLeft w:val="0"/>
                              <w:marRight w:val="0"/>
                              <w:marTop w:val="0"/>
                              <w:marBottom w:val="0"/>
                              <w:divBdr>
                                <w:top w:val="none" w:sz="0" w:space="0" w:color="auto"/>
                                <w:left w:val="none" w:sz="0" w:space="0" w:color="auto"/>
                                <w:bottom w:val="none" w:sz="0" w:space="0" w:color="auto"/>
                                <w:right w:val="none" w:sz="0" w:space="0" w:color="auto"/>
                              </w:divBdr>
                              <w:divsChild>
                                <w:div w:id="1636568480">
                                  <w:marLeft w:val="0"/>
                                  <w:marRight w:val="0"/>
                                  <w:marTop w:val="0"/>
                                  <w:marBottom w:val="0"/>
                                  <w:divBdr>
                                    <w:top w:val="none" w:sz="0" w:space="0" w:color="auto"/>
                                    <w:left w:val="none" w:sz="0" w:space="0" w:color="auto"/>
                                    <w:bottom w:val="none" w:sz="0" w:space="0" w:color="auto"/>
                                    <w:right w:val="none" w:sz="0" w:space="0" w:color="auto"/>
                                  </w:divBdr>
                                  <w:divsChild>
                                    <w:div w:id="1352336874">
                                      <w:marLeft w:val="0"/>
                                      <w:marRight w:val="0"/>
                                      <w:marTop w:val="0"/>
                                      <w:marBottom w:val="0"/>
                                      <w:divBdr>
                                        <w:top w:val="none" w:sz="0" w:space="0" w:color="auto"/>
                                        <w:left w:val="none" w:sz="0" w:space="0" w:color="auto"/>
                                        <w:bottom w:val="none" w:sz="0" w:space="0" w:color="auto"/>
                                        <w:right w:val="none" w:sz="0" w:space="0" w:color="auto"/>
                                      </w:divBdr>
                                      <w:divsChild>
                                        <w:div w:id="1816608234">
                                          <w:marLeft w:val="0"/>
                                          <w:marRight w:val="0"/>
                                          <w:marTop w:val="0"/>
                                          <w:marBottom w:val="0"/>
                                          <w:divBdr>
                                            <w:top w:val="none" w:sz="0" w:space="0" w:color="auto"/>
                                            <w:left w:val="none" w:sz="0" w:space="0" w:color="auto"/>
                                            <w:bottom w:val="none" w:sz="0" w:space="0" w:color="auto"/>
                                            <w:right w:val="none" w:sz="0" w:space="0" w:color="auto"/>
                                          </w:divBdr>
                                          <w:divsChild>
                                            <w:div w:id="1188643741">
                                              <w:marLeft w:val="0"/>
                                              <w:marRight w:val="0"/>
                                              <w:marTop w:val="0"/>
                                              <w:marBottom w:val="0"/>
                                              <w:divBdr>
                                                <w:top w:val="none" w:sz="0" w:space="0" w:color="auto"/>
                                                <w:left w:val="none" w:sz="0" w:space="0" w:color="auto"/>
                                                <w:bottom w:val="none" w:sz="0" w:space="0" w:color="auto"/>
                                                <w:right w:val="none" w:sz="0" w:space="0" w:color="auto"/>
                                              </w:divBdr>
                                              <w:divsChild>
                                                <w:div w:id="149442410">
                                                  <w:marLeft w:val="0"/>
                                                  <w:marRight w:val="0"/>
                                                  <w:marTop w:val="0"/>
                                                  <w:marBottom w:val="0"/>
                                                  <w:divBdr>
                                                    <w:top w:val="none" w:sz="0" w:space="0" w:color="auto"/>
                                                    <w:left w:val="none" w:sz="0" w:space="0" w:color="auto"/>
                                                    <w:bottom w:val="none" w:sz="0" w:space="0" w:color="auto"/>
                                                    <w:right w:val="none" w:sz="0" w:space="0" w:color="auto"/>
                                                  </w:divBdr>
                                                  <w:divsChild>
                                                    <w:div w:id="1654798377">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665135969">
      <w:bodyDiv w:val="1"/>
      <w:marLeft w:val="0"/>
      <w:marRight w:val="0"/>
      <w:marTop w:val="0"/>
      <w:marBottom w:val="0"/>
      <w:divBdr>
        <w:top w:val="none" w:sz="0" w:space="0" w:color="auto"/>
        <w:left w:val="none" w:sz="0" w:space="0" w:color="auto"/>
        <w:bottom w:val="none" w:sz="0" w:space="0" w:color="auto"/>
        <w:right w:val="none" w:sz="0" w:space="0" w:color="auto"/>
      </w:divBdr>
    </w:div>
    <w:div w:id="706562517">
      <w:bodyDiv w:val="1"/>
      <w:marLeft w:val="0"/>
      <w:marRight w:val="0"/>
      <w:marTop w:val="0"/>
      <w:marBottom w:val="0"/>
      <w:divBdr>
        <w:top w:val="none" w:sz="0" w:space="0" w:color="auto"/>
        <w:left w:val="none" w:sz="0" w:space="0" w:color="auto"/>
        <w:bottom w:val="none" w:sz="0" w:space="0" w:color="auto"/>
        <w:right w:val="none" w:sz="0" w:space="0" w:color="auto"/>
      </w:divBdr>
    </w:div>
    <w:div w:id="707876536">
      <w:bodyDiv w:val="1"/>
      <w:marLeft w:val="0"/>
      <w:marRight w:val="0"/>
      <w:marTop w:val="0"/>
      <w:marBottom w:val="0"/>
      <w:divBdr>
        <w:top w:val="none" w:sz="0" w:space="0" w:color="auto"/>
        <w:left w:val="none" w:sz="0" w:space="0" w:color="auto"/>
        <w:bottom w:val="none" w:sz="0" w:space="0" w:color="auto"/>
        <w:right w:val="none" w:sz="0" w:space="0" w:color="auto"/>
      </w:divBdr>
    </w:div>
    <w:div w:id="733430007">
      <w:bodyDiv w:val="1"/>
      <w:marLeft w:val="0"/>
      <w:marRight w:val="0"/>
      <w:marTop w:val="0"/>
      <w:marBottom w:val="0"/>
      <w:divBdr>
        <w:top w:val="none" w:sz="0" w:space="0" w:color="auto"/>
        <w:left w:val="none" w:sz="0" w:space="0" w:color="auto"/>
        <w:bottom w:val="none" w:sz="0" w:space="0" w:color="auto"/>
        <w:right w:val="none" w:sz="0" w:space="0" w:color="auto"/>
      </w:divBdr>
    </w:div>
    <w:div w:id="734545849">
      <w:bodyDiv w:val="1"/>
      <w:marLeft w:val="0"/>
      <w:marRight w:val="0"/>
      <w:marTop w:val="0"/>
      <w:marBottom w:val="0"/>
      <w:divBdr>
        <w:top w:val="none" w:sz="0" w:space="0" w:color="auto"/>
        <w:left w:val="none" w:sz="0" w:space="0" w:color="auto"/>
        <w:bottom w:val="none" w:sz="0" w:space="0" w:color="auto"/>
        <w:right w:val="none" w:sz="0" w:space="0" w:color="auto"/>
      </w:divBdr>
    </w:div>
    <w:div w:id="741558921">
      <w:bodyDiv w:val="1"/>
      <w:marLeft w:val="0"/>
      <w:marRight w:val="0"/>
      <w:marTop w:val="0"/>
      <w:marBottom w:val="0"/>
      <w:divBdr>
        <w:top w:val="none" w:sz="0" w:space="0" w:color="auto"/>
        <w:left w:val="none" w:sz="0" w:space="0" w:color="auto"/>
        <w:bottom w:val="none" w:sz="0" w:space="0" w:color="auto"/>
        <w:right w:val="none" w:sz="0" w:space="0" w:color="auto"/>
      </w:divBdr>
    </w:div>
    <w:div w:id="761412904">
      <w:bodyDiv w:val="1"/>
      <w:marLeft w:val="0"/>
      <w:marRight w:val="0"/>
      <w:marTop w:val="0"/>
      <w:marBottom w:val="0"/>
      <w:divBdr>
        <w:top w:val="none" w:sz="0" w:space="0" w:color="auto"/>
        <w:left w:val="none" w:sz="0" w:space="0" w:color="auto"/>
        <w:bottom w:val="none" w:sz="0" w:space="0" w:color="auto"/>
        <w:right w:val="none" w:sz="0" w:space="0" w:color="auto"/>
      </w:divBdr>
    </w:div>
    <w:div w:id="768350909">
      <w:bodyDiv w:val="1"/>
      <w:marLeft w:val="0"/>
      <w:marRight w:val="0"/>
      <w:marTop w:val="0"/>
      <w:marBottom w:val="0"/>
      <w:divBdr>
        <w:top w:val="none" w:sz="0" w:space="0" w:color="auto"/>
        <w:left w:val="none" w:sz="0" w:space="0" w:color="auto"/>
        <w:bottom w:val="none" w:sz="0" w:space="0" w:color="auto"/>
        <w:right w:val="none" w:sz="0" w:space="0" w:color="auto"/>
      </w:divBdr>
    </w:div>
    <w:div w:id="772096573">
      <w:bodyDiv w:val="1"/>
      <w:marLeft w:val="0"/>
      <w:marRight w:val="0"/>
      <w:marTop w:val="0"/>
      <w:marBottom w:val="0"/>
      <w:divBdr>
        <w:top w:val="none" w:sz="0" w:space="0" w:color="auto"/>
        <w:left w:val="none" w:sz="0" w:space="0" w:color="auto"/>
        <w:bottom w:val="none" w:sz="0" w:space="0" w:color="auto"/>
        <w:right w:val="none" w:sz="0" w:space="0" w:color="auto"/>
      </w:divBdr>
    </w:div>
    <w:div w:id="792751918">
      <w:bodyDiv w:val="1"/>
      <w:marLeft w:val="0"/>
      <w:marRight w:val="0"/>
      <w:marTop w:val="0"/>
      <w:marBottom w:val="0"/>
      <w:divBdr>
        <w:top w:val="none" w:sz="0" w:space="0" w:color="auto"/>
        <w:left w:val="none" w:sz="0" w:space="0" w:color="auto"/>
        <w:bottom w:val="none" w:sz="0" w:space="0" w:color="auto"/>
        <w:right w:val="none" w:sz="0" w:space="0" w:color="auto"/>
      </w:divBdr>
    </w:div>
    <w:div w:id="814764283">
      <w:bodyDiv w:val="1"/>
      <w:marLeft w:val="0"/>
      <w:marRight w:val="0"/>
      <w:marTop w:val="0"/>
      <w:marBottom w:val="0"/>
      <w:divBdr>
        <w:top w:val="none" w:sz="0" w:space="0" w:color="auto"/>
        <w:left w:val="none" w:sz="0" w:space="0" w:color="auto"/>
        <w:bottom w:val="none" w:sz="0" w:space="0" w:color="auto"/>
        <w:right w:val="none" w:sz="0" w:space="0" w:color="auto"/>
      </w:divBdr>
    </w:div>
    <w:div w:id="816410809">
      <w:bodyDiv w:val="1"/>
      <w:marLeft w:val="0"/>
      <w:marRight w:val="0"/>
      <w:marTop w:val="0"/>
      <w:marBottom w:val="0"/>
      <w:divBdr>
        <w:top w:val="none" w:sz="0" w:space="0" w:color="auto"/>
        <w:left w:val="none" w:sz="0" w:space="0" w:color="auto"/>
        <w:bottom w:val="none" w:sz="0" w:space="0" w:color="auto"/>
        <w:right w:val="none" w:sz="0" w:space="0" w:color="auto"/>
      </w:divBdr>
    </w:div>
    <w:div w:id="829566020">
      <w:bodyDiv w:val="1"/>
      <w:marLeft w:val="0"/>
      <w:marRight w:val="0"/>
      <w:marTop w:val="0"/>
      <w:marBottom w:val="0"/>
      <w:divBdr>
        <w:top w:val="none" w:sz="0" w:space="0" w:color="auto"/>
        <w:left w:val="none" w:sz="0" w:space="0" w:color="auto"/>
        <w:bottom w:val="none" w:sz="0" w:space="0" w:color="auto"/>
        <w:right w:val="none" w:sz="0" w:space="0" w:color="auto"/>
      </w:divBdr>
    </w:div>
    <w:div w:id="833301061">
      <w:bodyDiv w:val="1"/>
      <w:marLeft w:val="0"/>
      <w:marRight w:val="0"/>
      <w:marTop w:val="0"/>
      <w:marBottom w:val="0"/>
      <w:divBdr>
        <w:top w:val="none" w:sz="0" w:space="0" w:color="auto"/>
        <w:left w:val="none" w:sz="0" w:space="0" w:color="auto"/>
        <w:bottom w:val="none" w:sz="0" w:space="0" w:color="auto"/>
        <w:right w:val="none" w:sz="0" w:space="0" w:color="auto"/>
      </w:divBdr>
    </w:div>
    <w:div w:id="844977523">
      <w:bodyDiv w:val="1"/>
      <w:marLeft w:val="0"/>
      <w:marRight w:val="0"/>
      <w:marTop w:val="0"/>
      <w:marBottom w:val="0"/>
      <w:divBdr>
        <w:top w:val="none" w:sz="0" w:space="0" w:color="auto"/>
        <w:left w:val="none" w:sz="0" w:space="0" w:color="auto"/>
        <w:bottom w:val="none" w:sz="0" w:space="0" w:color="auto"/>
        <w:right w:val="none" w:sz="0" w:space="0" w:color="auto"/>
      </w:divBdr>
      <w:divsChild>
        <w:div w:id="886725089">
          <w:marLeft w:val="0"/>
          <w:marRight w:val="0"/>
          <w:marTop w:val="0"/>
          <w:marBottom w:val="0"/>
          <w:divBdr>
            <w:top w:val="none" w:sz="0" w:space="0" w:color="auto"/>
            <w:left w:val="none" w:sz="0" w:space="0" w:color="auto"/>
            <w:bottom w:val="none" w:sz="0" w:space="0" w:color="auto"/>
            <w:right w:val="none" w:sz="0" w:space="0" w:color="auto"/>
          </w:divBdr>
          <w:divsChild>
            <w:div w:id="549150955">
              <w:marLeft w:val="0"/>
              <w:marRight w:val="0"/>
              <w:marTop w:val="0"/>
              <w:marBottom w:val="0"/>
              <w:divBdr>
                <w:top w:val="none" w:sz="0" w:space="0" w:color="auto"/>
                <w:left w:val="none" w:sz="0" w:space="0" w:color="auto"/>
                <w:bottom w:val="none" w:sz="0" w:space="0" w:color="auto"/>
                <w:right w:val="none" w:sz="0" w:space="0" w:color="auto"/>
              </w:divBdr>
              <w:divsChild>
                <w:div w:id="1383366372">
                  <w:marLeft w:val="0"/>
                  <w:marRight w:val="0"/>
                  <w:marTop w:val="0"/>
                  <w:marBottom w:val="0"/>
                  <w:divBdr>
                    <w:top w:val="none" w:sz="0" w:space="0" w:color="auto"/>
                    <w:left w:val="none" w:sz="0" w:space="0" w:color="auto"/>
                    <w:bottom w:val="none" w:sz="0" w:space="0" w:color="auto"/>
                    <w:right w:val="none" w:sz="0" w:space="0" w:color="auto"/>
                  </w:divBdr>
                  <w:divsChild>
                    <w:div w:id="1968313114">
                      <w:marLeft w:val="0"/>
                      <w:marRight w:val="0"/>
                      <w:marTop w:val="0"/>
                      <w:marBottom w:val="0"/>
                      <w:divBdr>
                        <w:top w:val="none" w:sz="0" w:space="0" w:color="auto"/>
                        <w:left w:val="none" w:sz="0" w:space="0" w:color="auto"/>
                        <w:bottom w:val="none" w:sz="0" w:space="0" w:color="auto"/>
                        <w:right w:val="none" w:sz="0" w:space="0" w:color="auto"/>
                      </w:divBdr>
                      <w:divsChild>
                        <w:div w:id="582184361">
                          <w:marLeft w:val="0"/>
                          <w:marRight w:val="0"/>
                          <w:marTop w:val="0"/>
                          <w:marBottom w:val="0"/>
                          <w:divBdr>
                            <w:top w:val="none" w:sz="0" w:space="0" w:color="auto"/>
                            <w:left w:val="none" w:sz="0" w:space="0" w:color="auto"/>
                            <w:bottom w:val="none" w:sz="0" w:space="0" w:color="auto"/>
                            <w:right w:val="none" w:sz="0" w:space="0" w:color="auto"/>
                          </w:divBdr>
                          <w:divsChild>
                            <w:div w:id="2001350356">
                              <w:marLeft w:val="0"/>
                              <w:marRight w:val="0"/>
                              <w:marTop w:val="0"/>
                              <w:marBottom w:val="0"/>
                              <w:divBdr>
                                <w:top w:val="none" w:sz="0" w:space="0" w:color="auto"/>
                                <w:left w:val="none" w:sz="0" w:space="0" w:color="auto"/>
                                <w:bottom w:val="none" w:sz="0" w:space="0" w:color="auto"/>
                                <w:right w:val="none" w:sz="0" w:space="0" w:color="auto"/>
                              </w:divBdr>
                              <w:divsChild>
                                <w:div w:id="1457989601">
                                  <w:marLeft w:val="0"/>
                                  <w:marRight w:val="0"/>
                                  <w:marTop w:val="0"/>
                                  <w:marBottom w:val="0"/>
                                  <w:divBdr>
                                    <w:top w:val="none" w:sz="0" w:space="0" w:color="auto"/>
                                    <w:left w:val="none" w:sz="0" w:space="0" w:color="auto"/>
                                    <w:bottom w:val="none" w:sz="0" w:space="0" w:color="auto"/>
                                    <w:right w:val="none" w:sz="0" w:space="0" w:color="auto"/>
                                  </w:divBdr>
                                  <w:divsChild>
                                    <w:div w:id="288980416">
                                      <w:marLeft w:val="0"/>
                                      <w:marRight w:val="0"/>
                                      <w:marTop w:val="0"/>
                                      <w:marBottom w:val="0"/>
                                      <w:divBdr>
                                        <w:top w:val="none" w:sz="0" w:space="0" w:color="auto"/>
                                        <w:left w:val="none" w:sz="0" w:space="0" w:color="auto"/>
                                        <w:bottom w:val="none" w:sz="0" w:space="0" w:color="auto"/>
                                        <w:right w:val="none" w:sz="0" w:space="0" w:color="auto"/>
                                      </w:divBdr>
                                      <w:divsChild>
                                        <w:div w:id="10560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30119">
                          <w:marLeft w:val="0"/>
                          <w:marRight w:val="0"/>
                          <w:marTop w:val="0"/>
                          <w:marBottom w:val="0"/>
                          <w:divBdr>
                            <w:top w:val="none" w:sz="0" w:space="0" w:color="auto"/>
                            <w:left w:val="none" w:sz="0" w:space="0" w:color="auto"/>
                            <w:bottom w:val="none" w:sz="0" w:space="0" w:color="auto"/>
                            <w:right w:val="none" w:sz="0" w:space="0" w:color="auto"/>
                          </w:divBdr>
                          <w:divsChild>
                            <w:div w:id="91702966">
                              <w:marLeft w:val="0"/>
                              <w:marRight w:val="0"/>
                              <w:marTop w:val="0"/>
                              <w:marBottom w:val="0"/>
                              <w:divBdr>
                                <w:top w:val="none" w:sz="0" w:space="0" w:color="auto"/>
                                <w:left w:val="none" w:sz="0" w:space="0" w:color="auto"/>
                                <w:bottom w:val="none" w:sz="0" w:space="0" w:color="auto"/>
                                <w:right w:val="none" w:sz="0" w:space="0" w:color="auto"/>
                              </w:divBdr>
                              <w:divsChild>
                                <w:div w:id="608895410">
                                  <w:marLeft w:val="0"/>
                                  <w:marRight w:val="0"/>
                                  <w:marTop w:val="0"/>
                                  <w:marBottom w:val="0"/>
                                  <w:divBdr>
                                    <w:top w:val="none" w:sz="0" w:space="0" w:color="auto"/>
                                    <w:left w:val="none" w:sz="0" w:space="0" w:color="auto"/>
                                    <w:bottom w:val="none" w:sz="0" w:space="0" w:color="auto"/>
                                    <w:right w:val="none" w:sz="0" w:space="0" w:color="auto"/>
                                  </w:divBdr>
                                  <w:divsChild>
                                    <w:div w:id="1992169271">
                                      <w:marLeft w:val="0"/>
                                      <w:marRight w:val="0"/>
                                      <w:marTop w:val="0"/>
                                      <w:marBottom w:val="0"/>
                                      <w:divBdr>
                                        <w:top w:val="none" w:sz="0" w:space="0" w:color="auto"/>
                                        <w:left w:val="none" w:sz="0" w:space="0" w:color="auto"/>
                                        <w:bottom w:val="none" w:sz="0" w:space="0" w:color="auto"/>
                                        <w:right w:val="none" w:sz="0" w:space="0" w:color="auto"/>
                                      </w:divBdr>
                                      <w:divsChild>
                                        <w:div w:id="45880172">
                                          <w:marLeft w:val="0"/>
                                          <w:marRight w:val="0"/>
                                          <w:marTop w:val="0"/>
                                          <w:marBottom w:val="0"/>
                                          <w:divBdr>
                                            <w:top w:val="none" w:sz="0" w:space="0" w:color="auto"/>
                                            <w:left w:val="none" w:sz="0" w:space="0" w:color="auto"/>
                                            <w:bottom w:val="none" w:sz="0" w:space="0" w:color="auto"/>
                                            <w:right w:val="none" w:sz="0" w:space="0" w:color="auto"/>
                                          </w:divBdr>
                                          <w:divsChild>
                                            <w:div w:id="128059176">
                                              <w:marLeft w:val="0"/>
                                              <w:marRight w:val="0"/>
                                              <w:marTop w:val="0"/>
                                              <w:marBottom w:val="0"/>
                                              <w:divBdr>
                                                <w:top w:val="none" w:sz="0" w:space="0" w:color="auto"/>
                                                <w:left w:val="none" w:sz="0" w:space="0" w:color="auto"/>
                                                <w:bottom w:val="none" w:sz="0" w:space="0" w:color="auto"/>
                                                <w:right w:val="none" w:sz="0" w:space="0" w:color="auto"/>
                                              </w:divBdr>
                                              <w:divsChild>
                                                <w:div w:id="427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4418">
                                          <w:marLeft w:val="0"/>
                                          <w:marRight w:val="0"/>
                                          <w:marTop w:val="0"/>
                                          <w:marBottom w:val="0"/>
                                          <w:divBdr>
                                            <w:top w:val="none" w:sz="0" w:space="0" w:color="auto"/>
                                            <w:left w:val="none" w:sz="0" w:space="0" w:color="auto"/>
                                            <w:bottom w:val="none" w:sz="0" w:space="0" w:color="auto"/>
                                            <w:right w:val="none" w:sz="0" w:space="0" w:color="auto"/>
                                          </w:divBdr>
                                          <w:divsChild>
                                            <w:div w:id="684404083">
                                              <w:marLeft w:val="0"/>
                                              <w:marRight w:val="0"/>
                                              <w:marTop w:val="0"/>
                                              <w:marBottom w:val="0"/>
                                              <w:divBdr>
                                                <w:top w:val="none" w:sz="0" w:space="0" w:color="auto"/>
                                                <w:left w:val="none" w:sz="0" w:space="0" w:color="auto"/>
                                                <w:bottom w:val="none" w:sz="0" w:space="0" w:color="auto"/>
                                                <w:right w:val="none" w:sz="0" w:space="0" w:color="auto"/>
                                              </w:divBdr>
                                              <w:divsChild>
                                                <w:div w:id="2268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768150">
      <w:bodyDiv w:val="1"/>
      <w:marLeft w:val="0"/>
      <w:marRight w:val="0"/>
      <w:marTop w:val="0"/>
      <w:marBottom w:val="0"/>
      <w:divBdr>
        <w:top w:val="none" w:sz="0" w:space="0" w:color="auto"/>
        <w:left w:val="none" w:sz="0" w:space="0" w:color="auto"/>
        <w:bottom w:val="none" w:sz="0" w:space="0" w:color="auto"/>
        <w:right w:val="none" w:sz="0" w:space="0" w:color="auto"/>
      </w:divBdr>
      <w:divsChild>
        <w:div w:id="1743679711">
          <w:marLeft w:val="0"/>
          <w:marRight w:val="0"/>
          <w:marTop w:val="0"/>
          <w:marBottom w:val="0"/>
          <w:divBdr>
            <w:top w:val="none" w:sz="0" w:space="0" w:color="auto"/>
            <w:left w:val="none" w:sz="0" w:space="0" w:color="auto"/>
            <w:bottom w:val="none" w:sz="0" w:space="0" w:color="auto"/>
            <w:right w:val="none" w:sz="0" w:space="0" w:color="auto"/>
          </w:divBdr>
          <w:divsChild>
            <w:div w:id="470947934">
              <w:marLeft w:val="0"/>
              <w:marRight w:val="0"/>
              <w:marTop w:val="0"/>
              <w:marBottom w:val="0"/>
              <w:divBdr>
                <w:top w:val="none" w:sz="0" w:space="0" w:color="auto"/>
                <w:left w:val="none" w:sz="0" w:space="0" w:color="auto"/>
                <w:bottom w:val="none" w:sz="0" w:space="0" w:color="auto"/>
                <w:right w:val="none" w:sz="0" w:space="0" w:color="auto"/>
              </w:divBdr>
              <w:divsChild>
                <w:div w:id="637225526">
                  <w:marLeft w:val="0"/>
                  <w:marRight w:val="0"/>
                  <w:marTop w:val="0"/>
                  <w:marBottom w:val="0"/>
                  <w:divBdr>
                    <w:top w:val="none" w:sz="0" w:space="0" w:color="auto"/>
                    <w:left w:val="none" w:sz="0" w:space="0" w:color="auto"/>
                    <w:bottom w:val="none" w:sz="0" w:space="0" w:color="auto"/>
                    <w:right w:val="none" w:sz="0" w:space="0" w:color="auto"/>
                  </w:divBdr>
                  <w:divsChild>
                    <w:div w:id="346834746">
                      <w:marLeft w:val="0"/>
                      <w:marRight w:val="0"/>
                      <w:marTop w:val="0"/>
                      <w:marBottom w:val="0"/>
                      <w:divBdr>
                        <w:top w:val="none" w:sz="0" w:space="0" w:color="auto"/>
                        <w:left w:val="none" w:sz="0" w:space="0" w:color="auto"/>
                        <w:bottom w:val="none" w:sz="0" w:space="0" w:color="auto"/>
                        <w:right w:val="none" w:sz="0" w:space="0" w:color="auto"/>
                      </w:divBdr>
                      <w:divsChild>
                        <w:div w:id="694623431">
                          <w:marLeft w:val="0"/>
                          <w:marRight w:val="0"/>
                          <w:marTop w:val="0"/>
                          <w:marBottom w:val="0"/>
                          <w:divBdr>
                            <w:top w:val="none" w:sz="0" w:space="0" w:color="auto"/>
                            <w:left w:val="none" w:sz="0" w:space="0" w:color="auto"/>
                            <w:bottom w:val="none" w:sz="0" w:space="0" w:color="auto"/>
                            <w:right w:val="none" w:sz="0" w:space="0" w:color="auto"/>
                          </w:divBdr>
                          <w:divsChild>
                            <w:div w:id="261568984">
                              <w:marLeft w:val="0"/>
                              <w:marRight w:val="0"/>
                              <w:marTop w:val="0"/>
                              <w:marBottom w:val="0"/>
                              <w:divBdr>
                                <w:top w:val="none" w:sz="0" w:space="0" w:color="auto"/>
                                <w:left w:val="none" w:sz="0" w:space="0" w:color="auto"/>
                                <w:bottom w:val="none" w:sz="0" w:space="0" w:color="auto"/>
                                <w:right w:val="none" w:sz="0" w:space="0" w:color="auto"/>
                              </w:divBdr>
                              <w:divsChild>
                                <w:div w:id="482090083">
                                  <w:marLeft w:val="0"/>
                                  <w:marRight w:val="0"/>
                                  <w:marTop w:val="0"/>
                                  <w:marBottom w:val="0"/>
                                  <w:divBdr>
                                    <w:top w:val="none" w:sz="0" w:space="0" w:color="auto"/>
                                    <w:left w:val="none" w:sz="0" w:space="0" w:color="auto"/>
                                    <w:bottom w:val="none" w:sz="0" w:space="0" w:color="auto"/>
                                    <w:right w:val="none" w:sz="0" w:space="0" w:color="auto"/>
                                  </w:divBdr>
                                  <w:divsChild>
                                    <w:div w:id="903880730">
                                      <w:marLeft w:val="0"/>
                                      <w:marRight w:val="0"/>
                                      <w:marTop w:val="0"/>
                                      <w:marBottom w:val="0"/>
                                      <w:divBdr>
                                        <w:top w:val="none" w:sz="0" w:space="0" w:color="auto"/>
                                        <w:left w:val="none" w:sz="0" w:space="0" w:color="auto"/>
                                        <w:bottom w:val="none" w:sz="0" w:space="0" w:color="auto"/>
                                        <w:right w:val="none" w:sz="0" w:space="0" w:color="auto"/>
                                      </w:divBdr>
                                      <w:divsChild>
                                        <w:div w:id="2049262378">
                                          <w:marLeft w:val="0"/>
                                          <w:marRight w:val="0"/>
                                          <w:marTop w:val="0"/>
                                          <w:marBottom w:val="0"/>
                                          <w:divBdr>
                                            <w:top w:val="none" w:sz="0" w:space="0" w:color="auto"/>
                                            <w:left w:val="none" w:sz="0" w:space="0" w:color="auto"/>
                                            <w:bottom w:val="none" w:sz="0" w:space="0" w:color="auto"/>
                                            <w:right w:val="none" w:sz="0" w:space="0" w:color="auto"/>
                                          </w:divBdr>
                                          <w:divsChild>
                                            <w:div w:id="1189903569">
                                              <w:marLeft w:val="0"/>
                                              <w:marRight w:val="0"/>
                                              <w:marTop w:val="0"/>
                                              <w:marBottom w:val="0"/>
                                              <w:divBdr>
                                                <w:top w:val="none" w:sz="0" w:space="0" w:color="auto"/>
                                                <w:left w:val="none" w:sz="0" w:space="0" w:color="auto"/>
                                                <w:bottom w:val="none" w:sz="0" w:space="0" w:color="auto"/>
                                                <w:right w:val="none" w:sz="0" w:space="0" w:color="auto"/>
                                              </w:divBdr>
                                              <w:divsChild>
                                                <w:div w:id="17176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851668">
      <w:bodyDiv w:val="1"/>
      <w:marLeft w:val="0"/>
      <w:marRight w:val="0"/>
      <w:marTop w:val="0"/>
      <w:marBottom w:val="0"/>
      <w:divBdr>
        <w:top w:val="none" w:sz="0" w:space="0" w:color="auto"/>
        <w:left w:val="none" w:sz="0" w:space="0" w:color="auto"/>
        <w:bottom w:val="none" w:sz="0" w:space="0" w:color="auto"/>
        <w:right w:val="none" w:sz="0" w:space="0" w:color="auto"/>
      </w:divBdr>
    </w:div>
    <w:div w:id="872419967">
      <w:bodyDiv w:val="1"/>
      <w:marLeft w:val="0"/>
      <w:marRight w:val="0"/>
      <w:marTop w:val="0"/>
      <w:marBottom w:val="0"/>
      <w:divBdr>
        <w:top w:val="none" w:sz="0" w:space="0" w:color="auto"/>
        <w:left w:val="none" w:sz="0" w:space="0" w:color="auto"/>
        <w:bottom w:val="none" w:sz="0" w:space="0" w:color="auto"/>
        <w:right w:val="none" w:sz="0" w:space="0" w:color="auto"/>
      </w:divBdr>
      <w:divsChild>
        <w:div w:id="177813299">
          <w:marLeft w:val="0"/>
          <w:marRight w:val="0"/>
          <w:marTop w:val="0"/>
          <w:marBottom w:val="0"/>
          <w:divBdr>
            <w:top w:val="none" w:sz="0" w:space="0" w:color="auto"/>
            <w:left w:val="none" w:sz="0" w:space="0" w:color="auto"/>
            <w:bottom w:val="none" w:sz="0" w:space="0" w:color="auto"/>
            <w:right w:val="none" w:sz="0" w:space="0" w:color="auto"/>
          </w:divBdr>
          <w:divsChild>
            <w:div w:id="539439595">
              <w:marLeft w:val="0"/>
              <w:marRight w:val="0"/>
              <w:marTop w:val="0"/>
              <w:marBottom w:val="0"/>
              <w:divBdr>
                <w:top w:val="none" w:sz="0" w:space="0" w:color="auto"/>
                <w:left w:val="none" w:sz="0" w:space="0" w:color="auto"/>
                <w:bottom w:val="none" w:sz="0" w:space="0" w:color="auto"/>
                <w:right w:val="none" w:sz="0" w:space="0" w:color="auto"/>
              </w:divBdr>
              <w:divsChild>
                <w:div w:id="230165736">
                  <w:marLeft w:val="0"/>
                  <w:marRight w:val="0"/>
                  <w:marTop w:val="0"/>
                  <w:marBottom w:val="0"/>
                  <w:divBdr>
                    <w:top w:val="none" w:sz="0" w:space="0" w:color="auto"/>
                    <w:left w:val="none" w:sz="0" w:space="0" w:color="auto"/>
                    <w:bottom w:val="none" w:sz="0" w:space="0" w:color="auto"/>
                    <w:right w:val="none" w:sz="0" w:space="0" w:color="auto"/>
                  </w:divBdr>
                  <w:divsChild>
                    <w:div w:id="2128818166">
                      <w:marLeft w:val="0"/>
                      <w:marRight w:val="0"/>
                      <w:marTop w:val="0"/>
                      <w:marBottom w:val="0"/>
                      <w:divBdr>
                        <w:top w:val="none" w:sz="0" w:space="0" w:color="auto"/>
                        <w:left w:val="none" w:sz="0" w:space="0" w:color="auto"/>
                        <w:bottom w:val="none" w:sz="0" w:space="0" w:color="auto"/>
                        <w:right w:val="none" w:sz="0" w:space="0" w:color="auto"/>
                      </w:divBdr>
                      <w:divsChild>
                        <w:div w:id="482890923">
                          <w:marLeft w:val="0"/>
                          <w:marRight w:val="0"/>
                          <w:marTop w:val="0"/>
                          <w:marBottom w:val="0"/>
                          <w:divBdr>
                            <w:top w:val="none" w:sz="0" w:space="0" w:color="auto"/>
                            <w:left w:val="none" w:sz="0" w:space="0" w:color="auto"/>
                            <w:bottom w:val="none" w:sz="0" w:space="0" w:color="auto"/>
                            <w:right w:val="none" w:sz="0" w:space="0" w:color="auto"/>
                          </w:divBdr>
                          <w:divsChild>
                            <w:div w:id="630329576">
                              <w:marLeft w:val="0"/>
                              <w:marRight w:val="0"/>
                              <w:marTop w:val="0"/>
                              <w:marBottom w:val="0"/>
                              <w:divBdr>
                                <w:top w:val="none" w:sz="0" w:space="0" w:color="auto"/>
                                <w:left w:val="none" w:sz="0" w:space="0" w:color="auto"/>
                                <w:bottom w:val="none" w:sz="0" w:space="0" w:color="auto"/>
                                <w:right w:val="none" w:sz="0" w:space="0" w:color="auto"/>
                              </w:divBdr>
                              <w:divsChild>
                                <w:div w:id="741489839">
                                  <w:marLeft w:val="0"/>
                                  <w:marRight w:val="0"/>
                                  <w:marTop w:val="0"/>
                                  <w:marBottom w:val="0"/>
                                  <w:divBdr>
                                    <w:top w:val="none" w:sz="0" w:space="0" w:color="auto"/>
                                    <w:left w:val="none" w:sz="0" w:space="0" w:color="auto"/>
                                    <w:bottom w:val="none" w:sz="0" w:space="0" w:color="auto"/>
                                    <w:right w:val="none" w:sz="0" w:space="0" w:color="auto"/>
                                  </w:divBdr>
                                  <w:divsChild>
                                    <w:div w:id="811991912">
                                      <w:marLeft w:val="0"/>
                                      <w:marRight w:val="0"/>
                                      <w:marTop w:val="0"/>
                                      <w:marBottom w:val="0"/>
                                      <w:divBdr>
                                        <w:top w:val="none" w:sz="0" w:space="0" w:color="auto"/>
                                        <w:left w:val="none" w:sz="0" w:space="0" w:color="auto"/>
                                        <w:bottom w:val="none" w:sz="0" w:space="0" w:color="auto"/>
                                        <w:right w:val="none" w:sz="0" w:space="0" w:color="auto"/>
                                      </w:divBdr>
                                      <w:divsChild>
                                        <w:div w:id="20260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66742">
                          <w:marLeft w:val="0"/>
                          <w:marRight w:val="0"/>
                          <w:marTop w:val="0"/>
                          <w:marBottom w:val="0"/>
                          <w:divBdr>
                            <w:top w:val="none" w:sz="0" w:space="0" w:color="auto"/>
                            <w:left w:val="none" w:sz="0" w:space="0" w:color="auto"/>
                            <w:bottom w:val="none" w:sz="0" w:space="0" w:color="auto"/>
                            <w:right w:val="none" w:sz="0" w:space="0" w:color="auto"/>
                          </w:divBdr>
                          <w:divsChild>
                            <w:div w:id="661348703">
                              <w:marLeft w:val="0"/>
                              <w:marRight w:val="0"/>
                              <w:marTop w:val="0"/>
                              <w:marBottom w:val="0"/>
                              <w:divBdr>
                                <w:top w:val="none" w:sz="0" w:space="0" w:color="auto"/>
                                <w:left w:val="none" w:sz="0" w:space="0" w:color="auto"/>
                                <w:bottom w:val="none" w:sz="0" w:space="0" w:color="auto"/>
                                <w:right w:val="none" w:sz="0" w:space="0" w:color="auto"/>
                              </w:divBdr>
                              <w:divsChild>
                                <w:div w:id="1834711947">
                                  <w:marLeft w:val="0"/>
                                  <w:marRight w:val="0"/>
                                  <w:marTop w:val="0"/>
                                  <w:marBottom w:val="0"/>
                                  <w:divBdr>
                                    <w:top w:val="none" w:sz="0" w:space="0" w:color="auto"/>
                                    <w:left w:val="none" w:sz="0" w:space="0" w:color="auto"/>
                                    <w:bottom w:val="none" w:sz="0" w:space="0" w:color="auto"/>
                                    <w:right w:val="none" w:sz="0" w:space="0" w:color="auto"/>
                                  </w:divBdr>
                                  <w:divsChild>
                                    <w:div w:id="2025670844">
                                      <w:marLeft w:val="0"/>
                                      <w:marRight w:val="0"/>
                                      <w:marTop w:val="0"/>
                                      <w:marBottom w:val="0"/>
                                      <w:divBdr>
                                        <w:top w:val="none" w:sz="0" w:space="0" w:color="auto"/>
                                        <w:left w:val="none" w:sz="0" w:space="0" w:color="auto"/>
                                        <w:bottom w:val="none" w:sz="0" w:space="0" w:color="auto"/>
                                        <w:right w:val="none" w:sz="0" w:space="0" w:color="auto"/>
                                      </w:divBdr>
                                      <w:divsChild>
                                        <w:div w:id="1614090611">
                                          <w:marLeft w:val="0"/>
                                          <w:marRight w:val="0"/>
                                          <w:marTop w:val="0"/>
                                          <w:marBottom w:val="0"/>
                                          <w:divBdr>
                                            <w:top w:val="none" w:sz="0" w:space="0" w:color="auto"/>
                                            <w:left w:val="none" w:sz="0" w:space="0" w:color="auto"/>
                                            <w:bottom w:val="none" w:sz="0" w:space="0" w:color="auto"/>
                                            <w:right w:val="none" w:sz="0" w:space="0" w:color="auto"/>
                                          </w:divBdr>
                                          <w:divsChild>
                                            <w:div w:id="1954240714">
                                              <w:marLeft w:val="0"/>
                                              <w:marRight w:val="0"/>
                                              <w:marTop w:val="0"/>
                                              <w:marBottom w:val="0"/>
                                              <w:divBdr>
                                                <w:top w:val="none" w:sz="0" w:space="0" w:color="auto"/>
                                                <w:left w:val="none" w:sz="0" w:space="0" w:color="auto"/>
                                                <w:bottom w:val="none" w:sz="0" w:space="0" w:color="auto"/>
                                                <w:right w:val="none" w:sz="0" w:space="0" w:color="auto"/>
                                              </w:divBdr>
                                              <w:divsChild>
                                                <w:div w:id="19538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1430">
                                          <w:marLeft w:val="0"/>
                                          <w:marRight w:val="0"/>
                                          <w:marTop w:val="0"/>
                                          <w:marBottom w:val="0"/>
                                          <w:divBdr>
                                            <w:top w:val="none" w:sz="0" w:space="0" w:color="auto"/>
                                            <w:left w:val="none" w:sz="0" w:space="0" w:color="auto"/>
                                            <w:bottom w:val="none" w:sz="0" w:space="0" w:color="auto"/>
                                            <w:right w:val="none" w:sz="0" w:space="0" w:color="auto"/>
                                          </w:divBdr>
                                          <w:divsChild>
                                            <w:div w:id="1850018296">
                                              <w:marLeft w:val="0"/>
                                              <w:marRight w:val="0"/>
                                              <w:marTop w:val="0"/>
                                              <w:marBottom w:val="0"/>
                                              <w:divBdr>
                                                <w:top w:val="none" w:sz="0" w:space="0" w:color="auto"/>
                                                <w:left w:val="none" w:sz="0" w:space="0" w:color="auto"/>
                                                <w:bottom w:val="none" w:sz="0" w:space="0" w:color="auto"/>
                                                <w:right w:val="none" w:sz="0" w:space="0" w:color="auto"/>
                                              </w:divBdr>
                                              <w:divsChild>
                                                <w:div w:id="7145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448207">
      <w:bodyDiv w:val="1"/>
      <w:marLeft w:val="0"/>
      <w:marRight w:val="0"/>
      <w:marTop w:val="0"/>
      <w:marBottom w:val="0"/>
      <w:divBdr>
        <w:top w:val="none" w:sz="0" w:space="0" w:color="auto"/>
        <w:left w:val="none" w:sz="0" w:space="0" w:color="auto"/>
        <w:bottom w:val="none" w:sz="0" w:space="0" w:color="auto"/>
        <w:right w:val="none" w:sz="0" w:space="0" w:color="auto"/>
      </w:divBdr>
    </w:div>
    <w:div w:id="889001810">
      <w:bodyDiv w:val="1"/>
      <w:marLeft w:val="0"/>
      <w:marRight w:val="0"/>
      <w:marTop w:val="0"/>
      <w:marBottom w:val="0"/>
      <w:divBdr>
        <w:top w:val="none" w:sz="0" w:space="0" w:color="auto"/>
        <w:left w:val="none" w:sz="0" w:space="0" w:color="auto"/>
        <w:bottom w:val="none" w:sz="0" w:space="0" w:color="auto"/>
        <w:right w:val="none" w:sz="0" w:space="0" w:color="auto"/>
      </w:divBdr>
    </w:div>
    <w:div w:id="904997416">
      <w:bodyDiv w:val="1"/>
      <w:marLeft w:val="0"/>
      <w:marRight w:val="0"/>
      <w:marTop w:val="0"/>
      <w:marBottom w:val="0"/>
      <w:divBdr>
        <w:top w:val="none" w:sz="0" w:space="0" w:color="auto"/>
        <w:left w:val="none" w:sz="0" w:space="0" w:color="auto"/>
        <w:bottom w:val="none" w:sz="0" w:space="0" w:color="auto"/>
        <w:right w:val="none" w:sz="0" w:space="0" w:color="auto"/>
      </w:divBdr>
      <w:divsChild>
        <w:div w:id="1539389212">
          <w:marLeft w:val="0"/>
          <w:marRight w:val="0"/>
          <w:marTop w:val="0"/>
          <w:marBottom w:val="0"/>
          <w:divBdr>
            <w:top w:val="none" w:sz="0" w:space="0" w:color="auto"/>
            <w:left w:val="none" w:sz="0" w:space="0" w:color="auto"/>
            <w:bottom w:val="none" w:sz="0" w:space="0" w:color="auto"/>
            <w:right w:val="none" w:sz="0" w:space="0" w:color="auto"/>
          </w:divBdr>
          <w:divsChild>
            <w:div w:id="683023104">
              <w:marLeft w:val="0"/>
              <w:marRight w:val="0"/>
              <w:marTop w:val="0"/>
              <w:marBottom w:val="0"/>
              <w:divBdr>
                <w:top w:val="none" w:sz="0" w:space="0" w:color="auto"/>
                <w:left w:val="none" w:sz="0" w:space="0" w:color="auto"/>
                <w:bottom w:val="none" w:sz="0" w:space="0" w:color="auto"/>
                <w:right w:val="none" w:sz="0" w:space="0" w:color="auto"/>
              </w:divBdr>
              <w:divsChild>
                <w:div w:id="1921597472">
                  <w:marLeft w:val="0"/>
                  <w:marRight w:val="0"/>
                  <w:marTop w:val="0"/>
                  <w:marBottom w:val="0"/>
                  <w:divBdr>
                    <w:top w:val="none" w:sz="0" w:space="0" w:color="auto"/>
                    <w:left w:val="none" w:sz="0" w:space="0" w:color="auto"/>
                    <w:bottom w:val="none" w:sz="0" w:space="0" w:color="auto"/>
                    <w:right w:val="none" w:sz="0" w:space="0" w:color="auto"/>
                  </w:divBdr>
                  <w:divsChild>
                    <w:div w:id="750741844">
                      <w:marLeft w:val="0"/>
                      <w:marRight w:val="0"/>
                      <w:marTop w:val="0"/>
                      <w:marBottom w:val="0"/>
                      <w:divBdr>
                        <w:top w:val="none" w:sz="0" w:space="0" w:color="auto"/>
                        <w:left w:val="none" w:sz="0" w:space="0" w:color="auto"/>
                        <w:bottom w:val="none" w:sz="0" w:space="0" w:color="auto"/>
                        <w:right w:val="none" w:sz="0" w:space="0" w:color="auto"/>
                      </w:divBdr>
                      <w:divsChild>
                        <w:div w:id="1724330969">
                          <w:marLeft w:val="0"/>
                          <w:marRight w:val="0"/>
                          <w:marTop w:val="0"/>
                          <w:marBottom w:val="0"/>
                          <w:divBdr>
                            <w:top w:val="none" w:sz="0" w:space="0" w:color="auto"/>
                            <w:left w:val="none" w:sz="0" w:space="0" w:color="auto"/>
                            <w:bottom w:val="none" w:sz="0" w:space="0" w:color="auto"/>
                            <w:right w:val="none" w:sz="0" w:space="0" w:color="auto"/>
                          </w:divBdr>
                          <w:divsChild>
                            <w:div w:id="1278025339">
                              <w:marLeft w:val="0"/>
                              <w:marRight w:val="0"/>
                              <w:marTop w:val="0"/>
                              <w:marBottom w:val="0"/>
                              <w:divBdr>
                                <w:top w:val="none" w:sz="0" w:space="0" w:color="auto"/>
                                <w:left w:val="none" w:sz="0" w:space="0" w:color="auto"/>
                                <w:bottom w:val="none" w:sz="0" w:space="0" w:color="auto"/>
                                <w:right w:val="none" w:sz="0" w:space="0" w:color="auto"/>
                              </w:divBdr>
                              <w:divsChild>
                                <w:div w:id="943462854">
                                  <w:marLeft w:val="0"/>
                                  <w:marRight w:val="0"/>
                                  <w:marTop w:val="0"/>
                                  <w:marBottom w:val="0"/>
                                  <w:divBdr>
                                    <w:top w:val="none" w:sz="0" w:space="0" w:color="auto"/>
                                    <w:left w:val="none" w:sz="0" w:space="0" w:color="auto"/>
                                    <w:bottom w:val="none" w:sz="0" w:space="0" w:color="auto"/>
                                    <w:right w:val="none" w:sz="0" w:space="0" w:color="auto"/>
                                  </w:divBdr>
                                  <w:divsChild>
                                    <w:div w:id="680931116">
                                      <w:marLeft w:val="0"/>
                                      <w:marRight w:val="0"/>
                                      <w:marTop w:val="0"/>
                                      <w:marBottom w:val="0"/>
                                      <w:divBdr>
                                        <w:top w:val="none" w:sz="0" w:space="0" w:color="auto"/>
                                        <w:left w:val="none" w:sz="0" w:space="0" w:color="auto"/>
                                        <w:bottom w:val="none" w:sz="0" w:space="0" w:color="auto"/>
                                        <w:right w:val="none" w:sz="0" w:space="0" w:color="auto"/>
                                      </w:divBdr>
                                      <w:divsChild>
                                        <w:div w:id="1501197111">
                                          <w:marLeft w:val="0"/>
                                          <w:marRight w:val="0"/>
                                          <w:marTop w:val="0"/>
                                          <w:marBottom w:val="0"/>
                                          <w:divBdr>
                                            <w:top w:val="none" w:sz="0" w:space="0" w:color="auto"/>
                                            <w:left w:val="none" w:sz="0" w:space="0" w:color="auto"/>
                                            <w:bottom w:val="none" w:sz="0" w:space="0" w:color="auto"/>
                                            <w:right w:val="none" w:sz="0" w:space="0" w:color="auto"/>
                                          </w:divBdr>
                                          <w:divsChild>
                                            <w:div w:id="1997105555">
                                              <w:marLeft w:val="0"/>
                                              <w:marRight w:val="0"/>
                                              <w:marTop w:val="0"/>
                                              <w:marBottom w:val="0"/>
                                              <w:divBdr>
                                                <w:top w:val="none" w:sz="0" w:space="0" w:color="auto"/>
                                                <w:left w:val="none" w:sz="0" w:space="0" w:color="auto"/>
                                                <w:bottom w:val="none" w:sz="0" w:space="0" w:color="auto"/>
                                                <w:right w:val="none" w:sz="0" w:space="0" w:color="auto"/>
                                              </w:divBdr>
                                              <w:divsChild>
                                                <w:div w:id="1451049298">
                                                  <w:marLeft w:val="0"/>
                                                  <w:marRight w:val="0"/>
                                                  <w:marTop w:val="0"/>
                                                  <w:marBottom w:val="0"/>
                                                  <w:divBdr>
                                                    <w:top w:val="none" w:sz="0" w:space="0" w:color="auto"/>
                                                    <w:left w:val="none" w:sz="0" w:space="0" w:color="auto"/>
                                                    <w:bottom w:val="none" w:sz="0" w:space="0" w:color="auto"/>
                                                    <w:right w:val="none" w:sz="0" w:space="0" w:color="auto"/>
                                                  </w:divBdr>
                                                  <w:divsChild>
                                                    <w:div w:id="1969974721">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909390590">
      <w:bodyDiv w:val="1"/>
      <w:marLeft w:val="0"/>
      <w:marRight w:val="0"/>
      <w:marTop w:val="0"/>
      <w:marBottom w:val="0"/>
      <w:divBdr>
        <w:top w:val="none" w:sz="0" w:space="0" w:color="auto"/>
        <w:left w:val="none" w:sz="0" w:space="0" w:color="auto"/>
        <w:bottom w:val="none" w:sz="0" w:space="0" w:color="auto"/>
        <w:right w:val="none" w:sz="0" w:space="0" w:color="auto"/>
      </w:divBdr>
      <w:divsChild>
        <w:div w:id="196504485">
          <w:marLeft w:val="0"/>
          <w:marRight w:val="0"/>
          <w:marTop w:val="0"/>
          <w:marBottom w:val="0"/>
          <w:divBdr>
            <w:top w:val="none" w:sz="0" w:space="0" w:color="auto"/>
            <w:left w:val="none" w:sz="0" w:space="0" w:color="auto"/>
            <w:bottom w:val="none" w:sz="0" w:space="0" w:color="auto"/>
            <w:right w:val="none" w:sz="0" w:space="0" w:color="auto"/>
          </w:divBdr>
          <w:divsChild>
            <w:div w:id="798961677">
              <w:marLeft w:val="0"/>
              <w:marRight w:val="0"/>
              <w:marTop w:val="0"/>
              <w:marBottom w:val="0"/>
              <w:divBdr>
                <w:top w:val="none" w:sz="0" w:space="0" w:color="auto"/>
                <w:left w:val="none" w:sz="0" w:space="0" w:color="auto"/>
                <w:bottom w:val="none" w:sz="0" w:space="0" w:color="auto"/>
                <w:right w:val="none" w:sz="0" w:space="0" w:color="auto"/>
              </w:divBdr>
              <w:divsChild>
                <w:div w:id="476184974">
                  <w:marLeft w:val="0"/>
                  <w:marRight w:val="0"/>
                  <w:marTop w:val="0"/>
                  <w:marBottom w:val="0"/>
                  <w:divBdr>
                    <w:top w:val="none" w:sz="0" w:space="0" w:color="auto"/>
                    <w:left w:val="none" w:sz="0" w:space="0" w:color="auto"/>
                    <w:bottom w:val="none" w:sz="0" w:space="0" w:color="auto"/>
                    <w:right w:val="none" w:sz="0" w:space="0" w:color="auto"/>
                  </w:divBdr>
                  <w:divsChild>
                    <w:div w:id="1568609509">
                      <w:marLeft w:val="0"/>
                      <w:marRight w:val="0"/>
                      <w:marTop w:val="0"/>
                      <w:marBottom w:val="0"/>
                      <w:divBdr>
                        <w:top w:val="none" w:sz="0" w:space="0" w:color="auto"/>
                        <w:left w:val="none" w:sz="0" w:space="0" w:color="auto"/>
                        <w:bottom w:val="none" w:sz="0" w:space="0" w:color="auto"/>
                        <w:right w:val="none" w:sz="0" w:space="0" w:color="auto"/>
                      </w:divBdr>
                      <w:divsChild>
                        <w:div w:id="1358577934">
                          <w:marLeft w:val="0"/>
                          <w:marRight w:val="0"/>
                          <w:marTop w:val="0"/>
                          <w:marBottom w:val="0"/>
                          <w:divBdr>
                            <w:top w:val="none" w:sz="0" w:space="0" w:color="auto"/>
                            <w:left w:val="none" w:sz="0" w:space="0" w:color="auto"/>
                            <w:bottom w:val="none" w:sz="0" w:space="0" w:color="auto"/>
                            <w:right w:val="none" w:sz="0" w:space="0" w:color="auto"/>
                          </w:divBdr>
                          <w:divsChild>
                            <w:div w:id="42953170">
                              <w:marLeft w:val="0"/>
                              <w:marRight w:val="0"/>
                              <w:marTop w:val="0"/>
                              <w:marBottom w:val="0"/>
                              <w:divBdr>
                                <w:top w:val="none" w:sz="0" w:space="0" w:color="auto"/>
                                <w:left w:val="none" w:sz="0" w:space="0" w:color="auto"/>
                                <w:bottom w:val="none" w:sz="0" w:space="0" w:color="auto"/>
                                <w:right w:val="none" w:sz="0" w:space="0" w:color="auto"/>
                              </w:divBdr>
                              <w:divsChild>
                                <w:div w:id="1442409206">
                                  <w:marLeft w:val="0"/>
                                  <w:marRight w:val="0"/>
                                  <w:marTop w:val="0"/>
                                  <w:marBottom w:val="0"/>
                                  <w:divBdr>
                                    <w:top w:val="none" w:sz="0" w:space="0" w:color="auto"/>
                                    <w:left w:val="none" w:sz="0" w:space="0" w:color="auto"/>
                                    <w:bottom w:val="none" w:sz="0" w:space="0" w:color="auto"/>
                                    <w:right w:val="none" w:sz="0" w:space="0" w:color="auto"/>
                                  </w:divBdr>
                                  <w:divsChild>
                                    <w:div w:id="1976979777">
                                      <w:marLeft w:val="0"/>
                                      <w:marRight w:val="0"/>
                                      <w:marTop w:val="0"/>
                                      <w:marBottom w:val="0"/>
                                      <w:divBdr>
                                        <w:top w:val="none" w:sz="0" w:space="0" w:color="auto"/>
                                        <w:left w:val="none" w:sz="0" w:space="0" w:color="auto"/>
                                        <w:bottom w:val="none" w:sz="0" w:space="0" w:color="auto"/>
                                        <w:right w:val="none" w:sz="0" w:space="0" w:color="auto"/>
                                      </w:divBdr>
                                      <w:divsChild>
                                        <w:div w:id="1771268890">
                                          <w:marLeft w:val="0"/>
                                          <w:marRight w:val="0"/>
                                          <w:marTop w:val="0"/>
                                          <w:marBottom w:val="0"/>
                                          <w:divBdr>
                                            <w:top w:val="none" w:sz="0" w:space="0" w:color="auto"/>
                                            <w:left w:val="none" w:sz="0" w:space="0" w:color="auto"/>
                                            <w:bottom w:val="none" w:sz="0" w:space="0" w:color="auto"/>
                                            <w:right w:val="none" w:sz="0" w:space="0" w:color="auto"/>
                                          </w:divBdr>
                                          <w:divsChild>
                                            <w:div w:id="1500579333">
                                              <w:marLeft w:val="0"/>
                                              <w:marRight w:val="0"/>
                                              <w:marTop w:val="0"/>
                                              <w:marBottom w:val="0"/>
                                              <w:divBdr>
                                                <w:top w:val="none" w:sz="0" w:space="0" w:color="auto"/>
                                                <w:left w:val="none" w:sz="0" w:space="0" w:color="auto"/>
                                                <w:bottom w:val="none" w:sz="0" w:space="0" w:color="auto"/>
                                                <w:right w:val="none" w:sz="0" w:space="0" w:color="auto"/>
                                              </w:divBdr>
                                              <w:divsChild>
                                                <w:div w:id="9082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435127">
      <w:bodyDiv w:val="1"/>
      <w:marLeft w:val="0"/>
      <w:marRight w:val="0"/>
      <w:marTop w:val="0"/>
      <w:marBottom w:val="0"/>
      <w:divBdr>
        <w:top w:val="none" w:sz="0" w:space="0" w:color="auto"/>
        <w:left w:val="none" w:sz="0" w:space="0" w:color="auto"/>
        <w:bottom w:val="none" w:sz="0" w:space="0" w:color="auto"/>
        <w:right w:val="none" w:sz="0" w:space="0" w:color="auto"/>
      </w:divBdr>
    </w:div>
    <w:div w:id="936715666">
      <w:bodyDiv w:val="1"/>
      <w:marLeft w:val="0"/>
      <w:marRight w:val="0"/>
      <w:marTop w:val="0"/>
      <w:marBottom w:val="0"/>
      <w:divBdr>
        <w:top w:val="none" w:sz="0" w:space="0" w:color="auto"/>
        <w:left w:val="none" w:sz="0" w:space="0" w:color="auto"/>
        <w:bottom w:val="none" w:sz="0" w:space="0" w:color="auto"/>
        <w:right w:val="none" w:sz="0" w:space="0" w:color="auto"/>
      </w:divBdr>
    </w:div>
    <w:div w:id="959456650">
      <w:bodyDiv w:val="1"/>
      <w:marLeft w:val="0"/>
      <w:marRight w:val="0"/>
      <w:marTop w:val="0"/>
      <w:marBottom w:val="0"/>
      <w:divBdr>
        <w:top w:val="none" w:sz="0" w:space="0" w:color="auto"/>
        <w:left w:val="none" w:sz="0" w:space="0" w:color="auto"/>
        <w:bottom w:val="none" w:sz="0" w:space="0" w:color="auto"/>
        <w:right w:val="none" w:sz="0" w:space="0" w:color="auto"/>
      </w:divBdr>
    </w:div>
    <w:div w:id="976253540">
      <w:bodyDiv w:val="1"/>
      <w:marLeft w:val="0"/>
      <w:marRight w:val="0"/>
      <w:marTop w:val="0"/>
      <w:marBottom w:val="0"/>
      <w:divBdr>
        <w:top w:val="none" w:sz="0" w:space="0" w:color="auto"/>
        <w:left w:val="none" w:sz="0" w:space="0" w:color="auto"/>
        <w:bottom w:val="none" w:sz="0" w:space="0" w:color="auto"/>
        <w:right w:val="none" w:sz="0" w:space="0" w:color="auto"/>
      </w:divBdr>
    </w:div>
    <w:div w:id="977760298">
      <w:bodyDiv w:val="1"/>
      <w:marLeft w:val="0"/>
      <w:marRight w:val="0"/>
      <w:marTop w:val="0"/>
      <w:marBottom w:val="0"/>
      <w:divBdr>
        <w:top w:val="none" w:sz="0" w:space="0" w:color="auto"/>
        <w:left w:val="none" w:sz="0" w:space="0" w:color="auto"/>
        <w:bottom w:val="none" w:sz="0" w:space="0" w:color="auto"/>
        <w:right w:val="none" w:sz="0" w:space="0" w:color="auto"/>
      </w:divBdr>
    </w:div>
    <w:div w:id="980420757">
      <w:bodyDiv w:val="1"/>
      <w:marLeft w:val="0"/>
      <w:marRight w:val="0"/>
      <w:marTop w:val="0"/>
      <w:marBottom w:val="0"/>
      <w:divBdr>
        <w:top w:val="none" w:sz="0" w:space="0" w:color="auto"/>
        <w:left w:val="none" w:sz="0" w:space="0" w:color="auto"/>
        <w:bottom w:val="none" w:sz="0" w:space="0" w:color="auto"/>
        <w:right w:val="none" w:sz="0" w:space="0" w:color="auto"/>
      </w:divBdr>
    </w:div>
    <w:div w:id="985206926">
      <w:bodyDiv w:val="1"/>
      <w:marLeft w:val="0"/>
      <w:marRight w:val="0"/>
      <w:marTop w:val="0"/>
      <w:marBottom w:val="0"/>
      <w:divBdr>
        <w:top w:val="none" w:sz="0" w:space="0" w:color="auto"/>
        <w:left w:val="none" w:sz="0" w:space="0" w:color="auto"/>
        <w:bottom w:val="none" w:sz="0" w:space="0" w:color="auto"/>
        <w:right w:val="none" w:sz="0" w:space="0" w:color="auto"/>
      </w:divBdr>
    </w:div>
    <w:div w:id="1020476611">
      <w:bodyDiv w:val="1"/>
      <w:marLeft w:val="0"/>
      <w:marRight w:val="0"/>
      <w:marTop w:val="0"/>
      <w:marBottom w:val="0"/>
      <w:divBdr>
        <w:top w:val="none" w:sz="0" w:space="0" w:color="auto"/>
        <w:left w:val="none" w:sz="0" w:space="0" w:color="auto"/>
        <w:bottom w:val="none" w:sz="0" w:space="0" w:color="auto"/>
        <w:right w:val="none" w:sz="0" w:space="0" w:color="auto"/>
      </w:divBdr>
    </w:div>
    <w:div w:id="1032460462">
      <w:bodyDiv w:val="1"/>
      <w:marLeft w:val="0"/>
      <w:marRight w:val="0"/>
      <w:marTop w:val="0"/>
      <w:marBottom w:val="0"/>
      <w:divBdr>
        <w:top w:val="none" w:sz="0" w:space="0" w:color="auto"/>
        <w:left w:val="none" w:sz="0" w:space="0" w:color="auto"/>
        <w:bottom w:val="none" w:sz="0" w:space="0" w:color="auto"/>
        <w:right w:val="none" w:sz="0" w:space="0" w:color="auto"/>
      </w:divBdr>
      <w:divsChild>
        <w:div w:id="1298493232">
          <w:marLeft w:val="0"/>
          <w:marRight w:val="0"/>
          <w:marTop w:val="0"/>
          <w:marBottom w:val="0"/>
          <w:divBdr>
            <w:top w:val="none" w:sz="0" w:space="0" w:color="auto"/>
            <w:left w:val="none" w:sz="0" w:space="0" w:color="auto"/>
            <w:bottom w:val="none" w:sz="0" w:space="0" w:color="auto"/>
            <w:right w:val="none" w:sz="0" w:space="0" w:color="auto"/>
          </w:divBdr>
          <w:divsChild>
            <w:div w:id="955062612">
              <w:marLeft w:val="0"/>
              <w:marRight w:val="0"/>
              <w:marTop w:val="0"/>
              <w:marBottom w:val="0"/>
              <w:divBdr>
                <w:top w:val="none" w:sz="0" w:space="0" w:color="auto"/>
                <w:left w:val="none" w:sz="0" w:space="0" w:color="auto"/>
                <w:bottom w:val="none" w:sz="0" w:space="0" w:color="auto"/>
                <w:right w:val="none" w:sz="0" w:space="0" w:color="auto"/>
              </w:divBdr>
              <w:divsChild>
                <w:div w:id="567881639">
                  <w:marLeft w:val="0"/>
                  <w:marRight w:val="0"/>
                  <w:marTop w:val="0"/>
                  <w:marBottom w:val="0"/>
                  <w:divBdr>
                    <w:top w:val="none" w:sz="0" w:space="0" w:color="auto"/>
                    <w:left w:val="none" w:sz="0" w:space="0" w:color="auto"/>
                    <w:bottom w:val="none" w:sz="0" w:space="0" w:color="auto"/>
                    <w:right w:val="none" w:sz="0" w:space="0" w:color="auto"/>
                  </w:divBdr>
                  <w:divsChild>
                    <w:div w:id="948851045">
                      <w:marLeft w:val="0"/>
                      <w:marRight w:val="0"/>
                      <w:marTop w:val="0"/>
                      <w:marBottom w:val="0"/>
                      <w:divBdr>
                        <w:top w:val="none" w:sz="0" w:space="0" w:color="auto"/>
                        <w:left w:val="none" w:sz="0" w:space="0" w:color="auto"/>
                        <w:bottom w:val="none" w:sz="0" w:space="0" w:color="auto"/>
                        <w:right w:val="none" w:sz="0" w:space="0" w:color="auto"/>
                      </w:divBdr>
                      <w:divsChild>
                        <w:div w:id="1442458041">
                          <w:marLeft w:val="0"/>
                          <w:marRight w:val="0"/>
                          <w:marTop w:val="0"/>
                          <w:marBottom w:val="0"/>
                          <w:divBdr>
                            <w:top w:val="none" w:sz="0" w:space="0" w:color="auto"/>
                            <w:left w:val="none" w:sz="0" w:space="0" w:color="auto"/>
                            <w:bottom w:val="none" w:sz="0" w:space="0" w:color="auto"/>
                            <w:right w:val="none" w:sz="0" w:space="0" w:color="auto"/>
                          </w:divBdr>
                          <w:divsChild>
                            <w:div w:id="902258166">
                              <w:marLeft w:val="0"/>
                              <w:marRight w:val="0"/>
                              <w:marTop w:val="0"/>
                              <w:marBottom w:val="0"/>
                              <w:divBdr>
                                <w:top w:val="none" w:sz="0" w:space="0" w:color="auto"/>
                                <w:left w:val="none" w:sz="0" w:space="0" w:color="auto"/>
                                <w:bottom w:val="none" w:sz="0" w:space="0" w:color="auto"/>
                                <w:right w:val="none" w:sz="0" w:space="0" w:color="auto"/>
                              </w:divBdr>
                              <w:divsChild>
                                <w:div w:id="1276138610">
                                  <w:marLeft w:val="0"/>
                                  <w:marRight w:val="0"/>
                                  <w:marTop w:val="0"/>
                                  <w:marBottom w:val="0"/>
                                  <w:divBdr>
                                    <w:top w:val="none" w:sz="0" w:space="0" w:color="auto"/>
                                    <w:left w:val="none" w:sz="0" w:space="0" w:color="auto"/>
                                    <w:bottom w:val="none" w:sz="0" w:space="0" w:color="auto"/>
                                    <w:right w:val="none" w:sz="0" w:space="0" w:color="auto"/>
                                  </w:divBdr>
                                  <w:divsChild>
                                    <w:div w:id="997073360">
                                      <w:marLeft w:val="0"/>
                                      <w:marRight w:val="0"/>
                                      <w:marTop w:val="0"/>
                                      <w:marBottom w:val="0"/>
                                      <w:divBdr>
                                        <w:top w:val="none" w:sz="0" w:space="0" w:color="auto"/>
                                        <w:left w:val="none" w:sz="0" w:space="0" w:color="auto"/>
                                        <w:bottom w:val="none" w:sz="0" w:space="0" w:color="auto"/>
                                        <w:right w:val="none" w:sz="0" w:space="0" w:color="auto"/>
                                      </w:divBdr>
                                      <w:divsChild>
                                        <w:div w:id="1870601510">
                                          <w:marLeft w:val="0"/>
                                          <w:marRight w:val="0"/>
                                          <w:marTop w:val="0"/>
                                          <w:marBottom w:val="0"/>
                                          <w:divBdr>
                                            <w:top w:val="none" w:sz="0" w:space="0" w:color="auto"/>
                                            <w:left w:val="none" w:sz="0" w:space="0" w:color="auto"/>
                                            <w:bottom w:val="none" w:sz="0" w:space="0" w:color="auto"/>
                                            <w:right w:val="none" w:sz="0" w:space="0" w:color="auto"/>
                                          </w:divBdr>
                                          <w:divsChild>
                                            <w:div w:id="1246766025">
                                              <w:marLeft w:val="0"/>
                                              <w:marRight w:val="0"/>
                                              <w:marTop w:val="0"/>
                                              <w:marBottom w:val="0"/>
                                              <w:divBdr>
                                                <w:top w:val="none" w:sz="0" w:space="0" w:color="auto"/>
                                                <w:left w:val="none" w:sz="0" w:space="0" w:color="auto"/>
                                                <w:bottom w:val="none" w:sz="0" w:space="0" w:color="auto"/>
                                                <w:right w:val="none" w:sz="0" w:space="0" w:color="auto"/>
                                              </w:divBdr>
                                              <w:divsChild>
                                                <w:div w:id="1866168097">
                                                  <w:marLeft w:val="0"/>
                                                  <w:marRight w:val="0"/>
                                                  <w:marTop w:val="0"/>
                                                  <w:marBottom w:val="0"/>
                                                  <w:divBdr>
                                                    <w:top w:val="none" w:sz="0" w:space="0" w:color="auto"/>
                                                    <w:left w:val="none" w:sz="0" w:space="0" w:color="auto"/>
                                                    <w:bottom w:val="none" w:sz="0" w:space="0" w:color="auto"/>
                                                    <w:right w:val="none" w:sz="0" w:space="0" w:color="auto"/>
                                                  </w:divBdr>
                                                  <w:divsChild>
                                                    <w:div w:id="1309553392">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044064241">
      <w:bodyDiv w:val="1"/>
      <w:marLeft w:val="0"/>
      <w:marRight w:val="0"/>
      <w:marTop w:val="0"/>
      <w:marBottom w:val="0"/>
      <w:divBdr>
        <w:top w:val="none" w:sz="0" w:space="0" w:color="auto"/>
        <w:left w:val="none" w:sz="0" w:space="0" w:color="auto"/>
        <w:bottom w:val="none" w:sz="0" w:space="0" w:color="auto"/>
        <w:right w:val="none" w:sz="0" w:space="0" w:color="auto"/>
      </w:divBdr>
    </w:div>
    <w:div w:id="1048992675">
      <w:bodyDiv w:val="1"/>
      <w:marLeft w:val="0"/>
      <w:marRight w:val="0"/>
      <w:marTop w:val="0"/>
      <w:marBottom w:val="0"/>
      <w:divBdr>
        <w:top w:val="none" w:sz="0" w:space="0" w:color="auto"/>
        <w:left w:val="none" w:sz="0" w:space="0" w:color="auto"/>
        <w:bottom w:val="none" w:sz="0" w:space="0" w:color="auto"/>
        <w:right w:val="none" w:sz="0" w:space="0" w:color="auto"/>
      </w:divBdr>
    </w:div>
    <w:div w:id="1051995876">
      <w:bodyDiv w:val="1"/>
      <w:marLeft w:val="0"/>
      <w:marRight w:val="0"/>
      <w:marTop w:val="0"/>
      <w:marBottom w:val="0"/>
      <w:divBdr>
        <w:top w:val="none" w:sz="0" w:space="0" w:color="auto"/>
        <w:left w:val="none" w:sz="0" w:space="0" w:color="auto"/>
        <w:bottom w:val="none" w:sz="0" w:space="0" w:color="auto"/>
        <w:right w:val="none" w:sz="0" w:space="0" w:color="auto"/>
      </w:divBdr>
      <w:divsChild>
        <w:div w:id="939266194">
          <w:marLeft w:val="0"/>
          <w:marRight w:val="0"/>
          <w:marTop w:val="0"/>
          <w:marBottom w:val="0"/>
          <w:divBdr>
            <w:top w:val="none" w:sz="0" w:space="0" w:color="auto"/>
            <w:left w:val="none" w:sz="0" w:space="0" w:color="auto"/>
            <w:bottom w:val="none" w:sz="0" w:space="0" w:color="auto"/>
            <w:right w:val="none" w:sz="0" w:space="0" w:color="auto"/>
          </w:divBdr>
          <w:divsChild>
            <w:div w:id="624625172">
              <w:marLeft w:val="0"/>
              <w:marRight w:val="0"/>
              <w:marTop w:val="0"/>
              <w:marBottom w:val="0"/>
              <w:divBdr>
                <w:top w:val="none" w:sz="0" w:space="0" w:color="auto"/>
                <w:left w:val="none" w:sz="0" w:space="0" w:color="auto"/>
                <w:bottom w:val="none" w:sz="0" w:space="0" w:color="auto"/>
                <w:right w:val="none" w:sz="0" w:space="0" w:color="auto"/>
              </w:divBdr>
              <w:divsChild>
                <w:div w:id="1972010948">
                  <w:marLeft w:val="0"/>
                  <w:marRight w:val="0"/>
                  <w:marTop w:val="0"/>
                  <w:marBottom w:val="0"/>
                  <w:divBdr>
                    <w:top w:val="none" w:sz="0" w:space="0" w:color="auto"/>
                    <w:left w:val="none" w:sz="0" w:space="0" w:color="auto"/>
                    <w:bottom w:val="none" w:sz="0" w:space="0" w:color="auto"/>
                    <w:right w:val="none" w:sz="0" w:space="0" w:color="auto"/>
                  </w:divBdr>
                  <w:divsChild>
                    <w:div w:id="2008555652">
                      <w:marLeft w:val="0"/>
                      <w:marRight w:val="0"/>
                      <w:marTop w:val="0"/>
                      <w:marBottom w:val="0"/>
                      <w:divBdr>
                        <w:top w:val="none" w:sz="0" w:space="0" w:color="auto"/>
                        <w:left w:val="none" w:sz="0" w:space="0" w:color="auto"/>
                        <w:bottom w:val="none" w:sz="0" w:space="0" w:color="auto"/>
                        <w:right w:val="none" w:sz="0" w:space="0" w:color="auto"/>
                      </w:divBdr>
                      <w:divsChild>
                        <w:div w:id="1416899967">
                          <w:marLeft w:val="0"/>
                          <w:marRight w:val="0"/>
                          <w:marTop w:val="0"/>
                          <w:marBottom w:val="0"/>
                          <w:divBdr>
                            <w:top w:val="none" w:sz="0" w:space="0" w:color="auto"/>
                            <w:left w:val="none" w:sz="0" w:space="0" w:color="auto"/>
                            <w:bottom w:val="none" w:sz="0" w:space="0" w:color="auto"/>
                            <w:right w:val="none" w:sz="0" w:space="0" w:color="auto"/>
                          </w:divBdr>
                          <w:divsChild>
                            <w:div w:id="1956911461">
                              <w:marLeft w:val="0"/>
                              <w:marRight w:val="0"/>
                              <w:marTop w:val="0"/>
                              <w:marBottom w:val="0"/>
                              <w:divBdr>
                                <w:top w:val="none" w:sz="0" w:space="0" w:color="auto"/>
                                <w:left w:val="none" w:sz="0" w:space="0" w:color="auto"/>
                                <w:bottom w:val="none" w:sz="0" w:space="0" w:color="auto"/>
                                <w:right w:val="none" w:sz="0" w:space="0" w:color="auto"/>
                              </w:divBdr>
                              <w:divsChild>
                                <w:div w:id="1075978899">
                                  <w:marLeft w:val="0"/>
                                  <w:marRight w:val="0"/>
                                  <w:marTop w:val="0"/>
                                  <w:marBottom w:val="0"/>
                                  <w:divBdr>
                                    <w:top w:val="none" w:sz="0" w:space="0" w:color="auto"/>
                                    <w:left w:val="none" w:sz="0" w:space="0" w:color="auto"/>
                                    <w:bottom w:val="none" w:sz="0" w:space="0" w:color="auto"/>
                                    <w:right w:val="none" w:sz="0" w:space="0" w:color="auto"/>
                                  </w:divBdr>
                                  <w:divsChild>
                                    <w:div w:id="1305088523">
                                      <w:marLeft w:val="0"/>
                                      <w:marRight w:val="0"/>
                                      <w:marTop w:val="0"/>
                                      <w:marBottom w:val="0"/>
                                      <w:divBdr>
                                        <w:top w:val="none" w:sz="0" w:space="0" w:color="auto"/>
                                        <w:left w:val="none" w:sz="0" w:space="0" w:color="auto"/>
                                        <w:bottom w:val="none" w:sz="0" w:space="0" w:color="auto"/>
                                        <w:right w:val="none" w:sz="0" w:space="0" w:color="auto"/>
                                      </w:divBdr>
                                      <w:divsChild>
                                        <w:div w:id="1287857617">
                                          <w:marLeft w:val="0"/>
                                          <w:marRight w:val="0"/>
                                          <w:marTop w:val="0"/>
                                          <w:marBottom w:val="0"/>
                                          <w:divBdr>
                                            <w:top w:val="none" w:sz="0" w:space="0" w:color="auto"/>
                                            <w:left w:val="none" w:sz="0" w:space="0" w:color="auto"/>
                                            <w:bottom w:val="none" w:sz="0" w:space="0" w:color="auto"/>
                                            <w:right w:val="none" w:sz="0" w:space="0" w:color="auto"/>
                                          </w:divBdr>
                                          <w:divsChild>
                                            <w:div w:id="794566547">
                                              <w:marLeft w:val="0"/>
                                              <w:marRight w:val="0"/>
                                              <w:marTop w:val="0"/>
                                              <w:marBottom w:val="0"/>
                                              <w:divBdr>
                                                <w:top w:val="none" w:sz="0" w:space="0" w:color="auto"/>
                                                <w:left w:val="none" w:sz="0" w:space="0" w:color="auto"/>
                                                <w:bottom w:val="none" w:sz="0" w:space="0" w:color="auto"/>
                                                <w:right w:val="none" w:sz="0" w:space="0" w:color="auto"/>
                                              </w:divBdr>
                                              <w:divsChild>
                                                <w:div w:id="15486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514504">
      <w:bodyDiv w:val="1"/>
      <w:marLeft w:val="0"/>
      <w:marRight w:val="0"/>
      <w:marTop w:val="0"/>
      <w:marBottom w:val="0"/>
      <w:divBdr>
        <w:top w:val="none" w:sz="0" w:space="0" w:color="auto"/>
        <w:left w:val="none" w:sz="0" w:space="0" w:color="auto"/>
        <w:bottom w:val="none" w:sz="0" w:space="0" w:color="auto"/>
        <w:right w:val="none" w:sz="0" w:space="0" w:color="auto"/>
      </w:divBdr>
    </w:div>
    <w:div w:id="1067193887">
      <w:bodyDiv w:val="1"/>
      <w:marLeft w:val="0"/>
      <w:marRight w:val="0"/>
      <w:marTop w:val="0"/>
      <w:marBottom w:val="0"/>
      <w:divBdr>
        <w:top w:val="none" w:sz="0" w:space="0" w:color="auto"/>
        <w:left w:val="none" w:sz="0" w:space="0" w:color="auto"/>
        <w:bottom w:val="none" w:sz="0" w:space="0" w:color="auto"/>
        <w:right w:val="none" w:sz="0" w:space="0" w:color="auto"/>
      </w:divBdr>
    </w:div>
    <w:div w:id="1089347790">
      <w:bodyDiv w:val="1"/>
      <w:marLeft w:val="0"/>
      <w:marRight w:val="0"/>
      <w:marTop w:val="0"/>
      <w:marBottom w:val="0"/>
      <w:divBdr>
        <w:top w:val="none" w:sz="0" w:space="0" w:color="auto"/>
        <w:left w:val="none" w:sz="0" w:space="0" w:color="auto"/>
        <w:bottom w:val="none" w:sz="0" w:space="0" w:color="auto"/>
        <w:right w:val="none" w:sz="0" w:space="0" w:color="auto"/>
      </w:divBdr>
    </w:div>
    <w:div w:id="1096246842">
      <w:bodyDiv w:val="1"/>
      <w:marLeft w:val="0"/>
      <w:marRight w:val="0"/>
      <w:marTop w:val="0"/>
      <w:marBottom w:val="0"/>
      <w:divBdr>
        <w:top w:val="none" w:sz="0" w:space="0" w:color="auto"/>
        <w:left w:val="none" w:sz="0" w:space="0" w:color="auto"/>
        <w:bottom w:val="none" w:sz="0" w:space="0" w:color="auto"/>
        <w:right w:val="none" w:sz="0" w:space="0" w:color="auto"/>
      </w:divBdr>
    </w:div>
    <w:div w:id="1097865527">
      <w:bodyDiv w:val="1"/>
      <w:marLeft w:val="0"/>
      <w:marRight w:val="0"/>
      <w:marTop w:val="0"/>
      <w:marBottom w:val="0"/>
      <w:divBdr>
        <w:top w:val="none" w:sz="0" w:space="0" w:color="auto"/>
        <w:left w:val="none" w:sz="0" w:space="0" w:color="auto"/>
        <w:bottom w:val="none" w:sz="0" w:space="0" w:color="auto"/>
        <w:right w:val="none" w:sz="0" w:space="0" w:color="auto"/>
      </w:divBdr>
    </w:div>
    <w:div w:id="1109203945">
      <w:bodyDiv w:val="1"/>
      <w:marLeft w:val="0"/>
      <w:marRight w:val="0"/>
      <w:marTop w:val="0"/>
      <w:marBottom w:val="0"/>
      <w:divBdr>
        <w:top w:val="none" w:sz="0" w:space="0" w:color="auto"/>
        <w:left w:val="none" w:sz="0" w:space="0" w:color="auto"/>
        <w:bottom w:val="none" w:sz="0" w:space="0" w:color="auto"/>
        <w:right w:val="none" w:sz="0" w:space="0" w:color="auto"/>
      </w:divBdr>
    </w:div>
    <w:div w:id="1132357871">
      <w:bodyDiv w:val="1"/>
      <w:marLeft w:val="0"/>
      <w:marRight w:val="0"/>
      <w:marTop w:val="0"/>
      <w:marBottom w:val="0"/>
      <w:divBdr>
        <w:top w:val="none" w:sz="0" w:space="0" w:color="auto"/>
        <w:left w:val="none" w:sz="0" w:space="0" w:color="auto"/>
        <w:bottom w:val="none" w:sz="0" w:space="0" w:color="auto"/>
        <w:right w:val="none" w:sz="0" w:space="0" w:color="auto"/>
      </w:divBdr>
    </w:div>
    <w:div w:id="1137913612">
      <w:bodyDiv w:val="1"/>
      <w:marLeft w:val="0"/>
      <w:marRight w:val="0"/>
      <w:marTop w:val="0"/>
      <w:marBottom w:val="0"/>
      <w:divBdr>
        <w:top w:val="none" w:sz="0" w:space="0" w:color="auto"/>
        <w:left w:val="none" w:sz="0" w:space="0" w:color="auto"/>
        <w:bottom w:val="none" w:sz="0" w:space="0" w:color="auto"/>
        <w:right w:val="none" w:sz="0" w:space="0" w:color="auto"/>
      </w:divBdr>
    </w:div>
    <w:div w:id="1158493050">
      <w:bodyDiv w:val="1"/>
      <w:marLeft w:val="0"/>
      <w:marRight w:val="0"/>
      <w:marTop w:val="0"/>
      <w:marBottom w:val="0"/>
      <w:divBdr>
        <w:top w:val="none" w:sz="0" w:space="0" w:color="auto"/>
        <w:left w:val="none" w:sz="0" w:space="0" w:color="auto"/>
        <w:bottom w:val="none" w:sz="0" w:space="0" w:color="auto"/>
        <w:right w:val="none" w:sz="0" w:space="0" w:color="auto"/>
      </w:divBdr>
    </w:div>
    <w:div w:id="1163935723">
      <w:bodyDiv w:val="1"/>
      <w:marLeft w:val="0"/>
      <w:marRight w:val="0"/>
      <w:marTop w:val="0"/>
      <w:marBottom w:val="0"/>
      <w:divBdr>
        <w:top w:val="none" w:sz="0" w:space="0" w:color="auto"/>
        <w:left w:val="none" w:sz="0" w:space="0" w:color="auto"/>
        <w:bottom w:val="none" w:sz="0" w:space="0" w:color="auto"/>
        <w:right w:val="none" w:sz="0" w:space="0" w:color="auto"/>
      </w:divBdr>
    </w:div>
    <w:div w:id="1165315208">
      <w:bodyDiv w:val="1"/>
      <w:marLeft w:val="0"/>
      <w:marRight w:val="0"/>
      <w:marTop w:val="0"/>
      <w:marBottom w:val="0"/>
      <w:divBdr>
        <w:top w:val="none" w:sz="0" w:space="0" w:color="auto"/>
        <w:left w:val="none" w:sz="0" w:space="0" w:color="auto"/>
        <w:bottom w:val="none" w:sz="0" w:space="0" w:color="auto"/>
        <w:right w:val="none" w:sz="0" w:space="0" w:color="auto"/>
      </w:divBdr>
    </w:div>
    <w:div w:id="1174104868">
      <w:bodyDiv w:val="1"/>
      <w:marLeft w:val="0"/>
      <w:marRight w:val="0"/>
      <w:marTop w:val="0"/>
      <w:marBottom w:val="0"/>
      <w:divBdr>
        <w:top w:val="none" w:sz="0" w:space="0" w:color="auto"/>
        <w:left w:val="none" w:sz="0" w:space="0" w:color="auto"/>
        <w:bottom w:val="none" w:sz="0" w:space="0" w:color="auto"/>
        <w:right w:val="none" w:sz="0" w:space="0" w:color="auto"/>
      </w:divBdr>
    </w:div>
    <w:div w:id="1187326583">
      <w:bodyDiv w:val="1"/>
      <w:marLeft w:val="0"/>
      <w:marRight w:val="0"/>
      <w:marTop w:val="0"/>
      <w:marBottom w:val="0"/>
      <w:divBdr>
        <w:top w:val="none" w:sz="0" w:space="0" w:color="auto"/>
        <w:left w:val="none" w:sz="0" w:space="0" w:color="auto"/>
        <w:bottom w:val="none" w:sz="0" w:space="0" w:color="auto"/>
        <w:right w:val="none" w:sz="0" w:space="0" w:color="auto"/>
      </w:divBdr>
    </w:div>
    <w:div w:id="1190610061">
      <w:bodyDiv w:val="1"/>
      <w:marLeft w:val="0"/>
      <w:marRight w:val="0"/>
      <w:marTop w:val="0"/>
      <w:marBottom w:val="0"/>
      <w:divBdr>
        <w:top w:val="none" w:sz="0" w:space="0" w:color="auto"/>
        <w:left w:val="none" w:sz="0" w:space="0" w:color="auto"/>
        <w:bottom w:val="none" w:sz="0" w:space="0" w:color="auto"/>
        <w:right w:val="none" w:sz="0" w:space="0" w:color="auto"/>
      </w:divBdr>
    </w:div>
    <w:div w:id="1194348134">
      <w:bodyDiv w:val="1"/>
      <w:marLeft w:val="0"/>
      <w:marRight w:val="0"/>
      <w:marTop w:val="0"/>
      <w:marBottom w:val="0"/>
      <w:divBdr>
        <w:top w:val="none" w:sz="0" w:space="0" w:color="auto"/>
        <w:left w:val="none" w:sz="0" w:space="0" w:color="auto"/>
        <w:bottom w:val="none" w:sz="0" w:space="0" w:color="auto"/>
        <w:right w:val="none" w:sz="0" w:space="0" w:color="auto"/>
      </w:divBdr>
    </w:div>
    <w:div w:id="1211070718">
      <w:bodyDiv w:val="1"/>
      <w:marLeft w:val="0"/>
      <w:marRight w:val="0"/>
      <w:marTop w:val="0"/>
      <w:marBottom w:val="0"/>
      <w:divBdr>
        <w:top w:val="none" w:sz="0" w:space="0" w:color="auto"/>
        <w:left w:val="none" w:sz="0" w:space="0" w:color="auto"/>
        <w:bottom w:val="none" w:sz="0" w:space="0" w:color="auto"/>
        <w:right w:val="none" w:sz="0" w:space="0" w:color="auto"/>
      </w:divBdr>
    </w:div>
    <w:div w:id="1213805543">
      <w:bodyDiv w:val="1"/>
      <w:marLeft w:val="0"/>
      <w:marRight w:val="0"/>
      <w:marTop w:val="0"/>
      <w:marBottom w:val="0"/>
      <w:divBdr>
        <w:top w:val="none" w:sz="0" w:space="0" w:color="auto"/>
        <w:left w:val="none" w:sz="0" w:space="0" w:color="auto"/>
        <w:bottom w:val="none" w:sz="0" w:space="0" w:color="auto"/>
        <w:right w:val="none" w:sz="0" w:space="0" w:color="auto"/>
      </w:divBdr>
    </w:div>
    <w:div w:id="1242179913">
      <w:bodyDiv w:val="1"/>
      <w:marLeft w:val="0"/>
      <w:marRight w:val="0"/>
      <w:marTop w:val="0"/>
      <w:marBottom w:val="0"/>
      <w:divBdr>
        <w:top w:val="none" w:sz="0" w:space="0" w:color="auto"/>
        <w:left w:val="none" w:sz="0" w:space="0" w:color="auto"/>
        <w:bottom w:val="none" w:sz="0" w:space="0" w:color="auto"/>
        <w:right w:val="none" w:sz="0" w:space="0" w:color="auto"/>
      </w:divBdr>
    </w:div>
    <w:div w:id="1246303873">
      <w:bodyDiv w:val="1"/>
      <w:marLeft w:val="0"/>
      <w:marRight w:val="0"/>
      <w:marTop w:val="0"/>
      <w:marBottom w:val="0"/>
      <w:divBdr>
        <w:top w:val="none" w:sz="0" w:space="0" w:color="auto"/>
        <w:left w:val="none" w:sz="0" w:space="0" w:color="auto"/>
        <w:bottom w:val="none" w:sz="0" w:space="0" w:color="auto"/>
        <w:right w:val="none" w:sz="0" w:space="0" w:color="auto"/>
      </w:divBdr>
      <w:divsChild>
        <w:div w:id="188103616">
          <w:marLeft w:val="0"/>
          <w:marRight w:val="0"/>
          <w:marTop w:val="0"/>
          <w:marBottom w:val="0"/>
          <w:divBdr>
            <w:top w:val="none" w:sz="0" w:space="0" w:color="auto"/>
            <w:left w:val="none" w:sz="0" w:space="0" w:color="auto"/>
            <w:bottom w:val="none" w:sz="0" w:space="0" w:color="auto"/>
            <w:right w:val="none" w:sz="0" w:space="0" w:color="auto"/>
          </w:divBdr>
          <w:divsChild>
            <w:div w:id="223027806">
              <w:marLeft w:val="0"/>
              <w:marRight w:val="0"/>
              <w:marTop w:val="0"/>
              <w:marBottom w:val="0"/>
              <w:divBdr>
                <w:top w:val="none" w:sz="0" w:space="0" w:color="auto"/>
                <w:left w:val="none" w:sz="0" w:space="0" w:color="auto"/>
                <w:bottom w:val="none" w:sz="0" w:space="0" w:color="auto"/>
                <w:right w:val="none" w:sz="0" w:space="0" w:color="auto"/>
              </w:divBdr>
              <w:divsChild>
                <w:div w:id="443041220">
                  <w:marLeft w:val="0"/>
                  <w:marRight w:val="0"/>
                  <w:marTop w:val="0"/>
                  <w:marBottom w:val="0"/>
                  <w:divBdr>
                    <w:top w:val="none" w:sz="0" w:space="0" w:color="auto"/>
                    <w:left w:val="none" w:sz="0" w:space="0" w:color="auto"/>
                    <w:bottom w:val="none" w:sz="0" w:space="0" w:color="auto"/>
                    <w:right w:val="none" w:sz="0" w:space="0" w:color="auto"/>
                  </w:divBdr>
                  <w:divsChild>
                    <w:div w:id="908879433">
                      <w:marLeft w:val="0"/>
                      <w:marRight w:val="0"/>
                      <w:marTop w:val="0"/>
                      <w:marBottom w:val="0"/>
                      <w:divBdr>
                        <w:top w:val="none" w:sz="0" w:space="0" w:color="auto"/>
                        <w:left w:val="none" w:sz="0" w:space="0" w:color="auto"/>
                        <w:bottom w:val="none" w:sz="0" w:space="0" w:color="auto"/>
                        <w:right w:val="none" w:sz="0" w:space="0" w:color="auto"/>
                      </w:divBdr>
                      <w:divsChild>
                        <w:div w:id="1616254779">
                          <w:marLeft w:val="0"/>
                          <w:marRight w:val="0"/>
                          <w:marTop w:val="0"/>
                          <w:marBottom w:val="0"/>
                          <w:divBdr>
                            <w:top w:val="none" w:sz="0" w:space="0" w:color="auto"/>
                            <w:left w:val="none" w:sz="0" w:space="0" w:color="auto"/>
                            <w:bottom w:val="none" w:sz="0" w:space="0" w:color="auto"/>
                            <w:right w:val="none" w:sz="0" w:space="0" w:color="auto"/>
                          </w:divBdr>
                          <w:divsChild>
                            <w:div w:id="1749645203">
                              <w:marLeft w:val="0"/>
                              <w:marRight w:val="0"/>
                              <w:marTop w:val="0"/>
                              <w:marBottom w:val="0"/>
                              <w:divBdr>
                                <w:top w:val="none" w:sz="0" w:space="0" w:color="auto"/>
                                <w:left w:val="none" w:sz="0" w:space="0" w:color="auto"/>
                                <w:bottom w:val="none" w:sz="0" w:space="0" w:color="auto"/>
                                <w:right w:val="none" w:sz="0" w:space="0" w:color="auto"/>
                              </w:divBdr>
                              <w:divsChild>
                                <w:div w:id="499463074">
                                  <w:marLeft w:val="0"/>
                                  <w:marRight w:val="0"/>
                                  <w:marTop w:val="0"/>
                                  <w:marBottom w:val="0"/>
                                  <w:divBdr>
                                    <w:top w:val="none" w:sz="0" w:space="0" w:color="auto"/>
                                    <w:left w:val="none" w:sz="0" w:space="0" w:color="auto"/>
                                    <w:bottom w:val="none" w:sz="0" w:space="0" w:color="auto"/>
                                    <w:right w:val="none" w:sz="0" w:space="0" w:color="auto"/>
                                  </w:divBdr>
                                  <w:divsChild>
                                    <w:div w:id="1168714222">
                                      <w:marLeft w:val="0"/>
                                      <w:marRight w:val="0"/>
                                      <w:marTop w:val="0"/>
                                      <w:marBottom w:val="0"/>
                                      <w:divBdr>
                                        <w:top w:val="none" w:sz="0" w:space="0" w:color="auto"/>
                                        <w:left w:val="none" w:sz="0" w:space="0" w:color="auto"/>
                                        <w:bottom w:val="none" w:sz="0" w:space="0" w:color="auto"/>
                                        <w:right w:val="none" w:sz="0" w:space="0" w:color="auto"/>
                                      </w:divBdr>
                                      <w:divsChild>
                                        <w:div w:id="1156803650">
                                          <w:marLeft w:val="0"/>
                                          <w:marRight w:val="0"/>
                                          <w:marTop w:val="0"/>
                                          <w:marBottom w:val="0"/>
                                          <w:divBdr>
                                            <w:top w:val="none" w:sz="0" w:space="0" w:color="auto"/>
                                            <w:left w:val="none" w:sz="0" w:space="0" w:color="auto"/>
                                            <w:bottom w:val="none" w:sz="0" w:space="0" w:color="auto"/>
                                            <w:right w:val="none" w:sz="0" w:space="0" w:color="auto"/>
                                          </w:divBdr>
                                          <w:divsChild>
                                            <w:div w:id="626011177">
                                              <w:marLeft w:val="0"/>
                                              <w:marRight w:val="0"/>
                                              <w:marTop w:val="0"/>
                                              <w:marBottom w:val="0"/>
                                              <w:divBdr>
                                                <w:top w:val="none" w:sz="0" w:space="0" w:color="auto"/>
                                                <w:left w:val="none" w:sz="0" w:space="0" w:color="auto"/>
                                                <w:bottom w:val="none" w:sz="0" w:space="0" w:color="auto"/>
                                                <w:right w:val="none" w:sz="0" w:space="0" w:color="auto"/>
                                              </w:divBdr>
                                              <w:divsChild>
                                                <w:div w:id="1101729474">
                                                  <w:marLeft w:val="0"/>
                                                  <w:marRight w:val="0"/>
                                                  <w:marTop w:val="0"/>
                                                  <w:marBottom w:val="0"/>
                                                  <w:divBdr>
                                                    <w:top w:val="none" w:sz="0" w:space="0" w:color="auto"/>
                                                    <w:left w:val="none" w:sz="0" w:space="0" w:color="auto"/>
                                                    <w:bottom w:val="none" w:sz="0" w:space="0" w:color="auto"/>
                                                    <w:right w:val="none" w:sz="0" w:space="0" w:color="auto"/>
                                                  </w:divBdr>
                                                  <w:divsChild>
                                                    <w:div w:id="259215425">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250968515">
      <w:bodyDiv w:val="1"/>
      <w:marLeft w:val="0"/>
      <w:marRight w:val="0"/>
      <w:marTop w:val="0"/>
      <w:marBottom w:val="0"/>
      <w:divBdr>
        <w:top w:val="none" w:sz="0" w:space="0" w:color="auto"/>
        <w:left w:val="none" w:sz="0" w:space="0" w:color="auto"/>
        <w:bottom w:val="none" w:sz="0" w:space="0" w:color="auto"/>
        <w:right w:val="none" w:sz="0" w:space="0" w:color="auto"/>
      </w:divBdr>
    </w:div>
    <w:div w:id="1257010463">
      <w:bodyDiv w:val="1"/>
      <w:marLeft w:val="0"/>
      <w:marRight w:val="0"/>
      <w:marTop w:val="0"/>
      <w:marBottom w:val="0"/>
      <w:divBdr>
        <w:top w:val="none" w:sz="0" w:space="0" w:color="auto"/>
        <w:left w:val="none" w:sz="0" w:space="0" w:color="auto"/>
        <w:bottom w:val="none" w:sz="0" w:space="0" w:color="auto"/>
        <w:right w:val="none" w:sz="0" w:space="0" w:color="auto"/>
      </w:divBdr>
    </w:div>
    <w:div w:id="1275600747">
      <w:bodyDiv w:val="1"/>
      <w:marLeft w:val="0"/>
      <w:marRight w:val="0"/>
      <w:marTop w:val="0"/>
      <w:marBottom w:val="0"/>
      <w:divBdr>
        <w:top w:val="none" w:sz="0" w:space="0" w:color="auto"/>
        <w:left w:val="none" w:sz="0" w:space="0" w:color="auto"/>
        <w:bottom w:val="none" w:sz="0" w:space="0" w:color="auto"/>
        <w:right w:val="none" w:sz="0" w:space="0" w:color="auto"/>
      </w:divBdr>
    </w:div>
    <w:div w:id="1295600509">
      <w:bodyDiv w:val="1"/>
      <w:marLeft w:val="0"/>
      <w:marRight w:val="0"/>
      <w:marTop w:val="0"/>
      <w:marBottom w:val="0"/>
      <w:divBdr>
        <w:top w:val="none" w:sz="0" w:space="0" w:color="auto"/>
        <w:left w:val="none" w:sz="0" w:space="0" w:color="auto"/>
        <w:bottom w:val="none" w:sz="0" w:space="0" w:color="auto"/>
        <w:right w:val="none" w:sz="0" w:space="0" w:color="auto"/>
      </w:divBdr>
    </w:div>
    <w:div w:id="1305158660">
      <w:bodyDiv w:val="1"/>
      <w:marLeft w:val="0"/>
      <w:marRight w:val="0"/>
      <w:marTop w:val="0"/>
      <w:marBottom w:val="0"/>
      <w:divBdr>
        <w:top w:val="none" w:sz="0" w:space="0" w:color="auto"/>
        <w:left w:val="none" w:sz="0" w:space="0" w:color="auto"/>
        <w:bottom w:val="none" w:sz="0" w:space="0" w:color="auto"/>
        <w:right w:val="none" w:sz="0" w:space="0" w:color="auto"/>
      </w:divBdr>
    </w:div>
    <w:div w:id="1312293388">
      <w:bodyDiv w:val="1"/>
      <w:marLeft w:val="0"/>
      <w:marRight w:val="0"/>
      <w:marTop w:val="0"/>
      <w:marBottom w:val="0"/>
      <w:divBdr>
        <w:top w:val="none" w:sz="0" w:space="0" w:color="auto"/>
        <w:left w:val="none" w:sz="0" w:space="0" w:color="auto"/>
        <w:bottom w:val="none" w:sz="0" w:space="0" w:color="auto"/>
        <w:right w:val="none" w:sz="0" w:space="0" w:color="auto"/>
      </w:divBdr>
    </w:div>
    <w:div w:id="1315179416">
      <w:bodyDiv w:val="1"/>
      <w:marLeft w:val="0"/>
      <w:marRight w:val="0"/>
      <w:marTop w:val="0"/>
      <w:marBottom w:val="0"/>
      <w:divBdr>
        <w:top w:val="none" w:sz="0" w:space="0" w:color="auto"/>
        <w:left w:val="none" w:sz="0" w:space="0" w:color="auto"/>
        <w:bottom w:val="none" w:sz="0" w:space="0" w:color="auto"/>
        <w:right w:val="none" w:sz="0" w:space="0" w:color="auto"/>
      </w:divBdr>
    </w:div>
    <w:div w:id="1320234569">
      <w:bodyDiv w:val="1"/>
      <w:marLeft w:val="0"/>
      <w:marRight w:val="0"/>
      <w:marTop w:val="0"/>
      <w:marBottom w:val="0"/>
      <w:divBdr>
        <w:top w:val="none" w:sz="0" w:space="0" w:color="auto"/>
        <w:left w:val="none" w:sz="0" w:space="0" w:color="auto"/>
        <w:bottom w:val="none" w:sz="0" w:space="0" w:color="auto"/>
        <w:right w:val="none" w:sz="0" w:space="0" w:color="auto"/>
      </w:divBdr>
    </w:div>
    <w:div w:id="1325473664">
      <w:bodyDiv w:val="1"/>
      <w:marLeft w:val="0"/>
      <w:marRight w:val="0"/>
      <w:marTop w:val="0"/>
      <w:marBottom w:val="0"/>
      <w:divBdr>
        <w:top w:val="none" w:sz="0" w:space="0" w:color="auto"/>
        <w:left w:val="none" w:sz="0" w:space="0" w:color="auto"/>
        <w:bottom w:val="none" w:sz="0" w:space="0" w:color="auto"/>
        <w:right w:val="none" w:sz="0" w:space="0" w:color="auto"/>
      </w:divBdr>
    </w:div>
    <w:div w:id="1326670206">
      <w:bodyDiv w:val="1"/>
      <w:marLeft w:val="0"/>
      <w:marRight w:val="0"/>
      <w:marTop w:val="0"/>
      <w:marBottom w:val="0"/>
      <w:divBdr>
        <w:top w:val="none" w:sz="0" w:space="0" w:color="auto"/>
        <w:left w:val="none" w:sz="0" w:space="0" w:color="auto"/>
        <w:bottom w:val="none" w:sz="0" w:space="0" w:color="auto"/>
        <w:right w:val="none" w:sz="0" w:space="0" w:color="auto"/>
      </w:divBdr>
    </w:div>
    <w:div w:id="1340042873">
      <w:bodyDiv w:val="1"/>
      <w:marLeft w:val="0"/>
      <w:marRight w:val="0"/>
      <w:marTop w:val="0"/>
      <w:marBottom w:val="0"/>
      <w:divBdr>
        <w:top w:val="none" w:sz="0" w:space="0" w:color="auto"/>
        <w:left w:val="none" w:sz="0" w:space="0" w:color="auto"/>
        <w:bottom w:val="none" w:sz="0" w:space="0" w:color="auto"/>
        <w:right w:val="none" w:sz="0" w:space="0" w:color="auto"/>
      </w:divBdr>
    </w:div>
    <w:div w:id="1340935052">
      <w:bodyDiv w:val="1"/>
      <w:marLeft w:val="0"/>
      <w:marRight w:val="0"/>
      <w:marTop w:val="0"/>
      <w:marBottom w:val="0"/>
      <w:divBdr>
        <w:top w:val="none" w:sz="0" w:space="0" w:color="auto"/>
        <w:left w:val="none" w:sz="0" w:space="0" w:color="auto"/>
        <w:bottom w:val="none" w:sz="0" w:space="0" w:color="auto"/>
        <w:right w:val="none" w:sz="0" w:space="0" w:color="auto"/>
      </w:divBdr>
    </w:div>
    <w:div w:id="1342388082">
      <w:bodyDiv w:val="1"/>
      <w:marLeft w:val="0"/>
      <w:marRight w:val="0"/>
      <w:marTop w:val="0"/>
      <w:marBottom w:val="0"/>
      <w:divBdr>
        <w:top w:val="none" w:sz="0" w:space="0" w:color="auto"/>
        <w:left w:val="none" w:sz="0" w:space="0" w:color="auto"/>
        <w:bottom w:val="none" w:sz="0" w:space="0" w:color="auto"/>
        <w:right w:val="none" w:sz="0" w:space="0" w:color="auto"/>
      </w:divBdr>
    </w:div>
    <w:div w:id="1369834494">
      <w:bodyDiv w:val="1"/>
      <w:marLeft w:val="0"/>
      <w:marRight w:val="0"/>
      <w:marTop w:val="0"/>
      <w:marBottom w:val="0"/>
      <w:divBdr>
        <w:top w:val="none" w:sz="0" w:space="0" w:color="auto"/>
        <w:left w:val="none" w:sz="0" w:space="0" w:color="auto"/>
        <w:bottom w:val="none" w:sz="0" w:space="0" w:color="auto"/>
        <w:right w:val="none" w:sz="0" w:space="0" w:color="auto"/>
      </w:divBdr>
      <w:divsChild>
        <w:div w:id="116264856">
          <w:marLeft w:val="0"/>
          <w:marRight w:val="0"/>
          <w:marTop w:val="0"/>
          <w:marBottom w:val="0"/>
          <w:divBdr>
            <w:top w:val="none" w:sz="0" w:space="0" w:color="auto"/>
            <w:left w:val="none" w:sz="0" w:space="0" w:color="auto"/>
            <w:bottom w:val="none" w:sz="0" w:space="0" w:color="auto"/>
            <w:right w:val="none" w:sz="0" w:space="0" w:color="auto"/>
          </w:divBdr>
          <w:divsChild>
            <w:div w:id="1792164999">
              <w:marLeft w:val="0"/>
              <w:marRight w:val="0"/>
              <w:marTop w:val="0"/>
              <w:marBottom w:val="0"/>
              <w:divBdr>
                <w:top w:val="none" w:sz="0" w:space="0" w:color="auto"/>
                <w:left w:val="none" w:sz="0" w:space="0" w:color="auto"/>
                <w:bottom w:val="none" w:sz="0" w:space="0" w:color="auto"/>
                <w:right w:val="none" w:sz="0" w:space="0" w:color="auto"/>
              </w:divBdr>
              <w:divsChild>
                <w:div w:id="509566782">
                  <w:marLeft w:val="0"/>
                  <w:marRight w:val="0"/>
                  <w:marTop w:val="0"/>
                  <w:marBottom w:val="0"/>
                  <w:divBdr>
                    <w:top w:val="none" w:sz="0" w:space="0" w:color="auto"/>
                    <w:left w:val="none" w:sz="0" w:space="0" w:color="auto"/>
                    <w:bottom w:val="none" w:sz="0" w:space="0" w:color="auto"/>
                    <w:right w:val="none" w:sz="0" w:space="0" w:color="auto"/>
                  </w:divBdr>
                  <w:divsChild>
                    <w:div w:id="1146043857">
                      <w:marLeft w:val="0"/>
                      <w:marRight w:val="0"/>
                      <w:marTop w:val="0"/>
                      <w:marBottom w:val="0"/>
                      <w:divBdr>
                        <w:top w:val="none" w:sz="0" w:space="0" w:color="auto"/>
                        <w:left w:val="none" w:sz="0" w:space="0" w:color="auto"/>
                        <w:bottom w:val="none" w:sz="0" w:space="0" w:color="auto"/>
                        <w:right w:val="none" w:sz="0" w:space="0" w:color="auto"/>
                      </w:divBdr>
                      <w:divsChild>
                        <w:div w:id="1155104291">
                          <w:marLeft w:val="0"/>
                          <w:marRight w:val="0"/>
                          <w:marTop w:val="0"/>
                          <w:marBottom w:val="0"/>
                          <w:divBdr>
                            <w:top w:val="none" w:sz="0" w:space="0" w:color="auto"/>
                            <w:left w:val="none" w:sz="0" w:space="0" w:color="auto"/>
                            <w:bottom w:val="none" w:sz="0" w:space="0" w:color="auto"/>
                            <w:right w:val="none" w:sz="0" w:space="0" w:color="auto"/>
                          </w:divBdr>
                          <w:divsChild>
                            <w:div w:id="951326560">
                              <w:marLeft w:val="0"/>
                              <w:marRight w:val="0"/>
                              <w:marTop w:val="0"/>
                              <w:marBottom w:val="0"/>
                              <w:divBdr>
                                <w:top w:val="none" w:sz="0" w:space="0" w:color="auto"/>
                                <w:left w:val="none" w:sz="0" w:space="0" w:color="auto"/>
                                <w:bottom w:val="none" w:sz="0" w:space="0" w:color="auto"/>
                                <w:right w:val="none" w:sz="0" w:space="0" w:color="auto"/>
                              </w:divBdr>
                              <w:divsChild>
                                <w:div w:id="1432359792">
                                  <w:marLeft w:val="0"/>
                                  <w:marRight w:val="0"/>
                                  <w:marTop w:val="0"/>
                                  <w:marBottom w:val="0"/>
                                  <w:divBdr>
                                    <w:top w:val="none" w:sz="0" w:space="0" w:color="auto"/>
                                    <w:left w:val="none" w:sz="0" w:space="0" w:color="auto"/>
                                    <w:bottom w:val="none" w:sz="0" w:space="0" w:color="auto"/>
                                    <w:right w:val="none" w:sz="0" w:space="0" w:color="auto"/>
                                  </w:divBdr>
                                  <w:divsChild>
                                    <w:div w:id="645479464">
                                      <w:marLeft w:val="0"/>
                                      <w:marRight w:val="0"/>
                                      <w:marTop w:val="0"/>
                                      <w:marBottom w:val="0"/>
                                      <w:divBdr>
                                        <w:top w:val="none" w:sz="0" w:space="0" w:color="auto"/>
                                        <w:left w:val="none" w:sz="0" w:space="0" w:color="auto"/>
                                        <w:bottom w:val="none" w:sz="0" w:space="0" w:color="auto"/>
                                        <w:right w:val="none" w:sz="0" w:space="0" w:color="auto"/>
                                      </w:divBdr>
                                      <w:divsChild>
                                        <w:div w:id="1091969424">
                                          <w:marLeft w:val="0"/>
                                          <w:marRight w:val="0"/>
                                          <w:marTop w:val="0"/>
                                          <w:marBottom w:val="0"/>
                                          <w:divBdr>
                                            <w:top w:val="none" w:sz="0" w:space="0" w:color="auto"/>
                                            <w:left w:val="none" w:sz="0" w:space="0" w:color="auto"/>
                                            <w:bottom w:val="none" w:sz="0" w:space="0" w:color="auto"/>
                                            <w:right w:val="none" w:sz="0" w:space="0" w:color="auto"/>
                                          </w:divBdr>
                                          <w:divsChild>
                                            <w:div w:id="1329598700">
                                              <w:marLeft w:val="0"/>
                                              <w:marRight w:val="0"/>
                                              <w:marTop w:val="0"/>
                                              <w:marBottom w:val="0"/>
                                              <w:divBdr>
                                                <w:top w:val="none" w:sz="0" w:space="0" w:color="auto"/>
                                                <w:left w:val="none" w:sz="0" w:space="0" w:color="auto"/>
                                                <w:bottom w:val="none" w:sz="0" w:space="0" w:color="auto"/>
                                                <w:right w:val="none" w:sz="0" w:space="0" w:color="auto"/>
                                              </w:divBdr>
                                              <w:divsChild>
                                                <w:div w:id="1787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863727">
      <w:bodyDiv w:val="1"/>
      <w:marLeft w:val="0"/>
      <w:marRight w:val="0"/>
      <w:marTop w:val="0"/>
      <w:marBottom w:val="0"/>
      <w:divBdr>
        <w:top w:val="none" w:sz="0" w:space="0" w:color="auto"/>
        <w:left w:val="none" w:sz="0" w:space="0" w:color="auto"/>
        <w:bottom w:val="none" w:sz="0" w:space="0" w:color="auto"/>
        <w:right w:val="none" w:sz="0" w:space="0" w:color="auto"/>
      </w:divBdr>
    </w:div>
    <w:div w:id="1411924277">
      <w:bodyDiv w:val="1"/>
      <w:marLeft w:val="0"/>
      <w:marRight w:val="0"/>
      <w:marTop w:val="0"/>
      <w:marBottom w:val="0"/>
      <w:divBdr>
        <w:top w:val="none" w:sz="0" w:space="0" w:color="auto"/>
        <w:left w:val="none" w:sz="0" w:space="0" w:color="auto"/>
        <w:bottom w:val="none" w:sz="0" w:space="0" w:color="auto"/>
        <w:right w:val="none" w:sz="0" w:space="0" w:color="auto"/>
      </w:divBdr>
      <w:divsChild>
        <w:div w:id="729815454">
          <w:marLeft w:val="0"/>
          <w:marRight w:val="0"/>
          <w:marTop w:val="0"/>
          <w:marBottom w:val="0"/>
          <w:divBdr>
            <w:top w:val="none" w:sz="0" w:space="0" w:color="auto"/>
            <w:left w:val="none" w:sz="0" w:space="0" w:color="auto"/>
            <w:bottom w:val="none" w:sz="0" w:space="0" w:color="auto"/>
            <w:right w:val="none" w:sz="0" w:space="0" w:color="auto"/>
          </w:divBdr>
          <w:divsChild>
            <w:div w:id="1331904347">
              <w:marLeft w:val="0"/>
              <w:marRight w:val="0"/>
              <w:marTop w:val="0"/>
              <w:marBottom w:val="0"/>
              <w:divBdr>
                <w:top w:val="none" w:sz="0" w:space="0" w:color="auto"/>
                <w:left w:val="none" w:sz="0" w:space="0" w:color="auto"/>
                <w:bottom w:val="none" w:sz="0" w:space="0" w:color="auto"/>
                <w:right w:val="none" w:sz="0" w:space="0" w:color="auto"/>
              </w:divBdr>
              <w:divsChild>
                <w:div w:id="1163662176">
                  <w:marLeft w:val="0"/>
                  <w:marRight w:val="0"/>
                  <w:marTop w:val="0"/>
                  <w:marBottom w:val="0"/>
                  <w:divBdr>
                    <w:top w:val="none" w:sz="0" w:space="0" w:color="auto"/>
                    <w:left w:val="none" w:sz="0" w:space="0" w:color="auto"/>
                    <w:bottom w:val="none" w:sz="0" w:space="0" w:color="auto"/>
                    <w:right w:val="none" w:sz="0" w:space="0" w:color="auto"/>
                  </w:divBdr>
                  <w:divsChild>
                    <w:div w:id="886768669">
                      <w:marLeft w:val="0"/>
                      <w:marRight w:val="0"/>
                      <w:marTop w:val="0"/>
                      <w:marBottom w:val="0"/>
                      <w:divBdr>
                        <w:top w:val="none" w:sz="0" w:space="0" w:color="auto"/>
                        <w:left w:val="none" w:sz="0" w:space="0" w:color="auto"/>
                        <w:bottom w:val="none" w:sz="0" w:space="0" w:color="auto"/>
                        <w:right w:val="none" w:sz="0" w:space="0" w:color="auto"/>
                      </w:divBdr>
                      <w:divsChild>
                        <w:div w:id="1042438392">
                          <w:marLeft w:val="0"/>
                          <w:marRight w:val="0"/>
                          <w:marTop w:val="0"/>
                          <w:marBottom w:val="0"/>
                          <w:divBdr>
                            <w:top w:val="none" w:sz="0" w:space="0" w:color="auto"/>
                            <w:left w:val="none" w:sz="0" w:space="0" w:color="auto"/>
                            <w:bottom w:val="none" w:sz="0" w:space="0" w:color="auto"/>
                            <w:right w:val="none" w:sz="0" w:space="0" w:color="auto"/>
                          </w:divBdr>
                          <w:divsChild>
                            <w:div w:id="760373937">
                              <w:marLeft w:val="0"/>
                              <w:marRight w:val="0"/>
                              <w:marTop w:val="0"/>
                              <w:marBottom w:val="0"/>
                              <w:divBdr>
                                <w:top w:val="none" w:sz="0" w:space="0" w:color="auto"/>
                                <w:left w:val="none" w:sz="0" w:space="0" w:color="auto"/>
                                <w:bottom w:val="none" w:sz="0" w:space="0" w:color="auto"/>
                                <w:right w:val="none" w:sz="0" w:space="0" w:color="auto"/>
                              </w:divBdr>
                              <w:divsChild>
                                <w:div w:id="1508595095">
                                  <w:marLeft w:val="0"/>
                                  <w:marRight w:val="0"/>
                                  <w:marTop w:val="0"/>
                                  <w:marBottom w:val="0"/>
                                  <w:divBdr>
                                    <w:top w:val="none" w:sz="0" w:space="0" w:color="auto"/>
                                    <w:left w:val="none" w:sz="0" w:space="0" w:color="auto"/>
                                    <w:bottom w:val="none" w:sz="0" w:space="0" w:color="auto"/>
                                    <w:right w:val="none" w:sz="0" w:space="0" w:color="auto"/>
                                  </w:divBdr>
                                  <w:divsChild>
                                    <w:div w:id="2119829236">
                                      <w:marLeft w:val="0"/>
                                      <w:marRight w:val="0"/>
                                      <w:marTop w:val="0"/>
                                      <w:marBottom w:val="0"/>
                                      <w:divBdr>
                                        <w:top w:val="none" w:sz="0" w:space="0" w:color="auto"/>
                                        <w:left w:val="none" w:sz="0" w:space="0" w:color="auto"/>
                                        <w:bottom w:val="none" w:sz="0" w:space="0" w:color="auto"/>
                                        <w:right w:val="none" w:sz="0" w:space="0" w:color="auto"/>
                                      </w:divBdr>
                                      <w:divsChild>
                                        <w:div w:id="1872717014">
                                          <w:marLeft w:val="0"/>
                                          <w:marRight w:val="0"/>
                                          <w:marTop w:val="0"/>
                                          <w:marBottom w:val="0"/>
                                          <w:divBdr>
                                            <w:top w:val="none" w:sz="0" w:space="0" w:color="auto"/>
                                            <w:left w:val="none" w:sz="0" w:space="0" w:color="auto"/>
                                            <w:bottom w:val="none" w:sz="0" w:space="0" w:color="auto"/>
                                            <w:right w:val="none" w:sz="0" w:space="0" w:color="auto"/>
                                          </w:divBdr>
                                          <w:divsChild>
                                            <w:div w:id="2040007897">
                                              <w:marLeft w:val="0"/>
                                              <w:marRight w:val="0"/>
                                              <w:marTop w:val="0"/>
                                              <w:marBottom w:val="0"/>
                                              <w:divBdr>
                                                <w:top w:val="none" w:sz="0" w:space="0" w:color="auto"/>
                                                <w:left w:val="none" w:sz="0" w:space="0" w:color="auto"/>
                                                <w:bottom w:val="none" w:sz="0" w:space="0" w:color="auto"/>
                                                <w:right w:val="none" w:sz="0" w:space="0" w:color="auto"/>
                                              </w:divBdr>
                                              <w:divsChild>
                                                <w:div w:id="7103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340026">
      <w:bodyDiv w:val="1"/>
      <w:marLeft w:val="0"/>
      <w:marRight w:val="0"/>
      <w:marTop w:val="0"/>
      <w:marBottom w:val="0"/>
      <w:divBdr>
        <w:top w:val="none" w:sz="0" w:space="0" w:color="auto"/>
        <w:left w:val="none" w:sz="0" w:space="0" w:color="auto"/>
        <w:bottom w:val="none" w:sz="0" w:space="0" w:color="auto"/>
        <w:right w:val="none" w:sz="0" w:space="0" w:color="auto"/>
      </w:divBdr>
    </w:div>
    <w:div w:id="1434477057">
      <w:bodyDiv w:val="1"/>
      <w:marLeft w:val="0"/>
      <w:marRight w:val="0"/>
      <w:marTop w:val="0"/>
      <w:marBottom w:val="0"/>
      <w:divBdr>
        <w:top w:val="none" w:sz="0" w:space="0" w:color="auto"/>
        <w:left w:val="none" w:sz="0" w:space="0" w:color="auto"/>
        <w:bottom w:val="none" w:sz="0" w:space="0" w:color="auto"/>
        <w:right w:val="none" w:sz="0" w:space="0" w:color="auto"/>
      </w:divBdr>
    </w:div>
    <w:div w:id="1454011439">
      <w:bodyDiv w:val="1"/>
      <w:marLeft w:val="0"/>
      <w:marRight w:val="0"/>
      <w:marTop w:val="0"/>
      <w:marBottom w:val="0"/>
      <w:divBdr>
        <w:top w:val="none" w:sz="0" w:space="0" w:color="auto"/>
        <w:left w:val="none" w:sz="0" w:space="0" w:color="auto"/>
        <w:bottom w:val="none" w:sz="0" w:space="0" w:color="auto"/>
        <w:right w:val="none" w:sz="0" w:space="0" w:color="auto"/>
      </w:divBdr>
    </w:div>
    <w:div w:id="1477146949">
      <w:bodyDiv w:val="1"/>
      <w:marLeft w:val="0"/>
      <w:marRight w:val="0"/>
      <w:marTop w:val="0"/>
      <w:marBottom w:val="0"/>
      <w:divBdr>
        <w:top w:val="none" w:sz="0" w:space="0" w:color="auto"/>
        <w:left w:val="none" w:sz="0" w:space="0" w:color="auto"/>
        <w:bottom w:val="none" w:sz="0" w:space="0" w:color="auto"/>
        <w:right w:val="none" w:sz="0" w:space="0" w:color="auto"/>
      </w:divBdr>
      <w:divsChild>
        <w:div w:id="1338070638">
          <w:marLeft w:val="0"/>
          <w:marRight w:val="0"/>
          <w:marTop w:val="0"/>
          <w:marBottom w:val="0"/>
          <w:divBdr>
            <w:top w:val="none" w:sz="0" w:space="0" w:color="auto"/>
            <w:left w:val="none" w:sz="0" w:space="0" w:color="auto"/>
            <w:bottom w:val="none" w:sz="0" w:space="0" w:color="auto"/>
            <w:right w:val="none" w:sz="0" w:space="0" w:color="auto"/>
          </w:divBdr>
          <w:divsChild>
            <w:div w:id="1245454811">
              <w:marLeft w:val="0"/>
              <w:marRight w:val="0"/>
              <w:marTop w:val="0"/>
              <w:marBottom w:val="0"/>
              <w:divBdr>
                <w:top w:val="none" w:sz="0" w:space="0" w:color="auto"/>
                <w:left w:val="none" w:sz="0" w:space="0" w:color="auto"/>
                <w:bottom w:val="none" w:sz="0" w:space="0" w:color="auto"/>
                <w:right w:val="none" w:sz="0" w:space="0" w:color="auto"/>
              </w:divBdr>
              <w:divsChild>
                <w:div w:id="890189566">
                  <w:marLeft w:val="0"/>
                  <w:marRight w:val="0"/>
                  <w:marTop w:val="0"/>
                  <w:marBottom w:val="0"/>
                  <w:divBdr>
                    <w:top w:val="none" w:sz="0" w:space="0" w:color="auto"/>
                    <w:left w:val="none" w:sz="0" w:space="0" w:color="auto"/>
                    <w:bottom w:val="none" w:sz="0" w:space="0" w:color="auto"/>
                    <w:right w:val="none" w:sz="0" w:space="0" w:color="auto"/>
                  </w:divBdr>
                  <w:divsChild>
                    <w:div w:id="1278022121">
                      <w:marLeft w:val="0"/>
                      <w:marRight w:val="0"/>
                      <w:marTop w:val="0"/>
                      <w:marBottom w:val="0"/>
                      <w:divBdr>
                        <w:top w:val="none" w:sz="0" w:space="0" w:color="auto"/>
                        <w:left w:val="none" w:sz="0" w:space="0" w:color="auto"/>
                        <w:bottom w:val="none" w:sz="0" w:space="0" w:color="auto"/>
                        <w:right w:val="none" w:sz="0" w:space="0" w:color="auto"/>
                      </w:divBdr>
                      <w:divsChild>
                        <w:div w:id="2125298311">
                          <w:marLeft w:val="0"/>
                          <w:marRight w:val="0"/>
                          <w:marTop w:val="0"/>
                          <w:marBottom w:val="0"/>
                          <w:divBdr>
                            <w:top w:val="none" w:sz="0" w:space="0" w:color="auto"/>
                            <w:left w:val="none" w:sz="0" w:space="0" w:color="auto"/>
                            <w:bottom w:val="none" w:sz="0" w:space="0" w:color="auto"/>
                            <w:right w:val="none" w:sz="0" w:space="0" w:color="auto"/>
                          </w:divBdr>
                          <w:divsChild>
                            <w:div w:id="1376198878">
                              <w:marLeft w:val="0"/>
                              <w:marRight w:val="0"/>
                              <w:marTop w:val="0"/>
                              <w:marBottom w:val="0"/>
                              <w:divBdr>
                                <w:top w:val="none" w:sz="0" w:space="0" w:color="auto"/>
                                <w:left w:val="none" w:sz="0" w:space="0" w:color="auto"/>
                                <w:bottom w:val="none" w:sz="0" w:space="0" w:color="auto"/>
                                <w:right w:val="none" w:sz="0" w:space="0" w:color="auto"/>
                              </w:divBdr>
                              <w:divsChild>
                                <w:div w:id="702705000">
                                  <w:marLeft w:val="0"/>
                                  <w:marRight w:val="0"/>
                                  <w:marTop w:val="0"/>
                                  <w:marBottom w:val="0"/>
                                  <w:divBdr>
                                    <w:top w:val="none" w:sz="0" w:space="0" w:color="auto"/>
                                    <w:left w:val="none" w:sz="0" w:space="0" w:color="auto"/>
                                    <w:bottom w:val="none" w:sz="0" w:space="0" w:color="auto"/>
                                    <w:right w:val="none" w:sz="0" w:space="0" w:color="auto"/>
                                  </w:divBdr>
                                  <w:divsChild>
                                    <w:div w:id="76101310">
                                      <w:marLeft w:val="0"/>
                                      <w:marRight w:val="0"/>
                                      <w:marTop w:val="0"/>
                                      <w:marBottom w:val="0"/>
                                      <w:divBdr>
                                        <w:top w:val="none" w:sz="0" w:space="0" w:color="auto"/>
                                        <w:left w:val="none" w:sz="0" w:space="0" w:color="auto"/>
                                        <w:bottom w:val="none" w:sz="0" w:space="0" w:color="auto"/>
                                        <w:right w:val="none" w:sz="0" w:space="0" w:color="auto"/>
                                      </w:divBdr>
                                      <w:divsChild>
                                        <w:div w:id="1565990384">
                                          <w:marLeft w:val="0"/>
                                          <w:marRight w:val="0"/>
                                          <w:marTop w:val="0"/>
                                          <w:marBottom w:val="0"/>
                                          <w:divBdr>
                                            <w:top w:val="none" w:sz="0" w:space="0" w:color="auto"/>
                                            <w:left w:val="none" w:sz="0" w:space="0" w:color="auto"/>
                                            <w:bottom w:val="none" w:sz="0" w:space="0" w:color="auto"/>
                                            <w:right w:val="none" w:sz="0" w:space="0" w:color="auto"/>
                                          </w:divBdr>
                                          <w:divsChild>
                                            <w:div w:id="155531927">
                                              <w:marLeft w:val="0"/>
                                              <w:marRight w:val="0"/>
                                              <w:marTop w:val="0"/>
                                              <w:marBottom w:val="0"/>
                                              <w:divBdr>
                                                <w:top w:val="none" w:sz="0" w:space="0" w:color="auto"/>
                                                <w:left w:val="none" w:sz="0" w:space="0" w:color="auto"/>
                                                <w:bottom w:val="none" w:sz="0" w:space="0" w:color="auto"/>
                                                <w:right w:val="none" w:sz="0" w:space="0" w:color="auto"/>
                                              </w:divBdr>
                                              <w:divsChild>
                                                <w:div w:id="66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026943">
      <w:bodyDiv w:val="1"/>
      <w:marLeft w:val="0"/>
      <w:marRight w:val="0"/>
      <w:marTop w:val="0"/>
      <w:marBottom w:val="0"/>
      <w:divBdr>
        <w:top w:val="none" w:sz="0" w:space="0" w:color="auto"/>
        <w:left w:val="none" w:sz="0" w:space="0" w:color="auto"/>
        <w:bottom w:val="none" w:sz="0" w:space="0" w:color="auto"/>
        <w:right w:val="none" w:sz="0" w:space="0" w:color="auto"/>
      </w:divBdr>
    </w:div>
    <w:div w:id="1504591260">
      <w:bodyDiv w:val="1"/>
      <w:marLeft w:val="0"/>
      <w:marRight w:val="0"/>
      <w:marTop w:val="0"/>
      <w:marBottom w:val="0"/>
      <w:divBdr>
        <w:top w:val="none" w:sz="0" w:space="0" w:color="auto"/>
        <w:left w:val="none" w:sz="0" w:space="0" w:color="auto"/>
        <w:bottom w:val="none" w:sz="0" w:space="0" w:color="auto"/>
        <w:right w:val="none" w:sz="0" w:space="0" w:color="auto"/>
      </w:divBdr>
    </w:div>
    <w:div w:id="1509716032">
      <w:bodyDiv w:val="1"/>
      <w:marLeft w:val="0"/>
      <w:marRight w:val="0"/>
      <w:marTop w:val="0"/>
      <w:marBottom w:val="0"/>
      <w:divBdr>
        <w:top w:val="none" w:sz="0" w:space="0" w:color="auto"/>
        <w:left w:val="none" w:sz="0" w:space="0" w:color="auto"/>
        <w:bottom w:val="none" w:sz="0" w:space="0" w:color="auto"/>
        <w:right w:val="none" w:sz="0" w:space="0" w:color="auto"/>
      </w:divBdr>
      <w:divsChild>
        <w:div w:id="729108498">
          <w:marLeft w:val="0"/>
          <w:marRight w:val="0"/>
          <w:marTop w:val="0"/>
          <w:marBottom w:val="0"/>
          <w:divBdr>
            <w:top w:val="none" w:sz="0" w:space="0" w:color="auto"/>
            <w:left w:val="none" w:sz="0" w:space="0" w:color="auto"/>
            <w:bottom w:val="none" w:sz="0" w:space="0" w:color="auto"/>
            <w:right w:val="none" w:sz="0" w:space="0" w:color="auto"/>
          </w:divBdr>
          <w:divsChild>
            <w:div w:id="1381324871">
              <w:marLeft w:val="0"/>
              <w:marRight w:val="0"/>
              <w:marTop w:val="0"/>
              <w:marBottom w:val="0"/>
              <w:divBdr>
                <w:top w:val="none" w:sz="0" w:space="0" w:color="auto"/>
                <w:left w:val="none" w:sz="0" w:space="0" w:color="auto"/>
                <w:bottom w:val="none" w:sz="0" w:space="0" w:color="auto"/>
                <w:right w:val="none" w:sz="0" w:space="0" w:color="auto"/>
              </w:divBdr>
              <w:divsChild>
                <w:div w:id="879365463">
                  <w:marLeft w:val="0"/>
                  <w:marRight w:val="0"/>
                  <w:marTop w:val="0"/>
                  <w:marBottom w:val="0"/>
                  <w:divBdr>
                    <w:top w:val="none" w:sz="0" w:space="0" w:color="auto"/>
                    <w:left w:val="none" w:sz="0" w:space="0" w:color="auto"/>
                    <w:bottom w:val="none" w:sz="0" w:space="0" w:color="auto"/>
                    <w:right w:val="none" w:sz="0" w:space="0" w:color="auto"/>
                  </w:divBdr>
                  <w:divsChild>
                    <w:div w:id="270549562">
                      <w:marLeft w:val="0"/>
                      <w:marRight w:val="0"/>
                      <w:marTop w:val="0"/>
                      <w:marBottom w:val="0"/>
                      <w:divBdr>
                        <w:top w:val="none" w:sz="0" w:space="0" w:color="auto"/>
                        <w:left w:val="none" w:sz="0" w:space="0" w:color="auto"/>
                        <w:bottom w:val="none" w:sz="0" w:space="0" w:color="auto"/>
                        <w:right w:val="none" w:sz="0" w:space="0" w:color="auto"/>
                      </w:divBdr>
                      <w:divsChild>
                        <w:div w:id="1101755554">
                          <w:marLeft w:val="0"/>
                          <w:marRight w:val="0"/>
                          <w:marTop w:val="0"/>
                          <w:marBottom w:val="0"/>
                          <w:divBdr>
                            <w:top w:val="none" w:sz="0" w:space="0" w:color="auto"/>
                            <w:left w:val="none" w:sz="0" w:space="0" w:color="auto"/>
                            <w:bottom w:val="none" w:sz="0" w:space="0" w:color="auto"/>
                            <w:right w:val="none" w:sz="0" w:space="0" w:color="auto"/>
                          </w:divBdr>
                          <w:divsChild>
                            <w:div w:id="580914989">
                              <w:marLeft w:val="0"/>
                              <w:marRight w:val="0"/>
                              <w:marTop w:val="0"/>
                              <w:marBottom w:val="0"/>
                              <w:divBdr>
                                <w:top w:val="none" w:sz="0" w:space="0" w:color="auto"/>
                                <w:left w:val="none" w:sz="0" w:space="0" w:color="auto"/>
                                <w:bottom w:val="none" w:sz="0" w:space="0" w:color="auto"/>
                                <w:right w:val="none" w:sz="0" w:space="0" w:color="auto"/>
                              </w:divBdr>
                              <w:divsChild>
                                <w:div w:id="790051054">
                                  <w:marLeft w:val="0"/>
                                  <w:marRight w:val="0"/>
                                  <w:marTop w:val="0"/>
                                  <w:marBottom w:val="0"/>
                                  <w:divBdr>
                                    <w:top w:val="none" w:sz="0" w:space="0" w:color="auto"/>
                                    <w:left w:val="none" w:sz="0" w:space="0" w:color="auto"/>
                                    <w:bottom w:val="none" w:sz="0" w:space="0" w:color="auto"/>
                                    <w:right w:val="none" w:sz="0" w:space="0" w:color="auto"/>
                                  </w:divBdr>
                                  <w:divsChild>
                                    <w:div w:id="1449740411">
                                      <w:marLeft w:val="0"/>
                                      <w:marRight w:val="0"/>
                                      <w:marTop w:val="0"/>
                                      <w:marBottom w:val="0"/>
                                      <w:divBdr>
                                        <w:top w:val="none" w:sz="0" w:space="0" w:color="auto"/>
                                        <w:left w:val="none" w:sz="0" w:space="0" w:color="auto"/>
                                        <w:bottom w:val="none" w:sz="0" w:space="0" w:color="auto"/>
                                        <w:right w:val="none" w:sz="0" w:space="0" w:color="auto"/>
                                      </w:divBdr>
                                      <w:divsChild>
                                        <w:div w:id="226376368">
                                          <w:marLeft w:val="0"/>
                                          <w:marRight w:val="0"/>
                                          <w:marTop w:val="0"/>
                                          <w:marBottom w:val="0"/>
                                          <w:divBdr>
                                            <w:top w:val="none" w:sz="0" w:space="0" w:color="auto"/>
                                            <w:left w:val="none" w:sz="0" w:space="0" w:color="auto"/>
                                            <w:bottom w:val="none" w:sz="0" w:space="0" w:color="auto"/>
                                            <w:right w:val="none" w:sz="0" w:space="0" w:color="auto"/>
                                          </w:divBdr>
                                          <w:divsChild>
                                            <w:div w:id="109054180">
                                              <w:marLeft w:val="0"/>
                                              <w:marRight w:val="0"/>
                                              <w:marTop w:val="0"/>
                                              <w:marBottom w:val="0"/>
                                              <w:divBdr>
                                                <w:top w:val="none" w:sz="0" w:space="0" w:color="auto"/>
                                                <w:left w:val="none" w:sz="0" w:space="0" w:color="auto"/>
                                                <w:bottom w:val="none" w:sz="0" w:space="0" w:color="auto"/>
                                                <w:right w:val="none" w:sz="0" w:space="0" w:color="auto"/>
                                              </w:divBdr>
                                              <w:divsChild>
                                                <w:div w:id="4433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5539">
                                          <w:marLeft w:val="0"/>
                                          <w:marRight w:val="0"/>
                                          <w:marTop w:val="0"/>
                                          <w:marBottom w:val="0"/>
                                          <w:divBdr>
                                            <w:top w:val="none" w:sz="0" w:space="0" w:color="auto"/>
                                            <w:left w:val="none" w:sz="0" w:space="0" w:color="auto"/>
                                            <w:bottom w:val="none" w:sz="0" w:space="0" w:color="auto"/>
                                            <w:right w:val="none" w:sz="0" w:space="0" w:color="auto"/>
                                          </w:divBdr>
                                        </w:div>
                                        <w:div w:id="1141386217">
                                          <w:marLeft w:val="0"/>
                                          <w:marRight w:val="0"/>
                                          <w:marTop w:val="0"/>
                                          <w:marBottom w:val="0"/>
                                          <w:divBdr>
                                            <w:top w:val="none" w:sz="0" w:space="0" w:color="auto"/>
                                            <w:left w:val="none" w:sz="0" w:space="0" w:color="auto"/>
                                            <w:bottom w:val="none" w:sz="0" w:space="0" w:color="auto"/>
                                            <w:right w:val="none" w:sz="0" w:space="0" w:color="auto"/>
                                          </w:divBdr>
                                          <w:divsChild>
                                            <w:div w:id="764375273">
                                              <w:marLeft w:val="0"/>
                                              <w:marRight w:val="0"/>
                                              <w:marTop w:val="0"/>
                                              <w:marBottom w:val="0"/>
                                              <w:divBdr>
                                                <w:top w:val="none" w:sz="0" w:space="0" w:color="auto"/>
                                                <w:left w:val="none" w:sz="0" w:space="0" w:color="auto"/>
                                                <w:bottom w:val="none" w:sz="0" w:space="0" w:color="auto"/>
                                                <w:right w:val="none" w:sz="0" w:space="0" w:color="auto"/>
                                              </w:divBdr>
                                              <w:divsChild>
                                                <w:div w:id="701058521">
                                                  <w:marLeft w:val="0"/>
                                                  <w:marRight w:val="0"/>
                                                  <w:marTop w:val="0"/>
                                                  <w:marBottom w:val="0"/>
                                                  <w:divBdr>
                                                    <w:top w:val="none" w:sz="0" w:space="0" w:color="auto"/>
                                                    <w:left w:val="none" w:sz="0" w:space="0" w:color="auto"/>
                                                    <w:bottom w:val="none" w:sz="0" w:space="0" w:color="auto"/>
                                                    <w:right w:val="none" w:sz="0" w:space="0" w:color="auto"/>
                                                  </w:divBdr>
                                                  <w:divsChild>
                                                    <w:div w:id="1001619109">
                                                      <w:marLeft w:val="0"/>
                                                      <w:marRight w:val="0"/>
                                                      <w:marTop w:val="0"/>
                                                      <w:marBottom w:val="0"/>
                                                      <w:divBdr>
                                                        <w:top w:val="none" w:sz="0" w:space="0" w:color="auto"/>
                                                        <w:left w:val="none" w:sz="0" w:space="0" w:color="auto"/>
                                                        <w:bottom w:val="none" w:sz="0" w:space="0" w:color="auto"/>
                                                        <w:right w:val="none" w:sz="0" w:space="0" w:color="auto"/>
                                                      </w:divBdr>
                                                    </w:div>
                                                    <w:div w:id="15336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6185">
                                              <w:marLeft w:val="0"/>
                                              <w:marRight w:val="0"/>
                                              <w:marTop w:val="0"/>
                                              <w:marBottom w:val="0"/>
                                              <w:divBdr>
                                                <w:top w:val="none" w:sz="0" w:space="0" w:color="auto"/>
                                                <w:left w:val="none" w:sz="0" w:space="0" w:color="auto"/>
                                                <w:bottom w:val="none" w:sz="0" w:space="0" w:color="auto"/>
                                                <w:right w:val="none" w:sz="0" w:space="0" w:color="auto"/>
                                              </w:divBdr>
                                              <w:divsChild>
                                                <w:div w:id="317462952">
                                                  <w:marLeft w:val="0"/>
                                                  <w:marRight w:val="0"/>
                                                  <w:marTop w:val="0"/>
                                                  <w:marBottom w:val="0"/>
                                                  <w:divBdr>
                                                    <w:top w:val="none" w:sz="0" w:space="0" w:color="auto"/>
                                                    <w:left w:val="none" w:sz="0" w:space="0" w:color="auto"/>
                                                    <w:bottom w:val="none" w:sz="0" w:space="0" w:color="auto"/>
                                                    <w:right w:val="none" w:sz="0" w:space="0" w:color="auto"/>
                                                  </w:divBdr>
                                                  <w:divsChild>
                                                    <w:div w:id="420759217">
                                                      <w:marLeft w:val="0"/>
                                                      <w:marRight w:val="0"/>
                                                      <w:marTop w:val="0"/>
                                                      <w:marBottom w:val="0"/>
                                                      <w:divBdr>
                                                        <w:top w:val="none" w:sz="0" w:space="0" w:color="auto"/>
                                                        <w:left w:val="none" w:sz="0" w:space="0" w:color="auto"/>
                                                        <w:bottom w:val="none" w:sz="0" w:space="0" w:color="auto"/>
                                                        <w:right w:val="none" w:sz="0" w:space="0" w:color="auto"/>
                                                      </w:divBdr>
                                                    </w:div>
                                                    <w:div w:id="20612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5634495">
      <w:bodyDiv w:val="1"/>
      <w:marLeft w:val="0"/>
      <w:marRight w:val="0"/>
      <w:marTop w:val="0"/>
      <w:marBottom w:val="0"/>
      <w:divBdr>
        <w:top w:val="none" w:sz="0" w:space="0" w:color="auto"/>
        <w:left w:val="none" w:sz="0" w:space="0" w:color="auto"/>
        <w:bottom w:val="none" w:sz="0" w:space="0" w:color="auto"/>
        <w:right w:val="none" w:sz="0" w:space="0" w:color="auto"/>
      </w:divBdr>
    </w:div>
    <w:div w:id="1532958770">
      <w:bodyDiv w:val="1"/>
      <w:marLeft w:val="0"/>
      <w:marRight w:val="0"/>
      <w:marTop w:val="0"/>
      <w:marBottom w:val="0"/>
      <w:divBdr>
        <w:top w:val="none" w:sz="0" w:space="0" w:color="auto"/>
        <w:left w:val="none" w:sz="0" w:space="0" w:color="auto"/>
        <w:bottom w:val="none" w:sz="0" w:space="0" w:color="auto"/>
        <w:right w:val="none" w:sz="0" w:space="0" w:color="auto"/>
      </w:divBdr>
    </w:div>
    <w:div w:id="1543397487">
      <w:bodyDiv w:val="1"/>
      <w:marLeft w:val="0"/>
      <w:marRight w:val="0"/>
      <w:marTop w:val="0"/>
      <w:marBottom w:val="0"/>
      <w:divBdr>
        <w:top w:val="none" w:sz="0" w:space="0" w:color="auto"/>
        <w:left w:val="none" w:sz="0" w:space="0" w:color="auto"/>
        <w:bottom w:val="none" w:sz="0" w:space="0" w:color="auto"/>
        <w:right w:val="none" w:sz="0" w:space="0" w:color="auto"/>
      </w:divBdr>
    </w:div>
    <w:div w:id="1566069910">
      <w:bodyDiv w:val="1"/>
      <w:marLeft w:val="0"/>
      <w:marRight w:val="0"/>
      <w:marTop w:val="0"/>
      <w:marBottom w:val="0"/>
      <w:divBdr>
        <w:top w:val="none" w:sz="0" w:space="0" w:color="auto"/>
        <w:left w:val="none" w:sz="0" w:space="0" w:color="auto"/>
        <w:bottom w:val="none" w:sz="0" w:space="0" w:color="auto"/>
        <w:right w:val="none" w:sz="0" w:space="0" w:color="auto"/>
      </w:divBdr>
    </w:div>
    <w:div w:id="1570068940">
      <w:bodyDiv w:val="1"/>
      <w:marLeft w:val="0"/>
      <w:marRight w:val="0"/>
      <w:marTop w:val="0"/>
      <w:marBottom w:val="0"/>
      <w:divBdr>
        <w:top w:val="none" w:sz="0" w:space="0" w:color="auto"/>
        <w:left w:val="none" w:sz="0" w:space="0" w:color="auto"/>
        <w:bottom w:val="none" w:sz="0" w:space="0" w:color="auto"/>
        <w:right w:val="none" w:sz="0" w:space="0" w:color="auto"/>
      </w:divBdr>
      <w:divsChild>
        <w:div w:id="936838036">
          <w:marLeft w:val="0"/>
          <w:marRight w:val="0"/>
          <w:marTop w:val="0"/>
          <w:marBottom w:val="0"/>
          <w:divBdr>
            <w:top w:val="none" w:sz="0" w:space="0" w:color="auto"/>
            <w:left w:val="none" w:sz="0" w:space="0" w:color="auto"/>
            <w:bottom w:val="none" w:sz="0" w:space="0" w:color="auto"/>
            <w:right w:val="none" w:sz="0" w:space="0" w:color="auto"/>
          </w:divBdr>
          <w:divsChild>
            <w:div w:id="346249330">
              <w:marLeft w:val="0"/>
              <w:marRight w:val="0"/>
              <w:marTop w:val="0"/>
              <w:marBottom w:val="0"/>
              <w:divBdr>
                <w:top w:val="none" w:sz="0" w:space="0" w:color="auto"/>
                <w:left w:val="none" w:sz="0" w:space="0" w:color="auto"/>
                <w:bottom w:val="none" w:sz="0" w:space="0" w:color="auto"/>
                <w:right w:val="none" w:sz="0" w:space="0" w:color="auto"/>
              </w:divBdr>
              <w:divsChild>
                <w:div w:id="1075665036">
                  <w:marLeft w:val="0"/>
                  <w:marRight w:val="0"/>
                  <w:marTop w:val="0"/>
                  <w:marBottom w:val="0"/>
                  <w:divBdr>
                    <w:top w:val="none" w:sz="0" w:space="0" w:color="auto"/>
                    <w:left w:val="none" w:sz="0" w:space="0" w:color="auto"/>
                    <w:bottom w:val="none" w:sz="0" w:space="0" w:color="auto"/>
                    <w:right w:val="none" w:sz="0" w:space="0" w:color="auto"/>
                  </w:divBdr>
                  <w:divsChild>
                    <w:div w:id="978269036">
                      <w:marLeft w:val="0"/>
                      <w:marRight w:val="0"/>
                      <w:marTop w:val="0"/>
                      <w:marBottom w:val="0"/>
                      <w:divBdr>
                        <w:top w:val="none" w:sz="0" w:space="0" w:color="auto"/>
                        <w:left w:val="none" w:sz="0" w:space="0" w:color="auto"/>
                        <w:bottom w:val="none" w:sz="0" w:space="0" w:color="auto"/>
                        <w:right w:val="none" w:sz="0" w:space="0" w:color="auto"/>
                      </w:divBdr>
                      <w:divsChild>
                        <w:div w:id="2069180561">
                          <w:marLeft w:val="0"/>
                          <w:marRight w:val="0"/>
                          <w:marTop w:val="0"/>
                          <w:marBottom w:val="0"/>
                          <w:divBdr>
                            <w:top w:val="none" w:sz="0" w:space="0" w:color="auto"/>
                            <w:left w:val="none" w:sz="0" w:space="0" w:color="auto"/>
                            <w:bottom w:val="none" w:sz="0" w:space="0" w:color="auto"/>
                            <w:right w:val="none" w:sz="0" w:space="0" w:color="auto"/>
                          </w:divBdr>
                          <w:divsChild>
                            <w:div w:id="1186820961">
                              <w:marLeft w:val="0"/>
                              <w:marRight w:val="0"/>
                              <w:marTop w:val="0"/>
                              <w:marBottom w:val="0"/>
                              <w:divBdr>
                                <w:top w:val="none" w:sz="0" w:space="0" w:color="auto"/>
                                <w:left w:val="none" w:sz="0" w:space="0" w:color="auto"/>
                                <w:bottom w:val="none" w:sz="0" w:space="0" w:color="auto"/>
                                <w:right w:val="none" w:sz="0" w:space="0" w:color="auto"/>
                              </w:divBdr>
                              <w:divsChild>
                                <w:div w:id="447235192">
                                  <w:marLeft w:val="0"/>
                                  <w:marRight w:val="0"/>
                                  <w:marTop w:val="0"/>
                                  <w:marBottom w:val="0"/>
                                  <w:divBdr>
                                    <w:top w:val="none" w:sz="0" w:space="0" w:color="auto"/>
                                    <w:left w:val="none" w:sz="0" w:space="0" w:color="auto"/>
                                    <w:bottom w:val="none" w:sz="0" w:space="0" w:color="auto"/>
                                    <w:right w:val="none" w:sz="0" w:space="0" w:color="auto"/>
                                  </w:divBdr>
                                  <w:divsChild>
                                    <w:div w:id="1268998775">
                                      <w:marLeft w:val="0"/>
                                      <w:marRight w:val="0"/>
                                      <w:marTop w:val="0"/>
                                      <w:marBottom w:val="0"/>
                                      <w:divBdr>
                                        <w:top w:val="none" w:sz="0" w:space="0" w:color="auto"/>
                                        <w:left w:val="none" w:sz="0" w:space="0" w:color="auto"/>
                                        <w:bottom w:val="none" w:sz="0" w:space="0" w:color="auto"/>
                                        <w:right w:val="none" w:sz="0" w:space="0" w:color="auto"/>
                                      </w:divBdr>
                                      <w:divsChild>
                                        <w:div w:id="1197307571">
                                          <w:marLeft w:val="0"/>
                                          <w:marRight w:val="0"/>
                                          <w:marTop w:val="0"/>
                                          <w:marBottom w:val="0"/>
                                          <w:divBdr>
                                            <w:top w:val="none" w:sz="0" w:space="0" w:color="auto"/>
                                            <w:left w:val="none" w:sz="0" w:space="0" w:color="auto"/>
                                            <w:bottom w:val="none" w:sz="0" w:space="0" w:color="auto"/>
                                            <w:right w:val="none" w:sz="0" w:space="0" w:color="auto"/>
                                          </w:divBdr>
                                          <w:divsChild>
                                            <w:div w:id="1104227533">
                                              <w:marLeft w:val="0"/>
                                              <w:marRight w:val="0"/>
                                              <w:marTop w:val="0"/>
                                              <w:marBottom w:val="0"/>
                                              <w:divBdr>
                                                <w:top w:val="none" w:sz="0" w:space="0" w:color="auto"/>
                                                <w:left w:val="none" w:sz="0" w:space="0" w:color="auto"/>
                                                <w:bottom w:val="none" w:sz="0" w:space="0" w:color="auto"/>
                                                <w:right w:val="none" w:sz="0" w:space="0" w:color="auto"/>
                                              </w:divBdr>
                                              <w:divsChild>
                                                <w:div w:id="19029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813226">
      <w:bodyDiv w:val="1"/>
      <w:marLeft w:val="0"/>
      <w:marRight w:val="0"/>
      <w:marTop w:val="0"/>
      <w:marBottom w:val="0"/>
      <w:divBdr>
        <w:top w:val="none" w:sz="0" w:space="0" w:color="auto"/>
        <w:left w:val="none" w:sz="0" w:space="0" w:color="auto"/>
        <w:bottom w:val="none" w:sz="0" w:space="0" w:color="auto"/>
        <w:right w:val="none" w:sz="0" w:space="0" w:color="auto"/>
      </w:divBdr>
    </w:div>
    <w:div w:id="1590232201">
      <w:bodyDiv w:val="1"/>
      <w:marLeft w:val="0"/>
      <w:marRight w:val="0"/>
      <w:marTop w:val="0"/>
      <w:marBottom w:val="0"/>
      <w:divBdr>
        <w:top w:val="none" w:sz="0" w:space="0" w:color="auto"/>
        <w:left w:val="none" w:sz="0" w:space="0" w:color="auto"/>
        <w:bottom w:val="none" w:sz="0" w:space="0" w:color="auto"/>
        <w:right w:val="none" w:sz="0" w:space="0" w:color="auto"/>
      </w:divBdr>
    </w:div>
    <w:div w:id="1604460076">
      <w:bodyDiv w:val="1"/>
      <w:marLeft w:val="0"/>
      <w:marRight w:val="0"/>
      <w:marTop w:val="0"/>
      <w:marBottom w:val="0"/>
      <w:divBdr>
        <w:top w:val="none" w:sz="0" w:space="0" w:color="auto"/>
        <w:left w:val="none" w:sz="0" w:space="0" w:color="auto"/>
        <w:bottom w:val="none" w:sz="0" w:space="0" w:color="auto"/>
        <w:right w:val="none" w:sz="0" w:space="0" w:color="auto"/>
      </w:divBdr>
    </w:div>
    <w:div w:id="1610816679">
      <w:bodyDiv w:val="1"/>
      <w:marLeft w:val="0"/>
      <w:marRight w:val="0"/>
      <w:marTop w:val="0"/>
      <w:marBottom w:val="0"/>
      <w:divBdr>
        <w:top w:val="none" w:sz="0" w:space="0" w:color="auto"/>
        <w:left w:val="none" w:sz="0" w:space="0" w:color="auto"/>
        <w:bottom w:val="none" w:sz="0" w:space="0" w:color="auto"/>
        <w:right w:val="none" w:sz="0" w:space="0" w:color="auto"/>
      </w:divBdr>
    </w:div>
    <w:div w:id="1622762214">
      <w:bodyDiv w:val="1"/>
      <w:marLeft w:val="0"/>
      <w:marRight w:val="0"/>
      <w:marTop w:val="0"/>
      <w:marBottom w:val="0"/>
      <w:divBdr>
        <w:top w:val="none" w:sz="0" w:space="0" w:color="auto"/>
        <w:left w:val="none" w:sz="0" w:space="0" w:color="auto"/>
        <w:bottom w:val="none" w:sz="0" w:space="0" w:color="auto"/>
        <w:right w:val="none" w:sz="0" w:space="0" w:color="auto"/>
      </w:divBdr>
      <w:divsChild>
        <w:div w:id="1409617133">
          <w:marLeft w:val="0"/>
          <w:marRight w:val="0"/>
          <w:marTop w:val="0"/>
          <w:marBottom w:val="0"/>
          <w:divBdr>
            <w:top w:val="none" w:sz="0" w:space="0" w:color="auto"/>
            <w:left w:val="none" w:sz="0" w:space="0" w:color="auto"/>
            <w:bottom w:val="none" w:sz="0" w:space="0" w:color="auto"/>
            <w:right w:val="none" w:sz="0" w:space="0" w:color="auto"/>
          </w:divBdr>
          <w:divsChild>
            <w:div w:id="1917477316">
              <w:marLeft w:val="0"/>
              <w:marRight w:val="0"/>
              <w:marTop w:val="0"/>
              <w:marBottom w:val="0"/>
              <w:divBdr>
                <w:top w:val="none" w:sz="0" w:space="0" w:color="auto"/>
                <w:left w:val="none" w:sz="0" w:space="0" w:color="auto"/>
                <w:bottom w:val="none" w:sz="0" w:space="0" w:color="auto"/>
                <w:right w:val="none" w:sz="0" w:space="0" w:color="auto"/>
              </w:divBdr>
              <w:divsChild>
                <w:div w:id="470514896">
                  <w:marLeft w:val="0"/>
                  <w:marRight w:val="0"/>
                  <w:marTop w:val="0"/>
                  <w:marBottom w:val="0"/>
                  <w:divBdr>
                    <w:top w:val="none" w:sz="0" w:space="0" w:color="auto"/>
                    <w:left w:val="none" w:sz="0" w:space="0" w:color="auto"/>
                    <w:bottom w:val="none" w:sz="0" w:space="0" w:color="auto"/>
                    <w:right w:val="none" w:sz="0" w:space="0" w:color="auto"/>
                  </w:divBdr>
                  <w:divsChild>
                    <w:div w:id="114256110">
                      <w:marLeft w:val="0"/>
                      <w:marRight w:val="0"/>
                      <w:marTop w:val="0"/>
                      <w:marBottom w:val="0"/>
                      <w:divBdr>
                        <w:top w:val="none" w:sz="0" w:space="0" w:color="auto"/>
                        <w:left w:val="none" w:sz="0" w:space="0" w:color="auto"/>
                        <w:bottom w:val="none" w:sz="0" w:space="0" w:color="auto"/>
                        <w:right w:val="none" w:sz="0" w:space="0" w:color="auto"/>
                      </w:divBdr>
                      <w:divsChild>
                        <w:div w:id="1121143106">
                          <w:marLeft w:val="0"/>
                          <w:marRight w:val="0"/>
                          <w:marTop w:val="0"/>
                          <w:marBottom w:val="0"/>
                          <w:divBdr>
                            <w:top w:val="none" w:sz="0" w:space="0" w:color="auto"/>
                            <w:left w:val="none" w:sz="0" w:space="0" w:color="auto"/>
                            <w:bottom w:val="none" w:sz="0" w:space="0" w:color="auto"/>
                            <w:right w:val="none" w:sz="0" w:space="0" w:color="auto"/>
                          </w:divBdr>
                          <w:divsChild>
                            <w:div w:id="73861879">
                              <w:marLeft w:val="0"/>
                              <w:marRight w:val="0"/>
                              <w:marTop w:val="0"/>
                              <w:marBottom w:val="0"/>
                              <w:divBdr>
                                <w:top w:val="none" w:sz="0" w:space="0" w:color="auto"/>
                                <w:left w:val="none" w:sz="0" w:space="0" w:color="auto"/>
                                <w:bottom w:val="none" w:sz="0" w:space="0" w:color="auto"/>
                                <w:right w:val="none" w:sz="0" w:space="0" w:color="auto"/>
                              </w:divBdr>
                              <w:divsChild>
                                <w:div w:id="1369254745">
                                  <w:marLeft w:val="0"/>
                                  <w:marRight w:val="0"/>
                                  <w:marTop w:val="0"/>
                                  <w:marBottom w:val="0"/>
                                  <w:divBdr>
                                    <w:top w:val="none" w:sz="0" w:space="0" w:color="auto"/>
                                    <w:left w:val="none" w:sz="0" w:space="0" w:color="auto"/>
                                    <w:bottom w:val="none" w:sz="0" w:space="0" w:color="auto"/>
                                    <w:right w:val="none" w:sz="0" w:space="0" w:color="auto"/>
                                  </w:divBdr>
                                  <w:divsChild>
                                    <w:div w:id="310334602">
                                      <w:marLeft w:val="0"/>
                                      <w:marRight w:val="0"/>
                                      <w:marTop w:val="0"/>
                                      <w:marBottom w:val="0"/>
                                      <w:divBdr>
                                        <w:top w:val="none" w:sz="0" w:space="0" w:color="auto"/>
                                        <w:left w:val="none" w:sz="0" w:space="0" w:color="auto"/>
                                        <w:bottom w:val="none" w:sz="0" w:space="0" w:color="auto"/>
                                        <w:right w:val="none" w:sz="0" w:space="0" w:color="auto"/>
                                      </w:divBdr>
                                      <w:divsChild>
                                        <w:div w:id="694186209">
                                          <w:marLeft w:val="0"/>
                                          <w:marRight w:val="0"/>
                                          <w:marTop w:val="0"/>
                                          <w:marBottom w:val="0"/>
                                          <w:divBdr>
                                            <w:top w:val="none" w:sz="0" w:space="0" w:color="auto"/>
                                            <w:left w:val="none" w:sz="0" w:space="0" w:color="auto"/>
                                            <w:bottom w:val="none" w:sz="0" w:space="0" w:color="auto"/>
                                            <w:right w:val="none" w:sz="0" w:space="0" w:color="auto"/>
                                          </w:divBdr>
                                          <w:divsChild>
                                            <w:div w:id="1722484734">
                                              <w:marLeft w:val="0"/>
                                              <w:marRight w:val="0"/>
                                              <w:marTop w:val="0"/>
                                              <w:marBottom w:val="0"/>
                                              <w:divBdr>
                                                <w:top w:val="none" w:sz="0" w:space="0" w:color="auto"/>
                                                <w:left w:val="none" w:sz="0" w:space="0" w:color="auto"/>
                                                <w:bottom w:val="none" w:sz="0" w:space="0" w:color="auto"/>
                                                <w:right w:val="none" w:sz="0" w:space="0" w:color="auto"/>
                                              </w:divBdr>
                                              <w:divsChild>
                                                <w:div w:id="1130170047">
                                                  <w:marLeft w:val="0"/>
                                                  <w:marRight w:val="0"/>
                                                  <w:marTop w:val="0"/>
                                                  <w:marBottom w:val="0"/>
                                                  <w:divBdr>
                                                    <w:top w:val="none" w:sz="0" w:space="0" w:color="auto"/>
                                                    <w:left w:val="none" w:sz="0" w:space="0" w:color="auto"/>
                                                    <w:bottom w:val="none" w:sz="0" w:space="0" w:color="auto"/>
                                                    <w:right w:val="none" w:sz="0" w:space="0" w:color="auto"/>
                                                  </w:divBdr>
                                                  <w:divsChild>
                                                    <w:div w:id="214242377">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635062994">
      <w:bodyDiv w:val="1"/>
      <w:marLeft w:val="0"/>
      <w:marRight w:val="0"/>
      <w:marTop w:val="0"/>
      <w:marBottom w:val="0"/>
      <w:divBdr>
        <w:top w:val="none" w:sz="0" w:space="0" w:color="auto"/>
        <w:left w:val="none" w:sz="0" w:space="0" w:color="auto"/>
        <w:bottom w:val="none" w:sz="0" w:space="0" w:color="auto"/>
        <w:right w:val="none" w:sz="0" w:space="0" w:color="auto"/>
      </w:divBdr>
    </w:div>
    <w:div w:id="1673416522">
      <w:bodyDiv w:val="1"/>
      <w:marLeft w:val="0"/>
      <w:marRight w:val="0"/>
      <w:marTop w:val="0"/>
      <w:marBottom w:val="0"/>
      <w:divBdr>
        <w:top w:val="none" w:sz="0" w:space="0" w:color="auto"/>
        <w:left w:val="none" w:sz="0" w:space="0" w:color="auto"/>
        <w:bottom w:val="none" w:sz="0" w:space="0" w:color="auto"/>
        <w:right w:val="none" w:sz="0" w:space="0" w:color="auto"/>
      </w:divBdr>
    </w:div>
    <w:div w:id="1681737976">
      <w:bodyDiv w:val="1"/>
      <w:marLeft w:val="0"/>
      <w:marRight w:val="0"/>
      <w:marTop w:val="0"/>
      <w:marBottom w:val="0"/>
      <w:divBdr>
        <w:top w:val="none" w:sz="0" w:space="0" w:color="auto"/>
        <w:left w:val="none" w:sz="0" w:space="0" w:color="auto"/>
        <w:bottom w:val="none" w:sz="0" w:space="0" w:color="auto"/>
        <w:right w:val="none" w:sz="0" w:space="0" w:color="auto"/>
      </w:divBdr>
    </w:div>
    <w:div w:id="1682271631">
      <w:bodyDiv w:val="1"/>
      <w:marLeft w:val="0"/>
      <w:marRight w:val="0"/>
      <w:marTop w:val="0"/>
      <w:marBottom w:val="0"/>
      <w:divBdr>
        <w:top w:val="none" w:sz="0" w:space="0" w:color="auto"/>
        <w:left w:val="none" w:sz="0" w:space="0" w:color="auto"/>
        <w:bottom w:val="none" w:sz="0" w:space="0" w:color="auto"/>
        <w:right w:val="none" w:sz="0" w:space="0" w:color="auto"/>
      </w:divBdr>
    </w:div>
    <w:div w:id="1686327380">
      <w:bodyDiv w:val="1"/>
      <w:marLeft w:val="0"/>
      <w:marRight w:val="0"/>
      <w:marTop w:val="0"/>
      <w:marBottom w:val="0"/>
      <w:divBdr>
        <w:top w:val="none" w:sz="0" w:space="0" w:color="auto"/>
        <w:left w:val="none" w:sz="0" w:space="0" w:color="auto"/>
        <w:bottom w:val="none" w:sz="0" w:space="0" w:color="auto"/>
        <w:right w:val="none" w:sz="0" w:space="0" w:color="auto"/>
      </w:divBdr>
    </w:div>
    <w:div w:id="1694501216">
      <w:bodyDiv w:val="1"/>
      <w:marLeft w:val="0"/>
      <w:marRight w:val="0"/>
      <w:marTop w:val="0"/>
      <w:marBottom w:val="0"/>
      <w:divBdr>
        <w:top w:val="none" w:sz="0" w:space="0" w:color="auto"/>
        <w:left w:val="none" w:sz="0" w:space="0" w:color="auto"/>
        <w:bottom w:val="none" w:sz="0" w:space="0" w:color="auto"/>
        <w:right w:val="none" w:sz="0" w:space="0" w:color="auto"/>
      </w:divBdr>
    </w:div>
    <w:div w:id="1714887476">
      <w:bodyDiv w:val="1"/>
      <w:marLeft w:val="0"/>
      <w:marRight w:val="0"/>
      <w:marTop w:val="0"/>
      <w:marBottom w:val="0"/>
      <w:divBdr>
        <w:top w:val="none" w:sz="0" w:space="0" w:color="auto"/>
        <w:left w:val="none" w:sz="0" w:space="0" w:color="auto"/>
        <w:bottom w:val="none" w:sz="0" w:space="0" w:color="auto"/>
        <w:right w:val="none" w:sz="0" w:space="0" w:color="auto"/>
      </w:divBdr>
      <w:divsChild>
        <w:div w:id="2091155144">
          <w:marLeft w:val="0"/>
          <w:marRight w:val="0"/>
          <w:marTop w:val="0"/>
          <w:marBottom w:val="0"/>
          <w:divBdr>
            <w:top w:val="none" w:sz="0" w:space="0" w:color="auto"/>
            <w:left w:val="none" w:sz="0" w:space="0" w:color="auto"/>
            <w:bottom w:val="none" w:sz="0" w:space="0" w:color="auto"/>
            <w:right w:val="none" w:sz="0" w:space="0" w:color="auto"/>
          </w:divBdr>
          <w:divsChild>
            <w:div w:id="588662532">
              <w:marLeft w:val="0"/>
              <w:marRight w:val="0"/>
              <w:marTop w:val="0"/>
              <w:marBottom w:val="0"/>
              <w:divBdr>
                <w:top w:val="none" w:sz="0" w:space="0" w:color="auto"/>
                <w:left w:val="none" w:sz="0" w:space="0" w:color="auto"/>
                <w:bottom w:val="none" w:sz="0" w:space="0" w:color="auto"/>
                <w:right w:val="none" w:sz="0" w:space="0" w:color="auto"/>
              </w:divBdr>
              <w:divsChild>
                <w:div w:id="1771312557">
                  <w:marLeft w:val="0"/>
                  <w:marRight w:val="0"/>
                  <w:marTop w:val="0"/>
                  <w:marBottom w:val="0"/>
                  <w:divBdr>
                    <w:top w:val="none" w:sz="0" w:space="0" w:color="auto"/>
                    <w:left w:val="none" w:sz="0" w:space="0" w:color="auto"/>
                    <w:bottom w:val="none" w:sz="0" w:space="0" w:color="auto"/>
                    <w:right w:val="none" w:sz="0" w:space="0" w:color="auto"/>
                  </w:divBdr>
                  <w:divsChild>
                    <w:div w:id="1727873098">
                      <w:marLeft w:val="0"/>
                      <w:marRight w:val="0"/>
                      <w:marTop w:val="0"/>
                      <w:marBottom w:val="0"/>
                      <w:divBdr>
                        <w:top w:val="none" w:sz="0" w:space="0" w:color="auto"/>
                        <w:left w:val="none" w:sz="0" w:space="0" w:color="auto"/>
                        <w:bottom w:val="none" w:sz="0" w:space="0" w:color="auto"/>
                        <w:right w:val="none" w:sz="0" w:space="0" w:color="auto"/>
                      </w:divBdr>
                      <w:divsChild>
                        <w:div w:id="381515583">
                          <w:marLeft w:val="0"/>
                          <w:marRight w:val="0"/>
                          <w:marTop w:val="0"/>
                          <w:marBottom w:val="0"/>
                          <w:divBdr>
                            <w:top w:val="none" w:sz="0" w:space="0" w:color="auto"/>
                            <w:left w:val="none" w:sz="0" w:space="0" w:color="auto"/>
                            <w:bottom w:val="none" w:sz="0" w:space="0" w:color="auto"/>
                            <w:right w:val="none" w:sz="0" w:space="0" w:color="auto"/>
                          </w:divBdr>
                          <w:divsChild>
                            <w:div w:id="1318604773">
                              <w:marLeft w:val="0"/>
                              <w:marRight w:val="0"/>
                              <w:marTop w:val="0"/>
                              <w:marBottom w:val="0"/>
                              <w:divBdr>
                                <w:top w:val="none" w:sz="0" w:space="0" w:color="auto"/>
                                <w:left w:val="none" w:sz="0" w:space="0" w:color="auto"/>
                                <w:bottom w:val="none" w:sz="0" w:space="0" w:color="auto"/>
                                <w:right w:val="none" w:sz="0" w:space="0" w:color="auto"/>
                              </w:divBdr>
                              <w:divsChild>
                                <w:div w:id="1944533401">
                                  <w:marLeft w:val="0"/>
                                  <w:marRight w:val="0"/>
                                  <w:marTop w:val="0"/>
                                  <w:marBottom w:val="0"/>
                                  <w:divBdr>
                                    <w:top w:val="none" w:sz="0" w:space="0" w:color="auto"/>
                                    <w:left w:val="none" w:sz="0" w:space="0" w:color="auto"/>
                                    <w:bottom w:val="none" w:sz="0" w:space="0" w:color="auto"/>
                                    <w:right w:val="none" w:sz="0" w:space="0" w:color="auto"/>
                                  </w:divBdr>
                                  <w:divsChild>
                                    <w:div w:id="1832215332">
                                      <w:marLeft w:val="0"/>
                                      <w:marRight w:val="0"/>
                                      <w:marTop w:val="0"/>
                                      <w:marBottom w:val="0"/>
                                      <w:divBdr>
                                        <w:top w:val="none" w:sz="0" w:space="0" w:color="auto"/>
                                        <w:left w:val="none" w:sz="0" w:space="0" w:color="auto"/>
                                        <w:bottom w:val="none" w:sz="0" w:space="0" w:color="auto"/>
                                        <w:right w:val="none" w:sz="0" w:space="0" w:color="auto"/>
                                      </w:divBdr>
                                      <w:divsChild>
                                        <w:div w:id="178280604">
                                          <w:marLeft w:val="0"/>
                                          <w:marRight w:val="0"/>
                                          <w:marTop w:val="0"/>
                                          <w:marBottom w:val="0"/>
                                          <w:divBdr>
                                            <w:top w:val="none" w:sz="0" w:space="0" w:color="auto"/>
                                            <w:left w:val="none" w:sz="0" w:space="0" w:color="auto"/>
                                            <w:bottom w:val="none" w:sz="0" w:space="0" w:color="auto"/>
                                            <w:right w:val="none" w:sz="0" w:space="0" w:color="auto"/>
                                          </w:divBdr>
                                          <w:divsChild>
                                            <w:div w:id="1131243244">
                                              <w:marLeft w:val="0"/>
                                              <w:marRight w:val="0"/>
                                              <w:marTop w:val="0"/>
                                              <w:marBottom w:val="0"/>
                                              <w:divBdr>
                                                <w:top w:val="none" w:sz="0" w:space="0" w:color="auto"/>
                                                <w:left w:val="none" w:sz="0" w:space="0" w:color="auto"/>
                                                <w:bottom w:val="none" w:sz="0" w:space="0" w:color="auto"/>
                                                <w:right w:val="none" w:sz="0" w:space="0" w:color="auto"/>
                                              </w:divBdr>
                                              <w:divsChild>
                                                <w:div w:id="1703046133">
                                                  <w:marLeft w:val="0"/>
                                                  <w:marRight w:val="0"/>
                                                  <w:marTop w:val="0"/>
                                                  <w:marBottom w:val="0"/>
                                                  <w:divBdr>
                                                    <w:top w:val="none" w:sz="0" w:space="0" w:color="auto"/>
                                                    <w:left w:val="none" w:sz="0" w:space="0" w:color="auto"/>
                                                    <w:bottom w:val="none" w:sz="0" w:space="0" w:color="auto"/>
                                                    <w:right w:val="none" w:sz="0" w:space="0" w:color="auto"/>
                                                  </w:divBdr>
                                                  <w:divsChild>
                                                    <w:div w:id="1967656954">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739784310">
      <w:bodyDiv w:val="1"/>
      <w:marLeft w:val="0"/>
      <w:marRight w:val="0"/>
      <w:marTop w:val="0"/>
      <w:marBottom w:val="0"/>
      <w:divBdr>
        <w:top w:val="none" w:sz="0" w:space="0" w:color="auto"/>
        <w:left w:val="none" w:sz="0" w:space="0" w:color="auto"/>
        <w:bottom w:val="none" w:sz="0" w:space="0" w:color="auto"/>
        <w:right w:val="none" w:sz="0" w:space="0" w:color="auto"/>
      </w:divBdr>
    </w:div>
    <w:div w:id="1740403997">
      <w:bodyDiv w:val="1"/>
      <w:marLeft w:val="0"/>
      <w:marRight w:val="0"/>
      <w:marTop w:val="0"/>
      <w:marBottom w:val="0"/>
      <w:divBdr>
        <w:top w:val="none" w:sz="0" w:space="0" w:color="auto"/>
        <w:left w:val="none" w:sz="0" w:space="0" w:color="auto"/>
        <w:bottom w:val="none" w:sz="0" w:space="0" w:color="auto"/>
        <w:right w:val="none" w:sz="0" w:space="0" w:color="auto"/>
      </w:divBdr>
    </w:div>
    <w:div w:id="1763601258">
      <w:bodyDiv w:val="1"/>
      <w:marLeft w:val="0"/>
      <w:marRight w:val="0"/>
      <w:marTop w:val="0"/>
      <w:marBottom w:val="0"/>
      <w:divBdr>
        <w:top w:val="none" w:sz="0" w:space="0" w:color="auto"/>
        <w:left w:val="none" w:sz="0" w:space="0" w:color="auto"/>
        <w:bottom w:val="none" w:sz="0" w:space="0" w:color="auto"/>
        <w:right w:val="none" w:sz="0" w:space="0" w:color="auto"/>
      </w:divBdr>
    </w:div>
    <w:div w:id="1805780430">
      <w:bodyDiv w:val="1"/>
      <w:marLeft w:val="0"/>
      <w:marRight w:val="0"/>
      <w:marTop w:val="0"/>
      <w:marBottom w:val="0"/>
      <w:divBdr>
        <w:top w:val="none" w:sz="0" w:space="0" w:color="auto"/>
        <w:left w:val="none" w:sz="0" w:space="0" w:color="auto"/>
        <w:bottom w:val="none" w:sz="0" w:space="0" w:color="auto"/>
        <w:right w:val="none" w:sz="0" w:space="0" w:color="auto"/>
      </w:divBdr>
    </w:div>
    <w:div w:id="1842701311">
      <w:bodyDiv w:val="1"/>
      <w:marLeft w:val="0"/>
      <w:marRight w:val="0"/>
      <w:marTop w:val="0"/>
      <w:marBottom w:val="0"/>
      <w:divBdr>
        <w:top w:val="none" w:sz="0" w:space="0" w:color="auto"/>
        <w:left w:val="none" w:sz="0" w:space="0" w:color="auto"/>
        <w:bottom w:val="none" w:sz="0" w:space="0" w:color="auto"/>
        <w:right w:val="none" w:sz="0" w:space="0" w:color="auto"/>
      </w:divBdr>
      <w:divsChild>
        <w:div w:id="1008023135">
          <w:marLeft w:val="0"/>
          <w:marRight w:val="0"/>
          <w:marTop w:val="0"/>
          <w:marBottom w:val="0"/>
          <w:divBdr>
            <w:top w:val="none" w:sz="0" w:space="0" w:color="auto"/>
            <w:left w:val="none" w:sz="0" w:space="0" w:color="auto"/>
            <w:bottom w:val="none" w:sz="0" w:space="0" w:color="auto"/>
            <w:right w:val="none" w:sz="0" w:space="0" w:color="auto"/>
          </w:divBdr>
          <w:divsChild>
            <w:div w:id="1392264909">
              <w:marLeft w:val="0"/>
              <w:marRight w:val="0"/>
              <w:marTop w:val="0"/>
              <w:marBottom w:val="0"/>
              <w:divBdr>
                <w:top w:val="none" w:sz="0" w:space="0" w:color="auto"/>
                <w:left w:val="none" w:sz="0" w:space="0" w:color="auto"/>
                <w:bottom w:val="none" w:sz="0" w:space="0" w:color="auto"/>
                <w:right w:val="none" w:sz="0" w:space="0" w:color="auto"/>
              </w:divBdr>
              <w:divsChild>
                <w:div w:id="1949316589">
                  <w:marLeft w:val="0"/>
                  <w:marRight w:val="0"/>
                  <w:marTop w:val="0"/>
                  <w:marBottom w:val="0"/>
                  <w:divBdr>
                    <w:top w:val="none" w:sz="0" w:space="0" w:color="auto"/>
                    <w:left w:val="none" w:sz="0" w:space="0" w:color="auto"/>
                    <w:bottom w:val="none" w:sz="0" w:space="0" w:color="auto"/>
                    <w:right w:val="none" w:sz="0" w:space="0" w:color="auto"/>
                  </w:divBdr>
                  <w:divsChild>
                    <w:div w:id="622075986">
                      <w:marLeft w:val="0"/>
                      <w:marRight w:val="0"/>
                      <w:marTop w:val="0"/>
                      <w:marBottom w:val="0"/>
                      <w:divBdr>
                        <w:top w:val="none" w:sz="0" w:space="0" w:color="auto"/>
                        <w:left w:val="none" w:sz="0" w:space="0" w:color="auto"/>
                        <w:bottom w:val="none" w:sz="0" w:space="0" w:color="auto"/>
                        <w:right w:val="none" w:sz="0" w:space="0" w:color="auto"/>
                      </w:divBdr>
                      <w:divsChild>
                        <w:div w:id="238828252">
                          <w:marLeft w:val="0"/>
                          <w:marRight w:val="0"/>
                          <w:marTop w:val="0"/>
                          <w:marBottom w:val="0"/>
                          <w:divBdr>
                            <w:top w:val="none" w:sz="0" w:space="0" w:color="auto"/>
                            <w:left w:val="none" w:sz="0" w:space="0" w:color="auto"/>
                            <w:bottom w:val="none" w:sz="0" w:space="0" w:color="auto"/>
                            <w:right w:val="none" w:sz="0" w:space="0" w:color="auto"/>
                          </w:divBdr>
                          <w:divsChild>
                            <w:div w:id="1493832412">
                              <w:marLeft w:val="0"/>
                              <w:marRight w:val="0"/>
                              <w:marTop w:val="0"/>
                              <w:marBottom w:val="0"/>
                              <w:divBdr>
                                <w:top w:val="none" w:sz="0" w:space="0" w:color="auto"/>
                                <w:left w:val="none" w:sz="0" w:space="0" w:color="auto"/>
                                <w:bottom w:val="none" w:sz="0" w:space="0" w:color="auto"/>
                                <w:right w:val="none" w:sz="0" w:space="0" w:color="auto"/>
                              </w:divBdr>
                              <w:divsChild>
                                <w:div w:id="1812138510">
                                  <w:marLeft w:val="0"/>
                                  <w:marRight w:val="0"/>
                                  <w:marTop w:val="0"/>
                                  <w:marBottom w:val="0"/>
                                  <w:divBdr>
                                    <w:top w:val="none" w:sz="0" w:space="0" w:color="auto"/>
                                    <w:left w:val="none" w:sz="0" w:space="0" w:color="auto"/>
                                    <w:bottom w:val="none" w:sz="0" w:space="0" w:color="auto"/>
                                    <w:right w:val="none" w:sz="0" w:space="0" w:color="auto"/>
                                  </w:divBdr>
                                  <w:divsChild>
                                    <w:div w:id="1639645550">
                                      <w:marLeft w:val="0"/>
                                      <w:marRight w:val="0"/>
                                      <w:marTop w:val="0"/>
                                      <w:marBottom w:val="0"/>
                                      <w:divBdr>
                                        <w:top w:val="none" w:sz="0" w:space="0" w:color="auto"/>
                                        <w:left w:val="none" w:sz="0" w:space="0" w:color="auto"/>
                                        <w:bottom w:val="none" w:sz="0" w:space="0" w:color="auto"/>
                                        <w:right w:val="none" w:sz="0" w:space="0" w:color="auto"/>
                                      </w:divBdr>
                                      <w:divsChild>
                                        <w:div w:id="1350522785">
                                          <w:marLeft w:val="0"/>
                                          <w:marRight w:val="0"/>
                                          <w:marTop w:val="0"/>
                                          <w:marBottom w:val="0"/>
                                          <w:divBdr>
                                            <w:top w:val="none" w:sz="0" w:space="0" w:color="auto"/>
                                            <w:left w:val="none" w:sz="0" w:space="0" w:color="auto"/>
                                            <w:bottom w:val="none" w:sz="0" w:space="0" w:color="auto"/>
                                            <w:right w:val="none" w:sz="0" w:space="0" w:color="auto"/>
                                          </w:divBdr>
                                          <w:divsChild>
                                            <w:div w:id="1881161618">
                                              <w:marLeft w:val="0"/>
                                              <w:marRight w:val="0"/>
                                              <w:marTop w:val="0"/>
                                              <w:marBottom w:val="0"/>
                                              <w:divBdr>
                                                <w:top w:val="none" w:sz="0" w:space="0" w:color="auto"/>
                                                <w:left w:val="none" w:sz="0" w:space="0" w:color="auto"/>
                                                <w:bottom w:val="none" w:sz="0" w:space="0" w:color="auto"/>
                                                <w:right w:val="none" w:sz="0" w:space="0" w:color="auto"/>
                                              </w:divBdr>
                                              <w:divsChild>
                                                <w:div w:id="271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168563">
      <w:bodyDiv w:val="1"/>
      <w:marLeft w:val="0"/>
      <w:marRight w:val="0"/>
      <w:marTop w:val="0"/>
      <w:marBottom w:val="0"/>
      <w:divBdr>
        <w:top w:val="none" w:sz="0" w:space="0" w:color="auto"/>
        <w:left w:val="none" w:sz="0" w:space="0" w:color="auto"/>
        <w:bottom w:val="none" w:sz="0" w:space="0" w:color="auto"/>
        <w:right w:val="none" w:sz="0" w:space="0" w:color="auto"/>
      </w:divBdr>
    </w:div>
    <w:div w:id="1870947459">
      <w:bodyDiv w:val="1"/>
      <w:marLeft w:val="0"/>
      <w:marRight w:val="0"/>
      <w:marTop w:val="0"/>
      <w:marBottom w:val="0"/>
      <w:divBdr>
        <w:top w:val="none" w:sz="0" w:space="0" w:color="auto"/>
        <w:left w:val="none" w:sz="0" w:space="0" w:color="auto"/>
        <w:bottom w:val="none" w:sz="0" w:space="0" w:color="auto"/>
        <w:right w:val="none" w:sz="0" w:space="0" w:color="auto"/>
      </w:divBdr>
      <w:divsChild>
        <w:div w:id="440800884">
          <w:marLeft w:val="0"/>
          <w:marRight w:val="0"/>
          <w:marTop w:val="0"/>
          <w:marBottom w:val="0"/>
          <w:divBdr>
            <w:top w:val="none" w:sz="0" w:space="0" w:color="auto"/>
            <w:left w:val="none" w:sz="0" w:space="0" w:color="auto"/>
            <w:bottom w:val="none" w:sz="0" w:space="0" w:color="auto"/>
            <w:right w:val="none" w:sz="0" w:space="0" w:color="auto"/>
          </w:divBdr>
          <w:divsChild>
            <w:div w:id="1534272528">
              <w:marLeft w:val="0"/>
              <w:marRight w:val="0"/>
              <w:marTop w:val="0"/>
              <w:marBottom w:val="0"/>
              <w:divBdr>
                <w:top w:val="none" w:sz="0" w:space="0" w:color="auto"/>
                <w:left w:val="none" w:sz="0" w:space="0" w:color="auto"/>
                <w:bottom w:val="none" w:sz="0" w:space="0" w:color="auto"/>
                <w:right w:val="none" w:sz="0" w:space="0" w:color="auto"/>
              </w:divBdr>
              <w:divsChild>
                <w:div w:id="704450163">
                  <w:marLeft w:val="0"/>
                  <w:marRight w:val="0"/>
                  <w:marTop w:val="0"/>
                  <w:marBottom w:val="0"/>
                  <w:divBdr>
                    <w:top w:val="none" w:sz="0" w:space="0" w:color="auto"/>
                    <w:left w:val="none" w:sz="0" w:space="0" w:color="auto"/>
                    <w:bottom w:val="none" w:sz="0" w:space="0" w:color="auto"/>
                    <w:right w:val="none" w:sz="0" w:space="0" w:color="auto"/>
                  </w:divBdr>
                  <w:divsChild>
                    <w:div w:id="1028213846">
                      <w:marLeft w:val="0"/>
                      <w:marRight w:val="0"/>
                      <w:marTop w:val="0"/>
                      <w:marBottom w:val="0"/>
                      <w:divBdr>
                        <w:top w:val="none" w:sz="0" w:space="0" w:color="auto"/>
                        <w:left w:val="none" w:sz="0" w:space="0" w:color="auto"/>
                        <w:bottom w:val="none" w:sz="0" w:space="0" w:color="auto"/>
                        <w:right w:val="none" w:sz="0" w:space="0" w:color="auto"/>
                      </w:divBdr>
                      <w:divsChild>
                        <w:div w:id="649679139">
                          <w:marLeft w:val="0"/>
                          <w:marRight w:val="0"/>
                          <w:marTop w:val="0"/>
                          <w:marBottom w:val="0"/>
                          <w:divBdr>
                            <w:top w:val="none" w:sz="0" w:space="0" w:color="auto"/>
                            <w:left w:val="none" w:sz="0" w:space="0" w:color="auto"/>
                            <w:bottom w:val="none" w:sz="0" w:space="0" w:color="auto"/>
                            <w:right w:val="none" w:sz="0" w:space="0" w:color="auto"/>
                          </w:divBdr>
                          <w:divsChild>
                            <w:div w:id="358361052">
                              <w:marLeft w:val="0"/>
                              <w:marRight w:val="0"/>
                              <w:marTop w:val="0"/>
                              <w:marBottom w:val="0"/>
                              <w:divBdr>
                                <w:top w:val="none" w:sz="0" w:space="0" w:color="auto"/>
                                <w:left w:val="none" w:sz="0" w:space="0" w:color="auto"/>
                                <w:bottom w:val="none" w:sz="0" w:space="0" w:color="auto"/>
                                <w:right w:val="none" w:sz="0" w:space="0" w:color="auto"/>
                              </w:divBdr>
                              <w:divsChild>
                                <w:div w:id="1047029704">
                                  <w:marLeft w:val="0"/>
                                  <w:marRight w:val="0"/>
                                  <w:marTop w:val="0"/>
                                  <w:marBottom w:val="0"/>
                                  <w:divBdr>
                                    <w:top w:val="none" w:sz="0" w:space="0" w:color="auto"/>
                                    <w:left w:val="none" w:sz="0" w:space="0" w:color="auto"/>
                                    <w:bottom w:val="none" w:sz="0" w:space="0" w:color="auto"/>
                                    <w:right w:val="none" w:sz="0" w:space="0" w:color="auto"/>
                                  </w:divBdr>
                                  <w:divsChild>
                                    <w:div w:id="1178692090">
                                      <w:marLeft w:val="0"/>
                                      <w:marRight w:val="0"/>
                                      <w:marTop w:val="0"/>
                                      <w:marBottom w:val="0"/>
                                      <w:divBdr>
                                        <w:top w:val="none" w:sz="0" w:space="0" w:color="auto"/>
                                        <w:left w:val="none" w:sz="0" w:space="0" w:color="auto"/>
                                        <w:bottom w:val="none" w:sz="0" w:space="0" w:color="auto"/>
                                        <w:right w:val="none" w:sz="0" w:space="0" w:color="auto"/>
                                      </w:divBdr>
                                      <w:divsChild>
                                        <w:div w:id="800615126">
                                          <w:marLeft w:val="0"/>
                                          <w:marRight w:val="0"/>
                                          <w:marTop w:val="0"/>
                                          <w:marBottom w:val="0"/>
                                          <w:divBdr>
                                            <w:top w:val="none" w:sz="0" w:space="0" w:color="auto"/>
                                            <w:left w:val="none" w:sz="0" w:space="0" w:color="auto"/>
                                            <w:bottom w:val="none" w:sz="0" w:space="0" w:color="auto"/>
                                            <w:right w:val="none" w:sz="0" w:space="0" w:color="auto"/>
                                          </w:divBdr>
                                          <w:divsChild>
                                            <w:div w:id="537157603">
                                              <w:marLeft w:val="0"/>
                                              <w:marRight w:val="0"/>
                                              <w:marTop w:val="0"/>
                                              <w:marBottom w:val="0"/>
                                              <w:divBdr>
                                                <w:top w:val="none" w:sz="0" w:space="0" w:color="auto"/>
                                                <w:left w:val="none" w:sz="0" w:space="0" w:color="auto"/>
                                                <w:bottom w:val="none" w:sz="0" w:space="0" w:color="auto"/>
                                                <w:right w:val="none" w:sz="0" w:space="0" w:color="auto"/>
                                              </w:divBdr>
                                              <w:divsChild>
                                                <w:div w:id="16021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647442">
      <w:bodyDiv w:val="1"/>
      <w:marLeft w:val="0"/>
      <w:marRight w:val="0"/>
      <w:marTop w:val="0"/>
      <w:marBottom w:val="0"/>
      <w:divBdr>
        <w:top w:val="none" w:sz="0" w:space="0" w:color="auto"/>
        <w:left w:val="none" w:sz="0" w:space="0" w:color="auto"/>
        <w:bottom w:val="none" w:sz="0" w:space="0" w:color="auto"/>
        <w:right w:val="none" w:sz="0" w:space="0" w:color="auto"/>
      </w:divBdr>
    </w:div>
    <w:div w:id="1916666817">
      <w:bodyDiv w:val="1"/>
      <w:marLeft w:val="0"/>
      <w:marRight w:val="0"/>
      <w:marTop w:val="0"/>
      <w:marBottom w:val="0"/>
      <w:divBdr>
        <w:top w:val="none" w:sz="0" w:space="0" w:color="auto"/>
        <w:left w:val="none" w:sz="0" w:space="0" w:color="auto"/>
        <w:bottom w:val="none" w:sz="0" w:space="0" w:color="auto"/>
        <w:right w:val="none" w:sz="0" w:space="0" w:color="auto"/>
      </w:divBdr>
    </w:div>
    <w:div w:id="1950160940">
      <w:bodyDiv w:val="1"/>
      <w:marLeft w:val="0"/>
      <w:marRight w:val="0"/>
      <w:marTop w:val="0"/>
      <w:marBottom w:val="0"/>
      <w:divBdr>
        <w:top w:val="none" w:sz="0" w:space="0" w:color="auto"/>
        <w:left w:val="none" w:sz="0" w:space="0" w:color="auto"/>
        <w:bottom w:val="none" w:sz="0" w:space="0" w:color="auto"/>
        <w:right w:val="none" w:sz="0" w:space="0" w:color="auto"/>
      </w:divBdr>
    </w:div>
    <w:div w:id="1956984218">
      <w:bodyDiv w:val="1"/>
      <w:marLeft w:val="0"/>
      <w:marRight w:val="0"/>
      <w:marTop w:val="0"/>
      <w:marBottom w:val="0"/>
      <w:divBdr>
        <w:top w:val="none" w:sz="0" w:space="0" w:color="auto"/>
        <w:left w:val="none" w:sz="0" w:space="0" w:color="auto"/>
        <w:bottom w:val="none" w:sz="0" w:space="0" w:color="auto"/>
        <w:right w:val="none" w:sz="0" w:space="0" w:color="auto"/>
      </w:divBdr>
    </w:div>
    <w:div w:id="1965383013">
      <w:bodyDiv w:val="1"/>
      <w:marLeft w:val="0"/>
      <w:marRight w:val="0"/>
      <w:marTop w:val="0"/>
      <w:marBottom w:val="0"/>
      <w:divBdr>
        <w:top w:val="none" w:sz="0" w:space="0" w:color="auto"/>
        <w:left w:val="none" w:sz="0" w:space="0" w:color="auto"/>
        <w:bottom w:val="none" w:sz="0" w:space="0" w:color="auto"/>
        <w:right w:val="none" w:sz="0" w:space="0" w:color="auto"/>
      </w:divBdr>
    </w:div>
    <w:div w:id="1966034590">
      <w:bodyDiv w:val="1"/>
      <w:marLeft w:val="0"/>
      <w:marRight w:val="0"/>
      <w:marTop w:val="0"/>
      <w:marBottom w:val="0"/>
      <w:divBdr>
        <w:top w:val="none" w:sz="0" w:space="0" w:color="auto"/>
        <w:left w:val="none" w:sz="0" w:space="0" w:color="auto"/>
        <w:bottom w:val="none" w:sz="0" w:space="0" w:color="auto"/>
        <w:right w:val="none" w:sz="0" w:space="0" w:color="auto"/>
      </w:divBdr>
      <w:divsChild>
        <w:div w:id="800002376">
          <w:marLeft w:val="0"/>
          <w:marRight w:val="0"/>
          <w:marTop w:val="0"/>
          <w:marBottom w:val="0"/>
          <w:divBdr>
            <w:top w:val="none" w:sz="0" w:space="0" w:color="auto"/>
            <w:left w:val="none" w:sz="0" w:space="0" w:color="auto"/>
            <w:bottom w:val="none" w:sz="0" w:space="0" w:color="auto"/>
            <w:right w:val="none" w:sz="0" w:space="0" w:color="auto"/>
          </w:divBdr>
          <w:divsChild>
            <w:div w:id="1199318196">
              <w:marLeft w:val="0"/>
              <w:marRight w:val="0"/>
              <w:marTop w:val="0"/>
              <w:marBottom w:val="0"/>
              <w:divBdr>
                <w:top w:val="none" w:sz="0" w:space="0" w:color="auto"/>
                <w:left w:val="none" w:sz="0" w:space="0" w:color="auto"/>
                <w:bottom w:val="none" w:sz="0" w:space="0" w:color="auto"/>
                <w:right w:val="none" w:sz="0" w:space="0" w:color="auto"/>
              </w:divBdr>
              <w:divsChild>
                <w:div w:id="1125393225">
                  <w:marLeft w:val="0"/>
                  <w:marRight w:val="0"/>
                  <w:marTop w:val="0"/>
                  <w:marBottom w:val="0"/>
                  <w:divBdr>
                    <w:top w:val="none" w:sz="0" w:space="0" w:color="auto"/>
                    <w:left w:val="none" w:sz="0" w:space="0" w:color="auto"/>
                    <w:bottom w:val="none" w:sz="0" w:space="0" w:color="auto"/>
                    <w:right w:val="none" w:sz="0" w:space="0" w:color="auto"/>
                  </w:divBdr>
                  <w:divsChild>
                    <w:div w:id="1890264492">
                      <w:marLeft w:val="0"/>
                      <w:marRight w:val="0"/>
                      <w:marTop w:val="0"/>
                      <w:marBottom w:val="0"/>
                      <w:divBdr>
                        <w:top w:val="none" w:sz="0" w:space="0" w:color="auto"/>
                        <w:left w:val="none" w:sz="0" w:space="0" w:color="auto"/>
                        <w:bottom w:val="none" w:sz="0" w:space="0" w:color="auto"/>
                        <w:right w:val="none" w:sz="0" w:space="0" w:color="auto"/>
                      </w:divBdr>
                      <w:divsChild>
                        <w:div w:id="1555387167">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sChild>
                                <w:div w:id="104352150">
                                  <w:marLeft w:val="0"/>
                                  <w:marRight w:val="0"/>
                                  <w:marTop w:val="0"/>
                                  <w:marBottom w:val="0"/>
                                  <w:divBdr>
                                    <w:top w:val="none" w:sz="0" w:space="0" w:color="auto"/>
                                    <w:left w:val="none" w:sz="0" w:space="0" w:color="auto"/>
                                    <w:bottom w:val="none" w:sz="0" w:space="0" w:color="auto"/>
                                    <w:right w:val="none" w:sz="0" w:space="0" w:color="auto"/>
                                  </w:divBdr>
                                  <w:divsChild>
                                    <w:div w:id="429937810">
                                      <w:marLeft w:val="0"/>
                                      <w:marRight w:val="0"/>
                                      <w:marTop w:val="0"/>
                                      <w:marBottom w:val="0"/>
                                      <w:divBdr>
                                        <w:top w:val="none" w:sz="0" w:space="0" w:color="auto"/>
                                        <w:left w:val="none" w:sz="0" w:space="0" w:color="auto"/>
                                        <w:bottom w:val="none" w:sz="0" w:space="0" w:color="auto"/>
                                        <w:right w:val="none" w:sz="0" w:space="0" w:color="auto"/>
                                      </w:divBdr>
                                      <w:divsChild>
                                        <w:div w:id="1833059093">
                                          <w:marLeft w:val="0"/>
                                          <w:marRight w:val="0"/>
                                          <w:marTop w:val="0"/>
                                          <w:marBottom w:val="0"/>
                                          <w:divBdr>
                                            <w:top w:val="none" w:sz="0" w:space="0" w:color="auto"/>
                                            <w:left w:val="none" w:sz="0" w:space="0" w:color="auto"/>
                                            <w:bottom w:val="none" w:sz="0" w:space="0" w:color="auto"/>
                                            <w:right w:val="none" w:sz="0" w:space="0" w:color="auto"/>
                                          </w:divBdr>
                                          <w:divsChild>
                                            <w:div w:id="1392847601">
                                              <w:marLeft w:val="0"/>
                                              <w:marRight w:val="0"/>
                                              <w:marTop w:val="0"/>
                                              <w:marBottom w:val="0"/>
                                              <w:divBdr>
                                                <w:top w:val="none" w:sz="0" w:space="0" w:color="auto"/>
                                                <w:left w:val="none" w:sz="0" w:space="0" w:color="auto"/>
                                                <w:bottom w:val="none" w:sz="0" w:space="0" w:color="auto"/>
                                                <w:right w:val="none" w:sz="0" w:space="0" w:color="auto"/>
                                              </w:divBdr>
                                              <w:divsChild>
                                                <w:div w:id="15280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062891">
      <w:bodyDiv w:val="1"/>
      <w:marLeft w:val="0"/>
      <w:marRight w:val="0"/>
      <w:marTop w:val="0"/>
      <w:marBottom w:val="0"/>
      <w:divBdr>
        <w:top w:val="none" w:sz="0" w:space="0" w:color="auto"/>
        <w:left w:val="none" w:sz="0" w:space="0" w:color="auto"/>
        <w:bottom w:val="none" w:sz="0" w:space="0" w:color="auto"/>
        <w:right w:val="none" w:sz="0" w:space="0" w:color="auto"/>
      </w:divBdr>
      <w:divsChild>
        <w:div w:id="597835770">
          <w:marLeft w:val="0"/>
          <w:marRight w:val="0"/>
          <w:marTop w:val="0"/>
          <w:marBottom w:val="0"/>
          <w:divBdr>
            <w:top w:val="none" w:sz="0" w:space="0" w:color="auto"/>
            <w:left w:val="none" w:sz="0" w:space="0" w:color="auto"/>
            <w:bottom w:val="none" w:sz="0" w:space="0" w:color="auto"/>
            <w:right w:val="none" w:sz="0" w:space="0" w:color="auto"/>
          </w:divBdr>
          <w:divsChild>
            <w:div w:id="1795370008">
              <w:marLeft w:val="0"/>
              <w:marRight w:val="0"/>
              <w:marTop w:val="0"/>
              <w:marBottom w:val="0"/>
              <w:divBdr>
                <w:top w:val="none" w:sz="0" w:space="0" w:color="auto"/>
                <w:left w:val="none" w:sz="0" w:space="0" w:color="auto"/>
                <w:bottom w:val="none" w:sz="0" w:space="0" w:color="auto"/>
                <w:right w:val="none" w:sz="0" w:space="0" w:color="auto"/>
              </w:divBdr>
              <w:divsChild>
                <w:div w:id="987976032">
                  <w:marLeft w:val="0"/>
                  <w:marRight w:val="0"/>
                  <w:marTop w:val="0"/>
                  <w:marBottom w:val="0"/>
                  <w:divBdr>
                    <w:top w:val="none" w:sz="0" w:space="0" w:color="auto"/>
                    <w:left w:val="none" w:sz="0" w:space="0" w:color="auto"/>
                    <w:bottom w:val="none" w:sz="0" w:space="0" w:color="auto"/>
                    <w:right w:val="none" w:sz="0" w:space="0" w:color="auto"/>
                  </w:divBdr>
                  <w:divsChild>
                    <w:div w:id="1518426343">
                      <w:marLeft w:val="0"/>
                      <w:marRight w:val="0"/>
                      <w:marTop w:val="0"/>
                      <w:marBottom w:val="0"/>
                      <w:divBdr>
                        <w:top w:val="none" w:sz="0" w:space="0" w:color="auto"/>
                        <w:left w:val="none" w:sz="0" w:space="0" w:color="auto"/>
                        <w:bottom w:val="none" w:sz="0" w:space="0" w:color="auto"/>
                        <w:right w:val="none" w:sz="0" w:space="0" w:color="auto"/>
                      </w:divBdr>
                      <w:divsChild>
                        <w:div w:id="508907482">
                          <w:marLeft w:val="0"/>
                          <w:marRight w:val="0"/>
                          <w:marTop w:val="0"/>
                          <w:marBottom w:val="0"/>
                          <w:divBdr>
                            <w:top w:val="none" w:sz="0" w:space="0" w:color="auto"/>
                            <w:left w:val="none" w:sz="0" w:space="0" w:color="auto"/>
                            <w:bottom w:val="none" w:sz="0" w:space="0" w:color="auto"/>
                            <w:right w:val="none" w:sz="0" w:space="0" w:color="auto"/>
                          </w:divBdr>
                          <w:divsChild>
                            <w:div w:id="1063916656">
                              <w:marLeft w:val="0"/>
                              <w:marRight w:val="0"/>
                              <w:marTop w:val="0"/>
                              <w:marBottom w:val="0"/>
                              <w:divBdr>
                                <w:top w:val="none" w:sz="0" w:space="0" w:color="auto"/>
                                <w:left w:val="none" w:sz="0" w:space="0" w:color="auto"/>
                                <w:bottom w:val="none" w:sz="0" w:space="0" w:color="auto"/>
                                <w:right w:val="none" w:sz="0" w:space="0" w:color="auto"/>
                              </w:divBdr>
                              <w:divsChild>
                                <w:div w:id="1217350913">
                                  <w:marLeft w:val="0"/>
                                  <w:marRight w:val="0"/>
                                  <w:marTop w:val="0"/>
                                  <w:marBottom w:val="0"/>
                                  <w:divBdr>
                                    <w:top w:val="none" w:sz="0" w:space="0" w:color="auto"/>
                                    <w:left w:val="none" w:sz="0" w:space="0" w:color="auto"/>
                                    <w:bottom w:val="none" w:sz="0" w:space="0" w:color="auto"/>
                                    <w:right w:val="none" w:sz="0" w:space="0" w:color="auto"/>
                                  </w:divBdr>
                                  <w:divsChild>
                                    <w:div w:id="1023020909">
                                      <w:marLeft w:val="0"/>
                                      <w:marRight w:val="0"/>
                                      <w:marTop w:val="0"/>
                                      <w:marBottom w:val="0"/>
                                      <w:divBdr>
                                        <w:top w:val="none" w:sz="0" w:space="0" w:color="auto"/>
                                        <w:left w:val="none" w:sz="0" w:space="0" w:color="auto"/>
                                        <w:bottom w:val="none" w:sz="0" w:space="0" w:color="auto"/>
                                        <w:right w:val="none" w:sz="0" w:space="0" w:color="auto"/>
                                      </w:divBdr>
                                      <w:divsChild>
                                        <w:div w:id="18502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7706">
                          <w:marLeft w:val="0"/>
                          <w:marRight w:val="0"/>
                          <w:marTop w:val="0"/>
                          <w:marBottom w:val="0"/>
                          <w:divBdr>
                            <w:top w:val="none" w:sz="0" w:space="0" w:color="auto"/>
                            <w:left w:val="none" w:sz="0" w:space="0" w:color="auto"/>
                            <w:bottom w:val="none" w:sz="0" w:space="0" w:color="auto"/>
                            <w:right w:val="none" w:sz="0" w:space="0" w:color="auto"/>
                          </w:divBdr>
                          <w:divsChild>
                            <w:div w:id="182211705">
                              <w:marLeft w:val="0"/>
                              <w:marRight w:val="0"/>
                              <w:marTop w:val="0"/>
                              <w:marBottom w:val="0"/>
                              <w:divBdr>
                                <w:top w:val="none" w:sz="0" w:space="0" w:color="auto"/>
                                <w:left w:val="none" w:sz="0" w:space="0" w:color="auto"/>
                                <w:bottom w:val="none" w:sz="0" w:space="0" w:color="auto"/>
                                <w:right w:val="none" w:sz="0" w:space="0" w:color="auto"/>
                              </w:divBdr>
                              <w:divsChild>
                                <w:div w:id="1529491540">
                                  <w:marLeft w:val="0"/>
                                  <w:marRight w:val="0"/>
                                  <w:marTop w:val="0"/>
                                  <w:marBottom w:val="0"/>
                                  <w:divBdr>
                                    <w:top w:val="none" w:sz="0" w:space="0" w:color="auto"/>
                                    <w:left w:val="none" w:sz="0" w:space="0" w:color="auto"/>
                                    <w:bottom w:val="none" w:sz="0" w:space="0" w:color="auto"/>
                                    <w:right w:val="none" w:sz="0" w:space="0" w:color="auto"/>
                                  </w:divBdr>
                                  <w:divsChild>
                                    <w:div w:id="1081609389">
                                      <w:marLeft w:val="0"/>
                                      <w:marRight w:val="0"/>
                                      <w:marTop w:val="0"/>
                                      <w:marBottom w:val="0"/>
                                      <w:divBdr>
                                        <w:top w:val="none" w:sz="0" w:space="0" w:color="auto"/>
                                        <w:left w:val="none" w:sz="0" w:space="0" w:color="auto"/>
                                        <w:bottom w:val="none" w:sz="0" w:space="0" w:color="auto"/>
                                        <w:right w:val="none" w:sz="0" w:space="0" w:color="auto"/>
                                      </w:divBdr>
                                      <w:divsChild>
                                        <w:div w:id="1452899119">
                                          <w:marLeft w:val="0"/>
                                          <w:marRight w:val="0"/>
                                          <w:marTop w:val="0"/>
                                          <w:marBottom w:val="0"/>
                                          <w:divBdr>
                                            <w:top w:val="none" w:sz="0" w:space="0" w:color="auto"/>
                                            <w:left w:val="none" w:sz="0" w:space="0" w:color="auto"/>
                                            <w:bottom w:val="none" w:sz="0" w:space="0" w:color="auto"/>
                                            <w:right w:val="none" w:sz="0" w:space="0" w:color="auto"/>
                                          </w:divBdr>
                                          <w:divsChild>
                                            <w:div w:id="1464880733">
                                              <w:marLeft w:val="0"/>
                                              <w:marRight w:val="0"/>
                                              <w:marTop w:val="0"/>
                                              <w:marBottom w:val="0"/>
                                              <w:divBdr>
                                                <w:top w:val="none" w:sz="0" w:space="0" w:color="auto"/>
                                                <w:left w:val="none" w:sz="0" w:space="0" w:color="auto"/>
                                                <w:bottom w:val="none" w:sz="0" w:space="0" w:color="auto"/>
                                                <w:right w:val="none" w:sz="0" w:space="0" w:color="auto"/>
                                              </w:divBdr>
                                              <w:divsChild>
                                                <w:div w:id="2559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871">
                                          <w:marLeft w:val="0"/>
                                          <w:marRight w:val="0"/>
                                          <w:marTop w:val="0"/>
                                          <w:marBottom w:val="0"/>
                                          <w:divBdr>
                                            <w:top w:val="none" w:sz="0" w:space="0" w:color="auto"/>
                                            <w:left w:val="none" w:sz="0" w:space="0" w:color="auto"/>
                                            <w:bottom w:val="none" w:sz="0" w:space="0" w:color="auto"/>
                                            <w:right w:val="none" w:sz="0" w:space="0" w:color="auto"/>
                                          </w:divBdr>
                                          <w:divsChild>
                                            <w:div w:id="918904698">
                                              <w:marLeft w:val="0"/>
                                              <w:marRight w:val="0"/>
                                              <w:marTop w:val="0"/>
                                              <w:marBottom w:val="0"/>
                                              <w:divBdr>
                                                <w:top w:val="none" w:sz="0" w:space="0" w:color="auto"/>
                                                <w:left w:val="none" w:sz="0" w:space="0" w:color="auto"/>
                                                <w:bottom w:val="none" w:sz="0" w:space="0" w:color="auto"/>
                                                <w:right w:val="none" w:sz="0" w:space="0" w:color="auto"/>
                                              </w:divBdr>
                                              <w:divsChild>
                                                <w:div w:id="15260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518070">
      <w:bodyDiv w:val="1"/>
      <w:marLeft w:val="0"/>
      <w:marRight w:val="0"/>
      <w:marTop w:val="0"/>
      <w:marBottom w:val="0"/>
      <w:divBdr>
        <w:top w:val="none" w:sz="0" w:space="0" w:color="auto"/>
        <w:left w:val="none" w:sz="0" w:space="0" w:color="auto"/>
        <w:bottom w:val="none" w:sz="0" w:space="0" w:color="auto"/>
        <w:right w:val="none" w:sz="0" w:space="0" w:color="auto"/>
      </w:divBdr>
    </w:div>
    <w:div w:id="1979068854">
      <w:bodyDiv w:val="1"/>
      <w:marLeft w:val="0"/>
      <w:marRight w:val="0"/>
      <w:marTop w:val="0"/>
      <w:marBottom w:val="0"/>
      <w:divBdr>
        <w:top w:val="none" w:sz="0" w:space="0" w:color="auto"/>
        <w:left w:val="none" w:sz="0" w:space="0" w:color="auto"/>
        <w:bottom w:val="none" w:sz="0" w:space="0" w:color="auto"/>
        <w:right w:val="none" w:sz="0" w:space="0" w:color="auto"/>
      </w:divBdr>
    </w:div>
    <w:div w:id="1982688307">
      <w:bodyDiv w:val="1"/>
      <w:marLeft w:val="0"/>
      <w:marRight w:val="0"/>
      <w:marTop w:val="0"/>
      <w:marBottom w:val="0"/>
      <w:divBdr>
        <w:top w:val="none" w:sz="0" w:space="0" w:color="auto"/>
        <w:left w:val="none" w:sz="0" w:space="0" w:color="auto"/>
        <w:bottom w:val="none" w:sz="0" w:space="0" w:color="auto"/>
        <w:right w:val="none" w:sz="0" w:space="0" w:color="auto"/>
      </w:divBdr>
    </w:div>
    <w:div w:id="1990085533">
      <w:bodyDiv w:val="1"/>
      <w:marLeft w:val="0"/>
      <w:marRight w:val="0"/>
      <w:marTop w:val="0"/>
      <w:marBottom w:val="0"/>
      <w:divBdr>
        <w:top w:val="none" w:sz="0" w:space="0" w:color="auto"/>
        <w:left w:val="none" w:sz="0" w:space="0" w:color="auto"/>
        <w:bottom w:val="none" w:sz="0" w:space="0" w:color="auto"/>
        <w:right w:val="none" w:sz="0" w:space="0" w:color="auto"/>
      </w:divBdr>
    </w:div>
    <w:div w:id="1998536422">
      <w:bodyDiv w:val="1"/>
      <w:marLeft w:val="0"/>
      <w:marRight w:val="0"/>
      <w:marTop w:val="0"/>
      <w:marBottom w:val="0"/>
      <w:divBdr>
        <w:top w:val="none" w:sz="0" w:space="0" w:color="auto"/>
        <w:left w:val="none" w:sz="0" w:space="0" w:color="auto"/>
        <w:bottom w:val="none" w:sz="0" w:space="0" w:color="auto"/>
        <w:right w:val="none" w:sz="0" w:space="0" w:color="auto"/>
      </w:divBdr>
    </w:div>
    <w:div w:id="2010910263">
      <w:bodyDiv w:val="1"/>
      <w:marLeft w:val="0"/>
      <w:marRight w:val="0"/>
      <w:marTop w:val="0"/>
      <w:marBottom w:val="0"/>
      <w:divBdr>
        <w:top w:val="none" w:sz="0" w:space="0" w:color="auto"/>
        <w:left w:val="none" w:sz="0" w:space="0" w:color="auto"/>
        <w:bottom w:val="none" w:sz="0" w:space="0" w:color="auto"/>
        <w:right w:val="none" w:sz="0" w:space="0" w:color="auto"/>
      </w:divBdr>
      <w:divsChild>
        <w:div w:id="932012402">
          <w:marLeft w:val="0"/>
          <w:marRight w:val="0"/>
          <w:marTop w:val="0"/>
          <w:marBottom w:val="0"/>
          <w:divBdr>
            <w:top w:val="none" w:sz="0" w:space="0" w:color="auto"/>
            <w:left w:val="none" w:sz="0" w:space="0" w:color="auto"/>
            <w:bottom w:val="none" w:sz="0" w:space="0" w:color="auto"/>
            <w:right w:val="none" w:sz="0" w:space="0" w:color="auto"/>
          </w:divBdr>
          <w:divsChild>
            <w:div w:id="2109809257">
              <w:marLeft w:val="0"/>
              <w:marRight w:val="0"/>
              <w:marTop w:val="0"/>
              <w:marBottom w:val="0"/>
              <w:divBdr>
                <w:top w:val="none" w:sz="0" w:space="0" w:color="auto"/>
                <w:left w:val="none" w:sz="0" w:space="0" w:color="auto"/>
                <w:bottom w:val="none" w:sz="0" w:space="0" w:color="auto"/>
                <w:right w:val="none" w:sz="0" w:space="0" w:color="auto"/>
              </w:divBdr>
              <w:divsChild>
                <w:div w:id="712273764">
                  <w:marLeft w:val="0"/>
                  <w:marRight w:val="0"/>
                  <w:marTop w:val="0"/>
                  <w:marBottom w:val="0"/>
                  <w:divBdr>
                    <w:top w:val="none" w:sz="0" w:space="0" w:color="auto"/>
                    <w:left w:val="none" w:sz="0" w:space="0" w:color="auto"/>
                    <w:bottom w:val="none" w:sz="0" w:space="0" w:color="auto"/>
                    <w:right w:val="none" w:sz="0" w:space="0" w:color="auto"/>
                  </w:divBdr>
                  <w:divsChild>
                    <w:div w:id="1408108689">
                      <w:marLeft w:val="0"/>
                      <w:marRight w:val="0"/>
                      <w:marTop w:val="0"/>
                      <w:marBottom w:val="0"/>
                      <w:divBdr>
                        <w:top w:val="none" w:sz="0" w:space="0" w:color="auto"/>
                        <w:left w:val="none" w:sz="0" w:space="0" w:color="auto"/>
                        <w:bottom w:val="none" w:sz="0" w:space="0" w:color="auto"/>
                        <w:right w:val="none" w:sz="0" w:space="0" w:color="auto"/>
                      </w:divBdr>
                      <w:divsChild>
                        <w:div w:id="813721836">
                          <w:marLeft w:val="0"/>
                          <w:marRight w:val="0"/>
                          <w:marTop w:val="0"/>
                          <w:marBottom w:val="0"/>
                          <w:divBdr>
                            <w:top w:val="none" w:sz="0" w:space="0" w:color="auto"/>
                            <w:left w:val="none" w:sz="0" w:space="0" w:color="auto"/>
                            <w:bottom w:val="none" w:sz="0" w:space="0" w:color="auto"/>
                            <w:right w:val="none" w:sz="0" w:space="0" w:color="auto"/>
                          </w:divBdr>
                          <w:divsChild>
                            <w:div w:id="1829782410">
                              <w:marLeft w:val="0"/>
                              <w:marRight w:val="0"/>
                              <w:marTop w:val="0"/>
                              <w:marBottom w:val="0"/>
                              <w:divBdr>
                                <w:top w:val="none" w:sz="0" w:space="0" w:color="auto"/>
                                <w:left w:val="none" w:sz="0" w:space="0" w:color="auto"/>
                                <w:bottom w:val="none" w:sz="0" w:space="0" w:color="auto"/>
                                <w:right w:val="none" w:sz="0" w:space="0" w:color="auto"/>
                              </w:divBdr>
                              <w:divsChild>
                                <w:div w:id="1674528472">
                                  <w:marLeft w:val="0"/>
                                  <w:marRight w:val="0"/>
                                  <w:marTop w:val="0"/>
                                  <w:marBottom w:val="0"/>
                                  <w:divBdr>
                                    <w:top w:val="none" w:sz="0" w:space="0" w:color="auto"/>
                                    <w:left w:val="none" w:sz="0" w:space="0" w:color="auto"/>
                                    <w:bottom w:val="none" w:sz="0" w:space="0" w:color="auto"/>
                                    <w:right w:val="none" w:sz="0" w:space="0" w:color="auto"/>
                                  </w:divBdr>
                                  <w:divsChild>
                                    <w:div w:id="166676861">
                                      <w:marLeft w:val="0"/>
                                      <w:marRight w:val="0"/>
                                      <w:marTop w:val="0"/>
                                      <w:marBottom w:val="0"/>
                                      <w:divBdr>
                                        <w:top w:val="none" w:sz="0" w:space="0" w:color="auto"/>
                                        <w:left w:val="none" w:sz="0" w:space="0" w:color="auto"/>
                                        <w:bottom w:val="none" w:sz="0" w:space="0" w:color="auto"/>
                                        <w:right w:val="none" w:sz="0" w:space="0" w:color="auto"/>
                                      </w:divBdr>
                                      <w:divsChild>
                                        <w:div w:id="1161964717">
                                          <w:marLeft w:val="0"/>
                                          <w:marRight w:val="0"/>
                                          <w:marTop w:val="0"/>
                                          <w:marBottom w:val="0"/>
                                          <w:divBdr>
                                            <w:top w:val="none" w:sz="0" w:space="0" w:color="auto"/>
                                            <w:left w:val="none" w:sz="0" w:space="0" w:color="auto"/>
                                            <w:bottom w:val="none" w:sz="0" w:space="0" w:color="auto"/>
                                            <w:right w:val="none" w:sz="0" w:space="0" w:color="auto"/>
                                          </w:divBdr>
                                          <w:divsChild>
                                            <w:div w:id="1453787298">
                                              <w:marLeft w:val="0"/>
                                              <w:marRight w:val="0"/>
                                              <w:marTop w:val="0"/>
                                              <w:marBottom w:val="0"/>
                                              <w:divBdr>
                                                <w:top w:val="none" w:sz="0" w:space="0" w:color="auto"/>
                                                <w:left w:val="none" w:sz="0" w:space="0" w:color="auto"/>
                                                <w:bottom w:val="none" w:sz="0" w:space="0" w:color="auto"/>
                                                <w:right w:val="none" w:sz="0" w:space="0" w:color="auto"/>
                                              </w:divBdr>
                                              <w:divsChild>
                                                <w:div w:id="1572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1817">
      <w:bodyDiv w:val="1"/>
      <w:marLeft w:val="0"/>
      <w:marRight w:val="0"/>
      <w:marTop w:val="0"/>
      <w:marBottom w:val="0"/>
      <w:divBdr>
        <w:top w:val="none" w:sz="0" w:space="0" w:color="auto"/>
        <w:left w:val="none" w:sz="0" w:space="0" w:color="auto"/>
        <w:bottom w:val="none" w:sz="0" w:space="0" w:color="auto"/>
        <w:right w:val="none" w:sz="0" w:space="0" w:color="auto"/>
      </w:divBdr>
      <w:divsChild>
        <w:div w:id="1222794466">
          <w:marLeft w:val="0"/>
          <w:marRight w:val="0"/>
          <w:marTop w:val="0"/>
          <w:marBottom w:val="0"/>
          <w:divBdr>
            <w:top w:val="none" w:sz="0" w:space="0" w:color="auto"/>
            <w:left w:val="none" w:sz="0" w:space="0" w:color="auto"/>
            <w:bottom w:val="none" w:sz="0" w:space="0" w:color="auto"/>
            <w:right w:val="none" w:sz="0" w:space="0" w:color="auto"/>
          </w:divBdr>
          <w:divsChild>
            <w:div w:id="326519261">
              <w:marLeft w:val="0"/>
              <w:marRight w:val="0"/>
              <w:marTop w:val="0"/>
              <w:marBottom w:val="0"/>
              <w:divBdr>
                <w:top w:val="none" w:sz="0" w:space="0" w:color="auto"/>
                <w:left w:val="none" w:sz="0" w:space="0" w:color="auto"/>
                <w:bottom w:val="none" w:sz="0" w:space="0" w:color="auto"/>
                <w:right w:val="none" w:sz="0" w:space="0" w:color="auto"/>
              </w:divBdr>
              <w:divsChild>
                <w:div w:id="344407495">
                  <w:marLeft w:val="0"/>
                  <w:marRight w:val="0"/>
                  <w:marTop w:val="0"/>
                  <w:marBottom w:val="0"/>
                  <w:divBdr>
                    <w:top w:val="none" w:sz="0" w:space="0" w:color="auto"/>
                    <w:left w:val="none" w:sz="0" w:space="0" w:color="auto"/>
                    <w:bottom w:val="none" w:sz="0" w:space="0" w:color="auto"/>
                    <w:right w:val="none" w:sz="0" w:space="0" w:color="auto"/>
                  </w:divBdr>
                  <w:divsChild>
                    <w:div w:id="183593024">
                      <w:marLeft w:val="0"/>
                      <w:marRight w:val="0"/>
                      <w:marTop w:val="0"/>
                      <w:marBottom w:val="0"/>
                      <w:divBdr>
                        <w:top w:val="none" w:sz="0" w:space="0" w:color="auto"/>
                        <w:left w:val="none" w:sz="0" w:space="0" w:color="auto"/>
                        <w:bottom w:val="none" w:sz="0" w:space="0" w:color="auto"/>
                        <w:right w:val="none" w:sz="0" w:space="0" w:color="auto"/>
                      </w:divBdr>
                      <w:divsChild>
                        <w:div w:id="1952931763">
                          <w:marLeft w:val="0"/>
                          <w:marRight w:val="0"/>
                          <w:marTop w:val="0"/>
                          <w:marBottom w:val="0"/>
                          <w:divBdr>
                            <w:top w:val="none" w:sz="0" w:space="0" w:color="auto"/>
                            <w:left w:val="none" w:sz="0" w:space="0" w:color="auto"/>
                            <w:bottom w:val="none" w:sz="0" w:space="0" w:color="auto"/>
                            <w:right w:val="none" w:sz="0" w:space="0" w:color="auto"/>
                          </w:divBdr>
                          <w:divsChild>
                            <w:div w:id="1423839713">
                              <w:marLeft w:val="0"/>
                              <w:marRight w:val="0"/>
                              <w:marTop w:val="0"/>
                              <w:marBottom w:val="0"/>
                              <w:divBdr>
                                <w:top w:val="none" w:sz="0" w:space="0" w:color="auto"/>
                                <w:left w:val="none" w:sz="0" w:space="0" w:color="auto"/>
                                <w:bottom w:val="none" w:sz="0" w:space="0" w:color="auto"/>
                                <w:right w:val="none" w:sz="0" w:space="0" w:color="auto"/>
                              </w:divBdr>
                              <w:divsChild>
                                <w:div w:id="78335013">
                                  <w:marLeft w:val="0"/>
                                  <w:marRight w:val="0"/>
                                  <w:marTop w:val="0"/>
                                  <w:marBottom w:val="0"/>
                                  <w:divBdr>
                                    <w:top w:val="none" w:sz="0" w:space="0" w:color="auto"/>
                                    <w:left w:val="none" w:sz="0" w:space="0" w:color="auto"/>
                                    <w:bottom w:val="none" w:sz="0" w:space="0" w:color="auto"/>
                                    <w:right w:val="none" w:sz="0" w:space="0" w:color="auto"/>
                                  </w:divBdr>
                                  <w:divsChild>
                                    <w:div w:id="62143359">
                                      <w:marLeft w:val="0"/>
                                      <w:marRight w:val="0"/>
                                      <w:marTop w:val="0"/>
                                      <w:marBottom w:val="0"/>
                                      <w:divBdr>
                                        <w:top w:val="none" w:sz="0" w:space="0" w:color="auto"/>
                                        <w:left w:val="none" w:sz="0" w:space="0" w:color="auto"/>
                                        <w:bottom w:val="none" w:sz="0" w:space="0" w:color="auto"/>
                                        <w:right w:val="none" w:sz="0" w:space="0" w:color="auto"/>
                                      </w:divBdr>
                                      <w:divsChild>
                                        <w:div w:id="193349046">
                                          <w:marLeft w:val="0"/>
                                          <w:marRight w:val="0"/>
                                          <w:marTop w:val="0"/>
                                          <w:marBottom w:val="0"/>
                                          <w:divBdr>
                                            <w:top w:val="none" w:sz="0" w:space="0" w:color="auto"/>
                                            <w:left w:val="none" w:sz="0" w:space="0" w:color="auto"/>
                                            <w:bottom w:val="none" w:sz="0" w:space="0" w:color="auto"/>
                                            <w:right w:val="none" w:sz="0" w:space="0" w:color="auto"/>
                                          </w:divBdr>
                                          <w:divsChild>
                                            <w:div w:id="1855262841">
                                              <w:marLeft w:val="0"/>
                                              <w:marRight w:val="0"/>
                                              <w:marTop w:val="0"/>
                                              <w:marBottom w:val="0"/>
                                              <w:divBdr>
                                                <w:top w:val="none" w:sz="0" w:space="0" w:color="auto"/>
                                                <w:left w:val="none" w:sz="0" w:space="0" w:color="auto"/>
                                                <w:bottom w:val="none" w:sz="0" w:space="0" w:color="auto"/>
                                                <w:right w:val="none" w:sz="0" w:space="0" w:color="auto"/>
                                              </w:divBdr>
                                              <w:divsChild>
                                                <w:div w:id="5257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586702">
      <w:bodyDiv w:val="1"/>
      <w:marLeft w:val="0"/>
      <w:marRight w:val="0"/>
      <w:marTop w:val="0"/>
      <w:marBottom w:val="0"/>
      <w:divBdr>
        <w:top w:val="none" w:sz="0" w:space="0" w:color="auto"/>
        <w:left w:val="none" w:sz="0" w:space="0" w:color="auto"/>
        <w:bottom w:val="none" w:sz="0" w:space="0" w:color="auto"/>
        <w:right w:val="none" w:sz="0" w:space="0" w:color="auto"/>
      </w:divBdr>
    </w:div>
    <w:div w:id="2043555940">
      <w:bodyDiv w:val="1"/>
      <w:marLeft w:val="0"/>
      <w:marRight w:val="0"/>
      <w:marTop w:val="0"/>
      <w:marBottom w:val="0"/>
      <w:divBdr>
        <w:top w:val="none" w:sz="0" w:space="0" w:color="auto"/>
        <w:left w:val="none" w:sz="0" w:space="0" w:color="auto"/>
        <w:bottom w:val="none" w:sz="0" w:space="0" w:color="auto"/>
        <w:right w:val="none" w:sz="0" w:space="0" w:color="auto"/>
      </w:divBdr>
    </w:div>
    <w:div w:id="2044865240">
      <w:bodyDiv w:val="1"/>
      <w:marLeft w:val="0"/>
      <w:marRight w:val="0"/>
      <w:marTop w:val="0"/>
      <w:marBottom w:val="0"/>
      <w:divBdr>
        <w:top w:val="none" w:sz="0" w:space="0" w:color="auto"/>
        <w:left w:val="none" w:sz="0" w:space="0" w:color="auto"/>
        <w:bottom w:val="none" w:sz="0" w:space="0" w:color="auto"/>
        <w:right w:val="none" w:sz="0" w:space="0" w:color="auto"/>
      </w:divBdr>
    </w:div>
    <w:div w:id="2069719150">
      <w:bodyDiv w:val="1"/>
      <w:marLeft w:val="0"/>
      <w:marRight w:val="0"/>
      <w:marTop w:val="0"/>
      <w:marBottom w:val="0"/>
      <w:divBdr>
        <w:top w:val="none" w:sz="0" w:space="0" w:color="auto"/>
        <w:left w:val="none" w:sz="0" w:space="0" w:color="auto"/>
        <w:bottom w:val="none" w:sz="0" w:space="0" w:color="auto"/>
        <w:right w:val="none" w:sz="0" w:space="0" w:color="auto"/>
      </w:divBdr>
    </w:div>
    <w:div w:id="2093970982">
      <w:bodyDiv w:val="1"/>
      <w:marLeft w:val="0"/>
      <w:marRight w:val="0"/>
      <w:marTop w:val="0"/>
      <w:marBottom w:val="0"/>
      <w:divBdr>
        <w:top w:val="none" w:sz="0" w:space="0" w:color="auto"/>
        <w:left w:val="none" w:sz="0" w:space="0" w:color="auto"/>
        <w:bottom w:val="none" w:sz="0" w:space="0" w:color="auto"/>
        <w:right w:val="none" w:sz="0" w:space="0" w:color="auto"/>
      </w:divBdr>
      <w:divsChild>
        <w:div w:id="335116390">
          <w:marLeft w:val="0"/>
          <w:marRight w:val="0"/>
          <w:marTop w:val="0"/>
          <w:marBottom w:val="0"/>
          <w:divBdr>
            <w:top w:val="none" w:sz="0" w:space="0" w:color="auto"/>
            <w:left w:val="none" w:sz="0" w:space="0" w:color="auto"/>
            <w:bottom w:val="none" w:sz="0" w:space="0" w:color="auto"/>
            <w:right w:val="none" w:sz="0" w:space="0" w:color="auto"/>
          </w:divBdr>
          <w:divsChild>
            <w:div w:id="611090338">
              <w:marLeft w:val="0"/>
              <w:marRight w:val="0"/>
              <w:marTop w:val="0"/>
              <w:marBottom w:val="0"/>
              <w:divBdr>
                <w:top w:val="none" w:sz="0" w:space="0" w:color="auto"/>
                <w:left w:val="none" w:sz="0" w:space="0" w:color="auto"/>
                <w:bottom w:val="none" w:sz="0" w:space="0" w:color="auto"/>
                <w:right w:val="none" w:sz="0" w:space="0" w:color="auto"/>
              </w:divBdr>
              <w:divsChild>
                <w:div w:id="978264721">
                  <w:marLeft w:val="0"/>
                  <w:marRight w:val="0"/>
                  <w:marTop w:val="0"/>
                  <w:marBottom w:val="0"/>
                  <w:divBdr>
                    <w:top w:val="none" w:sz="0" w:space="0" w:color="auto"/>
                    <w:left w:val="none" w:sz="0" w:space="0" w:color="auto"/>
                    <w:bottom w:val="none" w:sz="0" w:space="0" w:color="auto"/>
                    <w:right w:val="none" w:sz="0" w:space="0" w:color="auto"/>
                  </w:divBdr>
                  <w:divsChild>
                    <w:div w:id="2005472929">
                      <w:marLeft w:val="0"/>
                      <w:marRight w:val="0"/>
                      <w:marTop w:val="0"/>
                      <w:marBottom w:val="0"/>
                      <w:divBdr>
                        <w:top w:val="none" w:sz="0" w:space="0" w:color="auto"/>
                        <w:left w:val="none" w:sz="0" w:space="0" w:color="auto"/>
                        <w:bottom w:val="none" w:sz="0" w:space="0" w:color="auto"/>
                        <w:right w:val="none" w:sz="0" w:space="0" w:color="auto"/>
                      </w:divBdr>
                      <w:divsChild>
                        <w:div w:id="153956181">
                          <w:marLeft w:val="0"/>
                          <w:marRight w:val="0"/>
                          <w:marTop w:val="0"/>
                          <w:marBottom w:val="0"/>
                          <w:divBdr>
                            <w:top w:val="none" w:sz="0" w:space="0" w:color="auto"/>
                            <w:left w:val="none" w:sz="0" w:space="0" w:color="auto"/>
                            <w:bottom w:val="none" w:sz="0" w:space="0" w:color="auto"/>
                            <w:right w:val="none" w:sz="0" w:space="0" w:color="auto"/>
                          </w:divBdr>
                          <w:divsChild>
                            <w:div w:id="104271516">
                              <w:marLeft w:val="0"/>
                              <w:marRight w:val="0"/>
                              <w:marTop w:val="0"/>
                              <w:marBottom w:val="0"/>
                              <w:divBdr>
                                <w:top w:val="none" w:sz="0" w:space="0" w:color="auto"/>
                                <w:left w:val="none" w:sz="0" w:space="0" w:color="auto"/>
                                <w:bottom w:val="none" w:sz="0" w:space="0" w:color="auto"/>
                                <w:right w:val="none" w:sz="0" w:space="0" w:color="auto"/>
                              </w:divBdr>
                              <w:divsChild>
                                <w:div w:id="1116825080">
                                  <w:marLeft w:val="0"/>
                                  <w:marRight w:val="0"/>
                                  <w:marTop w:val="0"/>
                                  <w:marBottom w:val="0"/>
                                  <w:divBdr>
                                    <w:top w:val="none" w:sz="0" w:space="0" w:color="auto"/>
                                    <w:left w:val="none" w:sz="0" w:space="0" w:color="auto"/>
                                    <w:bottom w:val="none" w:sz="0" w:space="0" w:color="auto"/>
                                    <w:right w:val="none" w:sz="0" w:space="0" w:color="auto"/>
                                  </w:divBdr>
                                  <w:divsChild>
                                    <w:div w:id="565650116">
                                      <w:marLeft w:val="0"/>
                                      <w:marRight w:val="0"/>
                                      <w:marTop w:val="0"/>
                                      <w:marBottom w:val="0"/>
                                      <w:divBdr>
                                        <w:top w:val="none" w:sz="0" w:space="0" w:color="auto"/>
                                        <w:left w:val="none" w:sz="0" w:space="0" w:color="auto"/>
                                        <w:bottom w:val="none" w:sz="0" w:space="0" w:color="auto"/>
                                        <w:right w:val="none" w:sz="0" w:space="0" w:color="auto"/>
                                      </w:divBdr>
                                      <w:divsChild>
                                        <w:div w:id="2018774832">
                                          <w:marLeft w:val="0"/>
                                          <w:marRight w:val="0"/>
                                          <w:marTop w:val="0"/>
                                          <w:marBottom w:val="0"/>
                                          <w:divBdr>
                                            <w:top w:val="none" w:sz="0" w:space="0" w:color="auto"/>
                                            <w:left w:val="none" w:sz="0" w:space="0" w:color="auto"/>
                                            <w:bottom w:val="none" w:sz="0" w:space="0" w:color="auto"/>
                                            <w:right w:val="none" w:sz="0" w:space="0" w:color="auto"/>
                                          </w:divBdr>
                                          <w:divsChild>
                                            <w:div w:id="410546314">
                                              <w:marLeft w:val="0"/>
                                              <w:marRight w:val="0"/>
                                              <w:marTop w:val="0"/>
                                              <w:marBottom w:val="0"/>
                                              <w:divBdr>
                                                <w:top w:val="none" w:sz="0" w:space="0" w:color="auto"/>
                                                <w:left w:val="none" w:sz="0" w:space="0" w:color="auto"/>
                                                <w:bottom w:val="none" w:sz="0" w:space="0" w:color="auto"/>
                                                <w:right w:val="none" w:sz="0" w:space="0" w:color="auto"/>
                                              </w:divBdr>
                                              <w:divsChild>
                                                <w:div w:id="989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836106">
      <w:bodyDiv w:val="1"/>
      <w:marLeft w:val="0"/>
      <w:marRight w:val="0"/>
      <w:marTop w:val="0"/>
      <w:marBottom w:val="0"/>
      <w:divBdr>
        <w:top w:val="none" w:sz="0" w:space="0" w:color="auto"/>
        <w:left w:val="none" w:sz="0" w:space="0" w:color="auto"/>
        <w:bottom w:val="none" w:sz="0" w:space="0" w:color="auto"/>
        <w:right w:val="none" w:sz="0" w:space="0" w:color="auto"/>
      </w:divBdr>
    </w:div>
    <w:div w:id="2124962278">
      <w:bodyDiv w:val="1"/>
      <w:marLeft w:val="0"/>
      <w:marRight w:val="0"/>
      <w:marTop w:val="0"/>
      <w:marBottom w:val="0"/>
      <w:divBdr>
        <w:top w:val="none" w:sz="0" w:space="0" w:color="auto"/>
        <w:left w:val="none" w:sz="0" w:space="0" w:color="auto"/>
        <w:bottom w:val="none" w:sz="0" w:space="0" w:color="auto"/>
        <w:right w:val="none" w:sz="0" w:space="0" w:color="auto"/>
      </w:divBdr>
    </w:div>
    <w:div w:id="2140613391">
      <w:bodyDiv w:val="1"/>
      <w:marLeft w:val="0"/>
      <w:marRight w:val="0"/>
      <w:marTop w:val="0"/>
      <w:marBottom w:val="0"/>
      <w:divBdr>
        <w:top w:val="none" w:sz="0" w:space="0" w:color="auto"/>
        <w:left w:val="none" w:sz="0" w:space="0" w:color="auto"/>
        <w:bottom w:val="none" w:sz="0" w:space="0" w:color="auto"/>
        <w:right w:val="none" w:sz="0" w:space="0" w:color="auto"/>
      </w:divBdr>
    </w:div>
    <w:div w:id="2145927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vsba-aims.maxicloud.co/maximo/ui" TargetMode="External"/><Relationship Id="rId299" Type="http://schemas.openxmlformats.org/officeDocument/2006/relationships/hyperlink" Target="https://www.eduweb.vic.gov.au/psdms/Home.aspx" TargetMode="External"/><Relationship Id="rId21" Type="http://schemas.openxmlformats.org/officeDocument/2006/relationships/hyperlink" Target="https://www2.education.vic.gov.au/pal/students-disability/policy" TargetMode="External"/><Relationship Id="rId63" Type="http://schemas.openxmlformats.org/officeDocument/2006/relationships/hyperlink" Target="https://www2.education.vic.gov.au/pal/students-disability/policy" TargetMode="External"/><Relationship Id="rId159" Type="http://schemas.openxmlformats.org/officeDocument/2006/relationships/hyperlink" Target="https://www2.education.vic.gov.au/pal/student-resource-package-srp-targeted-initiatives/guidance/transition-funding-rural-reference" TargetMode="External"/><Relationship Id="rId170" Type="http://schemas.openxmlformats.org/officeDocument/2006/relationships/hyperlink" Target="https://www2.education.vic.gov.au/pal/mental-health-schools/guidance" TargetMode="External"/><Relationship Id="rId226" Type="http://schemas.openxmlformats.org/officeDocument/2006/relationships/hyperlink" Target="https://www2.education.vic.gov.au/pal/travel-and-personal-expenses-teaching-service/policy-and-guidelines/overview" TargetMode="External"/><Relationship Id="rId268" Type="http://schemas.openxmlformats.org/officeDocument/2006/relationships/hyperlink" Target="https://www2.education.vic.gov.au/pal/student-resource-package-srp-managing-budget/guidance/4-reports" TargetMode="External"/><Relationship Id="rId32" Type="http://schemas.openxmlformats.org/officeDocument/2006/relationships/hyperlink" Target="https://www2.education.vic.gov.au/pal/finance-manual/policy" TargetMode="External"/><Relationship Id="rId74" Type="http://schemas.openxmlformats.org/officeDocument/2006/relationships/hyperlink" Target="mailto:eal@education.vic.gov.au" TargetMode="External"/><Relationship Id="rId128" Type="http://schemas.openxmlformats.org/officeDocument/2006/relationships/hyperlink" Target="https://www2.education.vic.gov.au/pal/student-resource-package-srp-school-specific-programs/guidance/bus-coordination-reference-43" TargetMode="External"/><Relationship Id="rId5" Type="http://schemas.openxmlformats.org/officeDocument/2006/relationships/numbering" Target="numbering.xml"/><Relationship Id="rId181" Type="http://schemas.openxmlformats.org/officeDocument/2006/relationships/hyperlink" Target="https://www.education.vic.gov.au/about/programs/Pages/doctors.aspx" TargetMode="External"/><Relationship Id="rId237" Type="http://schemas.openxmlformats.org/officeDocument/2006/relationships/hyperlink" Target="https://www2.education.vic.gov.au/pal/purchasing-secondary-courses" TargetMode="External"/><Relationship Id="rId279" Type="http://schemas.openxmlformats.org/officeDocument/2006/relationships/hyperlink" Target="https://www2.education.vic.gov.au/pal/student-resource-package-srp-managing-budget/guidance/4-reports" TargetMode="External"/><Relationship Id="rId43" Type="http://schemas.openxmlformats.org/officeDocument/2006/relationships/hyperlink" Target="mailto:studentresourcepackage@education.vic.gov.au" TargetMode="External"/><Relationship Id="rId139" Type="http://schemas.openxmlformats.org/officeDocument/2006/relationships/hyperlink" Target="https://www.education.vic.gov.au/PAL/student-resource-package-determining-rurality-parameters.docx" TargetMode="External"/><Relationship Id="rId290" Type="http://schemas.openxmlformats.org/officeDocument/2006/relationships/hyperlink" Target="mailto:schools.finance.support@education.vic.gov.au" TargetMode="External"/><Relationship Id="rId304" Type="http://schemas.openxmlformats.org/officeDocument/2006/relationships/hyperlink" Target="tel:031800641943" TargetMode="External"/><Relationship Id="rId85" Type="http://schemas.openxmlformats.org/officeDocument/2006/relationships/hyperlink" Target="https://www2.education.vic.gov.au/pal/disability-inclusion-funding-support/guidance/tier-3-student-level-funding" TargetMode="External"/><Relationship Id="rId150" Type="http://schemas.openxmlformats.org/officeDocument/2006/relationships/hyperlink" Target="https://www2.education.vic.gov.au/pal/student-resource-package-srp-targeted-initiatives/guidance/respectful-relationships-reference" TargetMode="External"/><Relationship Id="rId192" Type="http://schemas.openxmlformats.org/officeDocument/2006/relationships/hyperlink" Target="mailto:school.swimming@education.vic.gov.au" TargetMode="External"/><Relationship Id="rId206" Type="http://schemas.openxmlformats.org/officeDocument/2006/relationships/hyperlink" Target="mailto:student.excellence@education.vic.gov.au" TargetMode="External"/><Relationship Id="rId248" Type="http://schemas.openxmlformats.org/officeDocument/2006/relationships/hyperlink" Target="https://www2.education.vic.gov.au/pal/student-resource-package-srp-managing-budget/guidance/6-reconciliation" TargetMode="External"/><Relationship Id="rId12" Type="http://schemas.openxmlformats.org/officeDocument/2006/relationships/hyperlink" Target="https://www.education.vic.gov.au/PAL/srp-rurality-rates-2024.xlsx" TargetMode="External"/><Relationship Id="rId108" Type="http://schemas.openxmlformats.org/officeDocument/2006/relationships/hyperlink" Target="https://vsba-aims.maxicloud.co/maximo/ui" TargetMode="External"/><Relationship Id="rId54" Type="http://schemas.openxmlformats.org/officeDocument/2006/relationships/hyperlink" Target="http://www.education.vic.gov.au/school/teachers/learningneeds/Pages/psdhandbook.aspx" TargetMode="External"/><Relationship Id="rId96" Type="http://schemas.openxmlformats.org/officeDocument/2006/relationships/hyperlink" Target="https://www2.education.vic.gov.au/pal/student-resource-package-srp-core-student-learning-allocation-funding-student-based-funding-3-3" TargetMode="External"/><Relationship Id="rId161" Type="http://schemas.openxmlformats.org/officeDocument/2006/relationships/hyperlink" Target="https://www2.education.vic.gov.au/pal/student-resource-package-srp-targeted-initiatives/guidance/tutor-learning-initiative-reference" TargetMode="External"/><Relationship Id="rId217" Type="http://schemas.openxmlformats.org/officeDocument/2006/relationships/hyperlink" Target="https://www.vic.gov.au/mental-health-and-wellbeing-toolkit" TargetMode="External"/><Relationship Id="rId259" Type="http://schemas.openxmlformats.org/officeDocument/2006/relationships/hyperlink" Target="https://www2.education.vic.gov.au/pal/recruitment-schools" TargetMode="External"/><Relationship Id="rId23" Type="http://schemas.openxmlformats.org/officeDocument/2006/relationships/hyperlink" Target="https://www.vic.gov.au/mental-health-and-wellbeing-toolkit" TargetMode="External"/><Relationship Id="rId119" Type="http://schemas.openxmlformats.org/officeDocument/2006/relationships/hyperlink" Target="https://www.nathers.gov.au/" TargetMode="External"/><Relationship Id="rId270" Type="http://schemas.openxmlformats.org/officeDocument/2006/relationships/hyperlink" Target="https://www2.education.vic.gov.au/pal/student-resource-package-srp-managing-budget/guidance/4-reports" TargetMode="External"/><Relationship Id="rId65" Type="http://schemas.openxmlformats.org/officeDocument/2006/relationships/hyperlink" Target="http://www.eduweb.vic.gov.au/psdms" TargetMode="External"/><Relationship Id="rId130" Type="http://schemas.openxmlformats.org/officeDocument/2006/relationships/hyperlink" Target="https://www2.education.vic.gov.au/pal/student-resource-package-srp-school-specific-programs/guidance/marc/macc-grant-reference-46" TargetMode="External"/><Relationship Id="rId172" Type="http://schemas.openxmlformats.org/officeDocument/2006/relationships/hyperlink" Target="https://www2.education.vic.gov.au/pal/student-engagement/policy" TargetMode="External"/><Relationship Id="rId193" Type="http://schemas.openxmlformats.org/officeDocument/2006/relationships/hyperlink" Target="https://www.vic.gov.au/head-start-apprenticeships-and-traineeships" TargetMode="External"/><Relationship Id="rId207" Type="http://schemas.openxmlformats.org/officeDocument/2006/relationships/hyperlink" Target="https://edugate.eduweb.vic.gov.au/sites/i/Shared%20Documents/2023-VCE-School-Implementation-Guide.pdf" TargetMode="External"/><Relationship Id="rId228" Type="http://schemas.openxmlformats.org/officeDocument/2006/relationships/hyperlink" Target="https://www2.education.vic.gov.au/pal/mental-health-fund-menu/policy" TargetMode="External"/><Relationship Id="rId249" Type="http://schemas.openxmlformats.org/officeDocument/2006/relationships/hyperlink" Target="https://www2.education.vic.gov.au/pal/student-resource-package-srp-managing-budget/guidance/7-cash" TargetMode="External"/><Relationship Id="rId13" Type="http://schemas.openxmlformats.org/officeDocument/2006/relationships/hyperlink" Target="https://www.abs.gov.au/AUSSTATS/abs@.nsf/Latestproducts/1270.0.55.005Main%20Features15July%202016" TargetMode="External"/><Relationship Id="rId109" Type="http://schemas.openxmlformats.org/officeDocument/2006/relationships/hyperlink" Target="https://www2.education.vic.gov.au/pal/school-maintenance-plans-rfe/policy" TargetMode="External"/><Relationship Id="rId260" Type="http://schemas.openxmlformats.org/officeDocument/2006/relationships/hyperlink" Target="https://www2.education.vic.gov.au/pal/recruitment-schools" TargetMode="External"/><Relationship Id="rId281" Type="http://schemas.openxmlformats.org/officeDocument/2006/relationships/hyperlink" Target="tel:1800641943" TargetMode="External"/><Relationship Id="rId34" Type="http://schemas.openxmlformats.org/officeDocument/2006/relationships/hyperlink" Target="https://www2.education.vic.gov.au/pal/student-enrolment-census/policy" TargetMode="External"/><Relationship Id="rId55" Type="http://schemas.openxmlformats.org/officeDocument/2006/relationships/hyperlink" Target="https://www2.education.vic.gov.au/pal/student-support-groups/policy" TargetMode="External"/><Relationship Id="rId76" Type="http://schemas.openxmlformats.org/officeDocument/2006/relationships/hyperlink" Target="https://www2.education.vic.gov.au/pal/student-resource-package-srp-core-student-learning-allocation-funding-student-based-funding-0" TargetMode="External"/><Relationship Id="rId97" Type="http://schemas.openxmlformats.org/officeDocument/2006/relationships/hyperlink" Target="mailto:business@redenergy.com.au" TargetMode="External"/><Relationship Id="rId120" Type="http://schemas.openxmlformats.org/officeDocument/2006/relationships/hyperlink" Target="https://www.eduweb.vic.gov.au/SRP/reports/" TargetMode="External"/><Relationship Id="rId141" Type="http://schemas.openxmlformats.org/officeDocument/2006/relationships/hyperlink" Target="https://itt.abs.gov.au/itt/r.jsp?ABSMaps" TargetMode="External"/><Relationship Id="rId7" Type="http://schemas.openxmlformats.org/officeDocument/2006/relationships/settings" Target="settings.xml"/><Relationship Id="rId162" Type="http://schemas.openxmlformats.org/officeDocument/2006/relationships/hyperlink" Target="https://www2.education.vic.gov.au/pal/student-resource-package-srp-targeted-initiatives/guidance/mental-health-primary-schools-pilot" TargetMode="External"/><Relationship Id="rId183" Type="http://schemas.openxmlformats.org/officeDocument/2006/relationships/hyperlink" Target="mailto:doctors.in.schools@education.vic.gov.au" TargetMode="External"/><Relationship Id="rId218" Type="http://schemas.openxmlformats.org/officeDocument/2006/relationships/hyperlink" Target="mailto:smsi@education.vic.gov.au" TargetMode="External"/><Relationship Id="rId239" Type="http://schemas.openxmlformats.org/officeDocument/2006/relationships/hyperlink" Target="tel:1800623681" TargetMode="External"/><Relationship Id="rId250" Type="http://schemas.openxmlformats.org/officeDocument/2006/relationships/hyperlink" Target="https://www2.education.vic.gov.au/pal/student-resource-package-srp-managing-budget/guidance/8-deficit-management-and-workforce" TargetMode="External"/><Relationship Id="rId271" Type="http://schemas.openxmlformats.org/officeDocument/2006/relationships/hyperlink" Target="https://www2.education.vic.gov.au/pal/student-resource-package-srp-managing-budget/guidance/4-reports" TargetMode="External"/><Relationship Id="rId292" Type="http://schemas.openxmlformats.org/officeDocument/2006/relationships/hyperlink" Target="https://www.eduweb.vic.gov.au/SRP/reports/report.aspx?id=22" TargetMode="External"/><Relationship Id="rId306" Type="http://schemas.openxmlformats.org/officeDocument/2006/relationships/hyperlink" Target="https://www.eduweb.vic.gov.au/SRP/reports/default.aspx?DisplayContext=1" TargetMode="External"/><Relationship Id="rId24" Type="http://schemas.openxmlformats.org/officeDocument/2006/relationships/hyperlink" Target="https://v6.education.vic.gov.au/ch/100821/55cgv/1565/MpQvOTdjBajbmeJ.H8c3tfaPLfwDt18RdSsTVqh4.docx" TargetMode="External"/><Relationship Id="rId45" Type="http://schemas.openxmlformats.org/officeDocument/2006/relationships/hyperlink" Target="tel:1800641943" TargetMode="External"/><Relationship Id="rId66" Type="http://schemas.openxmlformats.org/officeDocument/2006/relationships/hyperlink" Target="https://services.educationapps.vic.gov.au/dp" TargetMode="External"/><Relationship Id="rId87" Type="http://schemas.openxmlformats.org/officeDocument/2006/relationships/hyperlink" Target="https://www2.education.vic.gov.au/pal/disability-inclusion-funding-support/policy" TargetMode="External"/><Relationship Id="rId110" Type="http://schemas.openxmlformats.org/officeDocument/2006/relationships/hyperlink" Target="mailto:maintenance.plan@education.vic.gov.au" TargetMode="External"/><Relationship Id="rId131" Type="http://schemas.openxmlformats.org/officeDocument/2006/relationships/hyperlink" Target="https://www2.education.vic.gov.au/pal/student-resource-package-srp-school-specific-programs/guidance/alternative-settings-teachers" TargetMode="External"/><Relationship Id="rId152" Type="http://schemas.openxmlformats.org/officeDocument/2006/relationships/hyperlink" Target="https://www2.education.vic.gov.au/pal/student-resource-package-srp-targeted-initiatives/guidance/swimming-school-reference-115" TargetMode="External"/><Relationship Id="rId173" Type="http://schemas.openxmlformats.org/officeDocument/2006/relationships/hyperlink" Target="https://www2.education.vic.gov.au/pal/individual-education-plans-ieps/resources" TargetMode="External"/><Relationship Id="rId194" Type="http://schemas.openxmlformats.org/officeDocument/2006/relationships/hyperlink" Target="https://www.education.vic.gov.au/about/programs/Pages/headstart.aspx" TargetMode="External"/><Relationship Id="rId208" Type="http://schemas.openxmlformats.org/officeDocument/2006/relationships/hyperlink" Target="mailto:rural.regional.reform@education.vic.gov.au" TargetMode="External"/><Relationship Id="rId229" Type="http://schemas.openxmlformats.org/officeDocument/2006/relationships/hyperlink" Target="https://www.education.vic.gov.au/hrweb/employcond/Pages/spay.aspx" TargetMode="External"/><Relationship Id="rId240" Type="http://schemas.openxmlformats.org/officeDocument/2006/relationships/hyperlink" Target="mailto:vass.support@education.vic.gov.au" TargetMode="External"/><Relationship Id="rId261" Type="http://schemas.openxmlformats.org/officeDocument/2006/relationships/hyperlink" Target="https://www2.education.vic.gov.au/pal/higher-duties-teaching-service" TargetMode="External"/><Relationship Id="rId14" Type="http://schemas.openxmlformats.org/officeDocument/2006/relationships/hyperlink" Target="https://www.abs.gov.au/statistics/standards/australian-statistical-geography-standard-asgs-edition-3/jul2021-jun2026/significant-urban-areas-urban-centres-and-localities-section-state/urban-centres-and-localities" TargetMode="External"/><Relationship Id="rId35" Type="http://schemas.openxmlformats.org/officeDocument/2006/relationships/hyperlink" Target="https://www2.education.vic.gov.au/pal/student-resource-package/policy" TargetMode="External"/><Relationship Id="rId56" Type="http://schemas.openxmlformats.org/officeDocument/2006/relationships/hyperlink" Target="http://www.education.vic.gov.au/school/teachers/management/finance/Pages/swdsystems.aspx" TargetMode="External"/><Relationship Id="rId77" Type="http://schemas.openxmlformats.org/officeDocument/2006/relationships/hyperlink" Target="https://www2.education.vic.gov.au/pal/disability-inclusion-funding-support/guidance" TargetMode="External"/><Relationship Id="rId100" Type="http://schemas.openxmlformats.org/officeDocument/2006/relationships/hyperlink" Target="tel:1300793477" TargetMode="External"/><Relationship Id="rId282" Type="http://schemas.openxmlformats.org/officeDocument/2006/relationships/hyperlink" Target="https://www2.education.vic.gov.au/pal/salary-rates" TargetMode="External"/><Relationship Id="rId8" Type="http://schemas.openxmlformats.org/officeDocument/2006/relationships/webSettings" Target="webSettings.xml"/><Relationship Id="rId98" Type="http://schemas.openxmlformats.org/officeDocument/2006/relationships/hyperlink" Target="tel:1300322067" TargetMode="External"/><Relationship Id="rId121" Type="http://schemas.openxmlformats.org/officeDocument/2006/relationships/hyperlink" Target="mailto:workers.compensation.corporate@education.vic.gov.au" TargetMode="External"/><Relationship Id="rId142" Type="http://schemas.openxmlformats.org/officeDocument/2006/relationships/hyperlink" Target="https://maps.abs.gov.au/" TargetMode="External"/><Relationship Id="rId163" Type="http://schemas.openxmlformats.org/officeDocument/2006/relationships/hyperlink" Target="https://www2.education.vic.gov.au/pal/student-resource-package-srp-targeted-initiatives/guidance/mental-health-practitioners" TargetMode="External"/><Relationship Id="rId184" Type="http://schemas.openxmlformats.org/officeDocument/2006/relationships/hyperlink" Target="https://www.education.vic.gov.au/about/programs/pages/respectfulrelationships.aspx" TargetMode="External"/><Relationship Id="rId219" Type="http://schemas.openxmlformats.org/officeDocument/2006/relationships/hyperlink" Target="https://www2.education.vic.gov.au/pal/teach-today-teach-tomorrow-programs/overview" TargetMode="External"/><Relationship Id="rId230" Type="http://schemas.openxmlformats.org/officeDocument/2006/relationships/hyperlink" Target="https://www.vic.gov.au/active-schools" TargetMode="External"/><Relationship Id="rId251" Type="http://schemas.openxmlformats.org/officeDocument/2006/relationships/hyperlink" Target="https://www2.education.vic.gov.au/pal/student-resource-package-srp-managing-budget/guidance/10-principal-classification-budget" TargetMode="External"/><Relationship Id="rId25" Type="http://schemas.openxmlformats.org/officeDocument/2006/relationships/hyperlink" Target="https://v6.education.vic.gov.au/ch/100821/55cgv/1566/MpQvOTdjBajbmeJ.H8c3aMkkdkAAeL1BkmCdj.sY.pdf" TargetMode="External"/><Relationship Id="rId46" Type="http://schemas.openxmlformats.org/officeDocument/2006/relationships/hyperlink" Target="https://services.educationapps.vic.gov.au/dp" TargetMode="External"/><Relationship Id="rId67" Type="http://schemas.openxmlformats.org/officeDocument/2006/relationships/hyperlink" Target="https://www2.education.vic.gov.au/pal/behaviour-students/guidance/6-behaviour-support-plans" TargetMode="External"/><Relationship Id="rId272" Type="http://schemas.openxmlformats.org/officeDocument/2006/relationships/hyperlink" Target="https://www2.education.vic.gov.au/pal/student-resource-package-srp-managing-budget/guidance/4-reports" TargetMode="External"/><Relationship Id="rId293" Type="http://schemas.openxmlformats.org/officeDocument/2006/relationships/hyperlink" Target="https://www.eduweb.vic.gov.au/SRP/reports/default.aspx?DisplayContext=1" TargetMode="External"/><Relationship Id="rId307" Type="http://schemas.openxmlformats.org/officeDocument/2006/relationships/hyperlink" Target="https://www2.education.vic.gov.au/pal/school-merger-or-closure" TargetMode="External"/><Relationship Id="rId88" Type="http://schemas.openxmlformats.org/officeDocument/2006/relationships/hyperlink" Target="https://www2.education.vic.gov.au/pal/student-resource-package-srp-equity-funding-student-based-funding/guidance/disability-inclusion-0" TargetMode="External"/><Relationship Id="rId111" Type="http://schemas.openxmlformats.org/officeDocument/2006/relationships/hyperlink" Target="https://www2.education.vic.gov.au/pal/essential-safety-measures/policy" TargetMode="External"/><Relationship Id="rId132" Type="http://schemas.openxmlformats.org/officeDocument/2006/relationships/hyperlink" Target="https://www2.education.vic.gov.au/pal/student-resource-package-srp-school-specific-programs/guidance/ancillary-settings-teachers" TargetMode="External"/><Relationship Id="rId153" Type="http://schemas.openxmlformats.org/officeDocument/2006/relationships/hyperlink" Target="https://www2.education.vic.gov.au/pal/student-resource-package-srp-targeted-initiatives/guidance/head-start-reference-116" TargetMode="External"/><Relationship Id="rId174" Type="http://schemas.openxmlformats.org/officeDocument/2006/relationships/hyperlink" Target="https://www2.education.vic.gov.au/pal/individual-education-plans-ieps/resources" TargetMode="External"/><Relationship Id="rId195" Type="http://schemas.openxmlformats.org/officeDocument/2006/relationships/hyperlink" Target="https://edugate.eduweb.vic.gov.au/edrms/keyprocess/stfg/Pages/default.aspx" TargetMode="External"/><Relationship Id="rId209" Type="http://schemas.openxmlformats.org/officeDocument/2006/relationships/hyperlink" Target="mailto:pmss@education.vic.gov.au" TargetMode="External"/><Relationship Id="rId220" Type="http://schemas.openxmlformats.org/officeDocument/2006/relationships/hyperlink" Target="https://www.vic.gov.au/paid-employment-based-teaching-degrees" TargetMode="External"/><Relationship Id="rId241" Type="http://schemas.openxmlformats.org/officeDocument/2006/relationships/hyperlink" Target="https://www2.education.vic.gov.au/pal/ndis-navigators/policy" TargetMode="External"/><Relationship Id="rId15" Type="http://schemas.openxmlformats.org/officeDocument/2006/relationships/hyperlink" Target="https://dbr.abs.gov.au/absmaps/index.html" TargetMode="External"/><Relationship Id="rId36" Type="http://schemas.openxmlformats.org/officeDocument/2006/relationships/hyperlink" Target="https://www2.education.vic.gov.au/pal/student-resource-package-srp-core-student-learning-allocation-funding-student-based-funding-0" TargetMode="External"/><Relationship Id="rId57" Type="http://schemas.openxmlformats.org/officeDocument/2006/relationships/hyperlink" Target="http://www.eduweb.vic.gov.au/psdms" TargetMode="External"/><Relationship Id="rId262" Type="http://schemas.openxmlformats.org/officeDocument/2006/relationships/hyperlink" Target="https://www2.education.vic.gov.au/pal/transfer-and-promotion-teaching-service/overview" TargetMode="External"/><Relationship Id="rId283" Type="http://schemas.openxmlformats.org/officeDocument/2006/relationships/hyperlink" Target="https://www.education.vic.gov.au/Documents/school/teachers/management/finance/srp-leave-portal-user-guide.pdf" TargetMode="External"/><Relationship Id="rId78" Type="http://schemas.openxmlformats.org/officeDocument/2006/relationships/hyperlink" Target="https://www2.education.vic.gov.au/pal/students-disability/policy" TargetMode="External"/><Relationship Id="rId99" Type="http://schemas.openxmlformats.org/officeDocument/2006/relationships/hyperlink" Target="mailto:vicgov@agl.com.au" TargetMode="External"/><Relationship Id="rId101" Type="http://schemas.openxmlformats.org/officeDocument/2006/relationships/hyperlink" Target="mailto:vicgovernment@originenergy.com.au" TargetMode="External"/><Relationship Id="rId122" Type="http://schemas.openxmlformats.org/officeDocument/2006/relationships/hyperlink" Target="mailto:workers.compensation.advisory@edumail.vic.gov.au" TargetMode="External"/><Relationship Id="rId143" Type="http://schemas.openxmlformats.org/officeDocument/2006/relationships/hyperlink" Target="https://www.education.vic.gov.au/PAL/student-resource-package-determining-rurality-parameters.docx" TargetMode="External"/><Relationship Id="rId164" Type="http://schemas.openxmlformats.org/officeDocument/2006/relationships/hyperlink" Target="https://www2.education.vic.gov.au/pal/student-resource-package-srp-targeted-initiatives/guidance/archived-secondary-mathematics-and" TargetMode="External"/><Relationship Id="rId185" Type="http://schemas.openxmlformats.org/officeDocument/2006/relationships/hyperlink" Target="https://www.education.vic.gov.au/school/teachers/teachingresources/discipline/capabilities/personal/Pages/respectfulrelschools.aspx" TargetMode="External"/><Relationship Id="rId9" Type="http://schemas.openxmlformats.org/officeDocument/2006/relationships/footnotes" Target="footnotes.xml"/><Relationship Id="rId210" Type="http://schemas.openxmlformats.org/officeDocument/2006/relationships/hyperlink" Target="https://www2.education.vic.gov.au/pal/vce-vocational-major-vpc-provision/policy" TargetMode="External"/><Relationship Id="rId26" Type="http://schemas.openxmlformats.org/officeDocument/2006/relationships/hyperlink" Target="https://www2.education.vic.gov.au/pal/student-resource-package-srp-core-student-learning-allocation-funding-student-based-funding-0" TargetMode="External"/><Relationship Id="rId231" Type="http://schemas.openxmlformats.org/officeDocument/2006/relationships/hyperlink" Target="https://www.vic.gov.au/active-schools" TargetMode="External"/><Relationship Id="rId252" Type="http://schemas.openxmlformats.org/officeDocument/2006/relationships/hyperlink" Target="https://www2.education.vic.gov.au/pal/student-resource-package-srp-managing-budget/guidance/10-enrolment-variation-funding" TargetMode="External"/><Relationship Id="rId273" Type="http://schemas.openxmlformats.org/officeDocument/2006/relationships/hyperlink" Target="https://servicegateway.eduweb.vic.gov.au/MSMSelfService/AutoGen.aspx?page=22" TargetMode="External"/><Relationship Id="rId294" Type="http://schemas.openxmlformats.org/officeDocument/2006/relationships/hyperlink" Target="https://www.eduweb.vic.gov.au/srp/login.aspx?returnUrl=%2fSRP%2freports%2freport.aspx%3fid%3d25" TargetMode="External"/><Relationship Id="rId308" Type="http://schemas.openxmlformats.org/officeDocument/2006/relationships/hyperlink" Target="https://www.eduweb.vic.gov.au/srp/login.aspx?returnUrl=%2fSRP%2fplanner%2fdefault.aspx" TargetMode="External"/><Relationship Id="rId47" Type="http://schemas.openxmlformats.org/officeDocument/2006/relationships/hyperlink" Target="tel:0370221111" TargetMode="External"/><Relationship Id="rId68" Type="http://schemas.openxmlformats.org/officeDocument/2006/relationships/hyperlink" Target="https://www2.education.vic.gov.au/pal/health-care-needs/policy" TargetMode="External"/><Relationship Id="rId89" Type="http://schemas.openxmlformats.org/officeDocument/2006/relationships/hyperlink" Target="mailto:disability.inclusion.outcomes@education.vic.gov.au" TargetMode="External"/><Relationship Id="rId112" Type="http://schemas.openxmlformats.org/officeDocument/2006/relationships/hyperlink" Target="mailto:essential.safety.measures@education.vic.gov.au" TargetMode="External"/><Relationship Id="rId133" Type="http://schemas.openxmlformats.org/officeDocument/2006/relationships/hyperlink" Target="https://www2.education.vic.gov.au/pal/student-resource-package-srp-school-specific-programs/guidance/alternative-programs-regional" TargetMode="External"/><Relationship Id="rId154" Type="http://schemas.openxmlformats.org/officeDocument/2006/relationships/hyperlink" Target="https://www2.education.vic.gov.au/pal/student-resource-package-srp-targeted-initiatives/guidance/chaplaincy-reference-117" TargetMode="External"/><Relationship Id="rId175" Type="http://schemas.openxmlformats.org/officeDocument/2006/relationships/hyperlink" Target="https://edupay.eduweb.vic.gov.au/" TargetMode="External"/><Relationship Id="rId196" Type="http://schemas.openxmlformats.org/officeDocument/2006/relationships/hyperlink" Target="mailto:head.start@education.vic.gov.au" TargetMode="External"/><Relationship Id="rId200" Type="http://schemas.openxmlformats.org/officeDocument/2006/relationships/hyperlink" Target="https://www2.education.vic.gov.au/pal/mylns-initiative/policy" TargetMode="External"/><Relationship Id="rId16" Type="http://schemas.openxmlformats.org/officeDocument/2006/relationships/hyperlink" Target="https://www.education.vic.gov.au/PAL/student-resource-package-determining-rurality-parameters.docx" TargetMode="External"/><Relationship Id="rId221" Type="http://schemas.openxmlformats.org/officeDocument/2006/relationships/hyperlink" Target="mailto:teach.today.teach.tomorrow@education.vic.gov.au" TargetMode="External"/><Relationship Id="rId242" Type="http://schemas.openxmlformats.org/officeDocument/2006/relationships/hyperlink" Target="https://www2.education.vic.gov.au/pal/student-resource-package-srp-managing-budget/guidance/1-salary-and-related-expenditure" TargetMode="External"/><Relationship Id="rId263" Type="http://schemas.openxmlformats.org/officeDocument/2006/relationships/hyperlink" Target="https://www2.education.vic.gov.au/pal/student-resource-package-srp-managing-budget/guidance/2-relief-staffing" TargetMode="External"/><Relationship Id="rId284" Type="http://schemas.openxmlformats.org/officeDocument/2006/relationships/hyperlink" Target="https://www.education.vic.gov.au/Documents/school/teachers/management/finance/srp-leave-portal-user-guide.docx" TargetMode="External"/><Relationship Id="rId37" Type="http://schemas.openxmlformats.org/officeDocument/2006/relationships/hyperlink" Target="https://www2.education.vic.gov.au/pal/student-resource-package-srp-managing-budget/policy" TargetMode="External"/><Relationship Id="rId58" Type="http://schemas.openxmlformats.org/officeDocument/2006/relationships/hyperlink" Target="https://services.educationapps.vic.gov.au/dp?id=dp_homepage" TargetMode="External"/><Relationship Id="rId79" Type="http://schemas.openxmlformats.org/officeDocument/2006/relationships/hyperlink" Target="https://www.education.vic.gov.au/PAL/disability-inclusion-tier-2-funding-calculator.xlsx" TargetMode="External"/><Relationship Id="rId102" Type="http://schemas.openxmlformats.org/officeDocument/2006/relationships/hyperlink" Target="tel:1800319299" TargetMode="External"/><Relationship Id="rId123" Type="http://schemas.openxmlformats.org/officeDocument/2006/relationships/hyperlink" Target="https://www2.education.vic.gov.au/pal/student-resource-package-srp-school-infrastructure/policy" TargetMode="External"/><Relationship Id="rId144" Type="http://schemas.openxmlformats.org/officeDocument/2006/relationships/hyperlink" Target="https://www2.education.vic.gov.au/pal/student-resource-package-srp-school-specific-programs/guidance/marc/macc-teachers-science-and" TargetMode="External"/><Relationship Id="rId90" Type="http://schemas.openxmlformats.org/officeDocument/2006/relationships/hyperlink" Target="https://www.eduweb.vic.gov.au/SchoolFacilitiesProfile/SFPW3.aspx" TargetMode="External"/><Relationship Id="rId165" Type="http://schemas.openxmlformats.org/officeDocument/2006/relationships/hyperlink" Target="https://www2.education.vic.gov.au/pal/student-resource-package-srp-targeted-initiatives/guidance/archived-outside-school-hours-care" TargetMode="External"/><Relationship Id="rId186" Type="http://schemas.openxmlformats.org/officeDocument/2006/relationships/hyperlink" Target="http://www.education.vic.gov.au/about/programs/pages/respectfulrelationships.aspx" TargetMode="External"/><Relationship Id="rId211" Type="http://schemas.openxmlformats.org/officeDocument/2006/relationships/hyperlink" Target="https://www2.education.vic.gov.au/pal/vocational-and-applied-learning-coordination/policy" TargetMode="External"/><Relationship Id="rId232" Type="http://schemas.openxmlformats.org/officeDocument/2006/relationships/hyperlink" Target="https://www2.education.vic.gov.au/pal/physical-and-sport-education-delivery-requirements/policy" TargetMode="External"/><Relationship Id="rId253" Type="http://schemas.openxmlformats.org/officeDocument/2006/relationships/hyperlink" Target="http://www.education.vic.gov.au/hrweb/Documents/Staffing_policy-mergerclosure.pdf" TargetMode="External"/><Relationship Id="rId274" Type="http://schemas.openxmlformats.org/officeDocument/2006/relationships/hyperlink" Target="https://servicegateway.eduweb.vic.gov.au/MSMSelfService/AutoGen.aspx?page=22" TargetMode="External"/><Relationship Id="rId295" Type="http://schemas.openxmlformats.org/officeDocument/2006/relationships/hyperlink" Target="https://www.eduweb.vic.gov.au/SRP/reports/default.aspx?DisplayContext=1" TargetMode="External"/><Relationship Id="rId309" Type="http://schemas.openxmlformats.org/officeDocument/2006/relationships/header" Target="header1.xml"/><Relationship Id="rId27" Type="http://schemas.openxmlformats.org/officeDocument/2006/relationships/hyperlink" Target="https://www2.education.vic.gov.au/pal/student-resource-package-srp-equity-funding-student-based-funding/guidance" TargetMode="External"/><Relationship Id="rId48" Type="http://schemas.openxmlformats.org/officeDocument/2006/relationships/hyperlink" Target="mailto:eal@education.vic.gov.au" TargetMode="External"/><Relationship Id="rId69" Type="http://schemas.openxmlformats.org/officeDocument/2006/relationships/hyperlink" Target="https://www.education.vic.gov.au/school/teachers/learningneeds/Pages/medical-intervention-support.aspx" TargetMode="External"/><Relationship Id="rId113" Type="http://schemas.openxmlformats.org/officeDocument/2006/relationships/hyperlink" Target="https://www2.education.vic.gov.au/pal/capacity-and-area-allocation/advice" TargetMode="External"/><Relationship Id="rId134" Type="http://schemas.openxmlformats.org/officeDocument/2006/relationships/hyperlink" Target="https://www2.education.vic.gov.au/pal/student-resource-package-srp-school-specific-programs/guidance/joint-community-program" TargetMode="External"/><Relationship Id="rId80" Type="http://schemas.openxmlformats.org/officeDocument/2006/relationships/hyperlink" Target="https://www2.education.vic.gov.au/pal/disability-inclusion-funding-support/policy" TargetMode="External"/><Relationship Id="rId155" Type="http://schemas.openxmlformats.org/officeDocument/2006/relationships/hyperlink" Target="https://www2.education.vic.gov.au/pal/student-resource-package-srp-targeted-initiatives/guidance/middle-years-literacy-and-numeracy" TargetMode="External"/><Relationship Id="rId176" Type="http://schemas.openxmlformats.org/officeDocument/2006/relationships/hyperlink" Target="https://aus01.safelinks.protection.outlook.com/?url=https%3A%2F%2Farc.educationapps.vic.gov.au%2Feventhub%2Fproviders%2FIEP&amp;data=04%7C01%7COsman.Ali-Khelil%40education.vic.gov.au%7C95767ce2b61442c0000e08da03126333%7Cd96cb3371a8744cfb69b3cec334a4c1f%7C0%7C0%7C637825674751047123%7CUnknown%7CTWFpbGZsb3d8eyJWIjoiMC4wLjAwMDAiLCJQIjoiV2luMzIiLCJBTiI6Ik1haWwiLCJXVCI6Mn0%3D%7C3000&amp;sdata=zzf1vA2nFtd1cVwfQgOnM9ETMLBwAz3TYJdgXsMfrc4%3D&amp;reserved=0" TargetMode="External"/><Relationship Id="rId197" Type="http://schemas.openxmlformats.org/officeDocument/2006/relationships/hyperlink" Target="https://www.vic.gov.au/national-student-wellbeing-program" TargetMode="External"/><Relationship Id="rId201" Type="http://schemas.openxmlformats.org/officeDocument/2006/relationships/hyperlink" Target="https://www2.education.vic.gov.au/pal/mylns-initiative/policy" TargetMode="External"/><Relationship Id="rId222" Type="http://schemas.openxmlformats.org/officeDocument/2006/relationships/hyperlink" Target="https://www2.education.vic.gov.au/pal/disability-inclusion-funding-support/policy" TargetMode="External"/><Relationship Id="rId243" Type="http://schemas.openxmlformats.org/officeDocument/2006/relationships/hyperlink" Target="https://www2.education.vic.gov.au/pal/student-resource-package-srp-managing-budget/guidance/2-relief-staffing" TargetMode="External"/><Relationship Id="rId264" Type="http://schemas.openxmlformats.org/officeDocument/2006/relationships/hyperlink" Target="https://www2.education.vic.gov.au/pal/student-resource-package-srp-managing-budget/guidance/4-reports" TargetMode="External"/><Relationship Id="rId285" Type="http://schemas.openxmlformats.org/officeDocument/2006/relationships/hyperlink" Target="https://www.education.vic.gov.au/Documents/school/teachers/management/finance/leave-replacement-sample.xls" TargetMode="External"/><Relationship Id="rId17" Type="http://schemas.openxmlformats.org/officeDocument/2006/relationships/hyperlink" Target="https://victoriancurriculum.vcaa.vic.edu.au/" TargetMode="External"/><Relationship Id="rId38" Type="http://schemas.openxmlformats.org/officeDocument/2006/relationships/hyperlink" Target="https://www2.education.vic.gov.au/pal/student-resource-package-srp-school-infrastructure/policy" TargetMode="External"/><Relationship Id="rId59" Type="http://schemas.openxmlformats.org/officeDocument/2006/relationships/hyperlink" Target="https://www2.education.vic.gov.au/pal/disability-inclusion-funding-support/policy" TargetMode="External"/><Relationship Id="rId103" Type="http://schemas.openxmlformats.org/officeDocument/2006/relationships/hyperlink" Target="https://www.eduweb.vic.gov.au/SRP/reports/default.aspx?DisplayContext=1" TargetMode="External"/><Relationship Id="rId124" Type="http://schemas.openxmlformats.org/officeDocument/2006/relationships/hyperlink" Target="https://www2.education.vic.gov.au/pal/student-resource-package-srp-school-specific-programs/guidance/p-12-complexity-allowance" TargetMode="External"/><Relationship Id="rId310" Type="http://schemas.openxmlformats.org/officeDocument/2006/relationships/footer" Target="footer1.xml"/><Relationship Id="rId70" Type="http://schemas.openxmlformats.org/officeDocument/2006/relationships/hyperlink" Target="https://www2.education.vic.gov.au/pal/student-resource-package-srp-equity-funding-student-based-funding/guidance/10-eal-contingency" TargetMode="External"/><Relationship Id="rId91" Type="http://schemas.openxmlformats.org/officeDocument/2006/relationships/hyperlink" Target="https://www.education.vic.gov.au/Documents/school/principals/finance/ref28contclean.xls" TargetMode="External"/><Relationship Id="rId145" Type="http://schemas.openxmlformats.org/officeDocument/2006/relationships/hyperlink" Target="https://www2.education.vic.gov.au/pal/flexible-learning-options-flos/policy" TargetMode="External"/><Relationship Id="rId166" Type="http://schemas.openxmlformats.org/officeDocument/2006/relationships/hyperlink" Target="https://www2.education.vic.gov.au/pal/student-resource-package-srp-targeted-initiatives/guidance/inclusion-outreach-coaching-ioc" TargetMode="External"/><Relationship Id="rId187" Type="http://schemas.openxmlformats.org/officeDocument/2006/relationships/hyperlink" Target="mailto:respectful.relationships@education.vic.gov.au" TargetMode="External"/><Relationship Id="rId1" Type="http://schemas.openxmlformats.org/officeDocument/2006/relationships/customXml" Target="../customXml/item1.xml"/><Relationship Id="rId212" Type="http://schemas.openxmlformats.org/officeDocument/2006/relationships/hyperlink" Target="https://www2.education.vic.gov.au/pal/vocational-and-applied-learning-coordination/policy" TargetMode="External"/><Relationship Id="rId233" Type="http://schemas.openxmlformats.org/officeDocument/2006/relationships/hyperlink" Target="https://www2.education.vic.gov.au/pal/vocational-education-and-training-vet-delivered-secondary-students/policy" TargetMode="External"/><Relationship Id="rId254" Type="http://schemas.openxmlformats.org/officeDocument/2006/relationships/hyperlink" Target="https://www2.education.vic.gov.au/pal/casual-relief-teachers/policy-and-guidelines" TargetMode="External"/><Relationship Id="rId28" Type="http://schemas.openxmlformats.org/officeDocument/2006/relationships/hyperlink" Target="https://www.schoolbuildings.vic.gov.au/blog/Pages/Supported-Inclusion-Schools.aspx" TargetMode="External"/><Relationship Id="rId49" Type="http://schemas.openxmlformats.org/officeDocument/2006/relationships/hyperlink" Target="https://edugate.eduweb.vic.gov.au/Services/Finance/Pages/SFO.aspx" TargetMode="External"/><Relationship Id="rId114" Type="http://schemas.openxmlformats.org/officeDocument/2006/relationships/hyperlink" Target="https://www2.education.vic.gov.au/pal/capacity-and-area-allocation/advice" TargetMode="External"/><Relationship Id="rId275" Type="http://schemas.openxmlformats.org/officeDocument/2006/relationships/hyperlink" Target="https://servicegateway.eduweb.vic.gov.au/MSMSelfService/AutoGen.aspx?page=22" TargetMode="External"/><Relationship Id="rId296" Type="http://schemas.openxmlformats.org/officeDocument/2006/relationships/hyperlink" Target="https://www.eduweb.vic.gov.au/SRP/reports/default.aspx?DisplayContext=1" TargetMode="External"/><Relationship Id="rId300" Type="http://schemas.openxmlformats.org/officeDocument/2006/relationships/hyperlink" Target="https://services.educationapps.vic.gov.au/dp" TargetMode="External"/><Relationship Id="rId60" Type="http://schemas.openxmlformats.org/officeDocument/2006/relationships/hyperlink" Target="https://www2.education.vic.gov.au/pal/student-support-groups/policy" TargetMode="External"/><Relationship Id="rId81" Type="http://schemas.openxmlformats.org/officeDocument/2006/relationships/hyperlink" Target="https://www2.education.vic.gov.au/pal/student-resource-package-srp-core-student-learning-allocation-funding-student-based-funding-0" TargetMode="External"/><Relationship Id="rId135" Type="http://schemas.openxmlformats.org/officeDocument/2006/relationships/hyperlink" Target="https://www2.education.vic.gov.au/pal/student-resource-package-srp-school-specific-programs/guidance/designated-bilingual-program" TargetMode="External"/><Relationship Id="rId156" Type="http://schemas.openxmlformats.org/officeDocument/2006/relationships/hyperlink" Target="https://www2.education.vic.gov.au/pal/student-resource-package-srp-targeted-initiatives/guidance/student-excellence-program" TargetMode="External"/><Relationship Id="rId177" Type="http://schemas.openxmlformats.org/officeDocument/2006/relationships/hyperlink" Target="https://www.education.vic.gov.au/PAL/iep-quality-checklist-rubric.pdf" TargetMode="External"/><Relationship Id="rId198" Type="http://schemas.openxmlformats.org/officeDocument/2006/relationships/hyperlink" Target="mailto:student.engagement@education.vic.gov.au" TargetMode="External"/><Relationship Id="rId202" Type="http://schemas.openxmlformats.org/officeDocument/2006/relationships/hyperlink" Target="https://www2.education.vic.gov.au/pal/mylns-initiative/policy" TargetMode="External"/><Relationship Id="rId223" Type="http://schemas.openxmlformats.org/officeDocument/2006/relationships/hyperlink" Target="https://www2.education.vic.gov.au/pal/leading-teachers-and-learning-specialists/overview" TargetMode="External"/><Relationship Id="rId244" Type="http://schemas.openxmlformats.org/officeDocument/2006/relationships/hyperlink" Target="https://www2.education.vic.gov.au/pal/student-resource-package-srp-managing-budget/guidance/3-surplus-or-deficit" TargetMode="External"/><Relationship Id="rId18" Type="http://schemas.openxmlformats.org/officeDocument/2006/relationships/hyperlink" Target="https://www.vit.vic.edu.au/registered-teacher/special-needs-plan" TargetMode="External"/><Relationship Id="rId39" Type="http://schemas.openxmlformats.org/officeDocument/2006/relationships/hyperlink" Target="https://www2.education.vic.gov.au/pal/student-resource-package-srp-school-specific-programs/policy" TargetMode="External"/><Relationship Id="rId265" Type="http://schemas.openxmlformats.org/officeDocument/2006/relationships/hyperlink" Target="https://www2.education.vic.gov.au/pal/student-resource-package-srp-managing-budget/guidance/7-cash" TargetMode="External"/><Relationship Id="rId286" Type="http://schemas.openxmlformats.org/officeDocument/2006/relationships/hyperlink" Target="https://www2.education.vic.gov.au/pal/student-resource-package-srp-managing-budget/guidance/4-reports" TargetMode="External"/><Relationship Id="rId50" Type="http://schemas.openxmlformats.org/officeDocument/2006/relationships/hyperlink" Target="https://www.legislation.gov.au/Details/C2018C00125" TargetMode="External"/><Relationship Id="rId104" Type="http://schemas.openxmlformats.org/officeDocument/2006/relationships/hyperlink" Target="mailto:brett.duff@education.vic.gov.au" TargetMode="External"/><Relationship Id="rId125" Type="http://schemas.openxmlformats.org/officeDocument/2006/relationships/hyperlink" Target="https://www2.education.vic.gov.au/pal/student-resource-package-srp-school-specific-programs/guidance/location-index-funding-reference" TargetMode="External"/><Relationship Id="rId146" Type="http://schemas.openxmlformats.org/officeDocument/2006/relationships/hyperlink" Target="https://www2.education.vic.gov.au/pal/re-engagement-programs/policy" TargetMode="External"/><Relationship Id="rId167" Type="http://schemas.openxmlformats.org/officeDocument/2006/relationships/hyperlink" Target="https://www2.education.vic.gov.au/pal/student-resource-package-srp-targeted-initiatives/guidance/casual-relief-teacher-travel-fund" TargetMode="External"/><Relationship Id="rId188" Type="http://schemas.openxmlformats.org/officeDocument/2006/relationships/hyperlink" Target="https://www2.education.vic.gov.au/pal/career-education-funding-accountability-and-reporting-requirements/policy" TargetMode="External"/><Relationship Id="rId311" Type="http://schemas.openxmlformats.org/officeDocument/2006/relationships/footer" Target="footer2.xml"/><Relationship Id="rId71" Type="http://schemas.openxmlformats.org/officeDocument/2006/relationships/hyperlink" Target="https://www2.education.vic.gov.au/pal/student-resource-package-srp-equity-funding-student-based-funding/guidance/equity-overview" TargetMode="External"/><Relationship Id="rId92" Type="http://schemas.openxmlformats.org/officeDocument/2006/relationships/hyperlink" Target="mailto:sams@education.vic.gov.au" TargetMode="External"/><Relationship Id="rId213" Type="http://schemas.openxmlformats.org/officeDocument/2006/relationships/hyperlink" Target="mailto:pathways.reform@education.vic.gov.au" TargetMode="External"/><Relationship Id="rId234" Type="http://schemas.openxmlformats.org/officeDocument/2006/relationships/hyperlink" Target="https://www2.education.vic.gov.au/pal/vocational-education-and-training-vet-delivered-secondary-students/policy" TargetMode="External"/><Relationship Id="rId2" Type="http://schemas.openxmlformats.org/officeDocument/2006/relationships/customXml" Target="../customXml/item2.xml"/><Relationship Id="rId29" Type="http://schemas.openxmlformats.org/officeDocument/2006/relationships/hyperlink" Target="https://www2.education.vic.gov.au/pal/student-resource-package/policy" TargetMode="External"/><Relationship Id="rId255" Type="http://schemas.openxmlformats.org/officeDocument/2006/relationships/hyperlink" Target="https://www2.education.vic.gov.au/pal/student-resource-package-srp-managing-budget/guidance/7-cash" TargetMode="External"/><Relationship Id="rId276" Type="http://schemas.openxmlformats.org/officeDocument/2006/relationships/hyperlink" Target="https://www2.education.vic.gov.au/pal/leave-defence-reserve-service" TargetMode="External"/><Relationship Id="rId297" Type="http://schemas.openxmlformats.org/officeDocument/2006/relationships/hyperlink" Target="https://www.education.vic.gov.au/Documents/school/teachers/management/finance/planner-srp-budget-tool.pptx" TargetMode="External"/><Relationship Id="rId40" Type="http://schemas.openxmlformats.org/officeDocument/2006/relationships/hyperlink" Target="https://www2.education.vic.gov.au/pal/student-resource-package-srp-targeted-initiatives/policy" TargetMode="External"/><Relationship Id="rId115" Type="http://schemas.openxmlformats.org/officeDocument/2006/relationships/hyperlink" Target="https://www2.education.vic.gov.au/pal/finance-manual/resources" TargetMode="External"/><Relationship Id="rId136" Type="http://schemas.openxmlformats.org/officeDocument/2006/relationships/hyperlink" Target="https://www2.education.vic.gov.au/pal/career-structure-teaching-service" TargetMode="External"/><Relationship Id="rId157" Type="http://schemas.openxmlformats.org/officeDocument/2006/relationships/hyperlink" Target="https://www2.education.vic.gov.au/pal/student-resource-package-srp-targeted-initiatives/guidance/vce-revision-lectures-reference-121" TargetMode="External"/><Relationship Id="rId178" Type="http://schemas.openxmlformats.org/officeDocument/2006/relationships/hyperlink" Target="https://edugate.eduweb.vic.gov.au/edrms/keyprocess/LEF/Pages/Home.aspx" TargetMode="External"/><Relationship Id="rId301" Type="http://schemas.openxmlformats.org/officeDocument/2006/relationships/hyperlink" Target="https://www2.education.vic.gov.au/pal/student-resource-package-srp-school-infrastructure/guidance/contract-cleaning-reference-28" TargetMode="External"/><Relationship Id="rId61" Type="http://schemas.openxmlformats.org/officeDocument/2006/relationships/hyperlink" Target="https://www2.education.vic.gov.au/pal/behaviour-students/guidance/6-behaviour-support-plans" TargetMode="External"/><Relationship Id="rId82" Type="http://schemas.openxmlformats.org/officeDocument/2006/relationships/hyperlink" Target="https://www2.education.vic.gov.au/pal/student-resource-package-srp-equity-funding-student-based-funding/guidance/disability-inclusion" TargetMode="External"/><Relationship Id="rId199" Type="http://schemas.openxmlformats.org/officeDocument/2006/relationships/hyperlink" Target="https://www.education.vic.gov.au/school/teachers/teachingresources/discipline/english/Pages/litnumstrategy.aspx" TargetMode="External"/><Relationship Id="rId203" Type="http://schemas.openxmlformats.org/officeDocument/2006/relationships/hyperlink" Target="https://www2.education.vic.gov.au/pal/student-resource-package-srp-targeted-initiatives/resources" TargetMode="External"/><Relationship Id="rId19" Type="http://schemas.openxmlformats.org/officeDocument/2006/relationships/hyperlink" Target="https://www2.education.vic.gov.au/pal/fiso" TargetMode="External"/><Relationship Id="rId224" Type="http://schemas.openxmlformats.org/officeDocument/2006/relationships/hyperlink" Target="https://www2.education.vic.gov.au/pal/student-resource-package-srp-targeted-initiatives/guidance/inclusion-outreach-coaching-ioc" TargetMode="External"/><Relationship Id="rId245" Type="http://schemas.openxmlformats.org/officeDocument/2006/relationships/hyperlink" Target="https://www2.education.vic.gov.au/pal/student-resource-package-srp-managing-budget/guidance/credit-carryover-policy" TargetMode="External"/><Relationship Id="rId266" Type="http://schemas.openxmlformats.org/officeDocument/2006/relationships/hyperlink" Target="https://www2.education.vic.gov.au/pal/student-resource-package-srp-managing-budget/guidance/4-reports" TargetMode="External"/><Relationship Id="rId287" Type="http://schemas.openxmlformats.org/officeDocument/2006/relationships/hyperlink" Target="https://www2.education.vic.gov.au/pal/student-resource-package-srp-managing-budget/guidance/4-reports" TargetMode="External"/><Relationship Id="rId30" Type="http://schemas.openxmlformats.org/officeDocument/2006/relationships/hyperlink" Target="https://www2.education.vic.gov.au/pal/disability-inclusion-funding-support/policy" TargetMode="External"/><Relationship Id="rId105" Type="http://schemas.openxmlformats.org/officeDocument/2006/relationships/hyperlink" Target="https://www.myswep.com.au/" TargetMode="External"/><Relationship Id="rId126" Type="http://schemas.openxmlformats.org/officeDocument/2006/relationships/hyperlink" Target="https://www2.education.vic.gov.au/pal/student-resource-package-srp-school-specific-programs/guidance/marc/macc-teachers-science-and" TargetMode="External"/><Relationship Id="rId147" Type="http://schemas.openxmlformats.org/officeDocument/2006/relationships/hyperlink" Target="https://www2.education.vic.gov.au/pal/student-resource-package-srp-targeted-initiatives/guidance" TargetMode="External"/><Relationship Id="rId168" Type="http://schemas.openxmlformats.org/officeDocument/2006/relationships/hyperlink" Target="https://www2.education.vic.gov.au/pal/student-resource-package-srp-targeted-initiatives/guidance/active-schools-reference-142" TargetMode="External"/><Relationship Id="rId312" Type="http://schemas.openxmlformats.org/officeDocument/2006/relationships/fontTable" Target="fontTable.xml"/><Relationship Id="rId51" Type="http://schemas.openxmlformats.org/officeDocument/2006/relationships/hyperlink" Target="https://www2.education.vic.gov.au/pal/student-support-groups/policy" TargetMode="External"/><Relationship Id="rId72" Type="http://schemas.openxmlformats.org/officeDocument/2006/relationships/hyperlink" Target="https://www2.education.vic.gov.au/pal/student-resource-package-srp-equity-funding-student-based-funding/guidance/10-eal-contingency" TargetMode="External"/><Relationship Id="rId93" Type="http://schemas.openxmlformats.org/officeDocument/2006/relationships/hyperlink" Target="mailto:cleaning@education.vic.gov.au" TargetMode="External"/><Relationship Id="rId189" Type="http://schemas.openxmlformats.org/officeDocument/2006/relationships/hyperlink" Target="https://www.vic.gov.au/swimming-in-schools" TargetMode="External"/><Relationship Id="rId3" Type="http://schemas.openxmlformats.org/officeDocument/2006/relationships/customXml" Target="../customXml/item3.xml"/><Relationship Id="rId214" Type="http://schemas.openxmlformats.org/officeDocument/2006/relationships/hyperlink" Target="https://www2.education.vic.gov.au/pal/tutor-learning-initiative/policy" TargetMode="External"/><Relationship Id="rId235" Type="http://schemas.openxmlformats.org/officeDocument/2006/relationships/hyperlink" Target="https://www2.education.vic.gov.au/pal/school-based-apprenticeships-and-traineeships/policy" TargetMode="External"/><Relationship Id="rId256" Type="http://schemas.openxmlformats.org/officeDocument/2006/relationships/hyperlink" Target="https://www2.education.vic.gov.au/pal/student-resource-package-srp-managing-budget/guidance/4-reports" TargetMode="External"/><Relationship Id="rId277" Type="http://schemas.openxmlformats.org/officeDocument/2006/relationships/hyperlink" Target="https://www2.education.vic.gov.au/pal/recruitment-schools" TargetMode="External"/><Relationship Id="rId298" Type="http://schemas.openxmlformats.org/officeDocument/2006/relationships/hyperlink" Target="https://www2.education.vic.gov.au/pal/student-resource-package-srp-equity-funding-student-based-funding/guidance/4-program-students" TargetMode="External"/><Relationship Id="rId116" Type="http://schemas.openxmlformats.org/officeDocument/2006/relationships/hyperlink" Target="https://www2.education.vic.gov.au/pal/finance-manual/resources" TargetMode="External"/><Relationship Id="rId137" Type="http://schemas.openxmlformats.org/officeDocument/2006/relationships/hyperlink" Target="https://www.abs.gov.au/AUSSTATS/abs@.nsf/Latestproducts/1270.0.55.005Main%20Features15July%202016" TargetMode="External"/><Relationship Id="rId158" Type="http://schemas.openxmlformats.org/officeDocument/2006/relationships/hyperlink" Target="https://www2.education.vic.gov.au/pal/student-resource-package-srp-targeted-initiatives/guidance/primary-mathematics-and-science" TargetMode="External"/><Relationship Id="rId302" Type="http://schemas.openxmlformats.org/officeDocument/2006/relationships/hyperlink" Target="mailto:cashmanagement@eduction.vic.gov.au" TargetMode="External"/><Relationship Id="rId20" Type="http://schemas.openxmlformats.org/officeDocument/2006/relationships/hyperlink" Target="https://www2.education.vic.gov.au/pal/student-support-groups" TargetMode="External"/><Relationship Id="rId41" Type="http://schemas.openxmlformats.org/officeDocument/2006/relationships/hyperlink" Target="https://www2.education.vic.gov.au/pal/students-disability/policy" TargetMode="External"/><Relationship Id="rId62" Type="http://schemas.openxmlformats.org/officeDocument/2006/relationships/hyperlink" Target="https://services.educationapps.vic.gov.au/dp" TargetMode="External"/><Relationship Id="rId83" Type="http://schemas.openxmlformats.org/officeDocument/2006/relationships/hyperlink" Target="https://www2.education.vic.gov.au/pal/student-resource-package-srp-equity-funding-student-based-funding/guidance/4-program-students-0" TargetMode="External"/><Relationship Id="rId179" Type="http://schemas.openxmlformats.org/officeDocument/2006/relationships/hyperlink" Target="https://www2.education.vic.gov.au/pal/vocational-education-and-training-vet-delivered-secondary-students/policy" TargetMode="External"/><Relationship Id="rId190" Type="http://schemas.openxmlformats.org/officeDocument/2006/relationships/hyperlink" Target="https://lsv.com.au/education/order-victorian-water-safety-certificates/" TargetMode="External"/><Relationship Id="rId204" Type="http://schemas.openxmlformats.org/officeDocument/2006/relationships/hyperlink" Target="https://arc.educationapps.vic.gov.au/eventhub/channels/VCES" TargetMode="External"/><Relationship Id="rId225" Type="http://schemas.openxmlformats.org/officeDocument/2006/relationships/hyperlink" Target="https://www.education.vic.gov.au/hrweb/Documents/VGSA-2022.pdf" TargetMode="External"/><Relationship Id="rId246" Type="http://schemas.openxmlformats.org/officeDocument/2006/relationships/hyperlink" Target="https://www2.education.vic.gov.au/pal/student-resource-package-srp-managing-budget/guidance/4-reports" TargetMode="External"/><Relationship Id="rId267" Type="http://schemas.openxmlformats.org/officeDocument/2006/relationships/hyperlink" Target="https://www2.education.vic.gov.au/pal/travel-and-personal-expenses-teaching-service" TargetMode="External"/><Relationship Id="rId288" Type="http://schemas.openxmlformats.org/officeDocument/2006/relationships/hyperlink" Target="https://www.eduweb.vic.gov.au/srp/login.aspx?returnUrl=%2fSRP%2fplanner%2fdefault.aspx" TargetMode="External"/><Relationship Id="rId106" Type="http://schemas.openxmlformats.org/officeDocument/2006/relationships/hyperlink" Target="https://www.sro.vic.gov.au/forms/apply-water-and-sewerage-rebate" TargetMode="External"/><Relationship Id="rId127" Type="http://schemas.openxmlformats.org/officeDocument/2006/relationships/hyperlink" Target="https://www2.education.vic.gov.au/pal/student-resource-package-srp-school-specific-programs/guidance/instrumental-music-programs" TargetMode="External"/><Relationship Id="rId313"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2.education.vic.gov.au/pal/eal-support/policy" TargetMode="External"/><Relationship Id="rId52" Type="http://schemas.openxmlformats.org/officeDocument/2006/relationships/hyperlink" Target="https://www.education.vic.gov.au/school/teachers/management/finance/Pages/swdsystems.aspx" TargetMode="External"/><Relationship Id="rId73" Type="http://schemas.openxmlformats.org/officeDocument/2006/relationships/hyperlink" Target="mailto:eal@education.vic.gov.au" TargetMode="External"/><Relationship Id="rId94" Type="http://schemas.openxmlformats.org/officeDocument/2006/relationships/hyperlink" Target="https://www2.education.vic.gov.au/pal/school-maintenance-plans-rfe/policy" TargetMode="External"/><Relationship Id="rId148" Type="http://schemas.openxmlformats.org/officeDocument/2006/relationships/hyperlink" Target="https://www2.education.vic.gov.au/pal/student-resource-package-srp-targeted-initiatives/guidance/senior-secondary-re-engagement" TargetMode="External"/><Relationship Id="rId169" Type="http://schemas.openxmlformats.org/officeDocument/2006/relationships/hyperlink" Target="https://www2.education.vic.gov.au/pal/student-resource-package-srp-targeted-initiatives/guidance/vocational-education-and-training-0" TargetMode="External"/><Relationship Id="rId4" Type="http://schemas.openxmlformats.org/officeDocument/2006/relationships/customXml" Target="../customXml/item4.xml"/><Relationship Id="rId180" Type="http://schemas.openxmlformats.org/officeDocument/2006/relationships/hyperlink" Target="mailto:youth.participation@education.vic.gov.au" TargetMode="External"/><Relationship Id="rId215" Type="http://schemas.openxmlformats.org/officeDocument/2006/relationships/hyperlink" Target="mailto:mentalhealth@education.vic.gov.au" TargetMode="External"/><Relationship Id="rId236" Type="http://schemas.openxmlformats.org/officeDocument/2006/relationships/hyperlink" Target="https://www.vic.gov.au/head-start-apprenticeships-and-traineeships" TargetMode="External"/><Relationship Id="rId257" Type="http://schemas.openxmlformats.org/officeDocument/2006/relationships/hyperlink" Target="https://www2.education.vic.gov.au/pal/recruitment-schools" TargetMode="External"/><Relationship Id="rId278" Type="http://schemas.openxmlformats.org/officeDocument/2006/relationships/hyperlink" Target="https://www2.education.vic.gov.au/pal/casual-relief-teachers" TargetMode="External"/><Relationship Id="rId303" Type="http://schemas.openxmlformats.org/officeDocument/2006/relationships/hyperlink" Target="https://services.educationapps.vic.gov.au/dp?id=sc_category&amp;sys_id=a3c62a0edbeb5890e8ad456a3a9619a1&amp;catalog_id=-1&amp;spa=1" TargetMode="External"/><Relationship Id="rId42" Type="http://schemas.openxmlformats.org/officeDocument/2006/relationships/hyperlink" Target="tel:1800641943" TargetMode="External"/><Relationship Id="rId84" Type="http://schemas.openxmlformats.org/officeDocument/2006/relationships/hyperlink" Target="https://www2.education.vic.gov.au/pal/disability-inclusion-profile/policy" TargetMode="External"/><Relationship Id="rId138" Type="http://schemas.openxmlformats.org/officeDocument/2006/relationships/hyperlink" Target="https://maps.abs.gov.au/" TargetMode="External"/><Relationship Id="rId191" Type="http://schemas.openxmlformats.org/officeDocument/2006/relationships/hyperlink" Target="https://www2.education.vic.gov.au/pal/student-resource-package-srp-managing-budget/guidance/7-cash" TargetMode="External"/><Relationship Id="rId205" Type="http://schemas.openxmlformats.org/officeDocument/2006/relationships/hyperlink" Target="https://edugate.eduweb.vic.gov.au/sites/i/Pages/production.aspx" TargetMode="External"/><Relationship Id="rId247" Type="http://schemas.openxmlformats.org/officeDocument/2006/relationships/hyperlink" Target="https://www2.education.vic.gov.au/pal/student-resource-package-srp-managing-budget/guidance/5-planning" TargetMode="External"/><Relationship Id="rId107" Type="http://schemas.openxmlformats.org/officeDocument/2006/relationships/hyperlink" Target="tel:96280301" TargetMode="External"/><Relationship Id="rId289" Type="http://schemas.openxmlformats.org/officeDocument/2006/relationships/hyperlink" Target="https://www.eduweb.vic.gov.au/srp/login.aspx?returnUrl=%2fSRP%2fplanner%2fdefault.aspx" TargetMode="External"/><Relationship Id="rId11" Type="http://schemas.openxmlformats.org/officeDocument/2006/relationships/hyperlink" Target="https://www2.education.vic.gov.au/pal/student-resource-package-srp-equity-funding-student-based-funding/policy" TargetMode="External"/><Relationship Id="rId53" Type="http://schemas.openxmlformats.org/officeDocument/2006/relationships/hyperlink" Target="https://www.eduweb.vic.gov.au/PSDMS/Home.aspx" TargetMode="External"/><Relationship Id="rId149" Type="http://schemas.openxmlformats.org/officeDocument/2006/relationships/hyperlink" Target="https://www2.education.vic.gov.au/pal/student-resource-package-srp-targeted-initiatives/guidance/doctors-secondary-schools-school" TargetMode="External"/><Relationship Id="rId95" Type="http://schemas.openxmlformats.org/officeDocument/2006/relationships/hyperlink" Target="https://www2.education.vic.gov.au/pal/finance-manual/resources" TargetMode="External"/><Relationship Id="rId160" Type="http://schemas.openxmlformats.org/officeDocument/2006/relationships/hyperlink" Target="https://www2.education.vic.gov.au/pal/student-resource-package-srp-targeted-initiatives/guidance/jobs-skills-and-pathways-jsp" TargetMode="External"/><Relationship Id="rId216" Type="http://schemas.openxmlformats.org/officeDocument/2006/relationships/hyperlink" Target="https://www.vic.gov.au/mental-health-practitioners-secondary-and-specialist-schools?Redirect=1" TargetMode="External"/><Relationship Id="rId258" Type="http://schemas.openxmlformats.org/officeDocument/2006/relationships/hyperlink" Target="https://www2.education.vic.gov.au/pal/cessation-employment-teaching-service" TargetMode="External"/><Relationship Id="rId22" Type="http://schemas.openxmlformats.org/officeDocument/2006/relationships/hyperlink" Target="https://www.vic.gov.au/mental-health-practitioners-secondary-and-specialist-schools?Redirect=1" TargetMode="External"/><Relationship Id="rId64" Type="http://schemas.openxmlformats.org/officeDocument/2006/relationships/hyperlink" Target="http://www.education.vic.gov.au/school/teachers/management/finance/Pages/swdsystems.aspx" TargetMode="External"/><Relationship Id="rId118" Type="http://schemas.openxmlformats.org/officeDocument/2006/relationships/hyperlink" Target="mailto:vsba.annual.contracts@education.vic.gov.au" TargetMode="External"/><Relationship Id="rId171" Type="http://schemas.openxmlformats.org/officeDocument/2006/relationships/hyperlink" Target="https://www.vic.gov.au/health-and-wellbeing-staff-schools" TargetMode="External"/><Relationship Id="rId227" Type="http://schemas.openxmlformats.org/officeDocument/2006/relationships/hyperlink" Target="mailto:inclusion.outreach.coaching@education.vic.gov.au" TargetMode="External"/><Relationship Id="rId269" Type="http://schemas.openxmlformats.org/officeDocument/2006/relationships/hyperlink" Target="https://www.eduweb.vic.gov.au/srp/" TargetMode="External"/><Relationship Id="rId33" Type="http://schemas.openxmlformats.org/officeDocument/2006/relationships/hyperlink" Target="https://www2.education.vic.gov.au/pal/fiso/policy" TargetMode="External"/><Relationship Id="rId129" Type="http://schemas.openxmlformats.org/officeDocument/2006/relationships/hyperlink" Target="https://www2.education.vic.gov.au/pal/student-resource-package-srp-school-specific-programs/guidance/country-area-program-grant" TargetMode="External"/><Relationship Id="rId280" Type="http://schemas.openxmlformats.org/officeDocument/2006/relationships/hyperlink" Target="https://services.educationapps.vic.gov.au/dp?id=sc_cat_item&amp;sys_id=9a96a60edbeb5890e8ad456a3a96191e&amp;sysparm_category=a3c62a0edbeb5890e8ad456a3a9619a1" TargetMode="External"/><Relationship Id="rId75" Type="http://schemas.openxmlformats.org/officeDocument/2006/relationships/hyperlink" Target="https://www2.education.vic.gov.au/pal/disability-inclusion-funding-support/policy" TargetMode="External"/><Relationship Id="rId140" Type="http://schemas.openxmlformats.org/officeDocument/2006/relationships/hyperlink" Target="https://www.abs.gov.au/statistics/standards/australian-statistical-geography-standard-asgs-edition-3/jul2021-jun2026/significant-urban-areas-urban-centres-and-localities-section-state/urban-centres-and-localities" TargetMode="External"/><Relationship Id="rId182" Type="http://schemas.openxmlformats.org/officeDocument/2006/relationships/hyperlink" Target="https://www2.education.vic.gov.au/pal/child-safe-standards" TargetMode="External"/><Relationship Id="rId6" Type="http://schemas.openxmlformats.org/officeDocument/2006/relationships/styles" Target="styles.xml"/><Relationship Id="rId238" Type="http://schemas.openxmlformats.org/officeDocument/2006/relationships/hyperlink" Target="tel:0390321758" TargetMode="External"/><Relationship Id="rId291" Type="http://schemas.openxmlformats.org/officeDocument/2006/relationships/hyperlink" Target="mailto:schools.finance.support@education.vic.gov.au" TargetMode="External"/><Relationship Id="rId305" Type="http://schemas.openxmlformats.org/officeDocument/2006/relationships/hyperlink" Target="https://services.educationapps.vic.gov.au/dp?id=sc_category&amp;sys_id=a3c62a0edbeb5890e8ad456a3a9619a1&amp;catalog_id=-1&amp;spa=1" TargetMode="External"/><Relationship Id="rId44" Type="http://schemas.openxmlformats.org/officeDocument/2006/relationships/hyperlink" Target="https://services.educationapps.vic.gov.au/dp" TargetMode="External"/><Relationship Id="rId86" Type="http://schemas.openxmlformats.org/officeDocument/2006/relationships/hyperlink" Target="mailto:disability.inclusion.outcomes@education.vic.gov.au" TargetMode="External"/><Relationship Id="rId151" Type="http://schemas.openxmlformats.org/officeDocument/2006/relationships/hyperlink" Target="https://www2.education.vic.gov.au/pal/student-resource-package-srp-targeted-initiatives/guidance/career-education-funding-re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350</Topic>
    <Expired xmlns="bb5ce4db-eb21-467d-b968-528655912a38">false</Expired>
  </documentManagement>
</p:properties>
</file>

<file path=customXml/itemProps1.xml><?xml version="1.0" encoding="utf-8"?>
<ds:datastoreItem xmlns:ds="http://schemas.openxmlformats.org/officeDocument/2006/customXml" ds:itemID="{7CD81963-21B9-48F6-9914-3710BF16D380}">
  <ds:schemaRefs>
    <ds:schemaRef ds:uri="http://schemas.microsoft.com/sharepoint/v3/contenttype/forms"/>
  </ds:schemaRefs>
</ds:datastoreItem>
</file>

<file path=customXml/itemProps2.xml><?xml version="1.0" encoding="utf-8"?>
<ds:datastoreItem xmlns:ds="http://schemas.openxmlformats.org/officeDocument/2006/customXml" ds:itemID="{4038272C-A540-4CFD-8D16-92C1FFA95DAF}">
  <ds:schemaRefs>
    <ds:schemaRef ds:uri="http://schemas.openxmlformats.org/officeDocument/2006/bibliography"/>
  </ds:schemaRefs>
</ds:datastoreItem>
</file>

<file path=customXml/itemProps3.xml><?xml version="1.0" encoding="utf-8"?>
<ds:datastoreItem xmlns:ds="http://schemas.openxmlformats.org/officeDocument/2006/customXml" ds:itemID="{E9F71B02-0EC5-47B4-B4D4-A2F5449BB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9B4F0-C18F-4A86-95C1-5415FDBB97B1}">
  <ds:schemaRefs>
    <ds:schemaRef ds:uri="http://schemas.microsoft.com/office/2006/metadata/properties"/>
    <ds:schemaRef ds:uri="http://schemas.microsoft.com/office/infopath/2007/PartnerControls"/>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201</Pages>
  <Words>52831</Words>
  <Characters>301140</Characters>
  <Application>Microsoft Office Word</Application>
  <DocSecurity>0</DocSecurity>
  <Lines>2509</Lines>
  <Paragraphs>706</Paragraphs>
  <ScaleCrop>false</ScaleCrop>
  <LinksUpToDate>false</LinksUpToDate>
  <CharactersWithSpaces>353265</CharactersWithSpaces>
  <SharedDoc>false</SharedDoc>
  <HLinks>
    <vt:vector size="2382" baseType="variant">
      <vt:variant>
        <vt:i4>8060991</vt:i4>
      </vt:variant>
      <vt:variant>
        <vt:i4>1473</vt:i4>
      </vt:variant>
      <vt:variant>
        <vt:i4>0</vt:i4>
      </vt:variant>
      <vt:variant>
        <vt:i4>5</vt:i4>
      </vt:variant>
      <vt:variant>
        <vt:lpwstr>https://www.eduweb.vic.gov.au/srp/login.aspx?returnUrl=%2fSRP%2fplanner%2fdefault.aspx</vt:lpwstr>
      </vt:variant>
      <vt:variant>
        <vt:lpwstr/>
      </vt:variant>
      <vt:variant>
        <vt:i4>8323125</vt:i4>
      </vt:variant>
      <vt:variant>
        <vt:i4>1470</vt:i4>
      </vt:variant>
      <vt:variant>
        <vt:i4>0</vt:i4>
      </vt:variant>
      <vt:variant>
        <vt:i4>5</vt:i4>
      </vt:variant>
      <vt:variant>
        <vt:lpwstr>https://www2.education.vic.gov.au/pal/school-merger-or-closure</vt:lpwstr>
      </vt:variant>
      <vt:variant>
        <vt:lpwstr/>
      </vt:variant>
      <vt:variant>
        <vt:i4>7208993</vt:i4>
      </vt:variant>
      <vt:variant>
        <vt:i4>1467</vt:i4>
      </vt:variant>
      <vt:variant>
        <vt:i4>0</vt:i4>
      </vt:variant>
      <vt:variant>
        <vt:i4>5</vt:i4>
      </vt:variant>
      <vt:variant>
        <vt:lpwstr>https://www.eduweb.vic.gov.au/SRP/reports/default.aspx?DisplayContext=1</vt:lpwstr>
      </vt:variant>
      <vt:variant>
        <vt:lpwstr/>
      </vt:variant>
      <vt:variant>
        <vt:i4>6881363</vt:i4>
      </vt:variant>
      <vt:variant>
        <vt:i4>1464</vt:i4>
      </vt:variant>
      <vt:variant>
        <vt:i4>0</vt:i4>
      </vt:variant>
      <vt:variant>
        <vt:i4>5</vt:i4>
      </vt:variant>
      <vt:variant>
        <vt:lpwstr>https://services.educationapps.vic.gov.au/dp?id=sc_category&amp;sys_id=a3c62a0edbeb5890e8ad456a3a9619a1&amp;catalog_id=-1&amp;spa=1</vt:lpwstr>
      </vt:variant>
      <vt:variant>
        <vt:lpwstr/>
      </vt:variant>
      <vt:variant>
        <vt:i4>5898266</vt:i4>
      </vt:variant>
      <vt:variant>
        <vt:i4>1461</vt:i4>
      </vt:variant>
      <vt:variant>
        <vt:i4>0</vt:i4>
      </vt:variant>
      <vt:variant>
        <vt:i4>5</vt:i4>
      </vt:variant>
      <vt:variant>
        <vt:lpwstr>tel:031800641943</vt:lpwstr>
      </vt:variant>
      <vt:variant>
        <vt:lpwstr/>
      </vt:variant>
      <vt:variant>
        <vt:i4>6881363</vt:i4>
      </vt:variant>
      <vt:variant>
        <vt:i4>1458</vt:i4>
      </vt:variant>
      <vt:variant>
        <vt:i4>0</vt:i4>
      </vt:variant>
      <vt:variant>
        <vt:i4>5</vt:i4>
      </vt:variant>
      <vt:variant>
        <vt:lpwstr>https://services.educationapps.vic.gov.au/dp?id=sc_category&amp;sys_id=a3c62a0edbeb5890e8ad456a3a9619a1&amp;catalog_id=-1&amp;spa=1</vt:lpwstr>
      </vt:variant>
      <vt:variant>
        <vt:lpwstr/>
      </vt:variant>
      <vt:variant>
        <vt:i4>3145748</vt:i4>
      </vt:variant>
      <vt:variant>
        <vt:i4>1455</vt:i4>
      </vt:variant>
      <vt:variant>
        <vt:i4>0</vt:i4>
      </vt:variant>
      <vt:variant>
        <vt:i4>5</vt:i4>
      </vt:variant>
      <vt:variant>
        <vt:lpwstr>mailto:cashmanagement@eduction.vic.gov.au</vt:lpwstr>
      </vt:variant>
      <vt:variant>
        <vt:lpwstr/>
      </vt:variant>
      <vt:variant>
        <vt:i4>6160464</vt:i4>
      </vt:variant>
      <vt:variant>
        <vt:i4>1452</vt:i4>
      </vt:variant>
      <vt:variant>
        <vt:i4>0</vt:i4>
      </vt:variant>
      <vt:variant>
        <vt:i4>5</vt:i4>
      </vt:variant>
      <vt:variant>
        <vt:lpwstr>https://www2.education.vic.gov.au/pal/student-resource-package-srp-school-infrastructure/guidance/contract-cleaning-reference-28</vt:lpwstr>
      </vt:variant>
      <vt:variant>
        <vt:lpwstr/>
      </vt:variant>
      <vt:variant>
        <vt:i4>6094935</vt:i4>
      </vt:variant>
      <vt:variant>
        <vt:i4>1449</vt:i4>
      </vt:variant>
      <vt:variant>
        <vt:i4>0</vt:i4>
      </vt:variant>
      <vt:variant>
        <vt:i4>5</vt:i4>
      </vt:variant>
      <vt:variant>
        <vt:lpwstr>https://services.educationapps.vic.gov.au/dp</vt:lpwstr>
      </vt:variant>
      <vt:variant>
        <vt:lpwstr/>
      </vt:variant>
      <vt:variant>
        <vt:i4>5832791</vt:i4>
      </vt:variant>
      <vt:variant>
        <vt:i4>1446</vt:i4>
      </vt:variant>
      <vt:variant>
        <vt:i4>0</vt:i4>
      </vt:variant>
      <vt:variant>
        <vt:i4>5</vt:i4>
      </vt:variant>
      <vt:variant>
        <vt:lpwstr>https://www.eduweb.vic.gov.au/psdms/Home.aspx</vt:lpwstr>
      </vt:variant>
      <vt:variant>
        <vt:lpwstr/>
      </vt:variant>
      <vt:variant>
        <vt:i4>7602219</vt:i4>
      </vt:variant>
      <vt:variant>
        <vt:i4>1443</vt:i4>
      </vt:variant>
      <vt:variant>
        <vt:i4>0</vt:i4>
      </vt:variant>
      <vt:variant>
        <vt:i4>5</vt:i4>
      </vt:variant>
      <vt:variant>
        <vt:lpwstr>https://www2.education.vic.gov.au/pal/student-resource-package-srp-equity-funding-student-based-funding/guidance/4-program-students</vt:lpwstr>
      </vt:variant>
      <vt:variant>
        <vt:lpwstr/>
      </vt:variant>
      <vt:variant>
        <vt:i4>7798824</vt:i4>
      </vt:variant>
      <vt:variant>
        <vt:i4>1440</vt:i4>
      </vt:variant>
      <vt:variant>
        <vt:i4>0</vt:i4>
      </vt:variant>
      <vt:variant>
        <vt:i4>5</vt:i4>
      </vt:variant>
      <vt:variant>
        <vt:lpwstr>https://www.education.vic.gov.au/Documents/school/teachers/management/finance/planner-srp-budget-tool.pptx</vt:lpwstr>
      </vt:variant>
      <vt:variant>
        <vt:lpwstr/>
      </vt:variant>
      <vt:variant>
        <vt:i4>7208993</vt:i4>
      </vt:variant>
      <vt:variant>
        <vt:i4>1437</vt:i4>
      </vt:variant>
      <vt:variant>
        <vt:i4>0</vt:i4>
      </vt:variant>
      <vt:variant>
        <vt:i4>5</vt:i4>
      </vt:variant>
      <vt:variant>
        <vt:lpwstr>https://www.eduweb.vic.gov.au/SRP/reports/default.aspx?DisplayContext=1</vt:lpwstr>
      </vt:variant>
      <vt:variant>
        <vt:lpwstr/>
      </vt:variant>
      <vt:variant>
        <vt:i4>7208993</vt:i4>
      </vt:variant>
      <vt:variant>
        <vt:i4>1434</vt:i4>
      </vt:variant>
      <vt:variant>
        <vt:i4>0</vt:i4>
      </vt:variant>
      <vt:variant>
        <vt:i4>5</vt:i4>
      </vt:variant>
      <vt:variant>
        <vt:lpwstr>https://www.eduweb.vic.gov.au/SRP/reports/default.aspx?DisplayContext=1</vt:lpwstr>
      </vt:variant>
      <vt:variant>
        <vt:lpwstr/>
      </vt:variant>
      <vt:variant>
        <vt:i4>6684781</vt:i4>
      </vt:variant>
      <vt:variant>
        <vt:i4>1431</vt:i4>
      </vt:variant>
      <vt:variant>
        <vt:i4>0</vt:i4>
      </vt:variant>
      <vt:variant>
        <vt:i4>5</vt:i4>
      </vt:variant>
      <vt:variant>
        <vt:lpwstr>https://www.eduweb.vic.gov.au/srp/login.aspx?returnUrl=%2fSRP%2freports%2freport.aspx%3fid%3d25</vt:lpwstr>
      </vt:variant>
      <vt:variant>
        <vt:lpwstr/>
      </vt:variant>
      <vt:variant>
        <vt:i4>7208993</vt:i4>
      </vt:variant>
      <vt:variant>
        <vt:i4>1428</vt:i4>
      </vt:variant>
      <vt:variant>
        <vt:i4>0</vt:i4>
      </vt:variant>
      <vt:variant>
        <vt:i4>5</vt:i4>
      </vt:variant>
      <vt:variant>
        <vt:lpwstr>https://www.eduweb.vic.gov.au/SRP/reports/default.aspx?DisplayContext=1</vt:lpwstr>
      </vt:variant>
      <vt:variant>
        <vt:lpwstr/>
      </vt:variant>
      <vt:variant>
        <vt:i4>7929961</vt:i4>
      </vt:variant>
      <vt:variant>
        <vt:i4>1425</vt:i4>
      </vt:variant>
      <vt:variant>
        <vt:i4>0</vt:i4>
      </vt:variant>
      <vt:variant>
        <vt:i4>5</vt:i4>
      </vt:variant>
      <vt:variant>
        <vt:lpwstr>https://www.eduweb.vic.gov.au/SRP/reports/report.aspx?id=22</vt:lpwstr>
      </vt:variant>
      <vt:variant>
        <vt:lpwstr/>
      </vt:variant>
      <vt:variant>
        <vt:i4>7143490</vt:i4>
      </vt:variant>
      <vt:variant>
        <vt:i4>1422</vt:i4>
      </vt:variant>
      <vt:variant>
        <vt:i4>0</vt:i4>
      </vt:variant>
      <vt:variant>
        <vt:i4>5</vt:i4>
      </vt:variant>
      <vt:variant>
        <vt:lpwstr>mailto:schools.finance.support@education.vic.gov.au</vt:lpwstr>
      </vt:variant>
      <vt:variant>
        <vt:lpwstr/>
      </vt:variant>
      <vt:variant>
        <vt:i4>7143490</vt:i4>
      </vt:variant>
      <vt:variant>
        <vt:i4>1419</vt:i4>
      </vt:variant>
      <vt:variant>
        <vt:i4>0</vt:i4>
      </vt:variant>
      <vt:variant>
        <vt:i4>5</vt:i4>
      </vt:variant>
      <vt:variant>
        <vt:lpwstr>mailto:schools.finance.support@education.vic.gov.au</vt:lpwstr>
      </vt:variant>
      <vt:variant>
        <vt:lpwstr/>
      </vt:variant>
      <vt:variant>
        <vt:i4>8060991</vt:i4>
      </vt:variant>
      <vt:variant>
        <vt:i4>1416</vt:i4>
      </vt:variant>
      <vt:variant>
        <vt:i4>0</vt:i4>
      </vt:variant>
      <vt:variant>
        <vt:i4>5</vt:i4>
      </vt:variant>
      <vt:variant>
        <vt:lpwstr>https://www.eduweb.vic.gov.au/srp/login.aspx?returnUrl=%2fSRP%2fplanner%2fdefault.aspx</vt:lpwstr>
      </vt:variant>
      <vt:variant>
        <vt:lpwstr/>
      </vt:variant>
      <vt:variant>
        <vt:i4>8060991</vt:i4>
      </vt:variant>
      <vt:variant>
        <vt:i4>1413</vt:i4>
      </vt:variant>
      <vt:variant>
        <vt:i4>0</vt:i4>
      </vt:variant>
      <vt:variant>
        <vt:i4>5</vt:i4>
      </vt:variant>
      <vt:variant>
        <vt:lpwstr>https://www.eduweb.vic.gov.au/srp/login.aspx?returnUrl=%2fSRP%2fplanner%2fdefault.aspx</vt:lpwstr>
      </vt:variant>
      <vt:variant>
        <vt:lpwstr/>
      </vt:variant>
      <vt:variant>
        <vt:i4>5046301</vt:i4>
      </vt:variant>
      <vt:variant>
        <vt:i4>1410</vt:i4>
      </vt:variant>
      <vt:variant>
        <vt:i4>0</vt:i4>
      </vt:variant>
      <vt:variant>
        <vt:i4>5</vt:i4>
      </vt:variant>
      <vt:variant>
        <vt:lpwstr>https://www2.education.vic.gov.au/pal/student-resource-package-srp-managing-budget/guidance/4-reports</vt:lpwstr>
      </vt:variant>
      <vt:variant>
        <vt:lpwstr/>
      </vt:variant>
      <vt:variant>
        <vt:i4>5046301</vt:i4>
      </vt:variant>
      <vt:variant>
        <vt:i4>1407</vt:i4>
      </vt:variant>
      <vt:variant>
        <vt:i4>0</vt:i4>
      </vt:variant>
      <vt:variant>
        <vt:i4>5</vt:i4>
      </vt:variant>
      <vt:variant>
        <vt:lpwstr>https://www2.education.vic.gov.au/pal/student-resource-package-srp-managing-budget/guidance/4-reports</vt:lpwstr>
      </vt:variant>
      <vt:variant>
        <vt:lpwstr/>
      </vt:variant>
      <vt:variant>
        <vt:i4>3932192</vt:i4>
      </vt:variant>
      <vt:variant>
        <vt:i4>1404</vt:i4>
      </vt:variant>
      <vt:variant>
        <vt:i4>0</vt:i4>
      </vt:variant>
      <vt:variant>
        <vt:i4>5</vt:i4>
      </vt:variant>
      <vt:variant>
        <vt:lpwstr>https://www.education.vic.gov.au/Documents/school/teachers/management/finance/leave-replacement-sample.xls</vt:lpwstr>
      </vt:variant>
      <vt:variant>
        <vt:lpwstr/>
      </vt:variant>
      <vt:variant>
        <vt:i4>3801127</vt:i4>
      </vt:variant>
      <vt:variant>
        <vt:i4>1401</vt:i4>
      </vt:variant>
      <vt:variant>
        <vt:i4>0</vt:i4>
      </vt:variant>
      <vt:variant>
        <vt:i4>5</vt:i4>
      </vt:variant>
      <vt:variant>
        <vt:lpwstr>https://www.education.vic.gov.au/Documents/school/teachers/management/finance/srp-leave-portal-user-guide.docx</vt:lpwstr>
      </vt:variant>
      <vt:variant>
        <vt:lpwstr/>
      </vt:variant>
      <vt:variant>
        <vt:i4>4784208</vt:i4>
      </vt:variant>
      <vt:variant>
        <vt:i4>1398</vt:i4>
      </vt:variant>
      <vt:variant>
        <vt:i4>0</vt:i4>
      </vt:variant>
      <vt:variant>
        <vt:i4>5</vt:i4>
      </vt:variant>
      <vt:variant>
        <vt:lpwstr>https://www.education.vic.gov.au/Documents/school/teachers/management/finance/srp-leave-portal-user-guide.pdf</vt:lpwstr>
      </vt:variant>
      <vt:variant>
        <vt:lpwstr/>
      </vt:variant>
      <vt:variant>
        <vt:i4>2752631</vt:i4>
      </vt:variant>
      <vt:variant>
        <vt:i4>1395</vt:i4>
      </vt:variant>
      <vt:variant>
        <vt:i4>0</vt:i4>
      </vt:variant>
      <vt:variant>
        <vt:i4>5</vt:i4>
      </vt:variant>
      <vt:variant>
        <vt:lpwstr>https://www2.education.vic.gov.au/pal/salary-rates</vt:lpwstr>
      </vt:variant>
      <vt:variant>
        <vt:lpwstr/>
      </vt:variant>
      <vt:variant>
        <vt:i4>6881322</vt:i4>
      </vt:variant>
      <vt:variant>
        <vt:i4>1392</vt:i4>
      </vt:variant>
      <vt:variant>
        <vt:i4>0</vt:i4>
      </vt:variant>
      <vt:variant>
        <vt:i4>5</vt:i4>
      </vt:variant>
      <vt:variant>
        <vt:lpwstr>tel:1800641943</vt:lpwstr>
      </vt:variant>
      <vt:variant>
        <vt:lpwstr/>
      </vt:variant>
      <vt:variant>
        <vt:i4>262144</vt:i4>
      </vt:variant>
      <vt:variant>
        <vt:i4>1389</vt:i4>
      </vt:variant>
      <vt:variant>
        <vt:i4>0</vt:i4>
      </vt:variant>
      <vt:variant>
        <vt:i4>5</vt:i4>
      </vt:variant>
      <vt:variant>
        <vt:lpwstr>https://services.educationapps.vic.gov.au/dp?id=sc_cat_item&amp;sys_id=9a96a60edbeb5890e8ad456a3a96191e&amp;sysparm_category=a3c62a0edbeb5890e8ad456a3a9619a1</vt:lpwstr>
      </vt:variant>
      <vt:variant>
        <vt:lpwstr/>
      </vt:variant>
      <vt:variant>
        <vt:i4>5046301</vt:i4>
      </vt:variant>
      <vt:variant>
        <vt:i4>1386</vt:i4>
      </vt:variant>
      <vt:variant>
        <vt:i4>0</vt:i4>
      </vt:variant>
      <vt:variant>
        <vt:i4>5</vt:i4>
      </vt:variant>
      <vt:variant>
        <vt:lpwstr>https://www2.education.vic.gov.au/pal/student-resource-package-srp-managing-budget/guidance/4-reports</vt:lpwstr>
      </vt:variant>
      <vt:variant>
        <vt:lpwstr/>
      </vt:variant>
      <vt:variant>
        <vt:i4>1572874</vt:i4>
      </vt:variant>
      <vt:variant>
        <vt:i4>1383</vt:i4>
      </vt:variant>
      <vt:variant>
        <vt:i4>0</vt:i4>
      </vt:variant>
      <vt:variant>
        <vt:i4>5</vt:i4>
      </vt:variant>
      <vt:variant>
        <vt:lpwstr>https://www2.education.vic.gov.au/pal/casual-relief-teachers</vt:lpwstr>
      </vt:variant>
      <vt:variant>
        <vt:lpwstr/>
      </vt:variant>
      <vt:variant>
        <vt:i4>1441862</vt:i4>
      </vt:variant>
      <vt:variant>
        <vt:i4>1380</vt:i4>
      </vt:variant>
      <vt:variant>
        <vt:i4>0</vt:i4>
      </vt:variant>
      <vt:variant>
        <vt:i4>5</vt:i4>
      </vt:variant>
      <vt:variant>
        <vt:lpwstr>https://www2.education.vic.gov.au/pal/recruitment-schools</vt:lpwstr>
      </vt:variant>
      <vt:variant>
        <vt:lpwstr/>
      </vt:variant>
      <vt:variant>
        <vt:i4>8192044</vt:i4>
      </vt:variant>
      <vt:variant>
        <vt:i4>1377</vt:i4>
      </vt:variant>
      <vt:variant>
        <vt:i4>0</vt:i4>
      </vt:variant>
      <vt:variant>
        <vt:i4>5</vt:i4>
      </vt:variant>
      <vt:variant>
        <vt:lpwstr>https://www2.education.vic.gov.au/pal/leave-defence-reserve-service</vt:lpwstr>
      </vt:variant>
      <vt:variant>
        <vt:lpwstr/>
      </vt:variant>
      <vt:variant>
        <vt:i4>4849752</vt:i4>
      </vt:variant>
      <vt:variant>
        <vt:i4>1374</vt:i4>
      </vt:variant>
      <vt:variant>
        <vt:i4>0</vt:i4>
      </vt:variant>
      <vt:variant>
        <vt:i4>5</vt:i4>
      </vt:variant>
      <vt:variant>
        <vt:lpwstr>https://servicegateway.eduweb.vic.gov.au/MSMSelfService/AutoGen.aspx?page=22</vt:lpwstr>
      </vt:variant>
      <vt:variant>
        <vt:lpwstr/>
      </vt:variant>
      <vt:variant>
        <vt:i4>4849752</vt:i4>
      </vt:variant>
      <vt:variant>
        <vt:i4>1371</vt:i4>
      </vt:variant>
      <vt:variant>
        <vt:i4>0</vt:i4>
      </vt:variant>
      <vt:variant>
        <vt:i4>5</vt:i4>
      </vt:variant>
      <vt:variant>
        <vt:lpwstr>https://servicegateway.eduweb.vic.gov.au/MSMSelfService/AutoGen.aspx?page=22</vt:lpwstr>
      </vt:variant>
      <vt:variant>
        <vt:lpwstr/>
      </vt:variant>
      <vt:variant>
        <vt:i4>4849752</vt:i4>
      </vt:variant>
      <vt:variant>
        <vt:i4>1368</vt:i4>
      </vt:variant>
      <vt:variant>
        <vt:i4>0</vt:i4>
      </vt:variant>
      <vt:variant>
        <vt:i4>5</vt:i4>
      </vt:variant>
      <vt:variant>
        <vt:lpwstr>https://servicegateway.eduweb.vic.gov.au/MSMSelfService/AutoGen.aspx?page=22</vt:lpwstr>
      </vt:variant>
      <vt:variant>
        <vt:lpwstr/>
      </vt:variant>
      <vt:variant>
        <vt:i4>5046301</vt:i4>
      </vt:variant>
      <vt:variant>
        <vt:i4>1365</vt:i4>
      </vt:variant>
      <vt:variant>
        <vt:i4>0</vt:i4>
      </vt:variant>
      <vt:variant>
        <vt:i4>5</vt:i4>
      </vt:variant>
      <vt:variant>
        <vt:lpwstr>https://www2.education.vic.gov.au/pal/student-resource-package-srp-managing-budget/guidance/4-reports</vt:lpwstr>
      </vt:variant>
      <vt:variant>
        <vt:lpwstr/>
      </vt:variant>
      <vt:variant>
        <vt:i4>5046301</vt:i4>
      </vt:variant>
      <vt:variant>
        <vt:i4>1362</vt:i4>
      </vt:variant>
      <vt:variant>
        <vt:i4>0</vt:i4>
      </vt:variant>
      <vt:variant>
        <vt:i4>5</vt:i4>
      </vt:variant>
      <vt:variant>
        <vt:lpwstr>https://www2.education.vic.gov.au/pal/student-resource-package-srp-managing-budget/guidance/4-reports</vt:lpwstr>
      </vt:variant>
      <vt:variant>
        <vt:lpwstr/>
      </vt:variant>
      <vt:variant>
        <vt:i4>5046301</vt:i4>
      </vt:variant>
      <vt:variant>
        <vt:i4>1359</vt:i4>
      </vt:variant>
      <vt:variant>
        <vt:i4>0</vt:i4>
      </vt:variant>
      <vt:variant>
        <vt:i4>5</vt:i4>
      </vt:variant>
      <vt:variant>
        <vt:lpwstr>https://www2.education.vic.gov.au/pal/student-resource-package-srp-managing-budget/guidance/4-reports</vt:lpwstr>
      </vt:variant>
      <vt:variant>
        <vt:lpwstr/>
      </vt:variant>
      <vt:variant>
        <vt:i4>3014763</vt:i4>
      </vt:variant>
      <vt:variant>
        <vt:i4>1356</vt:i4>
      </vt:variant>
      <vt:variant>
        <vt:i4>0</vt:i4>
      </vt:variant>
      <vt:variant>
        <vt:i4>5</vt:i4>
      </vt:variant>
      <vt:variant>
        <vt:lpwstr>https://www.eduweb.vic.gov.au/srp/</vt:lpwstr>
      </vt:variant>
      <vt:variant>
        <vt:lpwstr/>
      </vt:variant>
      <vt:variant>
        <vt:i4>5046301</vt:i4>
      </vt:variant>
      <vt:variant>
        <vt:i4>1353</vt:i4>
      </vt:variant>
      <vt:variant>
        <vt:i4>0</vt:i4>
      </vt:variant>
      <vt:variant>
        <vt:i4>5</vt:i4>
      </vt:variant>
      <vt:variant>
        <vt:lpwstr>https://www2.education.vic.gov.au/pal/student-resource-package-srp-managing-budget/guidance/4-reports</vt:lpwstr>
      </vt:variant>
      <vt:variant>
        <vt:lpwstr/>
      </vt:variant>
      <vt:variant>
        <vt:i4>3735658</vt:i4>
      </vt:variant>
      <vt:variant>
        <vt:i4>1350</vt:i4>
      </vt:variant>
      <vt:variant>
        <vt:i4>0</vt:i4>
      </vt:variant>
      <vt:variant>
        <vt:i4>5</vt:i4>
      </vt:variant>
      <vt:variant>
        <vt:lpwstr>https://www2.education.vic.gov.au/pal/travel-and-personal-expenses-teaching-service</vt:lpwstr>
      </vt:variant>
      <vt:variant>
        <vt:lpwstr/>
      </vt:variant>
      <vt:variant>
        <vt:i4>5046301</vt:i4>
      </vt:variant>
      <vt:variant>
        <vt:i4>1347</vt:i4>
      </vt:variant>
      <vt:variant>
        <vt:i4>0</vt:i4>
      </vt:variant>
      <vt:variant>
        <vt:i4>5</vt:i4>
      </vt:variant>
      <vt:variant>
        <vt:lpwstr>https://www2.education.vic.gov.au/pal/student-resource-package-srp-managing-budget/guidance/4-reports</vt:lpwstr>
      </vt:variant>
      <vt:variant>
        <vt:lpwstr/>
      </vt:variant>
      <vt:variant>
        <vt:i4>3801214</vt:i4>
      </vt:variant>
      <vt:variant>
        <vt:i4>1344</vt:i4>
      </vt:variant>
      <vt:variant>
        <vt:i4>0</vt:i4>
      </vt:variant>
      <vt:variant>
        <vt:i4>5</vt:i4>
      </vt:variant>
      <vt:variant>
        <vt:lpwstr>https://www2.education.vic.gov.au/pal/student-resource-package-srp-managing-budget/guidance/7-cash</vt:lpwstr>
      </vt:variant>
      <vt:variant>
        <vt:lpwstr/>
      </vt:variant>
      <vt:variant>
        <vt:i4>5046301</vt:i4>
      </vt:variant>
      <vt:variant>
        <vt:i4>1341</vt:i4>
      </vt:variant>
      <vt:variant>
        <vt:i4>0</vt:i4>
      </vt:variant>
      <vt:variant>
        <vt:i4>5</vt:i4>
      </vt:variant>
      <vt:variant>
        <vt:lpwstr>https://www2.education.vic.gov.au/pal/student-resource-package-srp-managing-budget/guidance/4-reports</vt:lpwstr>
      </vt:variant>
      <vt:variant>
        <vt:lpwstr/>
      </vt:variant>
      <vt:variant>
        <vt:i4>4390982</vt:i4>
      </vt:variant>
      <vt:variant>
        <vt:i4>1338</vt:i4>
      </vt:variant>
      <vt:variant>
        <vt:i4>0</vt:i4>
      </vt:variant>
      <vt:variant>
        <vt:i4>5</vt:i4>
      </vt:variant>
      <vt:variant>
        <vt:lpwstr>https://www2.education.vic.gov.au/pal/student-resource-package-srp-managing-budget/guidance/2-relief-staffing</vt:lpwstr>
      </vt:variant>
      <vt:variant>
        <vt:lpwstr/>
      </vt:variant>
      <vt:variant>
        <vt:i4>2556011</vt:i4>
      </vt:variant>
      <vt:variant>
        <vt:i4>1335</vt:i4>
      </vt:variant>
      <vt:variant>
        <vt:i4>0</vt:i4>
      </vt:variant>
      <vt:variant>
        <vt:i4>5</vt:i4>
      </vt:variant>
      <vt:variant>
        <vt:lpwstr>https://www2.education.vic.gov.au/pal/transfer-and-promotion-teaching-service/overview</vt:lpwstr>
      </vt:variant>
      <vt:variant>
        <vt:lpwstr/>
      </vt:variant>
      <vt:variant>
        <vt:i4>524373</vt:i4>
      </vt:variant>
      <vt:variant>
        <vt:i4>1332</vt:i4>
      </vt:variant>
      <vt:variant>
        <vt:i4>0</vt:i4>
      </vt:variant>
      <vt:variant>
        <vt:i4>5</vt:i4>
      </vt:variant>
      <vt:variant>
        <vt:lpwstr>https://www2.education.vic.gov.au/pal/higher-duties-teaching-service</vt:lpwstr>
      </vt:variant>
      <vt:variant>
        <vt:lpwstr/>
      </vt:variant>
      <vt:variant>
        <vt:i4>1441862</vt:i4>
      </vt:variant>
      <vt:variant>
        <vt:i4>1329</vt:i4>
      </vt:variant>
      <vt:variant>
        <vt:i4>0</vt:i4>
      </vt:variant>
      <vt:variant>
        <vt:i4>5</vt:i4>
      </vt:variant>
      <vt:variant>
        <vt:lpwstr>https://www2.education.vic.gov.au/pal/recruitment-schools</vt:lpwstr>
      </vt:variant>
      <vt:variant>
        <vt:lpwstr/>
      </vt:variant>
      <vt:variant>
        <vt:i4>1441862</vt:i4>
      </vt:variant>
      <vt:variant>
        <vt:i4>1326</vt:i4>
      </vt:variant>
      <vt:variant>
        <vt:i4>0</vt:i4>
      </vt:variant>
      <vt:variant>
        <vt:i4>5</vt:i4>
      </vt:variant>
      <vt:variant>
        <vt:lpwstr>https://www2.education.vic.gov.au/pal/recruitment-schools</vt:lpwstr>
      </vt:variant>
      <vt:variant>
        <vt:lpwstr/>
      </vt:variant>
      <vt:variant>
        <vt:i4>2162801</vt:i4>
      </vt:variant>
      <vt:variant>
        <vt:i4>1323</vt:i4>
      </vt:variant>
      <vt:variant>
        <vt:i4>0</vt:i4>
      </vt:variant>
      <vt:variant>
        <vt:i4>5</vt:i4>
      </vt:variant>
      <vt:variant>
        <vt:lpwstr>https://www2.education.vic.gov.au/pal/cessation-employment-teaching-service</vt:lpwstr>
      </vt:variant>
      <vt:variant>
        <vt:lpwstr/>
      </vt:variant>
      <vt:variant>
        <vt:i4>1441862</vt:i4>
      </vt:variant>
      <vt:variant>
        <vt:i4>1320</vt:i4>
      </vt:variant>
      <vt:variant>
        <vt:i4>0</vt:i4>
      </vt:variant>
      <vt:variant>
        <vt:i4>5</vt:i4>
      </vt:variant>
      <vt:variant>
        <vt:lpwstr>https://www2.education.vic.gov.au/pal/recruitment-schools</vt:lpwstr>
      </vt:variant>
      <vt:variant>
        <vt:lpwstr/>
      </vt:variant>
      <vt:variant>
        <vt:i4>5046301</vt:i4>
      </vt:variant>
      <vt:variant>
        <vt:i4>1317</vt:i4>
      </vt:variant>
      <vt:variant>
        <vt:i4>0</vt:i4>
      </vt:variant>
      <vt:variant>
        <vt:i4>5</vt:i4>
      </vt:variant>
      <vt:variant>
        <vt:lpwstr>https://www2.education.vic.gov.au/pal/student-resource-package-srp-managing-budget/guidance/4-reports</vt:lpwstr>
      </vt:variant>
      <vt:variant>
        <vt:lpwstr/>
      </vt:variant>
      <vt:variant>
        <vt:i4>3801214</vt:i4>
      </vt:variant>
      <vt:variant>
        <vt:i4>1314</vt:i4>
      </vt:variant>
      <vt:variant>
        <vt:i4>0</vt:i4>
      </vt:variant>
      <vt:variant>
        <vt:i4>5</vt:i4>
      </vt:variant>
      <vt:variant>
        <vt:lpwstr>https://www2.education.vic.gov.au/pal/student-resource-package-srp-managing-budget/guidance/7-cash</vt:lpwstr>
      </vt:variant>
      <vt:variant>
        <vt:lpwstr/>
      </vt:variant>
      <vt:variant>
        <vt:i4>6881336</vt:i4>
      </vt:variant>
      <vt:variant>
        <vt:i4>1311</vt:i4>
      </vt:variant>
      <vt:variant>
        <vt:i4>0</vt:i4>
      </vt:variant>
      <vt:variant>
        <vt:i4>5</vt:i4>
      </vt:variant>
      <vt:variant>
        <vt:lpwstr>https://www2.education.vic.gov.au/pal/casual-relief-teachers/policy-and-guidelines</vt:lpwstr>
      </vt:variant>
      <vt:variant>
        <vt:lpwstr/>
      </vt:variant>
      <vt:variant>
        <vt:i4>1179703</vt:i4>
      </vt:variant>
      <vt:variant>
        <vt:i4>1308</vt:i4>
      </vt:variant>
      <vt:variant>
        <vt:i4>0</vt:i4>
      </vt:variant>
      <vt:variant>
        <vt:i4>5</vt:i4>
      </vt:variant>
      <vt:variant>
        <vt:lpwstr>http://www.education.vic.gov.au/hrweb/Documents/Staffing_policy-mergerclosure.pdf</vt:lpwstr>
      </vt:variant>
      <vt:variant>
        <vt:lpwstr/>
      </vt:variant>
      <vt:variant>
        <vt:i4>2097195</vt:i4>
      </vt:variant>
      <vt:variant>
        <vt:i4>1305</vt:i4>
      </vt:variant>
      <vt:variant>
        <vt:i4>0</vt:i4>
      </vt:variant>
      <vt:variant>
        <vt:i4>5</vt:i4>
      </vt:variant>
      <vt:variant>
        <vt:lpwstr>https://www2.education.vic.gov.au/pal/student-resource-package-srp-managing-budget/guidance/10-enrolment-variation-funding</vt:lpwstr>
      </vt:variant>
      <vt:variant>
        <vt:lpwstr/>
      </vt:variant>
      <vt:variant>
        <vt:i4>7077990</vt:i4>
      </vt:variant>
      <vt:variant>
        <vt:i4>1302</vt:i4>
      </vt:variant>
      <vt:variant>
        <vt:i4>0</vt:i4>
      </vt:variant>
      <vt:variant>
        <vt:i4>5</vt:i4>
      </vt:variant>
      <vt:variant>
        <vt:lpwstr>https://www2.education.vic.gov.au/pal/student-resource-package-srp-managing-budget/guidance/10-principal-classification-budget</vt:lpwstr>
      </vt:variant>
      <vt:variant>
        <vt:lpwstr/>
      </vt:variant>
      <vt:variant>
        <vt:i4>8257653</vt:i4>
      </vt:variant>
      <vt:variant>
        <vt:i4>1299</vt:i4>
      </vt:variant>
      <vt:variant>
        <vt:i4>0</vt:i4>
      </vt:variant>
      <vt:variant>
        <vt:i4>5</vt:i4>
      </vt:variant>
      <vt:variant>
        <vt:lpwstr>https://www2.education.vic.gov.au/pal/student-resource-package-srp-managing-budget/guidance/8-deficit-management-and-workforce</vt:lpwstr>
      </vt:variant>
      <vt:variant>
        <vt:lpwstr/>
      </vt:variant>
      <vt:variant>
        <vt:i4>3801214</vt:i4>
      </vt:variant>
      <vt:variant>
        <vt:i4>1296</vt:i4>
      </vt:variant>
      <vt:variant>
        <vt:i4>0</vt:i4>
      </vt:variant>
      <vt:variant>
        <vt:i4>5</vt:i4>
      </vt:variant>
      <vt:variant>
        <vt:lpwstr>https://www2.education.vic.gov.au/pal/student-resource-package-srp-managing-budget/guidance/7-cash</vt:lpwstr>
      </vt:variant>
      <vt:variant>
        <vt:lpwstr/>
      </vt:variant>
      <vt:variant>
        <vt:i4>5242891</vt:i4>
      </vt:variant>
      <vt:variant>
        <vt:i4>1293</vt:i4>
      </vt:variant>
      <vt:variant>
        <vt:i4>0</vt:i4>
      </vt:variant>
      <vt:variant>
        <vt:i4>5</vt:i4>
      </vt:variant>
      <vt:variant>
        <vt:lpwstr>https://www2.education.vic.gov.au/pal/student-resource-package-srp-managing-budget/guidance/6-reconciliation</vt:lpwstr>
      </vt:variant>
      <vt:variant>
        <vt:lpwstr/>
      </vt:variant>
      <vt:variant>
        <vt:i4>4128893</vt:i4>
      </vt:variant>
      <vt:variant>
        <vt:i4>1290</vt:i4>
      </vt:variant>
      <vt:variant>
        <vt:i4>0</vt:i4>
      </vt:variant>
      <vt:variant>
        <vt:i4>5</vt:i4>
      </vt:variant>
      <vt:variant>
        <vt:lpwstr>https://www2.education.vic.gov.au/pal/student-resource-package-srp-managing-budget/guidance/5-planning</vt:lpwstr>
      </vt:variant>
      <vt:variant>
        <vt:lpwstr/>
      </vt:variant>
      <vt:variant>
        <vt:i4>5046301</vt:i4>
      </vt:variant>
      <vt:variant>
        <vt:i4>1287</vt:i4>
      </vt:variant>
      <vt:variant>
        <vt:i4>0</vt:i4>
      </vt:variant>
      <vt:variant>
        <vt:i4>5</vt:i4>
      </vt:variant>
      <vt:variant>
        <vt:lpwstr>https://www2.education.vic.gov.au/pal/student-resource-package-srp-managing-budget/guidance/4-reports</vt:lpwstr>
      </vt:variant>
      <vt:variant>
        <vt:lpwstr/>
      </vt:variant>
      <vt:variant>
        <vt:i4>7274537</vt:i4>
      </vt:variant>
      <vt:variant>
        <vt:i4>1284</vt:i4>
      </vt:variant>
      <vt:variant>
        <vt:i4>0</vt:i4>
      </vt:variant>
      <vt:variant>
        <vt:i4>5</vt:i4>
      </vt:variant>
      <vt:variant>
        <vt:lpwstr>https://www2.education.vic.gov.au/pal/student-resource-package-srp-managing-budget/guidance/credit-carryover-policy</vt:lpwstr>
      </vt:variant>
      <vt:variant>
        <vt:lpwstr/>
      </vt:variant>
      <vt:variant>
        <vt:i4>589907</vt:i4>
      </vt:variant>
      <vt:variant>
        <vt:i4>1281</vt:i4>
      </vt:variant>
      <vt:variant>
        <vt:i4>0</vt:i4>
      </vt:variant>
      <vt:variant>
        <vt:i4>5</vt:i4>
      </vt:variant>
      <vt:variant>
        <vt:lpwstr>https://www2.education.vic.gov.au/pal/student-resource-package-srp-managing-budget/guidance/3-surplus-or-deficit</vt:lpwstr>
      </vt:variant>
      <vt:variant>
        <vt:lpwstr/>
      </vt:variant>
      <vt:variant>
        <vt:i4>4390982</vt:i4>
      </vt:variant>
      <vt:variant>
        <vt:i4>1278</vt:i4>
      </vt:variant>
      <vt:variant>
        <vt:i4>0</vt:i4>
      </vt:variant>
      <vt:variant>
        <vt:i4>5</vt:i4>
      </vt:variant>
      <vt:variant>
        <vt:lpwstr>https://www2.education.vic.gov.au/pal/student-resource-package-srp-managing-budget/guidance/2-relief-staffing</vt:lpwstr>
      </vt:variant>
      <vt:variant>
        <vt:lpwstr/>
      </vt:variant>
      <vt:variant>
        <vt:i4>4391000</vt:i4>
      </vt:variant>
      <vt:variant>
        <vt:i4>1275</vt:i4>
      </vt:variant>
      <vt:variant>
        <vt:i4>0</vt:i4>
      </vt:variant>
      <vt:variant>
        <vt:i4>5</vt:i4>
      </vt:variant>
      <vt:variant>
        <vt:lpwstr>https://www2.education.vic.gov.au/pal/student-resource-package-srp-managing-budget/guidance/1-salary-and-related-expenditure</vt:lpwstr>
      </vt:variant>
      <vt:variant>
        <vt:lpwstr/>
      </vt:variant>
      <vt:variant>
        <vt:i4>1572883</vt:i4>
      </vt:variant>
      <vt:variant>
        <vt:i4>1272</vt:i4>
      </vt:variant>
      <vt:variant>
        <vt:i4>0</vt:i4>
      </vt:variant>
      <vt:variant>
        <vt:i4>5</vt:i4>
      </vt:variant>
      <vt:variant>
        <vt:lpwstr>https://www2.education.vic.gov.au/pal/ndis-navigators/policy</vt:lpwstr>
      </vt:variant>
      <vt:variant>
        <vt:lpwstr/>
      </vt:variant>
      <vt:variant>
        <vt:i4>4128851</vt:i4>
      </vt:variant>
      <vt:variant>
        <vt:i4>1269</vt:i4>
      </vt:variant>
      <vt:variant>
        <vt:i4>0</vt:i4>
      </vt:variant>
      <vt:variant>
        <vt:i4>5</vt:i4>
      </vt:variant>
      <vt:variant>
        <vt:lpwstr>mailto:vass.support@education.vic.gov.au</vt:lpwstr>
      </vt:variant>
      <vt:variant>
        <vt:lpwstr/>
      </vt:variant>
      <vt:variant>
        <vt:i4>6422564</vt:i4>
      </vt:variant>
      <vt:variant>
        <vt:i4>1266</vt:i4>
      </vt:variant>
      <vt:variant>
        <vt:i4>0</vt:i4>
      </vt:variant>
      <vt:variant>
        <vt:i4>5</vt:i4>
      </vt:variant>
      <vt:variant>
        <vt:lpwstr>tel:1800623681</vt:lpwstr>
      </vt:variant>
      <vt:variant>
        <vt:lpwstr/>
      </vt:variant>
      <vt:variant>
        <vt:i4>6357030</vt:i4>
      </vt:variant>
      <vt:variant>
        <vt:i4>1263</vt:i4>
      </vt:variant>
      <vt:variant>
        <vt:i4>0</vt:i4>
      </vt:variant>
      <vt:variant>
        <vt:i4>5</vt:i4>
      </vt:variant>
      <vt:variant>
        <vt:lpwstr>tel:0390321758</vt:lpwstr>
      </vt:variant>
      <vt:variant>
        <vt:lpwstr/>
      </vt:variant>
      <vt:variant>
        <vt:i4>3080224</vt:i4>
      </vt:variant>
      <vt:variant>
        <vt:i4>1260</vt:i4>
      </vt:variant>
      <vt:variant>
        <vt:i4>0</vt:i4>
      </vt:variant>
      <vt:variant>
        <vt:i4>5</vt:i4>
      </vt:variant>
      <vt:variant>
        <vt:lpwstr>https://www2.education.vic.gov.au/pal/purchasing-secondary-courses</vt:lpwstr>
      </vt:variant>
      <vt:variant>
        <vt:lpwstr/>
      </vt:variant>
      <vt:variant>
        <vt:i4>3473508</vt:i4>
      </vt:variant>
      <vt:variant>
        <vt:i4>1257</vt:i4>
      </vt:variant>
      <vt:variant>
        <vt:i4>0</vt:i4>
      </vt:variant>
      <vt:variant>
        <vt:i4>5</vt:i4>
      </vt:variant>
      <vt:variant>
        <vt:lpwstr>https://www.vic.gov.au/head-start-apprenticeships-and-traineeships</vt:lpwstr>
      </vt:variant>
      <vt:variant>
        <vt:lpwstr/>
      </vt:variant>
      <vt:variant>
        <vt:i4>6946877</vt:i4>
      </vt:variant>
      <vt:variant>
        <vt:i4>1254</vt:i4>
      </vt:variant>
      <vt:variant>
        <vt:i4>0</vt:i4>
      </vt:variant>
      <vt:variant>
        <vt:i4>5</vt:i4>
      </vt:variant>
      <vt:variant>
        <vt:lpwstr>https://www2.education.vic.gov.au/pal/school-based-apprenticeships-and-traineeships/policy</vt:lpwstr>
      </vt:variant>
      <vt:variant>
        <vt:lpwstr/>
      </vt:variant>
      <vt:variant>
        <vt:i4>2228260</vt:i4>
      </vt:variant>
      <vt:variant>
        <vt:i4>1251</vt:i4>
      </vt:variant>
      <vt:variant>
        <vt:i4>0</vt:i4>
      </vt:variant>
      <vt:variant>
        <vt:i4>5</vt:i4>
      </vt:variant>
      <vt:variant>
        <vt:lpwstr>https://www2.education.vic.gov.au/pal/vocational-education-and-training-vet-delivered-secondary-students/policy</vt:lpwstr>
      </vt:variant>
      <vt:variant>
        <vt:lpwstr/>
      </vt:variant>
      <vt:variant>
        <vt:i4>2228260</vt:i4>
      </vt:variant>
      <vt:variant>
        <vt:i4>1248</vt:i4>
      </vt:variant>
      <vt:variant>
        <vt:i4>0</vt:i4>
      </vt:variant>
      <vt:variant>
        <vt:i4>5</vt:i4>
      </vt:variant>
      <vt:variant>
        <vt:lpwstr>https://www2.education.vic.gov.au/pal/vocational-education-and-training-vet-delivered-secondary-students/policy</vt:lpwstr>
      </vt:variant>
      <vt:variant>
        <vt:lpwstr/>
      </vt:variant>
      <vt:variant>
        <vt:i4>6619237</vt:i4>
      </vt:variant>
      <vt:variant>
        <vt:i4>1245</vt:i4>
      </vt:variant>
      <vt:variant>
        <vt:i4>0</vt:i4>
      </vt:variant>
      <vt:variant>
        <vt:i4>5</vt:i4>
      </vt:variant>
      <vt:variant>
        <vt:lpwstr>https://www2.education.vic.gov.au/pal/physical-and-sport-education-delivery-requirements/policy</vt:lpwstr>
      </vt:variant>
      <vt:variant>
        <vt:lpwstr/>
      </vt:variant>
      <vt:variant>
        <vt:i4>1376273</vt:i4>
      </vt:variant>
      <vt:variant>
        <vt:i4>1242</vt:i4>
      </vt:variant>
      <vt:variant>
        <vt:i4>0</vt:i4>
      </vt:variant>
      <vt:variant>
        <vt:i4>5</vt:i4>
      </vt:variant>
      <vt:variant>
        <vt:lpwstr>https://www.vic.gov.au/active-schools</vt:lpwstr>
      </vt:variant>
      <vt:variant>
        <vt:lpwstr/>
      </vt:variant>
      <vt:variant>
        <vt:i4>1376273</vt:i4>
      </vt:variant>
      <vt:variant>
        <vt:i4>1239</vt:i4>
      </vt:variant>
      <vt:variant>
        <vt:i4>0</vt:i4>
      </vt:variant>
      <vt:variant>
        <vt:i4>5</vt:i4>
      </vt:variant>
      <vt:variant>
        <vt:lpwstr>https://www.vic.gov.au/active-schools</vt:lpwstr>
      </vt:variant>
      <vt:variant>
        <vt:lpwstr/>
      </vt:variant>
      <vt:variant>
        <vt:i4>2031644</vt:i4>
      </vt:variant>
      <vt:variant>
        <vt:i4>1236</vt:i4>
      </vt:variant>
      <vt:variant>
        <vt:i4>0</vt:i4>
      </vt:variant>
      <vt:variant>
        <vt:i4>5</vt:i4>
      </vt:variant>
      <vt:variant>
        <vt:lpwstr>https://www.education.vic.gov.au/hrweb/employcond/Pages/spay.aspx</vt:lpwstr>
      </vt:variant>
      <vt:variant>
        <vt:lpwstr/>
      </vt:variant>
      <vt:variant>
        <vt:i4>4784215</vt:i4>
      </vt:variant>
      <vt:variant>
        <vt:i4>1233</vt:i4>
      </vt:variant>
      <vt:variant>
        <vt:i4>0</vt:i4>
      </vt:variant>
      <vt:variant>
        <vt:i4>5</vt:i4>
      </vt:variant>
      <vt:variant>
        <vt:lpwstr>https://www2.education.vic.gov.au/pal/mental-health-fund-menu/policy</vt:lpwstr>
      </vt:variant>
      <vt:variant>
        <vt:lpwstr/>
      </vt:variant>
      <vt:variant>
        <vt:i4>3670020</vt:i4>
      </vt:variant>
      <vt:variant>
        <vt:i4>1230</vt:i4>
      </vt:variant>
      <vt:variant>
        <vt:i4>0</vt:i4>
      </vt:variant>
      <vt:variant>
        <vt:i4>5</vt:i4>
      </vt:variant>
      <vt:variant>
        <vt:lpwstr>mailto:inclusion.outreach.coaching@education.vic.gov.au</vt:lpwstr>
      </vt:variant>
      <vt:variant>
        <vt:lpwstr/>
      </vt:variant>
      <vt:variant>
        <vt:i4>4063335</vt:i4>
      </vt:variant>
      <vt:variant>
        <vt:i4>1227</vt:i4>
      </vt:variant>
      <vt:variant>
        <vt:i4>0</vt:i4>
      </vt:variant>
      <vt:variant>
        <vt:i4>5</vt:i4>
      </vt:variant>
      <vt:variant>
        <vt:lpwstr>https://www2.education.vic.gov.au/pal/travel-and-personal-expenses-teaching-service/policy-and-guidelines/overview</vt:lpwstr>
      </vt:variant>
      <vt:variant>
        <vt:lpwstr/>
      </vt:variant>
      <vt:variant>
        <vt:i4>4128812</vt:i4>
      </vt:variant>
      <vt:variant>
        <vt:i4>1224</vt:i4>
      </vt:variant>
      <vt:variant>
        <vt:i4>0</vt:i4>
      </vt:variant>
      <vt:variant>
        <vt:i4>5</vt:i4>
      </vt:variant>
      <vt:variant>
        <vt:lpwstr>https://www.education.vic.gov.au/hrweb/Documents/VGSA-2022.pdf</vt:lpwstr>
      </vt:variant>
      <vt:variant>
        <vt:lpwstr/>
      </vt:variant>
      <vt:variant>
        <vt:i4>5570647</vt:i4>
      </vt:variant>
      <vt:variant>
        <vt:i4>1221</vt:i4>
      </vt:variant>
      <vt:variant>
        <vt:i4>0</vt:i4>
      </vt:variant>
      <vt:variant>
        <vt:i4>5</vt:i4>
      </vt:variant>
      <vt:variant>
        <vt:lpwstr>https://www2.education.vic.gov.au/pal/student-resource-package-srp-targeted-initiatives/guidance/inclusion-outreach-coaching-ioc</vt:lpwstr>
      </vt:variant>
      <vt:variant>
        <vt:lpwstr/>
      </vt:variant>
      <vt:variant>
        <vt:i4>720962</vt:i4>
      </vt:variant>
      <vt:variant>
        <vt:i4>1218</vt:i4>
      </vt:variant>
      <vt:variant>
        <vt:i4>0</vt:i4>
      </vt:variant>
      <vt:variant>
        <vt:i4>5</vt:i4>
      </vt:variant>
      <vt:variant>
        <vt:lpwstr>https://www2.education.vic.gov.au/pal/leading-teachers-and-learning-specialists/overview</vt:lpwstr>
      </vt:variant>
      <vt:variant>
        <vt:lpwstr/>
      </vt:variant>
      <vt:variant>
        <vt:i4>5111884</vt:i4>
      </vt:variant>
      <vt:variant>
        <vt:i4>1215</vt:i4>
      </vt:variant>
      <vt:variant>
        <vt:i4>0</vt:i4>
      </vt:variant>
      <vt:variant>
        <vt:i4>5</vt:i4>
      </vt:variant>
      <vt:variant>
        <vt:lpwstr>https://www2.education.vic.gov.au/pal/disability-inclusion-funding-support/policy</vt:lpwstr>
      </vt:variant>
      <vt:variant>
        <vt:lpwstr/>
      </vt:variant>
      <vt:variant>
        <vt:i4>917628</vt:i4>
      </vt:variant>
      <vt:variant>
        <vt:i4>1212</vt:i4>
      </vt:variant>
      <vt:variant>
        <vt:i4>0</vt:i4>
      </vt:variant>
      <vt:variant>
        <vt:i4>5</vt:i4>
      </vt:variant>
      <vt:variant>
        <vt:lpwstr>mailto:teach.today.teach.tomorrow@education.vic.gov.au</vt:lpwstr>
      </vt:variant>
      <vt:variant>
        <vt:lpwstr/>
      </vt:variant>
      <vt:variant>
        <vt:i4>6225948</vt:i4>
      </vt:variant>
      <vt:variant>
        <vt:i4>1206</vt:i4>
      </vt:variant>
      <vt:variant>
        <vt:i4>0</vt:i4>
      </vt:variant>
      <vt:variant>
        <vt:i4>5</vt:i4>
      </vt:variant>
      <vt:variant>
        <vt:lpwstr>https://www.vic.gov.au/paid-employment-based-teaching-degrees</vt:lpwstr>
      </vt:variant>
      <vt:variant>
        <vt:lpwstr/>
      </vt:variant>
      <vt:variant>
        <vt:i4>3473517</vt:i4>
      </vt:variant>
      <vt:variant>
        <vt:i4>1203</vt:i4>
      </vt:variant>
      <vt:variant>
        <vt:i4>0</vt:i4>
      </vt:variant>
      <vt:variant>
        <vt:i4>5</vt:i4>
      </vt:variant>
      <vt:variant>
        <vt:lpwstr>https://www2.education.vic.gov.au/pal/teach-today-teach-tomorrow-programs/overview</vt:lpwstr>
      </vt:variant>
      <vt:variant>
        <vt:lpwstr/>
      </vt:variant>
      <vt:variant>
        <vt:i4>6488157</vt:i4>
      </vt:variant>
      <vt:variant>
        <vt:i4>1200</vt:i4>
      </vt:variant>
      <vt:variant>
        <vt:i4>0</vt:i4>
      </vt:variant>
      <vt:variant>
        <vt:i4>5</vt:i4>
      </vt:variant>
      <vt:variant>
        <vt:lpwstr>mailto:smsi@education.vic.gov.au</vt:lpwstr>
      </vt:variant>
      <vt:variant>
        <vt:lpwstr/>
      </vt:variant>
      <vt:variant>
        <vt:i4>6488097</vt:i4>
      </vt:variant>
      <vt:variant>
        <vt:i4>1197</vt:i4>
      </vt:variant>
      <vt:variant>
        <vt:i4>0</vt:i4>
      </vt:variant>
      <vt:variant>
        <vt:i4>5</vt:i4>
      </vt:variant>
      <vt:variant>
        <vt:lpwstr>https://www.vic.gov.au/mental-health-and-wellbeing-toolkit</vt:lpwstr>
      </vt:variant>
      <vt:variant>
        <vt:lpwstr/>
      </vt:variant>
      <vt:variant>
        <vt:i4>2097191</vt:i4>
      </vt:variant>
      <vt:variant>
        <vt:i4>1194</vt:i4>
      </vt:variant>
      <vt:variant>
        <vt:i4>0</vt:i4>
      </vt:variant>
      <vt:variant>
        <vt:i4>5</vt:i4>
      </vt:variant>
      <vt:variant>
        <vt:lpwstr>https://www.vic.gov.au/mental-health-practitioners-secondary-and-specialist-schools?Redirect=1</vt:lpwstr>
      </vt:variant>
      <vt:variant>
        <vt:lpwstr/>
      </vt:variant>
      <vt:variant>
        <vt:i4>8126533</vt:i4>
      </vt:variant>
      <vt:variant>
        <vt:i4>1191</vt:i4>
      </vt:variant>
      <vt:variant>
        <vt:i4>0</vt:i4>
      </vt:variant>
      <vt:variant>
        <vt:i4>5</vt:i4>
      </vt:variant>
      <vt:variant>
        <vt:lpwstr>mailto:mentalhealth@education.vic.gov.au</vt:lpwstr>
      </vt:variant>
      <vt:variant>
        <vt:lpwstr/>
      </vt:variant>
      <vt:variant>
        <vt:i4>3342441</vt:i4>
      </vt:variant>
      <vt:variant>
        <vt:i4>1188</vt:i4>
      </vt:variant>
      <vt:variant>
        <vt:i4>0</vt:i4>
      </vt:variant>
      <vt:variant>
        <vt:i4>5</vt:i4>
      </vt:variant>
      <vt:variant>
        <vt:lpwstr>https://www2.education.vic.gov.au/pal/tutor-learning-initiative/policy</vt:lpwstr>
      </vt:variant>
      <vt:variant>
        <vt:lpwstr/>
      </vt:variant>
      <vt:variant>
        <vt:i4>3276867</vt:i4>
      </vt:variant>
      <vt:variant>
        <vt:i4>1185</vt:i4>
      </vt:variant>
      <vt:variant>
        <vt:i4>0</vt:i4>
      </vt:variant>
      <vt:variant>
        <vt:i4>5</vt:i4>
      </vt:variant>
      <vt:variant>
        <vt:lpwstr>mailto:pathways.reform@education.vic.gov.au</vt:lpwstr>
      </vt:variant>
      <vt:variant>
        <vt:lpwstr/>
      </vt:variant>
      <vt:variant>
        <vt:i4>1507403</vt:i4>
      </vt:variant>
      <vt:variant>
        <vt:i4>1182</vt:i4>
      </vt:variant>
      <vt:variant>
        <vt:i4>0</vt:i4>
      </vt:variant>
      <vt:variant>
        <vt:i4>5</vt:i4>
      </vt:variant>
      <vt:variant>
        <vt:lpwstr>https://www2.education.vic.gov.au/pal/vocational-and-applied-learning-coordination/policy</vt:lpwstr>
      </vt:variant>
      <vt:variant>
        <vt:lpwstr/>
      </vt:variant>
      <vt:variant>
        <vt:i4>1507403</vt:i4>
      </vt:variant>
      <vt:variant>
        <vt:i4>1179</vt:i4>
      </vt:variant>
      <vt:variant>
        <vt:i4>0</vt:i4>
      </vt:variant>
      <vt:variant>
        <vt:i4>5</vt:i4>
      </vt:variant>
      <vt:variant>
        <vt:lpwstr>https://www2.education.vic.gov.au/pal/vocational-and-applied-learning-coordination/policy</vt:lpwstr>
      </vt:variant>
      <vt:variant>
        <vt:lpwstr/>
      </vt:variant>
      <vt:variant>
        <vt:i4>6488109</vt:i4>
      </vt:variant>
      <vt:variant>
        <vt:i4>1176</vt:i4>
      </vt:variant>
      <vt:variant>
        <vt:i4>0</vt:i4>
      </vt:variant>
      <vt:variant>
        <vt:i4>5</vt:i4>
      </vt:variant>
      <vt:variant>
        <vt:lpwstr>https://www2.education.vic.gov.au/pal/vce-vocational-major-vpc-provision/policy</vt:lpwstr>
      </vt:variant>
      <vt:variant>
        <vt:lpwstr/>
      </vt:variant>
      <vt:variant>
        <vt:i4>6291527</vt:i4>
      </vt:variant>
      <vt:variant>
        <vt:i4>1173</vt:i4>
      </vt:variant>
      <vt:variant>
        <vt:i4>0</vt:i4>
      </vt:variant>
      <vt:variant>
        <vt:i4>5</vt:i4>
      </vt:variant>
      <vt:variant>
        <vt:lpwstr>mailto:pmss@education.vic.gov.au</vt:lpwstr>
      </vt:variant>
      <vt:variant>
        <vt:lpwstr/>
      </vt:variant>
      <vt:variant>
        <vt:i4>5177452</vt:i4>
      </vt:variant>
      <vt:variant>
        <vt:i4>1170</vt:i4>
      </vt:variant>
      <vt:variant>
        <vt:i4>0</vt:i4>
      </vt:variant>
      <vt:variant>
        <vt:i4>5</vt:i4>
      </vt:variant>
      <vt:variant>
        <vt:lpwstr>mailto:rural.regional.reform@education.vic.gov.au</vt:lpwstr>
      </vt:variant>
      <vt:variant>
        <vt:lpwstr/>
      </vt:variant>
      <vt:variant>
        <vt:i4>7667748</vt:i4>
      </vt:variant>
      <vt:variant>
        <vt:i4>1167</vt:i4>
      </vt:variant>
      <vt:variant>
        <vt:i4>0</vt:i4>
      </vt:variant>
      <vt:variant>
        <vt:i4>5</vt:i4>
      </vt:variant>
      <vt:variant>
        <vt:lpwstr>https://edugate.eduweb.vic.gov.au/sites/i/Shared Documents/2023-VCE-School-Implementation-Guide.pdf</vt:lpwstr>
      </vt:variant>
      <vt:variant>
        <vt:lpwstr/>
      </vt:variant>
      <vt:variant>
        <vt:i4>1572979</vt:i4>
      </vt:variant>
      <vt:variant>
        <vt:i4>1164</vt:i4>
      </vt:variant>
      <vt:variant>
        <vt:i4>0</vt:i4>
      </vt:variant>
      <vt:variant>
        <vt:i4>5</vt:i4>
      </vt:variant>
      <vt:variant>
        <vt:lpwstr>mailto:student.excellence@education.vic.gov.au</vt:lpwstr>
      </vt:variant>
      <vt:variant>
        <vt:lpwstr/>
      </vt:variant>
      <vt:variant>
        <vt:i4>6291582</vt:i4>
      </vt:variant>
      <vt:variant>
        <vt:i4>1161</vt:i4>
      </vt:variant>
      <vt:variant>
        <vt:i4>0</vt:i4>
      </vt:variant>
      <vt:variant>
        <vt:i4>5</vt:i4>
      </vt:variant>
      <vt:variant>
        <vt:lpwstr>https://edugate.eduweb.vic.gov.au/sites/i/Pages/production.aspx</vt:lpwstr>
      </vt:variant>
      <vt:variant>
        <vt:lpwstr>/app/content/3162/support_and_service_(schools)%252Flearning_and_teaching%252Fstudent_excellence_program%252Fstudent_excellence_program_overview</vt:lpwstr>
      </vt:variant>
      <vt:variant>
        <vt:i4>3145763</vt:i4>
      </vt:variant>
      <vt:variant>
        <vt:i4>1158</vt:i4>
      </vt:variant>
      <vt:variant>
        <vt:i4>0</vt:i4>
      </vt:variant>
      <vt:variant>
        <vt:i4>5</vt:i4>
      </vt:variant>
      <vt:variant>
        <vt:lpwstr>https://arc.educationapps.vic.gov.au/eventhub/channels/VCES</vt:lpwstr>
      </vt:variant>
      <vt:variant>
        <vt:lpwstr/>
      </vt:variant>
      <vt:variant>
        <vt:i4>1179672</vt:i4>
      </vt:variant>
      <vt:variant>
        <vt:i4>1155</vt:i4>
      </vt:variant>
      <vt:variant>
        <vt:i4>0</vt:i4>
      </vt:variant>
      <vt:variant>
        <vt:i4>5</vt:i4>
      </vt:variant>
      <vt:variant>
        <vt:lpwstr>https://www2.education.vic.gov.au/pal/student-resource-package-srp-targeted-initiatives/resources</vt:lpwstr>
      </vt:variant>
      <vt:variant>
        <vt:lpwstr/>
      </vt:variant>
      <vt:variant>
        <vt:i4>1310723</vt:i4>
      </vt:variant>
      <vt:variant>
        <vt:i4>1152</vt:i4>
      </vt:variant>
      <vt:variant>
        <vt:i4>0</vt:i4>
      </vt:variant>
      <vt:variant>
        <vt:i4>5</vt:i4>
      </vt:variant>
      <vt:variant>
        <vt:lpwstr>https://www2.education.vic.gov.au/pal/mylns-initiative/policy</vt:lpwstr>
      </vt:variant>
      <vt:variant>
        <vt:lpwstr/>
      </vt:variant>
      <vt:variant>
        <vt:i4>1310723</vt:i4>
      </vt:variant>
      <vt:variant>
        <vt:i4>1149</vt:i4>
      </vt:variant>
      <vt:variant>
        <vt:i4>0</vt:i4>
      </vt:variant>
      <vt:variant>
        <vt:i4>5</vt:i4>
      </vt:variant>
      <vt:variant>
        <vt:lpwstr>https://www2.education.vic.gov.au/pal/mylns-initiative/policy</vt:lpwstr>
      </vt:variant>
      <vt:variant>
        <vt:lpwstr/>
      </vt:variant>
      <vt:variant>
        <vt:i4>1310723</vt:i4>
      </vt:variant>
      <vt:variant>
        <vt:i4>1146</vt:i4>
      </vt:variant>
      <vt:variant>
        <vt:i4>0</vt:i4>
      </vt:variant>
      <vt:variant>
        <vt:i4>5</vt:i4>
      </vt:variant>
      <vt:variant>
        <vt:lpwstr>https://www2.education.vic.gov.au/pal/mylns-initiative/policy</vt:lpwstr>
      </vt:variant>
      <vt:variant>
        <vt:lpwstr/>
      </vt:variant>
      <vt:variant>
        <vt:i4>5963790</vt:i4>
      </vt:variant>
      <vt:variant>
        <vt:i4>1143</vt:i4>
      </vt:variant>
      <vt:variant>
        <vt:i4>0</vt:i4>
      </vt:variant>
      <vt:variant>
        <vt:i4>5</vt:i4>
      </vt:variant>
      <vt:variant>
        <vt:lpwstr>https://www.education.vic.gov.au/school/teachers/teachingresources/discipline/english/Pages/litnumstrategy.aspx</vt:lpwstr>
      </vt:variant>
      <vt:variant>
        <vt:lpwstr>link98</vt:lpwstr>
      </vt:variant>
      <vt:variant>
        <vt:i4>1179762</vt:i4>
      </vt:variant>
      <vt:variant>
        <vt:i4>1140</vt:i4>
      </vt:variant>
      <vt:variant>
        <vt:i4>0</vt:i4>
      </vt:variant>
      <vt:variant>
        <vt:i4>5</vt:i4>
      </vt:variant>
      <vt:variant>
        <vt:lpwstr>mailto:student.engagement@education.vic.gov.au</vt:lpwstr>
      </vt:variant>
      <vt:variant>
        <vt:lpwstr/>
      </vt:variant>
      <vt:variant>
        <vt:i4>655373</vt:i4>
      </vt:variant>
      <vt:variant>
        <vt:i4>1137</vt:i4>
      </vt:variant>
      <vt:variant>
        <vt:i4>0</vt:i4>
      </vt:variant>
      <vt:variant>
        <vt:i4>5</vt:i4>
      </vt:variant>
      <vt:variant>
        <vt:lpwstr>https://www.vic.gov.au/national-student-wellbeing-program</vt:lpwstr>
      </vt:variant>
      <vt:variant>
        <vt:lpwstr/>
      </vt:variant>
      <vt:variant>
        <vt:i4>4325438</vt:i4>
      </vt:variant>
      <vt:variant>
        <vt:i4>1134</vt:i4>
      </vt:variant>
      <vt:variant>
        <vt:i4>0</vt:i4>
      </vt:variant>
      <vt:variant>
        <vt:i4>5</vt:i4>
      </vt:variant>
      <vt:variant>
        <vt:lpwstr>mailto:head.start@education.vic.gov.au</vt:lpwstr>
      </vt:variant>
      <vt:variant>
        <vt:lpwstr/>
      </vt:variant>
      <vt:variant>
        <vt:i4>6619170</vt:i4>
      </vt:variant>
      <vt:variant>
        <vt:i4>1131</vt:i4>
      </vt:variant>
      <vt:variant>
        <vt:i4>0</vt:i4>
      </vt:variant>
      <vt:variant>
        <vt:i4>5</vt:i4>
      </vt:variant>
      <vt:variant>
        <vt:lpwstr>https://edugate.eduweb.vic.gov.au/edrms/keyprocess/stfg/Pages/default.aspx</vt:lpwstr>
      </vt:variant>
      <vt:variant>
        <vt:lpwstr/>
      </vt:variant>
      <vt:variant>
        <vt:i4>5570649</vt:i4>
      </vt:variant>
      <vt:variant>
        <vt:i4>1128</vt:i4>
      </vt:variant>
      <vt:variant>
        <vt:i4>0</vt:i4>
      </vt:variant>
      <vt:variant>
        <vt:i4>5</vt:i4>
      </vt:variant>
      <vt:variant>
        <vt:lpwstr>https://www.education.vic.gov.au/about/programs/Pages/headstart.aspx</vt:lpwstr>
      </vt:variant>
      <vt:variant>
        <vt:lpwstr/>
      </vt:variant>
      <vt:variant>
        <vt:i4>3473508</vt:i4>
      </vt:variant>
      <vt:variant>
        <vt:i4>1125</vt:i4>
      </vt:variant>
      <vt:variant>
        <vt:i4>0</vt:i4>
      </vt:variant>
      <vt:variant>
        <vt:i4>5</vt:i4>
      </vt:variant>
      <vt:variant>
        <vt:lpwstr>https://www.vic.gov.au/head-start-apprenticeships-and-traineeships</vt:lpwstr>
      </vt:variant>
      <vt:variant>
        <vt:lpwstr/>
      </vt:variant>
      <vt:variant>
        <vt:i4>4128839</vt:i4>
      </vt:variant>
      <vt:variant>
        <vt:i4>1122</vt:i4>
      </vt:variant>
      <vt:variant>
        <vt:i4>0</vt:i4>
      </vt:variant>
      <vt:variant>
        <vt:i4>5</vt:i4>
      </vt:variant>
      <vt:variant>
        <vt:lpwstr>mailto:school.swimming@education.vic.gov.au</vt:lpwstr>
      </vt:variant>
      <vt:variant>
        <vt:lpwstr/>
      </vt:variant>
      <vt:variant>
        <vt:i4>2359409</vt:i4>
      </vt:variant>
      <vt:variant>
        <vt:i4>1119</vt:i4>
      </vt:variant>
      <vt:variant>
        <vt:i4>0</vt:i4>
      </vt:variant>
      <vt:variant>
        <vt:i4>5</vt:i4>
      </vt:variant>
      <vt:variant>
        <vt:lpwstr>https://lsv.com.au/education/order-victorian-water-safety-certificates/</vt:lpwstr>
      </vt:variant>
      <vt:variant>
        <vt:lpwstr/>
      </vt:variant>
      <vt:variant>
        <vt:i4>6684730</vt:i4>
      </vt:variant>
      <vt:variant>
        <vt:i4>1116</vt:i4>
      </vt:variant>
      <vt:variant>
        <vt:i4>0</vt:i4>
      </vt:variant>
      <vt:variant>
        <vt:i4>5</vt:i4>
      </vt:variant>
      <vt:variant>
        <vt:lpwstr>https://www.vic.gov.au/swimming-in-schools</vt:lpwstr>
      </vt:variant>
      <vt:variant>
        <vt:lpwstr/>
      </vt:variant>
      <vt:variant>
        <vt:i4>6750271</vt:i4>
      </vt:variant>
      <vt:variant>
        <vt:i4>1113</vt:i4>
      </vt:variant>
      <vt:variant>
        <vt:i4>0</vt:i4>
      </vt:variant>
      <vt:variant>
        <vt:i4>5</vt:i4>
      </vt:variant>
      <vt:variant>
        <vt:lpwstr>https://www2.education.vic.gov.au/pal/career-education-funding-accountability-and-reporting-requirements/policy</vt:lpwstr>
      </vt:variant>
      <vt:variant>
        <vt:lpwstr/>
      </vt:variant>
      <vt:variant>
        <vt:i4>3342409</vt:i4>
      </vt:variant>
      <vt:variant>
        <vt:i4>1110</vt:i4>
      </vt:variant>
      <vt:variant>
        <vt:i4>0</vt:i4>
      </vt:variant>
      <vt:variant>
        <vt:i4>5</vt:i4>
      </vt:variant>
      <vt:variant>
        <vt:lpwstr>mailto:respectful.relationships@education.vic.gov.au</vt:lpwstr>
      </vt:variant>
      <vt:variant>
        <vt:lpwstr/>
      </vt:variant>
      <vt:variant>
        <vt:i4>5505109</vt:i4>
      </vt:variant>
      <vt:variant>
        <vt:i4>1107</vt:i4>
      </vt:variant>
      <vt:variant>
        <vt:i4>0</vt:i4>
      </vt:variant>
      <vt:variant>
        <vt:i4>5</vt:i4>
      </vt:variant>
      <vt:variant>
        <vt:lpwstr>http://www.education.vic.gov.au/about/programs/pages/respectfulrelationships.aspx</vt:lpwstr>
      </vt:variant>
      <vt:variant>
        <vt:lpwstr/>
      </vt:variant>
      <vt:variant>
        <vt:i4>8061029</vt:i4>
      </vt:variant>
      <vt:variant>
        <vt:i4>1104</vt:i4>
      </vt:variant>
      <vt:variant>
        <vt:i4>0</vt:i4>
      </vt:variant>
      <vt:variant>
        <vt:i4>5</vt:i4>
      </vt:variant>
      <vt:variant>
        <vt:lpwstr>https://www.education.vic.gov.au/school/teachers/teachingresources/discipline/capabilities/personal/Pages/respectfulrelschools.aspx</vt:lpwstr>
      </vt:variant>
      <vt:variant>
        <vt:lpwstr/>
      </vt:variant>
      <vt:variant>
        <vt:i4>3473471</vt:i4>
      </vt:variant>
      <vt:variant>
        <vt:i4>1101</vt:i4>
      </vt:variant>
      <vt:variant>
        <vt:i4>0</vt:i4>
      </vt:variant>
      <vt:variant>
        <vt:i4>5</vt:i4>
      </vt:variant>
      <vt:variant>
        <vt:lpwstr>https://www.education.vic.gov.au/about/programs/pages/respectfulrelationships.aspx</vt:lpwstr>
      </vt:variant>
      <vt:variant>
        <vt:lpwstr/>
      </vt:variant>
      <vt:variant>
        <vt:i4>6226039</vt:i4>
      </vt:variant>
      <vt:variant>
        <vt:i4>1098</vt:i4>
      </vt:variant>
      <vt:variant>
        <vt:i4>0</vt:i4>
      </vt:variant>
      <vt:variant>
        <vt:i4>5</vt:i4>
      </vt:variant>
      <vt:variant>
        <vt:lpwstr>mailto:doctors.in.schools@education.vic.gov.au</vt:lpwstr>
      </vt:variant>
      <vt:variant>
        <vt:lpwstr/>
      </vt:variant>
      <vt:variant>
        <vt:i4>8126586</vt:i4>
      </vt:variant>
      <vt:variant>
        <vt:i4>1095</vt:i4>
      </vt:variant>
      <vt:variant>
        <vt:i4>0</vt:i4>
      </vt:variant>
      <vt:variant>
        <vt:i4>5</vt:i4>
      </vt:variant>
      <vt:variant>
        <vt:lpwstr>https://www2.education.vic.gov.au/pal/child-safe-standards</vt:lpwstr>
      </vt:variant>
      <vt:variant>
        <vt:lpwstr/>
      </vt:variant>
      <vt:variant>
        <vt:i4>3866669</vt:i4>
      </vt:variant>
      <vt:variant>
        <vt:i4>1092</vt:i4>
      </vt:variant>
      <vt:variant>
        <vt:i4>0</vt:i4>
      </vt:variant>
      <vt:variant>
        <vt:i4>5</vt:i4>
      </vt:variant>
      <vt:variant>
        <vt:lpwstr>https://www.education.vic.gov.au/about/programs/Pages/doctors.aspx</vt:lpwstr>
      </vt:variant>
      <vt:variant>
        <vt:lpwstr/>
      </vt:variant>
      <vt:variant>
        <vt:i4>7405590</vt:i4>
      </vt:variant>
      <vt:variant>
        <vt:i4>1089</vt:i4>
      </vt:variant>
      <vt:variant>
        <vt:i4>0</vt:i4>
      </vt:variant>
      <vt:variant>
        <vt:i4>5</vt:i4>
      </vt:variant>
      <vt:variant>
        <vt:lpwstr>mailto:youth.participation@education.vic.gov.au</vt:lpwstr>
      </vt:variant>
      <vt:variant>
        <vt:lpwstr/>
      </vt:variant>
      <vt:variant>
        <vt:i4>2228260</vt:i4>
      </vt:variant>
      <vt:variant>
        <vt:i4>1086</vt:i4>
      </vt:variant>
      <vt:variant>
        <vt:i4>0</vt:i4>
      </vt:variant>
      <vt:variant>
        <vt:i4>5</vt:i4>
      </vt:variant>
      <vt:variant>
        <vt:lpwstr>https://www2.education.vic.gov.au/pal/vocational-education-and-training-vet-delivered-secondary-students/policy</vt:lpwstr>
      </vt:variant>
      <vt:variant>
        <vt:lpwstr/>
      </vt:variant>
      <vt:variant>
        <vt:i4>7798845</vt:i4>
      </vt:variant>
      <vt:variant>
        <vt:i4>1083</vt:i4>
      </vt:variant>
      <vt:variant>
        <vt:i4>0</vt:i4>
      </vt:variant>
      <vt:variant>
        <vt:i4>5</vt:i4>
      </vt:variant>
      <vt:variant>
        <vt:lpwstr>https://edugate.eduweb.vic.gov.au/edrms/keyprocess/LEF/Pages/Home.aspx</vt:lpwstr>
      </vt:variant>
      <vt:variant>
        <vt:lpwstr/>
      </vt:variant>
      <vt:variant>
        <vt:i4>5177367</vt:i4>
      </vt:variant>
      <vt:variant>
        <vt:i4>1080</vt:i4>
      </vt:variant>
      <vt:variant>
        <vt:i4>0</vt:i4>
      </vt:variant>
      <vt:variant>
        <vt:i4>5</vt:i4>
      </vt:variant>
      <vt:variant>
        <vt:lpwstr>https://www.education.vic.gov.au/PAL/iep-quality-checklist-rubric.pdf</vt:lpwstr>
      </vt:variant>
      <vt:variant>
        <vt:lpwstr/>
      </vt:variant>
      <vt:variant>
        <vt:i4>3735595</vt:i4>
      </vt:variant>
      <vt:variant>
        <vt:i4>1077</vt:i4>
      </vt:variant>
      <vt:variant>
        <vt:i4>0</vt:i4>
      </vt:variant>
      <vt:variant>
        <vt:i4>5</vt:i4>
      </vt:variant>
      <vt:variant>
        <vt:lpwstr>https://aus01.safelinks.protection.outlook.com/?url=https%3A%2F%2Farc.educationapps.vic.gov.au%2Feventhub%2Fproviders%2FIEP&amp;data=04%7C01%7COsman.Ali-Khelil%40education.vic.gov.au%7C95767ce2b61442c0000e08da03126333%7Cd96cb3371a8744cfb69b3cec334a4c1f%7C0%7C0%7C637825674751047123%7CUnknown%7CTWFpbGZsb3d8eyJWIjoiMC4wLjAwMDAiLCJQIjoiV2luMzIiLCJBTiI6Ik1haWwiLCJXVCI6Mn0%3D%7C3000&amp;sdata=zzf1vA2nFtd1cVwfQgOnM9ETMLBwAz3TYJdgXsMfrc4%3D&amp;reserved=0</vt:lpwstr>
      </vt:variant>
      <vt:variant>
        <vt:lpwstr/>
      </vt:variant>
      <vt:variant>
        <vt:i4>5505035</vt:i4>
      </vt:variant>
      <vt:variant>
        <vt:i4>1074</vt:i4>
      </vt:variant>
      <vt:variant>
        <vt:i4>0</vt:i4>
      </vt:variant>
      <vt:variant>
        <vt:i4>5</vt:i4>
      </vt:variant>
      <vt:variant>
        <vt:lpwstr>https://edupay.eduweb.vic.gov.au/</vt:lpwstr>
      </vt:variant>
      <vt:variant>
        <vt:lpwstr/>
      </vt:variant>
      <vt:variant>
        <vt:i4>7209087</vt:i4>
      </vt:variant>
      <vt:variant>
        <vt:i4>1071</vt:i4>
      </vt:variant>
      <vt:variant>
        <vt:i4>0</vt:i4>
      </vt:variant>
      <vt:variant>
        <vt:i4>5</vt:i4>
      </vt:variant>
      <vt:variant>
        <vt:lpwstr>https://www2.education.vic.gov.au/pal/individual-education-plans-ieps/resources</vt:lpwstr>
      </vt:variant>
      <vt:variant>
        <vt:lpwstr/>
      </vt:variant>
      <vt:variant>
        <vt:i4>7209087</vt:i4>
      </vt:variant>
      <vt:variant>
        <vt:i4>1068</vt:i4>
      </vt:variant>
      <vt:variant>
        <vt:i4>0</vt:i4>
      </vt:variant>
      <vt:variant>
        <vt:i4>5</vt:i4>
      </vt:variant>
      <vt:variant>
        <vt:lpwstr>https://www2.education.vic.gov.au/pal/individual-education-plans-ieps/resources</vt:lpwstr>
      </vt:variant>
      <vt:variant>
        <vt:lpwstr/>
      </vt:variant>
      <vt:variant>
        <vt:i4>7405675</vt:i4>
      </vt:variant>
      <vt:variant>
        <vt:i4>1065</vt:i4>
      </vt:variant>
      <vt:variant>
        <vt:i4>0</vt:i4>
      </vt:variant>
      <vt:variant>
        <vt:i4>5</vt:i4>
      </vt:variant>
      <vt:variant>
        <vt:lpwstr>https://www2.education.vic.gov.au/pal/student-engagement/policy</vt:lpwstr>
      </vt:variant>
      <vt:variant>
        <vt:lpwstr/>
      </vt:variant>
      <vt:variant>
        <vt:i4>6094879</vt:i4>
      </vt:variant>
      <vt:variant>
        <vt:i4>1062</vt:i4>
      </vt:variant>
      <vt:variant>
        <vt:i4>0</vt:i4>
      </vt:variant>
      <vt:variant>
        <vt:i4>5</vt:i4>
      </vt:variant>
      <vt:variant>
        <vt:lpwstr>https://www.vic.gov.au/health-and-wellbeing-staff-schools</vt:lpwstr>
      </vt:variant>
      <vt:variant>
        <vt:lpwstr>primary-welfare-officers</vt:lpwstr>
      </vt:variant>
      <vt:variant>
        <vt:i4>2883685</vt:i4>
      </vt:variant>
      <vt:variant>
        <vt:i4>1059</vt:i4>
      </vt:variant>
      <vt:variant>
        <vt:i4>0</vt:i4>
      </vt:variant>
      <vt:variant>
        <vt:i4>5</vt:i4>
      </vt:variant>
      <vt:variant>
        <vt:lpwstr>https://www2.education.vic.gov.au/pal/mental-health-schools/guidance</vt:lpwstr>
      </vt:variant>
      <vt:variant>
        <vt:lpwstr>implementation-rollout-schedule</vt:lpwstr>
      </vt:variant>
      <vt:variant>
        <vt:i4>2</vt:i4>
      </vt:variant>
      <vt:variant>
        <vt:i4>1056</vt:i4>
      </vt:variant>
      <vt:variant>
        <vt:i4>0</vt:i4>
      </vt:variant>
      <vt:variant>
        <vt:i4>5</vt:i4>
      </vt:variant>
      <vt:variant>
        <vt:lpwstr>https://www2.education.vic.gov.au/pal/student-resource-package-srp-targeted-initiatives/guidance/vocational-education-and-training-0</vt:lpwstr>
      </vt:variant>
      <vt:variant>
        <vt:lpwstr/>
      </vt:variant>
      <vt:variant>
        <vt:i4>589848</vt:i4>
      </vt:variant>
      <vt:variant>
        <vt:i4>1053</vt:i4>
      </vt:variant>
      <vt:variant>
        <vt:i4>0</vt:i4>
      </vt:variant>
      <vt:variant>
        <vt:i4>5</vt:i4>
      </vt:variant>
      <vt:variant>
        <vt:lpwstr>https://www2.education.vic.gov.au/pal/student-resource-package-srp-targeted-initiatives/guidance/active-schools-reference-142</vt:lpwstr>
      </vt:variant>
      <vt:variant>
        <vt:lpwstr/>
      </vt:variant>
      <vt:variant>
        <vt:i4>6291500</vt:i4>
      </vt:variant>
      <vt:variant>
        <vt:i4>1050</vt:i4>
      </vt:variant>
      <vt:variant>
        <vt:i4>0</vt:i4>
      </vt:variant>
      <vt:variant>
        <vt:i4>5</vt:i4>
      </vt:variant>
      <vt:variant>
        <vt:lpwstr>https://www2.education.vic.gov.au/pal/student-resource-package-srp-targeted-initiatives/guidance/casual-relief-teacher-travel-fund</vt:lpwstr>
      </vt:variant>
      <vt:variant>
        <vt:lpwstr/>
      </vt:variant>
      <vt:variant>
        <vt:i4>7340138</vt:i4>
      </vt:variant>
      <vt:variant>
        <vt:i4>1047</vt:i4>
      </vt:variant>
      <vt:variant>
        <vt:i4>0</vt:i4>
      </vt:variant>
      <vt:variant>
        <vt:i4>5</vt:i4>
      </vt:variant>
      <vt:variant>
        <vt:lpwstr>https://www2.education.vic.gov.au/pal/student-resource-package-srp-targeted-initiatives/guidance/school-mental-health-fund</vt:lpwstr>
      </vt:variant>
      <vt:variant>
        <vt:lpwstr/>
      </vt:variant>
      <vt:variant>
        <vt:i4>5570647</vt:i4>
      </vt:variant>
      <vt:variant>
        <vt:i4>1044</vt:i4>
      </vt:variant>
      <vt:variant>
        <vt:i4>0</vt:i4>
      </vt:variant>
      <vt:variant>
        <vt:i4>5</vt:i4>
      </vt:variant>
      <vt:variant>
        <vt:lpwstr>https://www2.education.vic.gov.au/pal/student-resource-package-srp-targeted-initiatives/guidance/inclusion-outreach-coaching-ioc</vt:lpwstr>
      </vt:variant>
      <vt:variant>
        <vt:lpwstr/>
      </vt:variant>
      <vt:variant>
        <vt:i4>8257592</vt:i4>
      </vt:variant>
      <vt:variant>
        <vt:i4>1041</vt:i4>
      </vt:variant>
      <vt:variant>
        <vt:i4>0</vt:i4>
      </vt:variant>
      <vt:variant>
        <vt:i4>5</vt:i4>
      </vt:variant>
      <vt:variant>
        <vt:lpwstr>https://www2.education.vic.gov.au/pal/student-resource-package-srp-targeted-initiatives/guidance/innovative-initial-teacher</vt:lpwstr>
      </vt:variant>
      <vt:variant>
        <vt:lpwstr/>
      </vt:variant>
      <vt:variant>
        <vt:i4>6684731</vt:i4>
      </vt:variant>
      <vt:variant>
        <vt:i4>1038</vt:i4>
      </vt:variant>
      <vt:variant>
        <vt:i4>0</vt:i4>
      </vt:variant>
      <vt:variant>
        <vt:i4>5</vt:i4>
      </vt:variant>
      <vt:variant>
        <vt:lpwstr>https://www2.education.vic.gov.au/pal/student-resource-package-srp-targeted-initiatives/guidance/archived-outside-school-hours-care</vt:lpwstr>
      </vt:variant>
      <vt:variant>
        <vt:lpwstr/>
      </vt:variant>
      <vt:variant>
        <vt:i4>3604516</vt:i4>
      </vt:variant>
      <vt:variant>
        <vt:i4>1035</vt:i4>
      </vt:variant>
      <vt:variant>
        <vt:i4>0</vt:i4>
      </vt:variant>
      <vt:variant>
        <vt:i4>5</vt:i4>
      </vt:variant>
      <vt:variant>
        <vt:lpwstr>https://www2.education.vic.gov.au/pal/student-resource-package-srp-targeted-initiatives/guidance/archived-secondary-mathematics-and</vt:lpwstr>
      </vt:variant>
      <vt:variant>
        <vt:lpwstr/>
      </vt:variant>
      <vt:variant>
        <vt:i4>5439500</vt:i4>
      </vt:variant>
      <vt:variant>
        <vt:i4>1032</vt:i4>
      </vt:variant>
      <vt:variant>
        <vt:i4>0</vt:i4>
      </vt:variant>
      <vt:variant>
        <vt:i4>5</vt:i4>
      </vt:variant>
      <vt:variant>
        <vt:lpwstr>https://www2.education.vic.gov.au/pal/student-resource-package-srp-targeted-initiatives/guidance/mental-health-practitioners</vt:lpwstr>
      </vt:variant>
      <vt:variant>
        <vt:lpwstr/>
      </vt:variant>
      <vt:variant>
        <vt:i4>5570570</vt:i4>
      </vt:variant>
      <vt:variant>
        <vt:i4>1029</vt:i4>
      </vt:variant>
      <vt:variant>
        <vt:i4>0</vt:i4>
      </vt:variant>
      <vt:variant>
        <vt:i4>5</vt:i4>
      </vt:variant>
      <vt:variant>
        <vt:lpwstr>https://www2.education.vic.gov.au/pal/student-resource-package-srp-targeted-initiatives/guidance/mental-health-primary-schools-pilot</vt:lpwstr>
      </vt:variant>
      <vt:variant>
        <vt:lpwstr/>
      </vt:variant>
      <vt:variant>
        <vt:i4>6094914</vt:i4>
      </vt:variant>
      <vt:variant>
        <vt:i4>1026</vt:i4>
      </vt:variant>
      <vt:variant>
        <vt:i4>0</vt:i4>
      </vt:variant>
      <vt:variant>
        <vt:i4>5</vt:i4>
      </vt:variant>
      <vt:variant>
        <vt:lpwstr>https://www2.education.vic.gov.au/pal/student-resource-package-srp-targeted-initiatives/guidance/tutor-learning-initiative-reference</vt:lpwstr>
      </vt:variant>
      <vt:variant>
        <vt:lpwstr/>
      </vt:variant>
      <vt:variant>
        <vt:i4>1376345</vt:i4>
      </vt:variant>
      <vt:variant>
        <vt:i4>1023</vt:i4>
      </vt:variant>
      <vt:variant>
        <vt:i4>0</vt:i4>
      </vt:variant>
      <vt:variant>
        <vt:i4>5</vt:i4>
      </vt:variant>
      <vt:variant>
        <vt:lpwstr>https://www2.education.vic.gov.au/pal/student-resource-package-srp-targeted-initiatives/guidance/jobs-skills-and-pathways-jsp</vt:lpwstr>
      </vt:variant>
      <vt:variant>
        <vt:lpwstr/>
      </vt:variant>
      <vt:variant>
        <vt:i4>2621500</vt:i4>
      </vt:variant>
      <vt:variant>
        <vt:i4>1020</vt:i4>
      </vt:variant>
      <vt:variant>
        <vt:i4>0</vt:i4>
      </vt:variant>
      <vt:variant>
        <vt:i4>5</vt:i4>
      </vt:variant>
      <vt:variant>
        <vt:lpwstr>https://www2.education.vic.gov.au/pal/student-resource-package-srp-targeted-initiatives/guidance/transition-funding-rural-reference</vt:lpwstr>
      </vt:variant>
      <vt:variant>
        <vt:lpwstr/>
      </vt:variant>
      <vt:variant>
        <vt:i4>458772</vt:i4>
      </vt:variant>
      <vt:variant>
        <vt:i4>1017</vt:i4>
      </vt:variant>
      <vt:variant>
        <vt:i4>0</vt:i4>
      </vt:variant>
      <vt:variant>
        <vt:i4>5</vt:i4>
      </vt:variant>
      <vt:variant>
        <vt:lpwstr>https://www2.education.vic.gov.au/pal/student-resource-package-srp-targeted-initiatives/guidance/primary-mathematics-and-science</vt:lpwstr>
      </vt:variant>
      <vt:variant>
        <vt:lpwstr/>
      </vt:variant>
      <vt:variant>
        <vt:i4>5111874</vt:i4>
      </vt:variant>
      <vt:variant>
        <vt:i4>1014</vt:i4>
      </vt:variant>
      <vt:variant>
        <vt:i4>0</vt:i4>
      </vt:variant>
      <vt:variant>
        <vt:i4>5</vt:i4>
      </vt:variant>
      <vt:variant>
        <vt:lpwstr>https://www2.education.vic.gov.au/pal/student-resource-package-srp-targeted-initiatives/guidance/vce-revision-lectures-reference-121</vt:lpwstr>
      </vt:variant>
      <vt:variant>
        <vt:lpwstr/>
      </vt:variant>
      <vt:variant>
        <vt:i4>3604584</vt:i4>
      </vt:variant>
      <vt:variant>
        <vt:i4>1011</vt:i4>
      </vt:variant>
      <vt:variant>
        <vt:i4>0</vt:i4>
      </vt:variant>
      <vt:variant>
        <vt:i4>5</vt:i4>
      </vt:variant>
      <vt:variant>
        <vt:lpwstr>https://www2.education.vic.gov.au/pal/student-resource-package-srp-targeted-initiatives/guidance/student-excellence-program</vt:lpwstr>
      </vt:variant>
      <vt:variant>
        <vt:lpwstr/>
      </vt:variant>
      <vt:variant>
        <vt:i4>6553657</vt:i4>
      </vt:variant>
      <vt:variant>
        <vt:i4>1008</vt:i4>
      </vt:variant>
      <vt:variant>
        <vt:i4>0</vt:i4>
      </vt:variant>
      <vt:variant>
        <vt:i4>5</vt:i4>
      </vt:variant>
      <vt:variant>
        <vt:lpwstr>https://www2.education.vic.gov.au/pal/student-resource-package-srp-targeted-initiatives/guidance/middle-years-literacy-and-numeracy</vt:lpwstr>
      </vt:variant>
      <vt:variant>
        <vt:lpwstr/>
      </vt:variant>
      <vt:variant>
        <vt:i4>4587550</vt:i4>
      </vt:variant>
      <vt:variant>
        <vt:i4>1005</vt:i4>
      </vt:variant>
      <vt:variant>
        <vt:i4>0</vt:i4>
      </vt:variant>
      <vt:variant>
        <vt:i4>5</vt:i4>
      </vt:variant>
      <vt:variant>
        <vt:lpwstr>https://www2.education.vic.gov.au/pal/student-resource-package-srp-targeted-initiatives/guidance/chaplaincy-reference-117</vt:lpwstr>
      </vt:variant>
      <vt:variant>
        <vt:lpwstr/>
      </vt:variant>
      <vt:variant>
        <vt:i4>23</vt:i4>
      </vt:variant>
      <vt:variant>
        <vt:i4>1002</vt:i4>
      </vt:variant>
      <vt:variant>
        <vt:i4>0</vt:i4>
      </vt:variant>
      <vt:variant>
        <vt:i4>5</vt:i4>
      </vt:variant>
      <vt:variant>
        <vt:lpwstr>https://www2.education.vic.gov.au/pal/student-resource-package-srp-targeted-initiatives/guidance/head-start-reference-116</vt:lpwstr>
      </vt:variant>
      <vt:variant>
        <vt:lpwstr/>
      </vt:variant>
      <vt:variant>
        <vt:i4>2621563</vt:i4>
      </vt:variant>
      <vt:variant>
        <vt:i4>999</vt:i4>
      </vt:variant>
      <vt:variant>
        <vt:i4>0</vt:i4>
      </vt:variant>
      <vt:variant>
        <vt:i4>5</vt:i4>
      </vt:variant>
      <vt:variant>
        <vt:lpwstr>https://www2.education.vic.gov.au/pal/student-resource-package-srp-targeted-initiatives/guidance/swimming-school-reference-115</vt:lpwstr>
      </vt:variant>
      <vt:variant>
        <vt:lpwstr/>
      </vt:variant>
      <vt:variant>
        <vt:i4>2687010</vt:i4>
      </vt:variant>
      <vt:variant>
        <vt:i4>996</vt:i4>
      </vt:variant>
      <vt:variant>
        <vt:i4>0</vt:i4>
      </vt:variant>
      <vt:variant>
        <vt:i4>5</vt:i4>
      </vt:variant>
      <vt:variant>
        <vt:lpwstr>https://www2.education.vic.gov.au/pal/student-resource-package-srp-targeted-initiatives/guidance/career-education-funding-reference</vt:lpwstr>
      </vt:variant>
      <vt:variant>
        <vt:lpwstr/>
      </vt:variant>
      <vt:variant>
        <vt:i4>7143476</vt:i4>
      </vt:variant>
      <vt:variant>
        <vt:i4>993</vt:i4>
      </vt:variant>
      <vt:variant>
        <vt:i4>0</vt:i4>
      </vt:variant>
      <vt:variant>
        <vt:i4>5</vt:i4>
      </vt:variant>
      <vt:variant>
        <vt:lpwstr>https://www2.education.vic.gov.au/pal/student-resource-package-srp-targeted-initiatives/guidance/respectful-relationships-reference</vt:lpwstr>
      </vt:variant>
      <vt:variant>
        <vt:lpwstr/>
      </vt:variant>
      <vt:variant>
        <vt:i4>1769496</vt:i4>
      </vt:variant>
      <vt:variant>
        <vt:i4>990</vt:i4>
      </vt:variant>
      <vt:variant>
        <vt:i4>0</vt:i4>
      </vt:variant>
      <vt:variant>
        <vt:i4>5</vt:i4>
      </vt:variant>
      <vt:variant>
        <vt:lpwstr>https://www2.education.vic.gov.au/pal/student-resource-package-srp-targeted-initiatives/guidance/doctors-secondary-schools-school</vt:lpwstr>
      </vt:variant>
      <vt:variant>
        <vt:lpwstr/>
      </vt:variant>
      <vt:variant>
        <vt:i4>7864420</vt:i4>
      </vt:variant>
      <vt:variant>
        <vt:i4>987</vt:i4>
      </vt:variant>
      <vt:variant>
        <vt:i4>0</vt:i4>
      </vt:variant>
      <vt:variant>
        <vt:i4>5</vt:i4>
      </vt:variant>
      <vt:variant>
        <vt:lpwstr>https://www2.education.vic.gov.au/pal/student-resource-package-srp-targeted-initiatives/guidance/senior-secondary-re-engagement</vt:lpwstr>
      </vt:variant>
      <vt:variant>
        <vt:lpwstr/>
      </vt:variant>
      <vt:variant>
        <vt:i4>5439515</vt:i4>
      </vt:variant>
      <vt:variant>
        <vt:i4>984</vt:i4>
      </vt:variant>
      <vt:variant>
        <vt:i4>0</vt:i4>
      </vt:variant>
      <vt:variant>
        <vt:i4>5</vt:i4>
      </vt:variant>
      <vt:variant>
        <vt:lpwstr>https://www2.education.vic.gov.au/pal/student-resource-package-srp-targeted-initiatives/guidance/primary-welfare-reference-50</vt:lpwstr>
      </vt:variant>
      <vt:variant>
        <vt:lpwstr/>
      </vt:variant>
      <vt:variant>
        <vt:i4>1376259</vt:i4>
      </vt:variant>
      <vt:variant>
        <vt:i4>981</vt:i4>
      </vt:variant>
      <vt:variant>
        <vt:i4>0</vt:i4>
      </vt:variant>
      <vt:variant>
        <vt:i4>5</vt:i4>
      </vt:variant>
      <vt:variant>
        <vt:lpwstr>https://www2.education.vic.gov.au/pal/student-resource-package-srp-targeted-initiatives/guidance</vt:lpwstr>
      </vt:variant>
      <vt:variant>
        <vt:lpwstr/>
      </vt:variant>
      <vt:variant>
        <vt:i4>7340094</vt:i4>
      </vt:variant>
      <vt:variant>
        <vt:i4>978</vt:i4>
      </vt:variant>
      <vt:variant>
        <vt:i4>0</vt:i4>
      </vt:variant>
      <vt:variant>
        <vt:i4>5</vt:i4>
      </vt:variant>
      <vt:variant>
        <vt:lpwstr>https://www2.education.vic.gov.au/pal/re-engagement-programs/policy</vt:lpwstr>
      </vt:variant>
      <vt:variant>
        <vt:lpwstr/>
      </vt:variant>
      <vt:variant>
        <vt:i4>3080230</vt:i4>
      </vt:variant>
      <vt:variant>
        <vt:i4>975</vt:i4>
      </vt:variant>
      <vt:variant>
        <vt:i4>0</vt:i4>
      </vt:variant>
      <vt:variant>
        <vt:i4>5</vt:i4>
      </vt:variant>
      <vt:variant>
        <vt:lpwstr>https://www2.education.vic.gov.au/pal/flexible-learning-options-flos/policy</vt:lpwstr>
      </vt:variant>
      <vt:variant>
        <vt:lpwstr/>
      </vt:variant>
      <vt:variant>
        <vt:i4>3145791</vt:i4>
      </vt:variant>
      <vt:variant>
        <vt:i4>972</vt:i4>
      </vt:variant>
      <vt:variant>
        <vt:i4>0</vt:i4>
      </vt:variant>
      <vt:variant>
        <vt:i4>5</vt:i4>
      </vt:variant>
      <vt:variant>
        <vt:lpwstr>https://www2.education.vic.gov.au/pal/student-resource-package-srp-school-specific-programs/guidance/marc/macc-teachers-science-and</vt:lpwstr>
      </vt:variant>
      <vt:variant>
        <vt:lpwstr/>
      </vt:variant>
      <vt:variant>
        <vt:i4>2621500</vt:i4>
      </vt:variant>
      <vt:variant>
        <vt:i4>969</vt:i4>
      </vt:variant>
      <vt:variant>
        <vt:i4>0</vt:i4>
      </vt:variant>
      <vt:variant>
        <vt:i4>5</vt:i4>
      </vt:variant>
      <vt:variant>
        <vt:lpwstr>https://www2.education.vic.gov.au/pal/student-resource-package-srp-targeted-initiatives/guidance/transition-funding-rural-reference</vt:lpwstr>
      </vt:variant>
      <vt:variant>
        <vt:lpwstr/>
      </vt:variant>
      <vt:variant>
        <vt:i4>7077935</vt:i4>
      </vt:variant>
      <vt:variant>
        <vt:i4>966</vt:i4>
      </vt:variant>
      <vt:variant>
        <vt:i4>0</vt:i4>
      </vt:variant>
      <vt:variant>
        <vt:i4>5</vt:i4>
      </vt:variant>
      <vt:variant>
        <vt:lpwstr>https://www.education.vic.gov.au/PAL/student-resource-package-determining-rurality-parameters.docx</vt:lpwstr>
      </vt:variant>
      <vt:variant>
        <vt:lpwstr/>
      </vt:variant>
      <vt:variant>
        <vt:i4>5111819</vt:i4>
      </vt:variant>
      <vt:variant>
        <vt:i4>963</vt:i4>
      </vt:variant>
      <vt:variant>
        <vt:i4>0</vt:i4>
      </vt:variant>
      <vt:variant>
        <vt:i4>5</vt:i4>
      </vt:variant>
      <vt:variant>
        <vt:lpwstr>https://maps.abs.gov.au/</vt:lpwstr>
      </vt:variant>
      <vt:variant>
        <vt:lpwstr/>
      </vt:variant>
      <vt:variant>
        <vt:i4>4587606</vt:i4>
      </vt:variant>
      <vt:variant>
        <vt:i4>960</vt:i4>
      </vt:variant>
      <vt:variant>
        <vt:i4>0</vt:i4>
      </vt:variant>
      <vt:variant>
        <vt:i4>5</vt:i4>
      </vt:variant>
      <vt:variant>
        <vt:lpwstr>https://itt.abs.gov.au/itt/r.jsp?ABSMaps</vt:lpwstr>
      </vt:variant>
      <vt:variant>
        <vt:lpwstr/>
      </vt:variant>
      <vt:variant>
        <vt:i4>4587538</vt:i4>
      </vt:variant>
      <vt:variant>
        <vt:i4>957</vt:i4>
      </vt:variant>
      <vt:variant>
        <vt:i4>0</vt:i4>
      </vt:variant>
      <vt:variant>
        <vt:i4>5</vt:i4>
      </vt:variant>
      <vt:variant>
        <vt:lpwstr>https://www.abs.gov.au/statistics/standards/australian-statistical-geography-standard-asgs-edition-3/jul2021-jun2026/significant-urban-areas-urban-centres-and-localities-section-state/urban-centres-and-localities</vt:lpwstr>
      </vt:variant>
      <vt:variant>
        <vt:lpwstr/>
      </vt:variant>
      <vt:variant>
        <vt:i4>2621500</vt:i4>
      </vt:variant>
      <vt:variant>
        <vt:i4>954</vt:i4>
      </vt:variant>
      <vt:variant>
        <vt:i4>0</vt:i4>
      </vt:variant>
      <vt:variant>
        <vt:i4>5</vt:i4>
      </vt:variant>
      <vt:variant>
        <vt:lpwstr>https://www2.education.vic.gov.au/pal/student-resource-package-srp-targeted-initiatives/guidance/transition-funding-rural-reference</vt:lpwstr>
      </vt:variant>
      <vt:variant>
        <vt:lpwstr/>
      </vt:variant>
      <vt:variant>
        <vt:i4>7077935</vt:i4>
      </vt:variant>
      <vt:variant>
        <vt:i4>951</vt:i4>
      </vt:variant>
      <vt:variant>
        <vt:i4>0</vt:i4>
      </vt:variant>
      <vt:variant>
        <vt:i4>5</vt:i4>
      </vt:variant>
      <vt:variant>
        <vt:lpwstr>https://www.education.vic.gov.au/PAL/student-resource-package-determining-rurality-parameters.docx</vt:lpwstr>
      </vt:variant>
      <vt:variant>
        <vt:lpwstr/>
      </vt:variant>
      <vt:variant>
        <vt:i4>5111819</vt:i4>
      </vt:variant>
      <vt:variant>
        <vt:i4>948</vt:i4>
      </vt:variant>
      <vt:variant>
        <vt:i4>0</vt:i4>
      </vt:variant>
      <vt:variant>
        <vt:i4>5</vt:i4>
      </vt:variant>
      <vt:variant>
        <vt:lpwstr>https://maps.abs.gov.au/</vt:lpwstr>
      </vt:variant>
      <vt:variant>
        <vt:lpwstr/>
      </vt:variant>
      <vt:variant>
        <vt:i4>6946822</vt:i4>
      </vt:variant>
      <vt:variant>
        <vt:i4>945</vt:i4>
      </vt:variant>
      <vt:variant>
        <vt:i4>0</vt:i4>
      </vt:variant>
      <vt:variant>
        <vt:i4>5</vt:i4>
      </vt:variant>
      <vt:variant>
        <vt:lpwstr>https://www.abs.gov.au/AUSSTATS/abs@.nsf/Latestproducts/1270.0.55.005Main Features15July 2016</vt:lpwstr>
      </vt:variant>
      <vt:variant>
        <vt:lpwstr/>
      </vt:variant>
      <vt:variant>
        <vt:i4>7077920</vt:i4>
      </vt:variant>
      <vt:variant>
        <vt:i4>942</vt:i4>
      </vt:variant>
      <vt:variant>
        <vt:i4>0</vt:i4>
      </vt:variant>
      <vt:variant>
        <vt:i4>5</vt:i4>
      </vt:variant>
      <vt:variant>
        <vt:lpwstr>https://www2.education.vic.gov.au/pal/career-structure-teaching-service</vt:lpwstr>
      </vt:variant>
      <vt:variant>
        <vt:lpwstr/>
      </vt:variant>
      <vt:variant>
        <vt:i4>24</vt:i4>
      </vt:variant>
      <vt:variant>
        <vt:i4>939</vt:i4>
      </vt:variant>
      <vt:variant>
        <vt:i4>0</vt:i4>
      </vt:variant>
      <vt:variant>
        <vt:i4>5</vt:i4>
      </vt:variant>
      <vt:variant>
        <vt:lpwstr>https://www2.education.vic.gov.au/pal/student-resource-package-srp-school-specific-programs/guidance/designated-bilingual-program</vt:lpwstr>
      </vt:variant>
      <vt:variant>
        <vt:lpwstr/>
      </vt:variant>
      <vt:variant>
        <vt:i4>1703955</vt:i4>
      </vt:variant>
      <vt:variant>
        <vt:i4>936</vt:i4>
      </vt:variant>
      <vt:variant>
        <vt:i4>0</vt:i4>
      </vt:variant>
      <vt:variant>
        <vt:i4>5</vt:i4>
      </vt:variant>
      <vt:variant>
        <vt:lpwstr>https://www2.education.vic.gov.au/pal/student-resource-package-srp-school-specific-programs/guidance/joint-community-program</vt:lpwstr>
      </vt:variant>
      <vt:variant>
        <vt:lpwstr/>
      </vt:variant>
      <vt:variant>
        <vt:i4>3080234</vt:i4>
      </vt:variant>
      <vt:variant>
        <vt:i4>933</vt:i4>
      </vt:variant>
      <vt:variant>
        <vt:i4>0</vt:i4>
      </vt:variant>
      <vt:variant>
        <vt:i4>5</vt:i4>
      </vt:variant>
      <vt:variant>
        <vt:lpwstr>https://www2.education.vic.gov.au/pal/student-resource-package-srp-school-specific-programs/guidance/alternative-programs-regional</vt:lpwstr>
      </vt:variant>
      <vt:variant>
        <vt:lpwstr/>
      </vt:variant>
      <vt:variant>
        <vt:i4>4456521</vt:i4>
      </vt:variant>
      <vt:variant>
        <vt:i4>930</vt:i4>
      </vt:variant>
      <vt:variant>
        <vt:i4>0</vt:i4>
      </vt:variant>
      <vt:variant>
        <vt:i4>5</vt:i4>
      </vt:variant>
      <vt:variant>
        <vt:lpwstr>https://www2.education.vic.gov.au/pal/student-resource-package-srp-school-specific-programs/guidance/ancillary-settings-teachers</vt:lpwstr>
      </vt:variant>
      <vt:variant>
        <vt:lpwstr/>
      </vt:variant>
      <vt:variant>
        <vt:i4>3670069</vt:i4>
      </vt:variant>
      <vt:variant>
        <vt:i4>927</vt:i4>
      </vt:variant>
      <vt:variant>
        <vt:i4>0</vt:i4>
      </vt:variant>
      <vt:variant>
        <vt:i4>5</vt:i4>
      </vt:variant>
      <vt:variant>
        <vt:lpwstr>https://www2.education.vic.gov.au/pal/student-resource-package-srp-school-specific-programs/guidance/alternative-settings-teachers</vt:lpwstr>
      </vt:variant>
      <vt:variant>
        <vt:lpwstr/>
      </vt:variant>
      <vt:variant>
        <vt:i4>2031685</vt:i4>
      </vt:variant>
      <vt:variant>
        <vt:i4>924</vt:i4>
      </vt:variant>
      <vt:variant>
        <vt:i4>0</vt:i4>
      </vt:variant>
      <vt:variant>
        <vt:i4>5</vt:i4>
      </vt:variant>
      <vt:variant>
        <vt:lpwstr>https://www2.education.vic.gov.au/pal/student-resource-package-srp-school-specific-programs/guidance/marc/macc-grant-reference-46</vt:lpwstr>
      </vt:variant>
      <vt:variant>
        <vt:lpwstr/>
      </vt:variant>
      <vt:variant>
        <vt:i4>7405621</vt:i4>
      </vt:variant>
      <vt:variant>
        <vt:i4>921</vt:i4>
      </vt:variant>
      <vt:variant>
        <vt:i4>0</vt:i4>
      </vt:variant>
      <vt:variant>
        <vt:i4>5</vt:i4>
      </vt:variant>
      <vt:variant>
        <vt:lpwstr>https://www2.education.vic.gov.au/pal/student-resource-package-srp-school-specific-programs/guidance/country-area-program-grant</vt:lpwstr>
      </vt:variant>
      <vt:variant>
        <vt:lpwstr/>
      </vt:variant>
      <vt:variant>
        <vt:i4>4128877</vt:i4>
      </vt:variant>
      <vt:variant>
        <vt:i4>918</vt:i4>
      </vt:variant>
      <vt:variant>
        <vt:i4>0</vt:i4>
      </vt:variant>
      <vt:variant>
        <vt:i4>5</vt:i4>
      </vt:variant>
      <vt:variant>
        <vt:lpwstr>https://www2.education.vic.gov.au/pal/student-resource-package-srp-school-specific-programs/guidance/bus-coordination-reference-43</vt:lpwstr>
      </vt:variant>
      <vt:variant>
        <vt:lpwstr/>
      </vt:variant>
      <vt:variant>
        <vt:i4>1507345</vt:i4>
      </vt:variant>
      <vt:variant>
        <vt:i4>915</vt:i4>
      </vt:variant>
      <vt:variant>
        <vt:i4>0</vt:i4>
      </vt:variant>
      <vt:variant>
        <vt:i4>5</vt:i4>
      </vt:variant>
      <vt:variant>
        <vt:lpwstr>https://www2.education.vic.gov.au/pal/student-resource-package-srp-school-specific-programs/guidance/instrumental-music-programs</vt:lpwstr>
      </vt:variant>
      <vt:variant>
        <vt:lpwstr/>
      </vt:variant>
      <vt:variant>
        <vt:i4>3145791</vt:i4>
      </vt:variant>
      <vt:variant>
        <vt:i4>912</vt:i4>
      </vt:variant>
      <vt:variant>
        <vt:i4>0</vt:i4>
      </vt:variant>
      <vt:variant>
        <vt:i4>5</vt:i4>
      </vt:variant>
      <vt:variant>
        <vt:lpwstr>https://www2.education.vic.gov.au/pal/student-resource-package-srp-school-specific-programs/guidance/marc/macc-teachers-science-and</vt:lpwstr>
      </vt:variant>
      <vt:variant>
        <vt:lpwstr/>
      </vt:variant>
      <vt:variant>
        <vt:i4>5046284</vt:i4>
      </vt:variant>
      <vt:variant>
        <vt:i4>909</vt:i4>
      </vt:variant>
      <vt:variant>
        <vt:i4>0</vt:i4>
      </vt:variant>
      <vt:variant>
        <vt:i4>5</vt:i4>
      </vt:variant>
      <vt:variant>
        <vt:lpwstr>https://www2.education.vic.gov.au/pal/student-resource-package-srp-school-specific-programs/guidance/location-index-funding-reference</vt:lpwstr>
      </vt:variant>
      <vt:variant>
        <vt:lpwstr/>
      </vt:variant>
      <vt:variant>
        <vt:i4>7405603</vt:i4>
      </vt:variant>
      <vt:variant>
        <vt:i4>906</vt:i4>
      </vt:variant>
      <vt:variant>
        <vt:i4>0</vt:i4>
      </vt:variant>
      <vt:variant>
        <vt:i4>5</vt:i4>
      </vt:variant>
      <vt:variant>
        <vt:lpwstr>https://www2.education.vic.gov.au/pal/student-resource-package-srp-school-specific-programs/guidance/p-12-complexity-allowance</vt:lpwstr>
      </vt:variant>
      <vt:variant>
        <vt:lpwstr/>
      </vt:variant>
      <vt:variant>
        <vt:i4>3407905</vt:i4>
      </vt:variant>
      <vt:variant>
        <vt:i4>903</vt:i4>
      </vt:variant>
      <vt:variant>
        <vt:i4>0</vt:i4>
      </vt:variant>
      <vt:variant>
        <vt:i4>5</vt:i4>
      </vt:variant>
      <vt:variant>
        <vt:lpwstr>https://www2.education.vic.gov.au/pal/student-resource-package-srp-school-infrastructure/policy</vt:lpwstr>
      </vt:variant>
      <vt:variant>
        <vt:lpwstr/>
      </vt:variant>
      <vt:variant>
        <vt:i4>4128795</vt:i4>
      </vt:variant>
      <vt:variant>
        <vt:i4>900</vt:i4>
      </vt:variant>
      <vt:variant>
        <vt:i4>0</vt:i4>
      </vt:variant>
      <vt:variant>
        <vt:i4>5</vt:i4>
      </vt:variant>
      <vt:variant>
        <vt:lpwstr>mailto:workers.compensation.advisory@edumail.vic.gov.au</vt:lpwstr>
      </vt:variant>
      <vt:variant>
        <vt:lpwstr/>
      </vt:variant>
      <vt:variant>
        <vt:i4>4456556</vt:i4>
      </vt:variant>
      <vt:variant>
        <vt:i4>897</vt:i4>
      </vt:variant>
      <vt:variant>
        <vt:i4>0</vt:i4>
      </vt:variant>
      <vt:variant>
        <vt:i4>5</vt:i4>
      </vt:variant>
      <vt:variant>
        <vt:lpwstr>mailto:workers.compensation.corporate@education.vic.gov.au</vt:lpwstr>
      </vt:variant>
      <vt:variant>
        <vt:lpwstr/>
      </vt:variant>
      <vt:variant>
        <vt:i4>8323176</vt:i4>
      </vt:variant>
      <vt:variant>
        <vt:i4>894</vt:i4>
      </vt:variant>
      <vt:variant>
        <vt:i4>0</vt:i4>
      </vt:variant>
      <vt:variant>
        <vt:i4>5</vt:i4>
      </vt:variant>
      <vt:variant>
        <vt:lpwstr>https://www.eduweb.vic.gov.au/SRP/reports/</vt:lpwstr>
      </vt:variant>
      <vt:variant>
        <vt:lpwstr/>
      </vt:variant>
      <vt:variant>
        <vt:i4>2687036</vt:i4>
      </vt:variant>
      <vt:variant>
        <vt:i4>891</vt:i4>
      </vt:variant>
      <vt:variant>
        <vt:i4>0</vt:i4>
      </vt:variant>
      <vt:variant>
        <vt:i4>5</vt:i4>
      </vt:variant>
      <vt:variant>
        <vt:lpwstr>https://www.nathers.gov.au/</vt:lpwstr>
      </vt:variant>
      <vt:variant>
        <vt:lpwstr/>
      </vt:variant>
      <vt:variant>
        <vt:i4>5439586</vt:i4>
      </vt:variant>
      <vt:variant>
        <vt:i4>888</vt:i4>
      </vt:variant>
      <vt:variant>
        <vt:i4>0</vt:i4>
      </vt:variant>
      <vt:variant>
        <vt:i4>5</vt:i4>
      </vt:variant>
      <vt:variant>
        <vt:lpwstr>mailto:vsba.annual.contracts@education.vic.gov.au</vt:lpwstr>
      </vt:variant>
      <vt:variant>
        <vt:lpwstr/>
      </vt:variant>
      <vt:variant>
        <vt:i4>5177408</vt:i4>
      </vt:variant>
      <vt:variant>
        <vt:i4>885</vt:i4>
      </vt:variant>
      <vt:variant>
        <vt:i4>0</vt:i4>
      </vt:variant>
      <vt:variant>
        <vt:i4>5</vt:i4>
      </vt:variant>
      <vt:variant>
        <vt:lpwstr>https://vsba-aims.maxicloud.co/maximo/ui</vt:lpwstr>
      </vt:variant>
      <vt:variant>
        <vt:lpwstr/>
      </vt:variant>
      <vt:variant>
        <vt:i4>8126560</vt:i4>
      </vt:variant>
      <vt:variant>
        <vt:i4>882</vt:i4>
      </vt:variant>
      <vt:variant>
        <vt:i4>0</vt:i4>
      </vt:variant>
      <vt:variant>
        <vt:i4>5</vt:i4>
      </vt:variant>
      <vt:variant>
        <vt:lpwstr>https://www2.education.vic.gov.au/pal/finance-manual/resources</vt:lpwstr>
      </vt:variant>
      <vt:variant>
        <vt:lpwstr/>
      </vt:variant>
      <vt:variant>
        <vt:i4>8126560</vt:i4>
      </vt:variant>
      <vt:variant>
        <vt:i4>879</vt:i4>
      </vt:variant>
      <vt:variant>
        <vt:i4>0</vt:i4>
      </vt:variant>
      <vt:variant>
        <vt:i4>5</vt:i4>
      </vt:variant>
      <vt:variant>
        <vt:lpwstr>https://www2.education.vic.gov.au/pal/finance-manual/resources</vt:lpwstr>
      </vt:variant>
      <vt:variant>
        <vt:lpwstr/>
      </vt:variant>
      <vt:variant>
        <vt:i4>720925</vt:i4>
      </vt:variant>
      <vt:variant>
        <vt:i4>876</vt:i4>
      </vt:variant>
      <vt:variant>
        <vt:i4>0</vt:i4>
      </vt:variant>
      <vt:variant>
        <vt:i4>5</vt:i4>
      </vt:variant>
      <vt:variant>
        <vt:lpwstr>https://www2.education.vic.gov.au/pal/capacity-and-area-allocation/advice</vt:lpwstr>
      </vt:variant>
      <vt:variant>
        <vt:lpwstr/>
      </vt:variant>
      <vt:variant>
        <vt:i4>720925</vt:i4>
      </vt:variant>
      <vt:variant>
        <vt:i4>873</vt:i4>
      </vt:variant>
      <vt:variant>
        <vt:i4>0</vt:i4>
      </vt:variant>
      <vt:variant>
        <vt:i4>5</vt:i4>
      </vt:variant>
      <vt:variant>
        <vt:lpwstr>https://www2.education.vic.gov.au/pal/capacity-and-area-allocation/advice</vt:lpwstr>
      </vt:variant>
      <vt:variant>
        <vt:lpwstr/>
      </vt:variant>
      <vt:variant>
        <vt:i4>5505138</vt:i4>
      </vt:variant>
      <vt:variant>
        <vt:i4>870</vt:i4>
      </vt:variant>
      <vt:variant>
        <vt:i4>0</vt:i4>
      </vt:variant>
      <vt:variant>
        <vt:i4>5</vt:i4>
      </vt:variant>
      <vt:variant>
        <vt:lpwstr>mailto:essential.safety.measures@education.vic.gov.au</vt:lpwstr>
      </vt:variant>
      <vt:variant>
        <vt:lpwstr/>
      </vt:variant>
      <vt:variant>
        <vt:i4>3735658</vt:i4>
      </vt:variant>
      <vt:variant>
        <vt:i4>867</vt:i4>
      </vt:variant>
      <vt:variant>
        <vt:i4>0</vt:i4>
      </vt:variant>
      <vt:variant>
        <vt:i4>5</vt:i4>
      </vt:variant>
      <vt:variant>
        <vt:lpwstr>https://www2.education.vic.gov.au/pal/essential-safety-measures/policy</vt:lpwstr>
      </vt:variant>
      <vt:variant>
        <vt:lpwstr/>
      </vt:variant>
      <vt:variant>
        <vt:i4>6750237</vt:i4>
      </vt:variant>
      <vt:variant>
        <vt:i4>864</vt:i4>
      </vt:variant>
      <vt:variant>
        <vt:i4>0</vt:i4>
      </vt:variant>
      <vt:variant>
        <vt:i4>5</vt:i4>
      </vt:variant>
      <vt:variant>
        <vt:lpwstr>mailto:maintenance.plan@education.vic.gov.au</vt:lpwstr>
      </vt:variant>
      <vt:variant>
        <vt:lpwstr/>
      </vt:variant>
      <vt:variant>
        <vt:i4>5832783</vt:i4>
      </vt:variant>
      <vt:variant>
        <vt:i4>861</vt:i4>
      </vt:variant>
      <vt:variant>
        <vt:i4>0</vt:i4>
      </vt:variant>
      <vt:variant>
        <vt:i4>5</vt:i4>
      </vt:variant>
      <vt:variant>
        <vt:lpwstr>https://www2.education.vic.gov.au/pal/school-maintenance-plans-rfe/policy</vt:lpwstr>
      </vt:variant>
      <vt:variant>
        <vt:lpwstr/>
      </vt:variant>
      <vt:variant>
        <vt:i4>5177408</vt:i4>
      </vt:variant>
      <vt:variant>
        <vt:i4>858</vt:i4>
      </vt:variant>
      <vt:variant>
        <vt:i4>0</vt:i4>
      </vt:variant>
      <vt:variant>
        <vt:i4>5</vt:i4>
      </vt:variant>
      <vt:variant>
        <vt:lpwstr>https://vsba-aims.maxicloud.co/maximo/ui</vt:lpwstr>
      </vt:variant>
      <vt:variant>
        <vt:lpwstr/>
      </vt:variant>
      <vt:variant>
        <vt:i4>5439507</vt:i4>
      </vt:variant>
      <vt:variant>
        <vt:i4>855</vt:i4>
      </vt:variant>
      <vt:variant>
        <vt:i4>0</vt:i4>
      </vt:variant>
      <vt:variant>
        <vt:i4>5</vt:i4>
      </vt:variant>
      <vt:variant>
        <vt:lpwstr>tel:96280301</vt:lpwstr>
      </vt:variant>
      <vt:variant>
        <vt:lpwstr/>
      </vt:variant>
      <vt:variant>
        <vt:i4>4259840</vt:i4>
      </vt:variant>
      <vt:variant>
        <vt:i4>852</vt:i4>
      </vt:variant>
      <vt:variant>
        <vt:i4>0</vt:i4>
      </vt:variant>
      <vt:variant>
        <vt:i4>5</vt:i4>
      </vt:variant>
      <vt:variant>
        <vt:lpwstr>https://www.sro.vic.gov.au/forms/apply-water-and-sewerage-rebate</vt:lpwstr>
      </vt:variant>
      <vt:variant>
        <vt:lpwstr/>
      </vt:variant>
      <vt:variant>
        <vt:i4>7733281</vt:i4>
      </vt:variant>
      <vt:variant>
        <vt:i4>849</vt:i4>
      </vt:variant>
      <vt:variant>
        <vt:i4>0</vt:i4>
      </vt:variant>
      <vt:variant>
        <vt:i4>5</vt:i4>
      </vt:variant>
      <vt:variant>
        <vt:lpwstr>https://www.myswep.com.au/</vt:lpwstr>
      </vt:variant>
      <vt:variant>
        <vt:lpwstr/>
      </vt:variant>
      <vt:variant>
        <vt:i4>1179746</vt:i4>
      </vt:variant>
      <vt:variant>
        <vt:i4>846</vt:i4>
      </vt:variant>
      <vt:variant>
        <vt:i4>0</vt:i4>
      </vt:variant>
      <vt:variant>
        <vt:i4>5</vt:i4>
      </vt:variant>
      <vt:variant>
        <vt:lpwstr>mailto:brett.duff@education.vic.gov.au</vt:lpwstr>
      </vt:variant>
      <vt:variant>
        <vt:lpwstr/>
      </vt:variant>
      <vt:variant>
        <vt:i4>7208993</vt:i4>
      </vt:variant>
      <vt:variant>
        <vt:i4>843</vt:i4>
      </vt:variant>
      <vt:variant>
        <vt:i4>0</vt:i4>
      </vt:variant>
      <vt:variant>
        <vt:i4>5</vt:i4>
      </vt:variant>
      <vt:variant>
        <vt:lpwstr>https://www.eduweb.vic.gov.au/SRP/reports/default.aspx?DisplayContext=1</vt:lpwstr>
      </vt:variant>
      <vt:variant>
        <vt:lpwstr/>
      </vt:variant>
      <vt:variant>
        <vt:i4>7143466</vt:i4>
      </vt:variant>
      <vt:variant>
        <vt:i4>840</vt:i4>
      </vt:variant>
      <vt:variant>
        <vt:i4>0</vt:i4>
      </vt:variant>
      <vt:variant>
        <vt:i4>5</vt:i4>
      </vt:variant>
      <vt:variant>
        <vt:lpwstr>tel:1800319299</vt:lpwstr>
      </vt:variant>
      <vt:variant>
        <vt:lpwstr/>
      </vt:variant>
      <vt:variant>
        <vt:i4>1048690</vt:i4>
      </vt:variant>
      <vt:variant>
        <vt:i4>837</vt:i4>
      </vt:variant>
      <vt:variant>
        <vt:i4>0</vt:i4>
      </vt:variant>
      <vt:variant>
        <vt:i4>5</vt:i4>
      </vt:variant>
      <vt:variant>
        <vt:lpwstr>mailto:vicgovernment@originenergy.com.au</vt:lpwstr>
      </vt:variant>
      <vt:variant>
        <vt:lpwstr/>
      </vt:variant>
      <vt:variant>
        <vt:i4>6684714</vt:i4>
      </vt:variant>
      <vt:variant>
        <vt:i4>834</vt:i4>
      </vt:variant>
      <vt:variant>
        <vt:i4>0</vt:i4>
      </vt:variant>
      <vt:variant>
        <vt:i4>5</vt:i4>
      </vt:variant>
      <vt:variant>
        <vt:lpwstr>tel:1300793477</vt:lpwstr>
      </vt:variant>
      <vt:variant>
        <vt:lpwstr/>
      </vt:variant>
      <vt:variant>
        <vt:i4>2424912</vt:i4>
      </vt:variant>
      <vt:variant>
        <vt:i4>831</vt:i4>
      </vt:variant>
      <vt:variant>
        <vt:i4>0</vt:i4>
      </vt:variant>
      <vt:variant>
        <vt:i4>5</vt:i4>
      </vt:variant>
      <vt:variant>
        <vt:lpwstr>mailto:vicgov@agl.com.au</vt:lpwstr>
      </vt:variant>
      <vt:variant>
        <vt:lpwstr/>
      </vt:variant>
      <vt:variant>
        <vt:i4>6881326</vt:i4>
      </vt:variant>
      <vt:variant>
        <vt:i4>828</vt:i4>
      </vt:variant>
      <vt:variant>
        <vt:i4>0</vt:i4>
      </vt:variant>
      <vt:variant>
        <vt:i4>5</vt:i4>
      </vt:variant>
      <vt:variant>
        <vt:lpwstr>tel:1300322067</vt:lpwstr>
      </vt:variant>
      <vt:variant>
        <vt:lpwstr/>
      </vt:variant>
      <vt:variant>
        <vt:i4>3539036</vt:i4>
      </vt:variant>
      <vt:variant>
        <vt:i4>825</vt:i4>
      </vt:variant>
      <vt:variant>
        <vt:i4>0</vt:i4>
      </vt:variant>
      <vt:variant>
        <vt:i4>5</vt:i4>
      </vt:variant>
      <vt:variant>
        <vt:lpwstr>mailto:business@redenergy.com.au</vt:lpwstr>
      </vt:variant>
      <vt:variant>
        <vt:lpwstr/>
      </vt:variant>
      <vt:variant>
        <vt:i4>327688</vt:i4>
      </vt:variant>
      <vt:variant>
        <vt:i4>822</vt:i4>
      </vt:variant>
      <vt:variant>
        <vt:i4>0</vt:i4>
      </vt:variant>
      <vt:variant>
        <vt:i4>5</vt:i4>
      </vt:variant>
      <vt:variant>
        <vt:lpwstr>https://www2.education.vic.gov.au/pal/student-resource-package-srp-core-student-learning-allocation-funding-student-based-funding-3-3</vt:lpwstr>
      </vt:variant>
      <vt:variant>
        <vt:lpwstr/>
      </vt:variant>
      <vt:variant>
        <vt:i4>8126560</vt:i4>
      </vt:variant>
      <vt:variant>
        <vt:i4>819</vt:i4>
      </vt:variant>
      <vt:variant>
        <vt:i4>0</vt:i4>
      </vt:variant>
      <vt:variant>
        <vt:i4>5</vt:i4>
      </vt:variant>
      <vt:variant>
        <vt:lpwstr>https://www2.education.vic.gov.au/pal/finance-manual/resources</vt:lpwstr>
      </vt:variant>
      <vt:variant>
        <vt:lpwstr/>
      </vt:variant>
      <vt:variant>
        <vt:i4>5832783</vt:i4>
      </vt:variant>
      <vt:variant>
        <vt:i4>816</vt:i4>
      </vt:variant>
      <vt:variant>
        <vt:i4>0</vt:i4>
      </vt:variant>
      <vt:variant>
        <vt:i4>5</vt:i4>
      </vt:variant>
      <vt:variant>
        <vt:lpwstr>https://www2.education.vic.gov.au/pal/school-maintenance-plans-rfe/policy</vt:lpwstr>
      </vt:variant>
      <vt:variant>
        <vt:lpwstr/>
      </vt:variant>
      <vt:variant>
        <vt:i4>6619226</vt:i4>
      </vt:variant>
      <vt:variant>
        <vt:i4>813</vt:i4>
      </vt:variant>
      <vt:variant>
        <vt:i4>0</vt:i4>
      </vt:variant>
      <vt:variant>
        <vt:i4>5</vt:i4>
      </vt:variant>
      <vt:variant>
        <vt:lpwstr>mailto:cleaning@education.vic.gov.au</vt:lpwstr>
      </vt:variant>
      <vt:variant>
        <vt:lpwstr/>
      </vt:variant>
      <vt:variant>
        <vt:i4>8192075</vt:i4>
      </vt:variant>
      <vt:variant>
        <vt:i4>810</vt:i4>
      </vt:variant>
      <vt:variant>
        <vt:i4>0</vt:i4>
      </vt:variant>
      <vt:variant>
        <vt:i4>5</vt:i4>
      </vt:variant>
      <vt:variant>
        <vt:lpwstr>mailto:sams@education.vic.gov.au</vt:lpwstr>
      </vt:variant>
      <vt:variant>
        <vt:lpwstr/>
      </vt:variant>
      <vt:variant>
        <vt:i4>3735679</vt:i4>
      </vt:variant>
      <vt:variant>
        <vt:i4>807</vt:i4>
      </vt:variant>
      <vt:variant>
        <vt:i4>0</vt:i4>
      </vt:variant>
      <vt:variant>
        <vt:i4>5</vt:i4>
      </vt:variant>
      <vt:variant>
        <vt:lpwstr>https://www.education.vic.gov.au/Documents/school/principals/finance/ref28contclean.xls</vt:lpwstr>
      </vt:variant>
      <vt:variant>
        <vt:lpwstr/>
      </vt:variant>
      <vt:variant>
        <vt:i4>720982</vt:i4>
      </vt:variant>
      <vt:variant>
        <vt:i4>804</vt:i4>
      </vt:variant>
      <vt:variant>
        <vt:i4>0</vt:i4>
      </vt:variant>
      <vt:variant>
        <vt:i4>5</vt:i4>
      </vt:variant>
      <vt:variant>
        <vt:lpwstr>https://www.eduweb.vic.gov.au/SchoolFacilitiesProfile/SFPW3.aspx</vt:lpwstr>
      </vt:variant>
      <vt:variant>
        <vt:lpwstr/>
      </vt:variant>
      <vt:variant>
        <vt:i4>655398</vt:i4>
      </vt:variant>
      <vt:variant>
        <vt:i4>801</vt:i4>
      </vt:variant>
      <vt:variant>
        <vt:i4>0</vt:i4>
      </vt:variant>
      <vt:variant>
        <vt:i4>5</vt:i4>
      </vt:variant>
      <vt:variant>
        <vt:lpwstr>mailto:disability.inclusion.outcomes@education.vic.gov.au</vt:lpwstr>
      </vt:variant>
      <vt:variant>
        <vt:lpwstr/>
      </vt:variant>
      <vt:variant>
        <vt:i4>2359336</vt:i4>
      </vt:variant>
      <vt:variant>
        <vt:i4>798</vt:i4>
      </vt:variant>
      <vt:variant>
        <vt:i4>0</vt:i4>
      </vt:variant>
      <vt:variant>
        <vt:i4>5</vt:i4>
      </vt:variant>
      <vt:variant>
        <vt:lpwstr>https://www2.education.vic.gov.au/pal/student-resource-package-srp-equity-funding-student-based-funding/guidance/disability-inclusion-0</vt:lpwstr>
      </vt:variant>
      <vt:variant>
        <vt:lpwstr/>
      </vt:variant>
      <vt:variant>
        <vt:i4>5111884</vt:i4>
      </vt:variant>
      <vt:variant>
        <vt:i4>795</vt:i4>
      </vt:variant>
      <vt:variant>
        <vt:i4>0</vt:i4>
      </vt:variant>
      <vt:variant>
        <vt:i4>5</vt:i4>
      </vt:variant>
      <vt:variant>
        <vt:lpwstr>https://www2.education.vic.gov.au/pal/disability-inclusion-funding-support/policy</vt:lpwstr>
      </vt:variant>
      <vt:variant>
        <vt:lpwstr/>
      </vt:variant>
      <vt:variant>
        <vt:i4>655398</vt:i4>
      </vt:variant>
      <vt:variant>
        <vt:i4>792</vt:i4>
      </vt:variant>
      <vt:variant>
        <vt:i4>0</vt:i4>
      </vt:variant>
      <vt:variant>
        <vt:i4>5</vt:i4>
      </vt:variant>
      <vt:variant>
        <vt:lpwstr>mailto:disability.inclusion.outcomes@education.vic.gov.au</vt:lpwstr>
      </vt:variant>
      <vt:variant>
        <vt:lpwstr/>
      </vt:variant>
      <vt:variant>
        <vt:i4>6094912</vt:i4>
      </vt:variant>
      <vt:variant>
        <vt:i4>789</vt:i4>
      </vt:variant>
      <vt:variant>
        <vt:i4>0</vt:i4>
      </vt:variant>
      <vt:variant>
        <vt:i4>5</vt:i4>
      </vt:variant>
      <vt:variant>
        <vt:lpwstr>https://www2.education.vic.gov.au/pal/disability-inclusion-funding-support/guidance/tier-3-student-level-funding</vt:lpwstr>
      </vt:variant>
      <vt:variant>
        <vt:lpwstr/>
      </vt:variant>
      <vt:variant>
        <vt:i4>4390929</vt:i4>
      </vt:variant>
      <vt:variant>
        <vt:i4>786</vt:i4>
      </vt:variant>
      <vt:variant>
        <vt:i4>0</vt:i4>
      </vt:variant>
      <vt:variant>
        <vt:i4>5</vt:i4>
      </vt:variant>
      <vt:variant>
        <vt:lpwstr>https://www2.education.vic.gov.au/pal/disability-inclusion-profile/policy</vt:lpwstr>
      </vt:variant>
      <vt:variant>
        <vt:lpwstr/>
      </vt:variant>
      <vt:variant>
        <vt:i4>5832792</vt:i4>
      </vt:variant>
      <vt:variant>
        <vt:i4>783</vt:i4>
      </vt:variant>
      <vt:variant>
        <vt:i4>0</vt:i4>
      </vt:variant>
      <vt:variant>
        <vt:i4>5</vt:i4>
      </vt:variant>
      <vt:variant>
        <vt:lpwstr>https://www2.education.vic.gov.au/pal/student-resource-package-srp-equity-funding-student-based-funding/guidance/4-program-students-0</vt:lpwstr>
      </vt:variant>
      <vt:variant>
        <vt:lpwstr/>
      </vt:variant>
      <vt:variant>
        <vt:i4>589894</vt:i4>
      </vt:variant>
      <vt:variant>
        <vt:i4>780</vt:i4>
      </vt:variant>
      <vt:variant>
        <vt:i4>0</vt:i4>
      </vt:variant>
      <vt:variant>
        <vt:i4>5</vt:i4>
      </vt:variant>
      <vt:variant>
        <vt:lpwstr>https://www2.education.vic.gov.au/pal/student-resource-package-srp-equity-funding-student-based-funding/guidance/disability-inclusion</vt:lpwstr>
      </vt:variant>
      <vt:variant>
        <vt:lpwstr/>
      </vt:variant>
      <vt:variant>
        <vt:i4>2621499</vt:i4>
      </vt:variant>
      <vt:variant>
        <vt:i4>777</vt:i4>
      </vt:variant>
      <vt:variant>
        <vt:i4>0</vt:i4>
      </vt:variant>
      <vt:variant>
        <vt:i4>5</vt:i4>
      </vt:variant>
      <vt:variant>
        <vt:lpwstr>https://www2.education.vic.gov.au/pal/student-resource-package-srp-core-student-learning-allocation-funding-student-based-funding-0</vt:lpwstr>
      </vt:variant>
      <vt:variant>
        <vt:lpwstr/>
      </vt:variant>
      <vt:variant>
        <vt:i4>5111884</vt:i4>
      </vt:variant>
      <vt:variant>
        <vt:i4>774</vt:i4>
      </vt:variant>
      <vt:variant>
        <vt:i4>0</vt:i4>
      </vt:variant>
      <vt:variant>
        <vt:i4>5</vt:i4>
      </vt:variant>
      <vt:variant>
        <vt:lpwstr>https://www2.education.vic.gov.au/pal/disability-inclusion-funding-support/policy</vt:lpwstr>
      </vt:variant>
      <vt:variant>
        <vt:lpwstr/>
      </vt:variant>
      <vt:variant>
        <vt:i4>458779</vt:i4>
      </vt:variant>
      <vt:variant>
        <vt:i4>771</vt:i4>
      </vt:variant>
      <vt:variant>
        <vt:i4>0</vt:i4>
      </vt:variant>
      <vt:variant>
        <vt:i4>5</vt:i4>
      </vt:variant>
      <vt:variant>
        <vt:lpwstr>https://www.education.vic.gov.au/PAL/disability-inclusion-tier-2-funding-calculator.xlsx</vt:lpwstr>
      </vt:variant>
      <vt:variant>
        <vt:lpwstr/>
      </vt:variant>
      <vt:variant>
        <vt:i4>1441799</vt:i4>
      </vt:variant>
      <vt:variant>
        <vt:i4>765</vt:i4>
      </vt:variant>
      <vt:variant>
        <vt:i4>0</vt:i4>
      </vt:variant>
      <vt:variant>
        <vt:i4>5</vt:i4>
      </vt:variant>
      <vt:variant>
        <vt:lpwstr>https://www2.education.vic.gov.au/pal/students-disability/policy</vt:lpwstr>
      </vt:variant>
      <vt:variant>
        <vt:lpwstr/>
      </vt:variant>
      <vt:variant>
        <vt:i4>3997749</vt:i4>
      </vt:variant>
      <vt:variant>
        <vt:i4>762</vt:i4>
      </vt:variant>
      <vt:variant>
        <vt:i4>0</vt:i4>
      </vt:variant>
      <vt:variant>
        <vt:i4>5</vt:i4>
      </vt:variant>
      <vt:variant>
        <vt:lpwstr>https://www2.education.vic.gov.au/pal/disability-inclusion-funding-support/guidance</vt:lpwstr>
      </vt:variant>
      <vt:variant>
        <vt:lpwstr/>
      </vt:variant>
      <vt:variant>
        <vt:i4>2621499</vt:i4>
      </vt:variant>
      <vt:variant>
        <vt:i4>759</vt:i4>
      </vt:variant>
      <vt:variant>
        <vt:i4>0</vt:i4>
      </vt:variant>
      <vt:variant>
        <vt:i4>5</vt:i4>
      </vt:variant>
      <vt:variant>
        <vt:lpwstr>https://www2.education.vic.gov.au/pal/student-resource-package-srp-core-student-learning-allocation-funding-student-based-funding-0</vt:lpwstr>
      </vt:variant>
      <vt:variant>
        <vt:lpwstr/>
      </vt:variant>
      <vt:variant>
        <vt:i4>5111884</vt:i4>
      </vt:variant>
      <vt:variant>
        <vt:i4>756</vt:i4>
      </vt:variant>
      <vt:variant>
        <vt:i4>0</vt:i4>
      </vt:variant>
      <vt:variant>
        <vt:i4>5</vt:i4>
      </vt:variant>
      <vt:variant>
        <vt:lpwstr>https://www2.education.vic.gov.au/pal/disability-inclusion-funding-support/policy</vt:lpwstr>
      </vt:variant>
      <vt:variant>
        <vt:lpwstr/>
      </vt:variant>
      <vt:variant>
        <vt:i4>5111884</vt:i4>
      </vt:variant>
      <vt:variant>
        <vt:i4>753</vt:i4>
      </vt:variant>
      <vt:variant>
        <vt:i4>0</vt:i4>
      </vt:variant>
      <vt:variant>
        <vt:i4>5</vt:i4>
      </vt:variant>
      <vt:variant>
        <vt:lpwstr>https://www2.education.vic.gov.au/pal/disability-inclusion-funding-support/policy</vt:lpwstr>
      </vt:variant>
      <vt:variant>
        <vt:lpwstr/>
      </vt:variant>
      <vt:variant>
        <vt:i4>7864415</vt:i4>
      </vt:variant>
      <vt:variant>
        <vt:i4>750</vt:i4>
      </vt:variant>
      <vt:variant>
        <vt:i4>0</vt:i4>
      </vt:variant>
      <vt:variant>
        <vt:i4>5</vt:i4>
      </vt:variant>
      <vt:variant>
        <vt:lpwstr>mailto:eal@education.vic.gov.au</vt:lpwstr>
      </vt:variant>
      <vt:variant>
        <vt:lpwstr/>
      </vt:variant>
      <vt:variant>
        <vt:i4>7864415</vt:i4>
      </vt:variant>
      <vt:variant>
        <vt:i4>747</vt:i4>
      </vt:variant>
      <vt:variant>
        <vt:i4>0</vt:i4>
      </vt:variant>
      <vt:variant>
        <vt:i4>5</vt:i4>
      </vt:variant>
      <vt:variant>
        <vt:lpwstr>mailto:eal@education.vic.gov.au</vt:lpwstr>
      </vt:variant>
      <vt:variant>
        <vt:lpwstr/>
      </vt:variant>
      <vt:variant>
        <vt:i4>7602293</vt:i4>
      </vt:variant>
      <vt:variant>
        <vt:i4>744</vt:i4>
      </vt:variant>
      <vt:variant>
        <vt:i4>0</vt:i4>
      </vt:variant>
      <vt:variant>
        <vt:i4>5</vt:i4>
      </vt:variant>
      <vt:variant>
        <vt:lpwstr>https://www2.education.vic.gov.au/pal/student-resource-package-srp-equity-funding-student-based-funding/guidance/10-eal-contingency</vt:lpwstr>
      </vt:variant>
      <vt:variant>
        <vt:lpwstr/>
      </vt:variant>
      <vt:variant>
        <vt:i4>262233</vt:i4>
      </vt:variant>
      <vt:variant>
        <vt:i4>741</vt:i4>
      </vt:variant>
      <vt:variant>
        <vt:i4>0</vt:i4>
      </vt:variant>
      <vt:variant>
        <vt:i4>5</vt:i4>
      </vt:variant>
      <vt:variant>
        <vt:lpwstr>https://www2.education.vic.gov.au/pal/student-resource-package-srp-equity-funding-student-based-funding/guidance/equity-overview</vt:lpwstr>
      </vt:variant>
      <vt:variant>
        <vt:lpwstr/>
      </vt:variant>
      <vt:variant>
        <vt:i4>7602293</vt:i4>
      </vt:variant>
      <vt:variant>
        <vt:i4>738</vt:i4>
      </vt:variant>
      <vt:variant>
        <vt:i4>0</vt:i4>
      </vt:variant>
      <vt:variant>
        <vt:i4>5</vt:i4>
      </vt:variant>
      <vt:variant>
        <vt:lpwstr>https://www2.education.vic.gov.au/pal/student-resource-package-srp-equity-funding-student-based-funding/guidance/10-eal-contingency</vt:lpwstr>
      </vt:variant>
      <vt:variant>
        <vt:lpwstr/>
      </vt:variant>
      <vt:variant>
        <vt:i4>3866749</vt:i4>
      </vt:variant>
      <vt:variant>
        <vt:i4>735</vt:i4>
      </vt:variant>
      <vt:variant>
        <vt:i4>0</vt:i4>
      </vt:variant>
      <vt:variant>
        <vt:i4>5</vt:i4>
      </vt:variant>
      <vt:variant>
        <vt:lpwstr>https://www.education.vic.gov.au/school/teachers/learningneeds/Pages/medical-intervention-support.aspx</vt:lpwstr>
      </vt:variant>
      <vt:variant>
        <vt:lpwstr/>
      </vt:variant>
      <vt:variant>
        <vt:i4>2752608</vt:i4>
      </vt:variant>
      <vt:variant>
        <vt:i4>732</vt:i4>
      </vt:variant>
      <vt:variant>
        <vt:i4>0</vt:i4>
      </vt:variant>
      <vt:variant>
        <vt:i4>5</vt:i4>
      </vt:variant>
      <vt:variant>
        <vt:lpwstr>https://www2.education.vic.gov.au/pal/health-care-needs/policy</vt:lpwstr>
      </vt:variant>
      <vt:variant>
        <vt:lpwstr/>
      </vt:variant>
      <vt:variant>
        <vt:i4>8192046</vt:i4>
      </vt:variant>
      <vt:variant>
        <vt:i4>729</vt:i4>
      </vt:variant>
      <vt:variant>
        <vt:i4>0</vt:i4>
      </vt:variant>
      <vt:variant>
        <vt:i4>5</vt:i4>
      </vt:variant>
      <vt:variant>
        <vt:lpwstr>https://www2.education.vic.gov.au/pal/behaviour-students/guidance/6-behaviour-support-plans</vt:lpwstr>
      </vt:variant>
      <vt:variant>
        <vt:lpwstr/>
      </vt:variant>
      <vt:variant>
        <vt:i4>6094935</vt:i4>
      </vt:variant>
      <vt:variant>
        <vt:i4>726</vt:i4>
      </vt:variant>
      <vt:variant>
        <vt:i4>0</vt:i4>
      </vt:variant>
      <vt:variant>
        <vt:i4>5</vt:i4>
      </vt:variant>
      <vt:variant>
        <vt:lpwstr>https://services.educationapps.vic.gov.au/dp</vt:lpwstr>
      </vt:variant>
      <vt:variant>
        <vt:lpwstr/>
      </vt:variant>
      <vt:variant>
        <vt:i4>6553717</vt:i4>
      </vt:variant>
      <vt:variant>
        <vt:i4>723</vt:i4>
      </vt:variant>
      <vt:variant>
        <vt:i4>0</vt:i4>
      </vt:variant>
      <vt:variant>
        <vt:i4>5</vt:i4>
      </vt:variant>
      <vt:variant>
        <vt:lpwstr>http://www.eduweb.vic.gov.au/psdms</vt:lpwstr>
      </vt:variant>
      <vt:variant>
        <vt:lpwstr/>
      </vt:variant>
      <vt:variant>
        <vt:i4>1441805</vt:i4>
      </vt:variant>
      <vt:variant>
        <vt:i4>720</vt:i4>
      </vt:variant>
      <vt:variant>
        <vt:i4>0</vt:i4>
      </vt:variant>
      <vt:variant>
        <vt:i4>5</vt:i4>
      </vt:variant>
      <vt:variant>
        <vt:lpwstr>http://www.education.vic.gov.au/school/teachers/management/finance/Pages/swdsystems.aspx</vt:lpwstr>
      </vt:variant>
      <vt:variant>
        <vt:lpwstr/>
      </vt:variant>
      <vt:variant>
        <vt:i4>2359405</vt:i4>
      </vt:variant>
      <vt:variant>
        <vt:i4>717</vt:i4>
      </vt:variant>
      <vt:variant>
        <vt:i4>0</vt:i4>
      </vt:variant>
      <vt:variant>
        <vt:i4>5</vt:i4>
      </vt:variant>
      <vt:variant>
        <vt:lpwstr>https://www2.education.vic.gov.au/pal/student-support-groups/policy</vt:lpwstr>
      </vt:variant>
      <vt:variant>
        <vt:lpwstr/>
      </vt:variant>
      <vt:variant>
        <vt:i4>1441799</vt:i4>
      </vt:variant>
      <vt:variant>
        <vt:i4>714</vt:i4>
      </vt:variant>
      <vt:variant>
        <vt:i4>0</vt:i4>
      </vt:variant>
      <vt:variant>
        <vt:i4>5</vt:i4>
      </vt:variant>
      <vt:variant>
        <vt:lpwstr>https://www2.education.vic.gov.au/pal/students-disability/policy</vt:lpwstr>
      </vt:variant>
      <vt:variant>
        <vt:lpwstr/>
      </vt:variant>
      <vt:variant>
        <vt:i4>6094935</vt:i4>
      </vt:variant>
      <vt:variant>
        <vt:i4>711</vt:i4>
      </vt:variant>
      <vt:variant>
        <vt:i4>0</vt:i4>
      </vt:variant>
      <vt:variant>
        <vt:i4>5</vt:i4>
      </vt:variant>
      <vt:variant>
        <vt:lpwstr>https://services.educationapps.vic.gov.au/dp</vt:lpwstr>
      </vt:variant>
      <vt:variant>
        <vt:lpwstr/>
      </vt:variant>
      <vt:variant>
        <vt:i4>8192046</vt:i4>
      </vt:variant>
      <vt:variant>
        <vt:i4>708</vt:i4>
      </vt:variant>
      <vt:variant>
        <vt:i4>0</vt:i4>
      </vt:variant>
      <vt:variant>
        <vt:i4>5</vt:i4>
      </vt:variant>
      <vt:variant>
        <vt:lpwstr>https://www2.education.vic.gov.au/pal/behaviour-students/guidance/6-behaviour-support-plans</vt:lpwstr>
      </vt:variant>
      <vt:variant>
        <vt:lpwstr/>
      </vt:variant>
      <vt:variant>
        <vt:i4>2359405</vt:i4>
      </vt:variant>
      <vt:variant>
        <vt:i4>705</vt:i4>
      </vt:variant>
      <vt:variant>
        <vt:i4>0</vt:i4>
      </vt:variant>
      <vt:variant>
        <vt:i4>5</vt:i4>
      </vt:variant>
      <vt:variant>
        <vt:lpwstr>https://www2.education.vic.gov.au/pal/student-support-groups/policy</vt:lpwstr>
      </vt:variant>
      <vt:variant>
        <vt:lpwstr/>
      </vt:variant>
      <vt:variant>
        <vt:i4>5111884</vt:i4>
      </vt:variant>
      <vt:variant>
        <vt:i4>702</vt:i4>
      </vt:variant>
      <vt:variant>
        <vt:i4>0</vt:i4>
      </vt:variant>
      <vt:variant>
        <vt:i4>5</vt:i4>
      </vt:variant>
      <vt:variant>
        <vt:lpwstr>https://www2.education.vic.gov.au/pal/disability-inclusion-funding-support/policy</vt:lpwstr>
      </vt:variant>
      <vt:variant>
        <vt:lpwstr/>
      </vt:variant>
      <vt:variant>
        <vt:i4>7012444</vt:i4>
      </vt:variant>
      <vt:variant>
        <vt:i4>699</vt:i4>
      </vt:variant>
      <vt:variant>
        <vt:i4>0</vt:i4>
      </vt:variant>
      <vt:variant>
        <vt:i4>5</vt:i4>
      </vt:variant>
      <vt:variant>
        <vt:lpwstr>https://services.educationapps.vic.gov.au/dp?id=dp_homepage</vt:lpwstr>
      </vt:variant>
      <vt:variant>
        <vt:lpwstr/>
      </vt:variant>
      <vt:variant>
        <vt:i4>6553717</vt:i4>
      </vt:variant>
      <vt:variant>
        <vt:i4>696</vt:i4>
      </vt:variant>
      <vt:variant>
        <vt:i4>0</vt:i4>
      </vt:variant>
      <vt:variant>
        <vt:i4>5</vt:i4>
      </vt:variant>
      <vt:variant>
        <vt:lpwstr>http://www.eduweb.vic.gov.au/psdms</vt:lpwstr>
      </vt:variant>
      <vt:variant>
        <vt:lpwstr/>
      </vt:variant>
      <vt:variant>
        <vt:i4>1441805</vt:i4>
      </vt:variant>
      <vt:variant>
        <vt:i4>693</vt:i4>
      </vt:variant>
      <vt:variant>
        <vt:i4>0</vt:i4>
      </vt:variant>
      <vt:variant>
        <vt:i4>5</vt:i4>
      </vt:variant>
      <vt:variant>
        <vt:lpwstr>http://www.education.vic.gov.au/school/teachers/management/finance/Pages/swdsystems.aspx</vt:lpwstr>
      </vt:variant>
      <vt:variant>
        <vt:lpwstr/>
      </vt:variant>
      <vt:variant>
        <vt:i4>2359405</vt:i4>
      </vt:variant>
      <vt:variant>
        <vt:i4>690</vt:i4>
      </vt:variant>
      <vt:variant>
        <vt:i4>0</vt:i4>
      </vt:variant>
      <vt:variant>
        <vt:i4>5</vt:i4>
      </vt:variant>
      <vt:variant>
        <vt:lpwstr>https://www2.education.vic.gov.au/pal/student-support-groups/policy</vt:lpwstr>
      </vt:variant>
      <vt:variant>
        <vt:lpwstr/>
      </vt:variant>
      <vt:variant>
        <vt:i4>1441871</vt:i4>
      </vt:variant>
      <vt:variant>
        <vt:i4>687</vt:i4>
      </vt:variant>
      <vt:variant>
        <vt:i4>0</vt:i4>
      </vt:variant>
      <vt:variant>
        <vt:i4>5</vt:i4>
      </vt:variant>
      <vt:variant>
        <vt:lpwstr>http://www.education.vic.gov.au/school/teachers/learningneeds/Pages/psdhandbook.aspx</vt:lpwstr>
      </vt:variant>
      <vt:variant>
        <vt:lpwstr/>
      </vt:variant>
      <vt:variant>
        <vt:i4>5832791</vt:i4>
      </vt:variant>
      <vt:variant>
        <vt:i4>684</vt:i4>
      </vt:variant>
      <vt:variant>
        <vt:i4>0</vt:i4>
      </vt:variant>
      <vt:variant>
        <vt:i4>5</vt:i4>
      </vt:variant>
      <vt:variant>
        <vt:lpwstr>https://www.eduweb.vic.gov.au/PSDMS/Home.aspx</vt:lpwstr>
      </vt:variant>
      <vt:variant>
        <vt:lpwstr/>
      </vt:variant>
      <vt:variant>
        <vt:i4>1376261</vt:i4>
      </vt:variant>
      <vt:variant>
        <vt:i4>681</vt:i4>
      </vt:variant>
      <vt:variant>
        <vt:i4>0</vt:i4>
      </vt:variant>
      <vt:variant>
        <vt:i4>5</vt:i4>
      </vt:variant>
      <vt:variant>
        <vt:lpwstr>https://www.education.vic.gov.au/school/teachers/management/finance/Pages/swdsystems.aspx</vt:lpwstr>
      </vt:variant>
      <vt:variant>
        <vt:lpwstr/>
      </vt:variant>
      <vt:variant>
        <vt:i4>2359405</vt:i4>
      </vt:variant>
      <vt:variant>
        <vt:i4>678</vt:i4>
      </vt:variant>
      <vt:variant>
        <vt:i4>0</vt:i4>
      </vt:variant>
      <vt:variant>
        <vt:i4>5</vt:i4>
      </vt:variant>
      <vt:variant>
        <vt:lpwstr>https://www2.education.vic.gov.au/pal/student-support-groups/policy</vt:lpwstr>
      </vt:variant>
      <vt:variant>
        <vt:lpwstr/>
      </vt:variant>
      <vt:variant>
        <vt:i4>8126500</vt:i4>
      </vt:variant>
      <vt:variant>
        <vt:i4>675</vt:i4>
      </vt:variant>
      <vt:variant>
        <vt:i4>0</vt:i4>
      </vt:variant>
      <vt:variant>
        <vt:i4>5</vt:i4>
      </vt:variant>
      <vt:variant>
        <vt:lpwstr>https://www.legislation.gov.au/Details/C2018C00125</vt:lpwstr>
      </vt:variant>
      <vt:variant>
        <vt:lpwstr/>
      </vt:variant>
      <vt:variant>
        <vt:i4>1703946</vt:i4>
      </vt:variant>
      <vt:variant>
        <vt:i4>672</vt:i4>
      </vt:variant>
      <vt:variant>
        <vt:i4>0</vt:i4>
      </vt:variant>
      <vt:variant>
        <vt:i4>5</vt:i4>
      </vt:variant>
      <vt:variant>
        <vt:lpwstr>https://edugate.eduweb.vic.gov.au/Services/Finance/Pages/SFO.aspx</vt:lpwstr>
      </vt:variant>
      <vt:variant>
        <vt:lpwstr/>
      </vt:variant>
      <vt:variant>
        <vt:i4>7864415</vt:i4>
      </vt:variant>
      <vt:variant>
        <vt:i4>669</vt:i4>
      </vt:variant>
      <vt:variant>
        <vt:i4>0</vt:i4>
      </vt:variant>
      <vt:variant>
        <vt:i4>5</vt:i4>
      </vt:variant>
      <vt:variant>
        <vt:lpwstr>mailto:eal@education.vic.gov.au</vt:lpwstr>
      </vt:variant>
      <vt:variant>
        <vt:lpwstr/>
      </vt:variant>
      <vt:variant>
        <vt:i4>7209005</vt:i4>
      </vt:variant>
      <vt:variant>
        <vt:i4>666</vt:i4>
      </vt:variant>
      <vt:variant>
        <vt:i4>0</vt:i4>
      </vt:variant>
      <vt:variant>
        <vt:i4>5</vt:i4>
      </vt:variant>
      <vt:variant>
        <vt:lpwstr>tel:0370221111</vt:lpwstr>
      </vt:variant>
      <vt:variant>
        <vt:lpwstr/>
      </vt:variant>
      <vt:variant>
        <vt:i4>6094935</vt:i4>
      </vt:variant>
      <vt:variant>
        <vt:i4>663</vt:i4>
      </vt:variant>
      <vt:variant>
        <vt:i4>0</vt:i4>
      </vt:variant>
      <vt:variant>
        <vt:i4>5</vt:i4>
      </vt:variant>
      <vt:variant>
        <vt:lpwstr>https://services.educationapps.vic.gov.au/dp</vt:lpwstr>
      </vt:variant>
      <vt:variant>
        <vt:lpwstr/>
      </vt:variant>
      <vt:variant>
        <vt:i4>6881322</vt:i4>
      </vt:variant>
      <vt:variant>
        <vt:i4>660</vt:i4>
      </vt:variant>
      <vt:variant>
        <vt:i4>0</vt:i4>
      </vt:variant>
      <vt:variant>
        <vt:i4>5</vt:i4>
      </vt:variant>
      <vt:variant>
        <vt:lpwstr>tel:1800641943</vt:lpwstr>
      </vt:variant>
      <vt:variant>
        <vt:lpwstr/>
      </vt:variant>
      <vt:variant>
        <vt:i4>6094935</vt:i4>
      </vt:variant>
      <vt:variant>
        <vt:i4>657</vt:i4>
      </vt:variant>
      <vt:variant>
        <vt:i4>0</vt:i4>
      </vt:variant>
      <vt:variant>
        <vt:i4>5</vt:i4>
      </vt:variant>
      <vt:variant>
        <vt:lpwstr>https://services.educationapps.vic.gov.au/dp</vt:lpwstr>
      </vt:variant>
      <vt:variant>
        <vt:lpwstr/>
      </vt:variant>
      <vt:variant>
        <vt:i4>262183</vt:i4>
      </vt:variant>
      <vt:variant>
        <vt:i4>654</vt:i4>
      </vt:variant>
      <vt:variant>
        <vt:i4>0</vt:i4>
      </vt:variant>
      <vt:variant>
        <vt:i4>5</vt:i4>
      </vt:variant>
      <vt:variant>
        <vt:lpwstr>mailto:studentresourcepackage@education.vic.gov.au</vt:lpwstr>
      </vt:variant>
      <vt:variant>
        <vt:lpwstr/>
      </vt:variant>
      <vt:variant>
        <vt:i4>6881322</vt:i4>
      </vt:variant>
      <vt:variant>
        <vt:i4>651</vt:i4>
      </vt:variant>
      <vt:variant>
        <vt:i4>0</vt:i4>
      </vt:variant>
      <vt:variant>
        <vt:i4>5</vt:i4>
      </vt:variant>
      <vt:variant>
        <vt:lpwstr>tel:1800641943</vt:lpwstr>
      </vt:variant>
      <vt:variant>
        <vt:lpwstr/>
      </vt:variant>
      <vt:variant>
        <vt:i4>1441799</vt:i4>
      </vt:variant>
      <vt:variant>
        <vt:i4>648</vt:i4>
      </vt:variant>
      <vt:variant>
        <vt:i4>0</vt:i4>
      </vt:variant>
      <vt:variant>
        <vt:i4>5</vt:i4>
      </vt:variant>
      <vt:variant>
        <vt:lpwstr>https://www2.education.vic.gov.au/pal/students-disability/policy</vt:lpwstr>
      </vt:variant>
      <vt:variant>
        <vt:lpwstr/>
      </vt:variant>
      <vt:variant>
        <vt:i4>7340144</vt:i4>
      </vt:variant>
      <vt:variant>
        <vt:i4>645</vt:i4>
      </vt:variant>
      <vt:variant>
        <vt:i4>0</vt:i4>
      </vt:variant>
      <vt:variant>
        <vt:i4>5</vt:i4>
      </vt:variant>
      <vt:variant>
        <vt:lpwstr>https://www2.education.vic.gov.au/pal/student-resource-package-srp-targeted-initiatives/policy</vt:lpwstr>
      </vt:variant>
      <vt:variant>
        <vt:lpwstr/>
      </vt:variant>
      <vt:variant>
        <vt:i4>6488098</vt:i4>
      </vt:variant>
      <vt:variant>
        <vt:i4>642</vt:i4>
      </vt:variant>
      <vt:variant>
        <vt:i4>0</vt:i4>
      </vt:variant>
      <vt:variant>
        <vt:i4>5</vt:i4>
      </vt:variant>
      <vt:variant>
        <vt:lpwstr>https://www2.education.vic.gov.au/pal/student-resource-package-srp-school-specific-programs/policy</vt:lpwstr>
      </vt:variant>
      <vt:variant>
        <vt:lpwstr/>
      </vt:variant>
      <vt:variant>
        <vt:i4>3407905</vt:i4>
      </vt:variant>
      <vt:variant>
        <vt:i4>639</vt:i4>
      </vt:variant>
      <vt:variant>
        <vt:i4>0</vt:i4>
      </vt:variant>
      <vt:variant>
        <vt:i4>5</vt:i4>
      </vt:variant>
      <vt:variant>
        <vt:lpwstr>https://www2.education.vic.gov.au/pal/student-resource-package-srp-school-infrastructure/policy</vt:lpwstr>
      </vt:variant>
      <vt:variant>
        <vt:lpwstr/>
      </vt:variant>
      <vt:variant>
        <vt:i4>4325445</vt:i4>
      </vt:variant>
      <vt:variant>
        <vt:i4>636</vt:i4>
      </vt:variant>
      <vt:variant>
        <vt:i4>0</vt:i4>
      </vt:variant>
      <vt:variant>
        <vt:i4>5</vt:i4>
      </vt:variant>
      <vt:variant>
        <vt:lpwstr>https://www2.education.vic.gov.au/pal/student-resource-package-srp-managing-budget/policy</vt:lpwstr>
      </vt:variant>
      <vt:variant>
        <vt:lpwstr/>
      </vt:variant>
      <vt:variant>
        <vt:i4>2621499</vt:i4>
      </vt:variant>
      <vt:variant>
        <vt:i4>633</vt:i4>
      </vt:variant>
      <vt:variant>
        <vt:i4>0</vt:i4>
      </vt:variant>
      <vt:variant>
        <vt:i4>5</vt:i4>
      </vt:variant>
      <vt:variant>
        <vt:lpwstr>https://www2.education.vic.gov.au/pal/student-resource-package-srp-core-student-learning-allocation-funding-student-based-funding-0</vt:lpwstr>
      </vt:variant>
      <vt:variant>
        <vt:lpwstr/>
      </vt:variant>
      <vt:variant>
        <vt:i4>90</vt:i4>
      </vt:variant>
      <vt:variant>
        <vt:i4>630</vt:i4>
      </vt:variant>
      <vt:variant>
        <vt:i4>0</vt:i4>
      </vt:variant>
      <vt:variant>
        <vt:i4>5</vt:i4>
      </vt:variant>
      <vt:variant>
        <vt:lpwstr>https://www2.education.vic.gov.au/pal/student-resource-package/policy</vt:lpwstr>
      </vt:variant>
      <vt:variant>
        <vt:lpwstr/>
      </vt:variant>
      <vt:variant>
        <vt:i4>4194335</vt:i4>
      </vt:variant>
      <vt:variant>
        <vt:i4>627</vt:i4>
      </vt:variant>
      <vt:variant>
        <vt:i4>0</vt:i4>
      </vt:variant>
      <vt:variant>
        <vt:i4>5</vt:i4>
      </vt:variant>
      <vt:variant>
        <vt:lpwstr>https://www2.education.vic.gov.au/pal/student-enrolment-census/policy</vt:lpwstr>
      </vt:variant>
      <vt:variant>
        <vt:lpwstr/>
      </vt:variant>
      <vt:variant>
        <vt:i4>6225935</vt:i4>
      </vt:variant>
      <vt:variant>
        <vt:i4>624</vt:i4>
      </vt:variant>
      <vt:variant>
        <vt:i4>0</vt:i4>
      </vt:variant>
      <vt:variant>
        <vt:i4>5</vt:i4>
      </vt:variant>
      <vt:variant>
        <vt:lpwstr>https://www2.education.vic.gov.au/pal/fiso/policy</vt:lpwstr>
      </vt:variant>
      <vt:variant>
        <vt:lpwstr/>
      </vt:variant>
      <vt:variant>
        <vt:i4>6750331</vt:i4>
      </vt:variant>
      <vt:variant>
        <vt:i4>621</vt:i4>
      </vt:variant>
      <vt:variant>
        <vt:i4>0</vt:i4>
      </vt:variant>
      <vt:variant>
        <vt:i4>5</vt:i4>
      </vt:variant>
      <vt:variant>
        <vt:lpwstr>https://www2.education.vic.gov.au/pal/finance-manual/policy</vt:lpwstr>
      </vt:variant>
      <vt:variant>
        <vt:lpwstr/>
      </vt:variant>
      <vt:variant>
        <vt:i4>5046365</vt:i4>
      </vt:variant>
      <vt:variant>
        <vt:i4>618</vt:i4>
      </vt:variant>
      <vt:variant>
        <vt:i4>0</vt:i4>
      </vt:variant>
      <vt:variant>
        <vt:i4>5</vt:i4>
      </vt:variant>
      <vt:variant>
        <vt:lpwstr>https://www2.education.vic.gov.au/pal/eal-support/policy</vt:lpwstr>
      </vt:variant>
      <vt:variant>
        <vt:lpwstr/>
      </vt:variant>
      <vt:variant>
        <vt:i4>5111884</vt:i4>
      </vt:variant>
      <vt:variant>
        <vt:i4>615</vt:i4>
      </vt:variant>
      <vt:variant>
        <vt:i4>0</vt:i4>
      </vt:variant>
      <vt:variant>
        <vt:i4>5</vt:i4>
      </vt:variant>
      <vt:variant>
        <vt:lpwstr>https://www2.education.vic.gov.au/pal/disability-inclusion-funding-support/policy</vt:lpwstr>
      </vt:variant>
      <vt:variant>
        <vt:lpwstr/>
      </vt:variant>
      <vt:variant>
        <vt:i4>90</vt:i4>
      </vt:variant>
      <vt:variant>
        <vt:i4>612</vt:i4>
      </vt:variant>
      <vt:variant>
        <vt:i4>0</vt:i4>
      </vt:variant>
      <vt:variant>
        <vt:i4>5</vt:i4>
      </vt:variant>
      <vt:variant>
        <vt:lpwstr>https://www2.education.vic.gov.au/pal/student-resource-package/policy</vt:lpwstr>
      </vt:variant>
      <vt:variant>
        <vt:lpwstr/>
      </vt:variant>
      <vt:variant>
        <vt:i4>2228337</vt:i4>
      </vt:variant>
      <vt:variant>
        <vt:i4>609</vt:i4>
      </vt:variant>
      <vt:variant>
        <vt:i4>0</vt:i4>
      </vt:variant>
      <vt:variant>
        <vt:i4>5</vt:i4>
      </vt:variant>
      <vt:variant>
        <vt:lpwstr>https://www.schoolbuildings.vic.gov.au/blog/Pages/Supported-Inclusion-Schools.aspx</vt:lpwstr>
      </vt:variant>
      <vt:variant>
        <vt:lpwstr/>
      </vt:variant>
      <vt:variant>
        <vt:i4>5701646</vt:i4>
      </vt:variant>
      <vt:variant>
        <vt:i4>606</vt:i4>
      </vt:variant>
      <vt:variant>
        <vt:i4>0</vt:i4>
      </vt:variant>
      <vt:variant>
        <vt:i4>5</vt:i4>
      </vt:variant>
      <vt:variant>
        <vt:lpwstr>https://www2.education.vic.gov.au/pal/student-resource-package-srp-equity-funding-student-based-funding/guidance</vt:lpwstr>
      </vt:variant>
      <vt:variant>
        <vt:lpwstr/>
      </vt:variant>
      <vt:variant>
        <vt:i4>2621499</vt:i4>
      </vt:variant>
      <vt:variant>
        <vt:i4>603</vt:i4>
      </vt:variant>
      <vt:variant>
        <vt:i4>0</vt:i4>
      </vt:variant>
      <vt:variant>
        <vt:i4>5</vt:i4>
      </vt:variant>
      <vt:variant>
        <vt:lpwstr>https://www2.education.vic.gov.au/pal/student-resource-package-srp-core-student-learning-allocation-funding-student-based-funding-0</vt:lpwstr>
      </vt:variant>
      <vt:variant>
        <vt:lpwstr/>
      </vt:variant>
      <vt:variant>
        <vt:i4>131155</vt:i4>
      </vt:variant>
      <vt:variant>
        <vt:i4>600</vt:i4>
      </vt:variant>
      <vt:variant>
        <vt:i4>0</vt:i4>
      </vt:variant>
      <vt:variant>
        <vt:i4>5</vt:i4>
      </vt:variant>
      <vt:variant>
        <vt:lpwstr>https://v6.education.vic.gov.au/ch/100821/55cgv/1566/MpQvOTdjBajbmeJ.H8c3aMkkdkAAeL1BkmCdj.sY.pdf</vt:lpwstr>
      </vt:variant>
      <vt:variant>
        <vt:lpwstr/>
      </vt:variant>
      <vt:variant>
        <vt:i4>7536749</vt:i4>
      </vt:variant>
      <vt:variant>
        <vt:i4>597</vt:i4>
      </vt:variant>
      <vt:variant>
        <vt:i4>0</vt:i4>
      </vt:variant>
      <vt:variant>
        <vt:i4>5</vt:i4>
      </vt:variant>
      <vt:variant>
        <vt:lpwstr>https://v6.education.vic.gov.au/ch/100821/55cgv/1565/MpQvOTdjBajbmeJ.H8c3tfaPLfwDt18RdSsTVqh4.docx</vt:lpwstr>
      </vt:variant>
      <vt:variant>
        <vt:lpwstr/>
      </vt:variant>
      <vt:variant>
        <vt:i4>6488097</vt:i4>
      </vt:variant>
      <vt:variant>
        <vt:i4>594</vt:i4>
      </vt:variant>
      <vt:variant>
        <vt:i4>0</vt:i4>
      </vt:variant>
      <vt:variant>
        <vt:i4>5</vt:i4>
      </vt:variant>
      <vt:variant>
        <vt:lpwstr>https://www.vic.gov.au/mental-health-and-wellbeing-toolkit</vt:lpwstr>
      </vt:variant>
      <vt:variant>
        <vt:lpwstr/>
      </vt:variant>
      <vt:variant>
        <vt:i4>2097191</vt:i4>
      </vt:variant>
      <vt:variant>
        <vt:i4>591</vt:i4>
      </vt:variant>
      <vt:variant>
        <vt:i4>0</vt:i4>
      </vt:variant>
      <vt:variant>
        <vt:i4>5</vt:i4>
      </vt:variant>
      <vt:variant>
        <vt:lpwstr>https://www.vic.gov.au/mental-health-practitioners-secondary-and-specialist-schools?Redirect=1</vt:lpwstr>
      </vt:variant>
      <vt:variant>
        <vt:lpwstr/>
      </vt:variant>
      <vt:variant>
        <vt:i4>1441799</vt:i4>
      </vt:variant>
      <vt:variant>
        <vt:i4>588</vt:i4>
      </vt:variant>
      <vt:variant>
        <vt:i4>0</vt:i4>
      </vt:variant>
      <vt:variant>
        <vt:i4>5</vt:i4>
      </vt:variant>
      <vt:variant>
        <vt:lpwstr>https://www2.education.vic.gov.au/pal/students-disability/policy</vt:lpwstr>
      </vt:variant>
      <vt:variant>
        <vt:lpwstr/>
      </vt:variant>
      <vt:variant>
        <vt:i4>5963844</vt:i4>
      </vt:variant>
      <vt:variant>
        <vt:i4>585</vt:i4>
      </vt:variant>
      <vt:variant>
        <vt:i4>0</vt:i4>
      </vt:variant>
      <vt:variant>
        <vt:i4>5</vt:i4>
      </vt:variant>
      <vt:variant>
        <vt:lpwstr>https://www2.education.vic.gov.au/pal/student-support-groups</vt:lpwstr>
      </vt:variant>
      <vt:variant>
        <vt:lpwstr/>
      </vt:variant>
      <vt:variant>
        <vt:i4>2097190</vt:i4>
      </vt:variant>
      <vt:variant>
        <vt:i4>582</vt:i4>
      </vt:variant>
      <vt:variant>
        <vt:i4>0</vt:i4>
      </vt:variant>
      <vt:variant>
        <vt:i4>5</vt:i4>
      </vt:variant>
      <vt:variant>
        <vt:lpwstr>https://www2.education.vic.gov.au/pal/fiso</vt:lpwstr>
      </vt:variant>
      <vt:variant>
        <vt:lpwstr/>
      </vt:variant>
      <vt:variant>
        <vt:i4>65554</vt:i4>
      </vt:variant>
      <vt:variant>
        <vt:i4>579</vt:i4>
      </vt:variant>
      <vt:variant>
        <vt:i4>0</vt:i4>
      </vt:variant>
      <vt:variant>
        <vt:i4>5</vt:i4>
      </vt:variant>
      <vt:variant>
        <vt:lpwstr>https://www.vit.vic.edu.au/registered-teacher/special-needs-plan</vt:lpwstr>
      </vt:variant>
      <vt:variant>
        <vt:lpwstr/>
      </vt:variant>
      <vt:variant>
        <vt:i4>25</vt:i4>
      </vt:variant>
      <vt:variant>
        <vt:i4>576</vt:i4>
      </vt:variant>
      <vt:variant>
        <vt:i4>0</vt:i4>
      </vt:variant>
      <vt:variant>
        <vt:i4>5</vt:i4>
      </vt:variant>
      <vt:variant>
        <vt:lpwstr>https://victoriancurriculum.vcaa.vic.edu.au/</vt:lpwstr>
      </vt:variant>
      <vt:variant>
        <vt:lpwstr/>
      </vt:variant>
      <vt:variant>
        <vt:i4>2621500</vt:i4>
      </vt:variant>
      <vt:variant>
        <vt:i4>573</vt:i4>
      </vt:variant>
      <vt:variant>
        <vt:i4>0</vt:i4>
      </vt:variant>
      <vt:variant>
        <vt:i4>5</vt:i4>
      </vt:variant>
      <vt:variant>
        <vt:lpwstr>https://www2.education.vic.gov.au/pal/student-resource-package-srp-targeted-initiatives/guidance/transition-funding-rural-reference</vt:lpwstr>
      </vt:variant>
      <vt:variant>
        <vt:lpwstr/>
      </vt:variant>
      <vt:variant>
        <vt:i4>7077935</vt:i4>
      </vt:variant>
      <vt:variant>
        <vt:i4>570</vt:i4>
      </vt:variant>
      <vt:variant>
        <vt:i4>0</vt:i4>
      </vt:variant>
      <vt:variant>
        <vt:i4>5</vt:i4>
      </vt:variant>
      <vt:variant>
        <vt:lpwstr>https://www.education.vic.gov.au/PAL/student-resource-package-determining-rurality-parameters.docx</vt:lpwstr>
      </vt:variant>
      <vt:variant>
        <vt:lpwstr/>
      </vt:variant>
      <vt:variant>
        <vt:i4>5570586</vt:i4>
      </vt:variant>
      <vt:variant>
        <vt:i4>567</vt:i4>
      </vt:variant>
      <vt:variant>
        <vt:i4>0</vt:i4>
      </vt:variant>
      <vt:variant>
        <vt:i4>5</vt:i4>
      </vt:variant>
      <vt:variant>
        <vt:lpwstr>https://dbr.abs.gov.au/absmaps/index.html</vt:lpwstr>
      </vt:variant>
      <vt:variant>
        <vt:lpwstr/>
      </vt:variant>
      <vt:variant>
        <vt:i4>4587538</vt:i4>
      </vt:variant>
      <vt:variant>
        <vt:i4>564</vt:i4>
      </vt:variant>
      <vt:variant>
        <vt:i4>0</vt:i4>
      </vt:variant>
      <vt:variant>
        <vt:i4>5</vt:i4>
      </vt:variant>
      <vt:variant>
        <vt:lpwstr>https://www.abs.gov.au/statistics/standards/australian-statistical-geography-standard-asgs-edition-3/jul2021-jun2026/significant-urban-areas-urban-centres-and-localities-section-state/urban-centres-and-localities</vt:lpwstr>
      </vt:variant>
      <vt:variant>
        <vt:lpwstr/>
      </vt:variant>
      <vt:variant>
        <vt:i4>6946822</vt:i4>
      </vt:variant>
      <vt:variant>
        <vt:i4>561</vt:i4>
      </vt:variant>
      <vt:variant>
        <vt:i4>0</vt:i4>
      </vt:variant>
      <vt:variant>
        <vt:i4>5</vt:i4>
      </vt:variant>
      <vt:variant>
        <vt:lpwstr>https://www.abs.gov.au/AUSSTATS/abs@.nsf/Latestproducts/1270.0.55.005Main Features15July 2016</vt:lpwstr>
      </vt:variant>
      <vt:variant>
        <vt:lpwstr/>
      </vt:variant>
      <vt:variant>
        <vt:i4>327774</vt:i4>
      </vt:variant>
      <vt:variant>
        <vt:i4>558</vt:i4>
      </vt:variant>
      <vt:variant>
        <vt:i4>0</vt:i4>
      </vt:variant>
      <vt:variant>
        <vt:i4>5</vt:i4>
      </vt:variant>
      <vt:variant>
        <vt:lpwstr>https://www.education.vic.gov.au/PAL/srp-rurality-rates-2024.xlsx</vt:lpwstr>
      </vt:variant>
      <vt:variant>
        <vt:lpwstr/>
      </vt:variant>
      <vt:variant>
        <vt:i4>3276925</vt:i4>
      </vt:variant>
      <vt:variant>
        <vt:i4>555</vt:i4>
      </vt:variant>
      <vt:variant>
        <vt:i4>0</vt:i4>
      </vt:variant>
      <vt:variant>
        <vt:i4>5</vt:i4>
      </vt:variant>
      <vt:variant>
        <vt:lpwstr>https://www2.education.vic.gov.au/pal/student-resource-package-srp-equity-funding-student-based-funding/policy</vt:lpwstr>
      </vt:variant>
      <vt:variant>
        <vt:lpwstr/>
      </vt:variant>
      <vt:variant>
        <vt:i4>1245234</vt:i4>
      </vt:variant>
      <vt:variant>
        <vt:i4>548</vt:i4>
      </vt:variant>
      <vt:variant>
        <vt:i4>0</vt:i4>
      </vt:variant>
      <vt:variant>
        <vt:i4>5</vt:i4>
      </vt:variant>
      <vt:variant>
        <vt:lpwstr/>
      </vt:variant>
      <vt:variant>
        <vt:lpwstr>_Toc153791970</vt:lpwstr>
      </vt:variant>
      <vt:variant>
        <vt:i4>1179698</vt:i4>
      </vt:variant>
      <vt:variant>
        <vt:i4>542</vt:i4>
      </vt:variant>
      <vt:variant>
        <vt:i4>0</vt:i4>
      </vt:variant>
      <vt:variant>
        <vt:i4>5</vt:i4>
      </vt:variant>
      <vt:variant>
        <vt:lpwstr/>
      </vt:variant>
      <vt:variant>
        <vt:lpwstr>_Toc153791969</vt:lpwstr>
      </vt:variant>
      <vt:variant>
        <vt:i4>1179698</vt:i4>
      </vt:variant>
      <vt:variant>
        <vt:i4>536</vt:i4>
      </vt:variant>
      <vt:variant>
        <vt:i4>0</vt:i4>
      </vt:variant>
      <vt:variant>
        <vt:i4>5</vt:i4>
      </vt:variant>
      <vt:variant>
        <vt:lpwstr/>
      </vt:variant>
      <vt:variant>
        <vt:lpwstr>_Toc153791968</vt:lpwstr>
      </vt:variant>
      <vt:variant>
        <vt:i4>1179698</vt:i4>
      </vt:variant>
      <vt:variant>
        <vt:i4>530</vt:i4>
      </vt:variant>
      <vt:variant>
        <vt:i4>0</vt:i4>
      </vt:variant>
      <vt:variant>
        <vt:i4>5</vt:i4>
      </vt:variant>
      <vt:variant>
        <vt:lpwstr/>
      </vt:variant>
      <vt:variant>
        <vt:lpwstr>_Toc153791967</vt:lpwstr>
      </vt:variant>
      <vt:variant>
        <vt:i4>1179698</vt:i4>
      </vt:variant>
      <vt:variant>
        <vt:i4>524</vt:i4>
      </vt:variant>
      <vt:variant>
        <vt:i4>0</vt:i4>
      </vt:variant>
      <vt:variant>
        <vt:i4>5</vt:i4>
      </vt:variant>
      <vt:variant>
        <vt:lpwstr/>
      </vt:variant>
      <vt:variant>
        <vt:lpwstr>_Toc153791966</vt:lpwstr>
      </vt:variant>
      <vt:variant>
        <vt:i4>1179698</vt:i4>
      </vt:variant>
      <vt:variant>
        <vt:i4>518</vt:i4>
      </vt:variant>
      <vt:variant>
        <vt:i4>0</vt:i4>
      </vt:variant>
      <vt:variant>
        <vt:i4>5</vt:i4>
      </vt:variant>
      <vt:variant>
        <vt:lpwstr/>
      </vt:variant>
      <vt:variant>
        <vt:lpwstr>_Toc153791965</vt:lpwstr>
      </vt:variant>
      <vt:variant>
        <vt:i4>1179698</vt:i4>
      </vt:variant>
      <vt:variant>
        <vt:i4>512</vt:i4>
      </vt:variant>
      <vt:variant>
        <vt:i4>0</vt:i4>
      </vt:variant>
      <vt:variant>
        <vt:i4>5</vt:i4>
      </vt:variant>
      <vt:variant>
        <vt:lpwstr/>
      </vt:variant>
      <vt:variant>
        <vt:lpwstr>_Toc153791964</vt:lpwstr>
      </vt:variant>
      <vt:variant>
        <vt:i4>1179698</vt:i4>
      </vt:variant>
      <vt:variant>
        <vt:i4>506</vt:i4>
      </vt:variant>
      <vt:variant>
        <vt:i4>0</vt:i4>
      </vt:variant>
      <vt:variant>
        <vt:i4>5</vt:i4>
      </vt:variant>
      <vt:variant>
        <vt:lpwstr/>
      </vt:variant>
      <vt:variant>
        <vt:lpwstr>_Toc153791963</vt:lpwstr>
      </vt:variant>
      <vt:variant>
        <vt:i4>1179698</vt:i4>
      </vt:variant>
      <vt:variant>
        <vt:i4>500</vt:i4>
      </vt:variant>
      <vt:variant>
        <vt:i4>0</vt:i4>
      </vt:variant>
      <vt:variant>
        <vt:i4>5</vt:i4>
      </vt:variant>
      <vt:variant>
        <vt:lpwstr/>
      </vt:variant>
      <vt:variant>
        <vt:lpwstr>_Toc153791962</vt:lpwstr>
      </vt:variant>
      <vt:variant>
        <vt:i4>1179698</vt:i4>
      </vt:variant>
      <vt:variant>
        <vt:i4>494</vt:i4>
      </vt:variant>
      <vt:variant>
        <vt:i4>0</vt:i4>
      </vt:variant>
      <vt:variant>
        <vt:i4>5</vt:i4>
      </vt:variant>
      <vt:variant>
        <vt:lpwstr/>
      </vt:variant>
      <vt:variant>
        <vt:lpwstr>_Toc153791961</vt:lpwstr>
      </vt:variant>
      <vt:variant>
        <vt:i4>1179698</vt:i4>
      </vt:variant>
      <vt:variant>
        <vt:i4>488</vt:i4>
      </vt:variant>
      <vt:variant>
        <vt:i4>0</vt:i4>
      </vt:variant>
      <vt:variant>
        <vt:i4>5</vt:i4>
      </vt:variant>
      <vt:variant>
        <vt:lpwstr/>
      </vt:variant>
      <vt:variant>
        <vt:lpwstr>_Toc153791960</vt:lpwstr>
      </vt:variant>
      <vt:variant>
        <vt:i4>1114162</vt:i4>
      </vt:variant>
      <vt:variant>
        <vt:i4>482</vt:i4>
      </vt:variant>
      <vt:variant>
        <vt:i4>0</vt:i4>
      </vt:variant>
      <vt:variant>
        <vt:i4>5</vt:i4>
      </vt:variant>
      <vt:variant>
        <vt:lpwstr/>
      </vt:variant>
      <vt:variant>
        <vt:lpwstr>_Toc153791959</vt:lpwstr>
      </vt:variant>
      <vt:variant>
        <vt:i4>1114162</vt:i4>
      </vt:variant>
      <vt:variant>
        <vt:i4>476</vt:i4>
      </vt:variant>
      <vt:variant>
        <vt:i4>0</vt:i4>
      </vt:variant>
      <vt:variant>
        <vt:i4>5</vt:i4>
      </vt:variant>
      <vt:variant>
        <vt:lpwstr/>
      </vt:variant>
      <vt:variant>
        <vt:lpwstr>_Toc153791958</vt:lpwstr>
      </vt:variant>
      <vt:variant>
        <vt:i4>1114162</vt:i4>
      </vt:variant>
      <vt:variant>
        <vt:i4>470</vt:i4>
      </vt:variant>
      <vt:variant>
        <vt:i4>0</vt:i4>
      </vt:variant>
      <vt:variant>
        <vt:i4>5</vt:i4>
      </vt:variant>
      <vt:variant>
        <vt:lpwstr/>
      </vt:variant>
      <vt:variant>
        <vt:lpwstr>_Toc153791957</vt:lpwstr>
      </vt:variant>
      <vt:variant>
        <vt:i4>1114162</vt:i4>
      </vt:variant>
      <vt:variant>
        <vt:i4>464</vt:i4>
      </vt:variant>
      <vt:variant>
        <vt:i4>0</vt:i4>
      </vt:variant>
      <vt:variant>
        <vt:i4>5</vt:i4>
      </vt:variant>
      <vt:variant>
        <vt:lpwstr/>
      </vt:variant>
      <vt:variant>
        <vt:lpwstr>_Toc153791956</vt:lpwstr>
      </vt:variant>
      <vt:variant>
        <vt:i4>1114162</vt:i4>
      </vt:variant>
      <vt:variant>
        <vt:i4>458</vt:i4>
      </vt:variant>
      <vt:variant>
        <vt:i4>0</vt:i4>
      </vt:variant>
      <vt:variant>
        <vt:i4>5</vt:i4>
      </vt:variant>
      <vt:variant>
        <vt:lpwstr/>
      </vt:variant>
      <vt:variant>
        <vt:lpwstr>_Toc153791955</vt:lpwstr>
      </vt:variant>
      <vt:variant>
        <vt:i4>1114162</vt:i4>
      </vt:variant>
      <vt:variant>
        <vt:i4>452</vt:i4>
      </vt:variant>
      <vt:variant>
        <vt:i4>0</vt:i4>
      </vt:variant>
      <vt:variant>
        <vt:i4>5</vt:i4>
      </vt:variant>
      <vt:variant>
        <vt:lpwstr/>
      </vt:variant>
      <vt:variant>
        <vt:lpwstr>_Toc153791954</vt:lpwstr>
      </vt:variant>
      <vt:variant>
        <vt:i4>1114162</vt:i4>
      </vt:variant>
      <vt:variant>
        <vt:i4>446</vt:i4>
      </vt:variant>
      <vt:variant>
        <vt:i4>0</vt:i4>
      </vt:variant>
      <vt:variant>
        <vt:i4>5</vt:i4>
      </vt:variant>
      <vt:variant>
        <vt:lpwstr/>
      </vt:variant>
      <vt:variant>
        <vt:lpwstr>_Toc153791953</vt:lpwstr>
      </vt:variant>
      <vt:variant>
        <vt:i4>1114162</vt:i4>
      </vt:variant>
      <vt:variant>
        <vt:i4>440</vt:i4>
      </vt:variant>
      <vt:variant>
        <vt:i4>0</vt:i4>
      </vt:variant>
      <vt:variant>
        <vt:i4>5</vt:i4>
      </vt:variant>
      <vt:variant>
        <vt:lpwstr/>
      </vt:variant>
      <vt:variant>
        <vt:lpwstr>_Toc153791952</vt:lpwstr>
      </vt:variant>
      <vt:variant>
        <vt:i4>1114162</vt:i4>
      </vt:variant>
      <vt:variant>
        <vt:i4>434</vt:i4>
      </vt:variant>
      <vt:variant>
        <vt:i4>0</vt:i4>
      </vt:variant>
      <vt:variant>
        <vt:i4>5</vt:i4>
      </vt:variant>
      <vt:variant>
        <vt:lpwstr/>
      </vt:variant>
      <vt:variant>
        <vt:lpwstr>_Toc153791951</vt:lpwstr>
      </vt:variant>
      <vt:variant>
        <vt:i4>1114162</vt:i4>
      </vt:variant>
      <vt:variant>
        <vt:i4>428</vt:i4>
      </vt:variant>
      <vt:variant>
        <vt:i4>0</vt:i4>
      </vt:variant>
      <vt:variant>
        <vt:i4>5</vt:i4>
      </vt:variant>
      <vt:variant>
        <vt:lpwstr/>
      </vt:variant>
      <vt:variant>
        <vt:lpwstr>_Toc153791950</vt:lpwstr>
      </vt:variant>
      <vt:variant>
        <vt:i4>1048626</vt:i4>
      </vt:variant>
      <vt:variant>
        <vt:i4>422</vt:i4>
      </vt:variant>
      <vt:variant>
        <vt:i4>0</vt:i4>
      </vt:variant>
      <vt:variant>
        <vt:i4>5</vt:i4>
      </vt:variant>
      <vt:variant>
        <vt:lpwstr/>
      </vt:variant>
      <vt:variant>
        <vt:lpwstr>_Toc153791949</vt:lpwstr>
      </vt:variant>
      <vt:variant>
        <vt:i4>1048626</vt:i4>
      </vt:variant>
      <vt:variant>
        <vt:i4>416</vt:i4>
      </vt:variant>
      <vt:variant>
        <vt:i4>0</vt:i4>
      </vt:variant>
      <vt:variant>
        <vt:i4>5</vt:i4>
      </vt:variant>
      <vt:variant>
        <vt:lpwstr/>
      </vt:variant>
      <vt:variant>
        <vt:lpwstr>_Toc153791948</vt:lpwstr>
      </vt:variant>
      <vt:variant>
        <vt:i4>1048626</vt:i4>
      </vt:variant>
      <vt:variant>
        <vt:i4>410</vt:i4>
      </vt:variant>
      <vt:variant>
        <vt:i4>0</vt:i4>
      </vt:variant>
      <vt:variant>
        <vt:i4>5</vt:i4>
      </vt:variant>
      <vt:variant>
        <vt:lpwstr/>
      </vt:variant>
      <vt:variant>
        <vt:lpwstr>_Toc153791947</vt:lpwstr>
      </vt:variant>
      <vt:variant>
        <vt:i4>1048626</vt:i4>
      </vt:variant>
      <vt:variant>
        <vt:i4>404</vt:i4>
      </vt:variant>
      <vt:variant>
        <vt:i4>0</vt:i4>
      </vt:variant>
      <vt:variant>
        <vt:i4>5</vt:i4>
      </vt:variant>
      <vt:variant>
        <vt:lpwstr/>
      </vt:variant>
      <vt:variant>
        <vt:lpwstr>_Toc153791946</vt:lpwstr>
      </vt:variant>
      <vt:variant>
        <vt:i4>1048626</vt:i4>
      </vt:variant>
      <vt:variant>
        <vt:i4>398</vt:i4>
      </vt:variant>
      <vt:variant>
        <vt:i4>0</vt:i4>
      </vt:variant>
      <vt:variant>
        <vt:i4>5</vt:i4>
      </vt:variant>
      <vt:variant>
        <vt:lpwstr/>
      </vt:variant>
      <vt:variant>
        <vt:lpwstr>_Toc153791945</vt:lpwstr>
      </vt:variant>
      <vt:variant>
        <vt:i4>1048626</vt:i4>
      </vt:variant>
      <vt:variant>
        <vt:i4>392</vt:i4>
      </vt:variant>
      <vt:variant>
        <vt:i4>0</vt:i4>
      </vt:variant>
      <vt:variant>
        <vt:i4>5</vt:i4>
      </vt:variant>
      <vt:variant>
        <vt:lpwstr/>
      </vt:variant>
      <vt:variant>
        <vt:lpwstr>_Toc153791944</vt:lpwstr>
      </vt:variant>
      <vt:variant>
        <vt:i4>1048626</vt:i4>
      </vt:variant>
      <vt:variant>
        <vt:i4>386</vt:i4>
      </vt:variant>
      <vt:variant>
        <vt:i4>0</vt:i4>
      </vt:variant>
      <vt:variant>
        <vt:i4>5</vt:i4>
      </vt:variant>
      <vt:variant>
        <vt:lpwstr/>
      </vt:variant>
      <vt:variant>
        <vt:lpwstr>_Toc153791943</vt:lpwstr>
      </vt:variant>
      <vt:variant>
        <vt:i4>1048626</vt:i4>
      </vt:variant>
      <vt:variant>
        <vt:i4>380</vt:i4>
      </vt:variant>
      <vt:variant>
        <vt:i4>0</vt:i4>
      </vt:variant>
      <vt:variant>
        <vt:i4>5</vt:i4>
      </vt:variant>
      <vt:variant>
        <vt:lpwstr/>
      </vt:variant>
      <vt:variant>
        <vt:lpwstr>_Toc153791942</vt:lpwstr>
      </vt:variant>
      <vt:variant>
        <vt:i4>1048626</vt:i4>
      </vt:variant>
      <vt:variant>
        <vt:i4>374</vt:i4>
      </vt:variant>
      <vt:variant>
        <vt:i4>0</vt:i4>
      </vt:variant>
      <vt:variant>
        <vt:i4>5</vt:i4>
      </vt:variant>
      <vt:variant>
        <vt:lpwstr/>
      </vt:variant>
      <vt:variant>
        <vt:lpwstr>_Toc153791941</vt:lpwstr>
      </vt:variant>
      <vt:variant>
        <vt:i4>1048626</vt:i4>
      </vt:variant>
      <vt:variant>
        <vt:i4>368</vt:i4>
      </vt:variant>
      <vt:variant>
        <vt:i4>0</vt:i4>
      </vt:variant>
      <vt:variant>
        <vt:i4>5</vt:i4>
      </vt:variant>
      <vt:variant>
        <vt:lpwstr/>
      </vt:variant>
      <vt:variant>
        <vt:lpwstr>_Toc153791940</vt:lpwstr>
      </vt:variant>
      <vt:variant>
        <vt:i4>1507378</vt:i4>
      </vt:variant>
      <vt:variant>
        <vt:i4>362</vt:i4>
      </vt:variant>
      <vt:variant>
        <vt:i4>0</vt:i4>
      </vt:variant>
      <vt:variant>
        <vt:i4>5</vt:i4>
      </vt:variant>
      <vt:variant>
        <vt:lpwstr/>
      </vt:variant>
      <vt:variant>
        <vt:lpwstr>_Toc153791939</vt:lpwstr>
      </vt:variant>
      <vt:variant>
        <vt:i4>1507378</vt:i4>
      </vt:variant>
      <vt:variant>
        <vt:i4>356</vt:i4>
      </vt:variant>
      <vt:variant>
        <vt:i4>0</vt:i4>
      </vt:variant>
      <vt:variant>
        <vt:i4>5</vt:i4>
      </vt:variant>
      <vt:variant>
        <vt:lpwstr/>
      </vt:variant>
      <vt:variant>
        <vt:lpwstr>_Toc153791938</vt:lpwstr>
      </vt:variant>
      <vt:variant>
        <vt:i4>1507378</vt:i4>
      </vt:variant>
      <vt:variant>
        <vt:i4>350</vt:i4>
      </vt:variant>
      <vt:variant>
        <vt:i4>0</vt:i4>
      </vt:variant>
      <vt:variant>
        <vt:i4>5</vt:i4>
      </vt:variant>
      <vt:variant>
        <vt:lpwstr/>
      </vt:variant>
      <vt:variant>
        <vt:lpwstr>_Toc153791937</vt:lpwstr>
      </vt:variant>
      <vt:variant>
        <vt:i4>1507378</vt:i4>
      </vt:variant>
      <vt:variant>
        <vt:i4>344</vt:i4>
      </vt:variant>
      <vt:variant>
        <vt:i4>0</vt:i4>
      </vt:variant>
      <vt:variant>
        <vt:i4>5</vt:i4>
      </vt:variant>
      <vt:variant>
        <vt:lpwstr/>
      </vt:variant>
      <vt:variant>
        <vt:lpwstr>_Toc153791936</vt:lpwstr>
      </vt:variant>
      <vt:variant>
        <vt:i4>1507378</vt:i4>
      </vt:variant>
      <vt:variant>
        <vt:i4>338</vt:i4>
      </vt:variant>
      <vt:variant>
        <vt:i4>0</vt:i4>
      </vt:variant>
      <vt:variant>
        <vt:i4>5</vt:i4>
      </vt:variant>
      <vt:variant>
        <vt:lpwstr/>
      </vt:variant>
      <vt:variant>
        <vt:lpwstr>_Toc153791935</vt:lpwstr>
      </vt:variant>
      <vt:variant>
        <vt:i4>1507378</vt:i4>
      </vt:variant>
      <vt:variant>
        <vt:i4>332</vt:i4>
      </vt:variant>
      <vt:variant>
        <vt:i4>0</vt:i4>
      </vt:variant>
      <vt:variant>
        <vt:i4>5</vt:i4>
      </vt:variant>
      <vt:variant>
        <vt:lpwstr/>
      </vt:variant>
      <vt:variant>
        <vt:lpwstr>_Toc153791934</vt:lpwstr>
      </vt:variant>
      <vt:variant>
        <vt:i4>1507378</vt:i4>
      </vt:variant>
      <vt:variant>
        <vt:i4>326</vt:i4>
      </vt:variant>
      <vt:variant>
        <vt:i4>0</vt:i4>
      </vt:variant>
      <vt:variant>
        <vt:i4>5</vt:i4>
      </vt:variant>
      <vt:variant>
        <vt:lpwstr/>
      </vt:variant>
      <vt:variant>
        <vt:lpwstr>_Toc153791933</vt:lpwstr>
      </vt:variant>
      <vt:variant>
        <vt:i4>1507378</vt:i4>
      </vt:variant>
      <vt:variant>
        <vt:i4>320</vt:i4>
      </vt:variant>
      <vt:variant>
        <vt:i4>0</vt:i4>
      </vt:variant>
      <vt:variant>
        <vt:i4>5</vt:i4>
      </vt:variant>
      <vt:variant>
        <vt:lpwstr/>
      </vt:variant>
      <vt:variant>
        <vt:lpwstr>_Toc153791932</vt:lpwstr>
      </vt:variant>
      <vt:variant>
        <vt:i4>1507378</vt:i4>
      </vt:variant>
      <vt:variant>
        <vt:i4>314</vt:i4>
      </vt:variant>
      <vt:variant>
        <vt:i4>0</vt:i4>
      </vt:variant>
      <vt:variant>
        <vt:i4>5</vt:i4>
      </vt:variant>
      <vt:variant>
        <vt:lpwstr/>
      </vt:variant>
      <vt:variant>
        <vt:lpwstr>_Toc153791931</vt:lpwstr>
      </vt:variant>
      <vt:variant>
        <vt:i4>1507378</vt:i4>
      </vt:variant>
      <vt:variant>
        <vt:i4>308</vt:i4>
      </vt:variant>
      <vt:variant>
        <vt:i4>0</vt:i4>
      </vt:variant>
      <vt:variant>
        <vt:i4>5</vt:i4>
      </vt:variant>
      <vt:variant>
        <vt:lpwstr/>
      </vt:variant>
      <vt:variant>
        <vt:lpwstr>_Toc153791930</vt:lpwstr>
      </vt:variant>
      <vt:variant>
        <vt:i4>1441842</vt:i4>
      </vt:variant>
      <vt:variant>
        <vt:i4>302</vt:i4>
      </vt:variant>
      <vt:variant>
        <vt:i4>0</vt:i4>
      </vt:variant>
      <vt:variant>
        <vt:i4>5</vt:i4>
      </vt:variant>
      <vt:variant>
        <vt:lpwstr/>
      </vt:variant>
      <vt:variant>
        <vt:lpwstr>_Toc153791929</vt:lpwstr>
      </vt:variant>
      <vt:variant>
        <vt:i4>1441842</vt:i4>
      </vt:variant>
      <vt:variant>
        <vt:i4>296</vt:i4>
      </vt:variant>
      <vt:variant>
        <vt:i4>0</vt:i4>
      </vt:variant>
      <vt:variant>
        <vt:i4>5</vt:i4>
      </vt:variant>
      <vt:variant>
        <vt:lpwstr/>
      </vt:variant>
      <vt:variant>
        <vt:lpwstr>_Toc153791928</vt:lpwstr>
      </vt:variant>
      <vt:variant>
        <vt:i4>1441842</vt:i4>
      </vt:variant>
      <vt:variant>
        <vt:i4>290</vt:i4>
      </vt:variant>
      <vt:variant>
        <vt:i4>0</vt:i4>
      </vt:variant>
      <vt:variant>
        <vt:i4>5</vt:i4>
      </vt:variant>
      <vt:variant>
        <vt:lpwstr/>
      </vt:variant>
      <vt:variant>
        <vt:lpwstr>_Toc153791927</vt:lpwstr>
      </vt:variant>
      <vt:variant>
        <vt:i4>1441842</vt:i4>
      </vt:variant>
      <vt:variant>
        <vt:i4>284</vt:i4>
      </vt:variant>
      <vt:variant>
        <vt:i4>0</vt:i4>
      </vt:variant>
      <vt:variant>
        <vt:i4>5</vt:i4>
      </vt:variant>
      <vt:variant>
        <vt:lpwstr/>
      </vt:variant>
      <vt:variant>
        <vt:lpwstr>_Toc153791926</vt:lpwstr>
      </vt:variant>
      <vt:variant>
        <vt:i4>1441842</vt:i4>
      </vt:variant>
      <vt:variant>
        <vt:i4>278</vt:i4>
      </vt:variant>
      <vt:variant>
        <vt:i4>0</vt:i4>
      </vt:variant>
      <vt:variant>
        <vt:i4>5</vt:i4>
      </vt:variant>
      <vt:variant>
        <vt:lpwstr/>
      </vt:variant>
      <vt:variant>
        <vt:lpwstr>_Toc153791925</vt:lpwstr>
      </vt:variant>
      <vt:variant>
        <vt:i4>1441842</vt:i4>
      </vt:variant>
      <vt:variant>
        <vt:i4>272</vt:i4>
      </vt:variant>
      <vt:variant>
        <vt:i4>0</vt:i4>
      </vt:variant>
      <vt:variant>
        <vt:i4>5</vt:i4>
      </vt:variant>
      <vt:variant>
        <vt:lpwstr/>
      </vt:variant>
      <vt:variant>
        <vt:lpwstr>_Toc153791924</vt:lpwstr>
      </vt:variant>
      <vt:variant>
        <vt:i4>1441842</vt:i4>
      </vt:variant>
      <vt:variant>
        <vt:i4>266</vt:i4>
      </vt:variant>
      <vt:variant>
        <vt:i4>0</vt:i4>
      </vt:variant>
      <vt:variant>
        <vt:i4>5</vt:i4>
      </vt:variant>
      <vt:variant>
        <vt:lpwstr/>
      </vt:variant>
      <vt:variant>
        <vt:lpwstr>_Toc153791923</vt:lpwstr>
      </vt:variant>
      <vt:variant>
        <vt:i4>1441842</vt:i4>
      </vt:variant>
      <vt:variant>
        <vt:i4>260</vt:i4>
      </vt:variant>
      <vt:variant>
        <vt:i4>0</vt:i4>
      </vt:variant>
      <vt:variant>
        <vt:i4>5</vt:i4>
      </vt:variant>
      <vt:variant>
        <vt:lpwstr/>
      </vt:variant>
      <vt:variant>
        <vt:lpwstr>_Toc153791922</vt:lpwstr>
      </vt:variant>
      <vt:variant>
        <vt:i4>1441842</vt:i4>
      </vt:variant>
      <vt:variant>
        <vt:i4>254</vt:i4>
      </vt:variant>
      <vt:variant>
        <vt:i4>0</vt:i4>
      </vt:variant>
      <vt:variant>
        <vt:i4>5</vt:i4>
      </vt:variant>
      <vt:variant>
        <vt:lpwstr/>
      </vt:variant>
      <vt:variant>
        <vt:lpwstr>_Toc153791921</vt:lpwstr>
      </vt:variant>
      <vt:variant>
        <vt:i4>1441842</vt:i4>
      </vt:variant>
      <vt:variant>
        <vt:i4>248</vt:i4>
      </vt:variant>
      <vt:variant>
        <vt:i4>0</vt:i4>
      </vt:variant>
      <vt:variant>
        <vt:i4>5</vt:i4>
      </vt:variant>
      <vt:variant>
        <vt:lpwstr/>
      </vt:variant>
      <vt:variant>
        <vt:lpwstr>_Toc153791920</vt:lpwstr>
      </vt:variant>
      <vt:variant>
        <vt:i4>1376306</vt:i4>
      </vt:variant>
      <vt:variant>
        <vt:i4>242</vt:i4>
      </vt:variant>
      <vt:variant>
        <vt:i4>0</vt:i4>
      </vt:variant>
      <vt:variant>
        <vt:i4>5</vt:i4>
      </vt:variant>
      <vt:variant>
        <vt:lpwstr/>
      </vt:variant>
      <vt:variant>
        <vt:lpwstr>_Toc153791919</vt:lpwstr>
      </vt:variant>
      <vt:variant>
        <vt:i4>1376306</vt:i4>
      </vt:variant>
      <vt:variant>
        <vt:i4>236</vt:i4>
      </vt:variant>
      <vt:variant>
        <vt:i4>0</vt:i4>
      </vt:variant>
      <vt:variant>
        <vt:i4>5</vt:i4>
      </vt:variant>
      <vt:variant>
        <vt:lpwstr/>
      </vt:variant>
      <vt:variant>
        <vt:lpwstr>_Toc153791918</vt:lpwstr>
      </vt:variant>
      <vt:variant>
        <vt:i4>1376306</vt:i4>
      </vt:variant>
      <vt:variant>
        <vt:i4>230</vt:i4>
      </vt:variant>
      <vt:variant>
        <vt:i4>0</vt:i4>
      </vt:variant>
      <vt:variant>
        <vt:i4>5</vt:i4>
      </vt:variant>
      <vt:variant>
        <vt:lpwstr/>
      </vt:variant>
      <vt:variant>
        <vt:lpwstr>_Toc153791917</vt:lpwstr>
      </vt:variant>
      <vt:variant>
        <vt:i4>1376306</vt:i4>
      </vt:variant>
      <vt:variant>
        <vt:i4>224</vt:i4>
      </vt:variant>
      <vt:variant>
        <vt:i4>0</vt:i4>
      </vt:variant>
      <vt:variant>
        <vt:i4>5</vt:i4>
      </vt:variant>
      <vt:variant>
        <vt:lpwstr/>
      </vt:variant>
      <vt:variant>
        <vt:lpwstr>_Toc153791916</vt:lpwstr>
      </vt:variant>
      <vt:variant>
        <vt:i4>1376306</vt:i4>
      </vt:variant>
      <vt:variant>
        <vt:i4>218</vt:i4>
      </vt:variant>
      <vt:variant>
        <vt:i4>0</vt:i4>
      </vt:variant>
      <vt:variant>
        <vt:i4>5</vt:i4>
      </vt:variant>
      <vt:variant>
        <vt:lpwstr/>
      </vt:variant>
      <vt:variant>
        <vt:lpwstr>_Toc153791915</vt:lpwstr>
      </vt:variant>
      <vt:variant>
        <vt:i4>1376306</vt:i4>
      </vt:variant>
      <vt:variant>
        <vt:i4>212</vt:i4>
      </vt:variant>
      <vt:variant>
        <vt:i4>0</vt:i4>
      </vt:variant>
      <vt:variant>
        <vt:i4>5</vt:i4>
      </vt:variant>
      <vt:variant>
        <vt:lpwstr/>
      </vt:variant>
      <vt:variant>
        <vt:lpwstr>_Toc153791914</vt:lpwstr>
      </vt:variant>
      <vt:variant>
        <vt:i4>1376306</vt:i4>
      </vt:variant>
      <vt:variant>
        <vt:i4>206</vt:i4>
      </vt:variant>
      <vt:variant>
        <vt:i4>0</vt:i4>
      </vt:variant>
      <vt:variant>
        <vt:i4>5</vt:i4>
      </vt:variant>
      <vt:variant>
        <vt:lpwstr/>
      </vt:variant>
      <vt:variant>
        <vt:lpwstr>_Toc153791913</vt:lpwstr>
      </vt:variant>
      <vt:variant>
        <vt:i4>1376306</vt:i4>
      </vt:variant>
      <vt:variant>
        <vt:i4>200</vt:i4>
      </vt:variant>
      <vt:variant>
        <vt:i4>0</vt:i4>
      </vt:variant>
      <vt:variant>
        <vt:i4>5</vt:i4>
      </vt:variant>
      <vt:variant>
        <vt:lpwstr/>
      </vt:variant>
      <vt:variant>
        <vt:lpwstr>_Toc153791912</vt:lpwstr>
      </vt:variant>
      <vt:variant>
        <vt:i4>1376306</vt:i4>
      </vt:variant>
      <vt:variant>
        <vt:i4>194</vt:i4>
      </vt:variant>
      <vt:variant>
        <vt:i4>0</vt:i4>
      </vt:variant>
      <vt:variant>
        <vt:i4>5</vt:i4>
      </vt:variant>
      <vt:variant>
        <vt:lpwstr/>
      </vt:variant>
      <vt:variant>
        <vt:lpwstr>_Toc153791911</vt:lpwstr>
      </vt:variant>
      <vt:variant>
        <vt:i4>1376306</vt:i4>
      </vt:variant>
      <vt:variant>
        <vt:i4>188</vt:i4>
      </vt:variant>
      <vt:variant>
        <vt:i4>0</vt:i4>
      </vt:variant>
      <vt:variant>
        <vt:i4>5</vt:i4>
      </vt:variant>
      <vt:variant>
        <vt:lpwstr/>
      </vt:variant>
      <vt:variant>
        <vt:lpwstr>_Toc153791910</vt:lpwstr>
      </vt:variant>
      <vt:variant>
        <vt:i4>1310770</vt:i4>
      </vt:variant>
      <vt:variant>
        <vt:i4>182</vt:i4>
      </vt:variant>
      <vt:variant>
        <vt:i4>0</vt:i4>
      </vt:variant>
      <vt:variant>
        <vt:i4>5</vt:i4>
      </vt:variant>
      <vt:variant>
        <vt:lpwstr/>
      </vt:variant>
      <vt:variant>
        <vt:lpwstr>_Toc153791909</vt:lpwstr>
      </vt:variant>
      <vt:variant>
        <vt:i4>1310770</vt:i4>
      </vt:variant>
      <vt:variant>
        <vt:i4>176</vt:i4>
      </vt:variant>
      <vt:variant>
        <vt:i4>0</vt:i4>
      </vt:variant>
      <vt:variant>
        <vt:i4>5</vt:i4>
      </vt:variant>
      <vt:variant>
        <vt:lpwstr/>
      </vt:variant>
      <vt:variant>
        <vt:lpwstr>_Toc153791908</vt:lpwstr>
      </vt:variant>
      <vt:variant>
        <vt:i4>1310770</vt:i4>
      </vt:variant>
      <vt:variant>
        <vt:i4>170</vt:i4>
      </vt:variant>
      <vt:variant>
        <vt:i4>0</vt:i4>
      </vt:variant>
      <vt:variant>
        <vt:i4>5</vt:i4>
      </vt:variant>
      <vt:variant>
        <vt:lpwstr/>
      </vt:variant>
      <vt:variant>
        <vt:lpwstr>_Toc153791907</vt:lpwstr>
      </vt:variant>
      <vt:variant>
        <vt:i4>1310770</vt:i4>
      </vt:variant>
      <vt:variant>
        <vt:i4>164</vt:i4>
      </vt:variant>
      <vt:variant>
        <vt:i4>0</vt:i4>
      </vt:variant>
      <vt:variant>
        <vt:i4>5</vt:i4>
      </vt:variant>
      <vt:variant>
        <vt:lpwstr/>
      </vt:variant>
      <vt:variant>
        <vt:lpwstr>_Toc153791906</vt:lpwstr>
      </vt:variant>
      <vt:variant>
        <vt:i4>1310770</vt:i4>
      </vt:variant>
      <vt:variant>
        <vt:i4>158</vt:i4>
      </vt:variant>
      <vt:variant>
        <vt:i4>0</vt:i4>
      </vt:variant>
      <vt:variant>
        <vt:i4>5</vt:i4>
      </vt:variant>
      <vt:variant>
        <vt:lpwstr/>
      </vt:variant>
      <vt:variant>
        <vt:lpwstr>_Toc153791905</vt:lpwstr>
      </vt:variant>
      <vt:variant>
        <vt:i4>1310770</vt:i4>
      </vt:variant>
      <vt:variant>
        <vt:i4>152</vt:i4>
      </vt:variant>
      <vt:variant>
        <vt:i4>0</vt:i4>
      </vt:variant>
      <vt:variant>
        <vt:i4>5</vt:i4>
      </vt:variant>
      <vt:variant>
        <vt:lpwstr/>
      </vt:variant>
      <vt:variant>
        <vt:lpwstr>_Toc153791904</vt:lpwstr>
      </vt:variant>
      <vt:variant>
        <vt:i4>1310770</vt:i4>
      </vt:variant>
      <vt:variant>
        <vt:i4>146</vt:i4>
      </vt:variant>
      <vt:variant>
        <vt:i4>0</vt:i4>
      </vt:variant>
      <vt:variant>
        <vt:i4>5</vt:i4>
      </vt:variant>
      <vt:variant>
        <vt:lpwstr/>
      </vt:variant>
      <vt:variant>
        <vt:lpwstr>_Toc153791903</vt:lpwstr>
      </vt:variant>
      <vt:variant>
        <vt:i4>1310770</vt:i4>
      </vt:variant>
      <vt:variant>
        <vt:i4>140</vt:i4>
      </vt:variant>
      <vt:variant>
        <vt:i4>0</vt:i4>
      </vt:variant>
      <vt:variant>
        <vt:i4>5</vt:i4>
      </vt:variant>
      <vt:variant>
        <vt:lpwstr/>
      </vt:variant>
      <vt:variant>
        <vt:lpwstr>_Toc153791902</vt:lpwstr>
      </vt:variant>
      <vt:variant>
        <vt:i4>1310770</vt:i4>
      </vt:variant>
      <vt:variant>
        <vt:i4>134</vt:i4>
      </vt:variant>
      <vt:variant>
        <vt:i4>0</vt:i4>
      </vt:variant>
      <vt:variant>
        <vt:i4>5</vt:i4>
      </vt:variant>
      <vt:variant>
        <vt:lpwstr/>
      </vt:variant>
      <vt:variant>
        <vt:lpwstr>_Toc153791901</vt:lpwstr>
      </vt:variant>
      <vt:variant>
        <vt:i4>1310770</vt:i4>
      </vt:variant>
      <vt:variant>
        <vt:i4>128</vt:i4>
      </vt:variant>
      <vt:variant>
        <vt:i4>0</vt:i4>
      </vt:variant>
      <vt:variant>
        <vt:i4>5</vt:i4>
      </vt:variant>
      <vt:variant>
        <vt:lpwstr/>
      </vt:variant>
      <vt:variant>
        <vt:lpwstr>_Toc153791900</vt:lpwstr>
      </vt:variant>
      <vt:variant>
        <vt:i4>1900595</vt:i4>
      </vt:variant>
      <vt:variant>
        <vt:i4>122</vt:i4>
      </vt:variant>
      <vt:variant>
        <vt:i4>0</vt:i4>
      </vt:variant>
      <vt:variant>
        <vt:i4>5</vt:i4>
      </vt:variant>
      <vt:variant>
        <vt:lpwstr/>
      </vt:variant>
      <vt:variant>
        <vt:lpwstr>_Toc153791899</vt:lpwstr>
      </vt:variant>
      <vt:variant>
        <vt:i4>1900595</vt:i4>
      </vt:variant>
      <vt:variant>
        <vt:i4>116</vt:i4>
      </vt:variant>
      <vt:variant>
        <vt:i4>0</vt:i4>
      </vt:variant>
      <vt:variant>
        <vt:i4>5</vt:i4>
      </vt:variant>
      <vt:variant>
        <vt:lpwstr/>
      </vt:variant>
      <vt:variant>
        <vt:lpwstr>_Toc153791898</vt:lpwstr>
      </vt:variant>
      <vt:variant>
        <vt:i4>1900595</vt:i4>
      </vt:variant>
      <vt:variant>
        <vt:i4>110</vt:i4>
      </vt:variant>
      <vt:variant>
        <vt:i4>0</vt:i4>
      </vt:variant>
      <vt:variant>
        <vt:i4>5</vt:i4>
      </vt:variant>
      <vt:variant>
        <vt:lpwstr/>
      </vt:variant>
      <vt:variant>
        <vt:lpwstr>_Toc153791897</vt:lpwstr>
      </vt:variant>
      <vt:variant>
        <vt:i4>1900595</vt:i4>
      </vt:variant>
      <vt:variant>
        <vt:i4>104</vt:i4>
      </vt:variant>
      <vt:variant>
        <vt:i4>0</vt:i4>
      </vt:variant>
      <vt:variant>
        <vt:i4>5</vt:i4>
      </vt:variant>
      <vt:variant>
        <vt:lpwstr/>
      </vt:variant>
      <vt:variant>
        <vt:lpwstr>_Toc153791896</vt:lpwstr>
      </vt:variant>
      <vt:variant>
        <vt:i4>1900595</vt:i4>
      </vt:variant>
      <vt:variant>
        <vt:i4>98</vt:i4>
      </vt:variant>
      <vt:variant>
        <vt:i4>0</vt:i4>
      </vt:variant>
      <vt:variant>
        <vt:i4>5</vt:i4>
      </vt:variant>
      <vt:variant>
        <vt:lpwstr/>
      </vt:variant>
      <vt:variant>
        <vt:lpwstr>_Toc153791895</vt:lpwstr>
      </vt:variant>
      <vt:variant>
        <vt:i4>1900595</vt:i4>
      </vt:variant>
      <vt:variant>
        <vt:i4>92</vt:i4>
      </vt:variant>
      <vt:variant>
        <vt:i4>0</vt:i4>
      </vt:variant>
      <vt:variant>
        <vt:i4>5</vt:i4>
      </vt:variant>
      <vt:variant>
        <vt:lpwstr/>
      </vt:variant>
      <vt:variant>
        <vt:lpwstr>_Toc153791894</vt:lpwstr>
      </vt:variant>
      <vt:variant>
        <vt:i4>1900595</vt:i4>
      </vt:variant>
      <vt:variant>
        <vt:i4>86</vt:i4>
      </vt:variant>
      <vt:variant>
        <vt:i4>0</vt:i4>
      </vt:variant>
      <vt:variant>
        <vt:i4>5</vt:i4>
      </vt:variant>
      <vt:variant>
        <vt:lpwstr/>
      </vt:variant>
      <vt:variant>
        <vt:lpwstr>_Toc153791893</vt:lpwstr>
      </vt:variant>
      <vt:variant>
        <vt:i4>1900595</vt:i4>
      </vt:variant>
      <vt:variant>
        <vt:i4>80</vt:i4>
      </vt:variant>
      <vt:variant>
        <vt:i4>0</vt:i4>
      </vt:variant>
      <vt:variant>
        <vt:i4>5</vt:i4>
      </vt:variant>
      <vt:variant>
        <vt:lpwstr/>
      </vt:variant>
      <vt:variant>
        <vt:lpwstr>_Toc153791892</vt:lpwstr>
      </vt:variant>
      <vt:variant>
        <vt:i4>1900595</vt:i4>
      </vt:variant>
      <vt:variant>
        <vt:i4>74</vt:i4>
      </vt:variant>
      <vt:variant>
        <vt:i4>0</vt:i4>
      </vt:variant>
      <vt:variant>
        <vt:i4>5</vt:i4>
      </vt:variant>
      <vt:variant>
        <vt:lpwstr/>
      </vt:variant>
      <vt:variant>
        <vt:lpwstr>_Toc153791891</vt:lpwstr>
      </vt:variant>
      <vt:variant>
        <vt:i4>1900595</vt:i4>
      </vt:variant>
      <vt:variant>
        <vt:i4>68</vt:i4>
      </vt:variant>
      <vt:variant>
        <vt:i4>0</vt:i4>
      </vt:variant>
      <vt:variant>
        <vt:i4>5</vt:i4>
      </vt:variant>
      <vt:variant>
        <vt:lpwstr/>
      </vt:variant>
      <vt:variant>
        <vt:lpwstr>_Toc153791890</vt:lpwstr>
      </vt:variant>
      <vt:variant>
        <vt:i4>1835059</vt:i4>
      </vt:variant>
      <vt:variant>
        <vt:i4>62</vt:i4>
      </vt:variant>
      <vt:variant>
        <vt:i4>0</vt:i4>
      </vt:variant>
      <vt:variant>
        <vt:i4>5</vt:i4>
      </vt:variant>
      <vt:variant>
        <vt:lpwstr/>
      </vt:variant>
      <vt:variant>
        <vt:lpwstr>_Toc153791889</vt:lpwstr>
      </vt:variant>
      <vt:variant>
        <vt:i4>1835059</vt:i4>
      </vt:variant>
      <vt:variant>
        <vt:i4>56</vt:i4>
      </vt:variant>
      <vt:variant>
        <vt:i4>0</vt:i4>
      </vt:variant>
      <vt:variant>
        <vt:i4>5</vt:i4>
      </vt:variant>
      <vt:variant>
        <vt:lpwstr/>
      </vt:variant>
      <vt:variant>
        <vt:lpwstr>_Toc153791888</vt:lpwstr>
      </vt:variant>
      <vt:variant>
        <vt:i4>1835059</vt:i4>
      </vt:variant>
      <vt:variant>
        <vt:i4>50</vt:i4>
      </vt:variant>
      <vt:variant>
        <vt:i4>0</vt:i4>
      </vt:variant>
      <vt:variant>
        <vt:i4>5</vt:i4>
      </vt:variant>
      <vt:variant>
        <vt:lpwstr/>
      </vt:variant>
      <vt:variant>
        <vt:lpwstr>_Toc153791887</vt:lpwstr>
      </vt:variant>
      <vt:variant>
        <vt:i4>1835059</vt:i4>
      </vt:variant>
      <vt:variant>
        <vt:i4>44</vt:i4>
      </vt:variant>
      <vt:variant>
        <vt:i4>0</vt:i4>
      </vt:variant>
      <vt:variant>
        <vt:i4>5</vt:i4>
      </vt:variant>
      <vt:variant>
        <vt:lpwstr/>
      </vt:variant>
      <vt:variant>
        <vt:lpwstr>_Toc153791886</vt:lpwstr>
      </vt:variant>
      <vt:variant>
        <vt:i4>1835059</vt:i4>
      </vt:variant>
      <vt:variant>
        <vt:i4>38</vt:i4>
      </vt:variant>
      <vt:variant>
        <vt:i4>0</vt:i4>
      </vt:variant>
      <vt:variant>
        <vt:i4>5</vt:i4>
      </vt:variant>
      <vt:variant>
        <vt:lpwstr/>
      </vt:variant>
      <vt:variant>
        <vt:lpwstr>_Toc153791885</vt:lpwstr>
      </vt:variant>
      <vt:variant>
        <vt:i4>1835059</vt:i4>
      </vt:variant>
      <vt:variant>
        <vt:i4>32</vt:i4>
      </vt:variant>
      <vt:variant>
        <vt:i4>0</vt:i4>
      </vt:variant>
      <vt:variant>
        <vt:i4>5</vt:i4>
      </vt:variant>
      <vt:variant>
        <vt:lpwstr/>
      </vt:variant>
      <vt:variant>
        <vt:lpwstr>_Toc153791884</vt:lpwstr>
      </vt:variant>
      <vt:variant>
        <vt:i4>1835059</vt:i4>
      </vt:variant>
      <vt:variant>
        <vt:i4>26</vt:i4>
      </vt:variant>
      <vt:variant>
        <vt:i4>0</vt:i4>
      </vt:variant>
      <vt:variant>
        <vt:i4>5</vt:i4>
      </vt:variant>
      <vt:variant>
        <vt:lpwstr/>
      </vt:variant>
      <vt:variant>
        <vt:lpwstr>_Toc153791883</vt:lpwstr>
      </vt:variant>
      <vt:variant>
        <vt:i4>1835059</vt:i4>
      </vt:variant>
      <vt:variant>
        <vt:i4>20</vt:i4>
      </vt:variant>
      <vt:variant>
        <vt:i4>0</vt:i4>
      </vt:variant>
      <vt:variant>
        <vt:i4>5</vt:i4>
      </vt:variant>
      <vt:variant>
        <vt:lpwstr/>
      </vt:variant>
      <vt:variant>
        <vt:lpwstr>_Toc153791882</vt:lpwstr>
      </vt:variant>
      <vt:variant>
        <vt:i4>1835059</vt:i4>
      </vt:variant>
      <vt:variant>
        <vt:i4>14</vt:i4>
      </vt:variant>
      <vt:variant>
        <vt:i4>0</vt:i4>
      </vt:variant>
      <vt:variant>
        <vt:i4>5</vt:i4>
      </vt:variant>
      <vt:variant>
        <vt:lpwstr/>
      </vt:variant>
      <vt:variant>
        <vt:lpwstr>_Toc153791881</vt:lpwstr>
      </vt:variant>
      <vt:variant>
        <vt:i4>1835059</vt:i4>
      </vt:variant>
      <vt:variant>
        <vt:i4>8</vt:i4>
      </vt:variant>
      <vt:variant>
        <vt:i4>0</vt:i4>
      </vt:variant>
      <vt:variant>
        <vt:i4>5</vt:i4>
      </vt:variant>
      <vt:variant>
        <vt:lpwstr/>
      </vt:variant>
      <vt:variant>
        <vt:lpwstr>_Toc153791880</vt:lpwstr>
      </vt:variant>
      <vt:variant>
        <vt:i4>1245235</vt:i4>
      </vt:variant>
      <vt:variant>
        <vt:i4>2</vt:i4>
      </vt:variant>
      <vt:variant>
        <vt:i4>0</vt:i4>
      </vt:variant>
      <vt:variant>
        <vt:i4>5</vt:i4>
      </vt:variant>
      <vt:variant>
        <vt:lpwstr/>
      </vt:variant>
      <vt:variant>
        <vt:lpwstr>_Toc153791879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2024-01-08T09:03:00Z</dcterms:created>
  <dcterms:modified xsi:type="dcterms:W3CDTF">2024-01-09T22:16:00Z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GrammarlyDocumentId">
    <vt:lpwstr>eb5cc21e833a6d95463a9a4f73f1484d6935b65622bbfe970ef30561095c62b2</vt:lpwstr>
  </property>
  <property fmtid="{D5CDD505-2E9C-101B-9397-08002B2CF9AE}" pid="4" name="MediaServiceImageTags">
    <vt:lpwstr/>
  </property>
</Properties>
</file>