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2E3E3" w14:textId="77777777" w:rsidR="004C666B" w:rsidRPr="00E23AB0" w:rsidRDefault="004C666B">
      <w:pPr>
        <w:pStyle w:val="BodyText"/>
        <w:rPr>
          <w:rFonts w:ascii="Times New Roman"/>
          <w:lang w:val="en-GB"/>
        </w:rPr>
      </w:pPr>
    </w:p>
    <w:p w14:paraId="075DBD3A" w14:textId="77777777" w:rsidR="005412A5" w:rsidRPr="00E23AB0" w:rsidRDefault="005412A5" w:rsidP="005412A5">
      <w:pPr>
        <w:spacing w:before="120"/>
        <w:ind w:left="1133" w:right="1276"/>
        <w:rPr>
          <w:bCs/>
          <w:sz w:val="32"/>
          <w:szCs w:val="32"/>
          <w:lang w:val="en-GB"/>
        </w:rPr>
      </w:pPr>
    </w:p>
    <w:p w14:paraId="4B06EBC5" w14:textId="1E1ADB5A" w:rsidR="005412A5" w:rsidRPr="00E23AB0" w:rsidRDefault="005412A5" w:rsidP="00CD23E4">
      <w:pPr>
        <w:spacing w:before="120" w:after="120"/>
        <w:ind w:left="1133" w:right="1276"/>
        <w:rPr>
          <w:bCs/>
          <w:sz w:val="32"/>
          <w:szCs w:val="32"/>
          <w:lang w:val="en-GB"/>
        </w:rPr>
      </w:pPr>
      <w:r w:rsidRPr="00E23AB0">
        <w:rPr>
          <w:bCs/>
          <w:sz w:val="32"/>
          <w:szCs w:val="32"/>
          <w:lang w:val="en-GB"/>
        </w:rPr>
        <w:t>Senior Secondary Pathways Reform</w:t>
      </w:r>
    </w:p>
    <w:p w14:paraId="638FC8E5" w14:textId="19DBF004" w:rsidR="005412A5" w:rsidRPr="00E23AB0" w:rsidRDefault="005412A5" w:rsidP="00CD23E4">
      <w:pPr>
        <w:pStyle w:val="Title"/>
        <w:spacing w:before="120" w:after="120"/>
        <w:ind w:right="1276"/>
        <w:rPr>
          <w:rFonts w:ascii="Arial" w:hAnsi="Arial" w:cs="Arial"/>
          <w:lang w:val="en-GB"/>
        </w:rPr>
      </w:pPr>
      <w:r w:rsidRPr="00E23AB0">
        <w:rPr>
          <w:rFonts w:ascii="Arial" w:hAnsi="Arial" w:cs="Arial"/>
          <w:color w:val="0077BE"/>
          <w:lang w:val="en-GB"/>
        </w:rPr>
        <w:t>What you need to know about changes to Victoria’s senior secondary certificates</w:t>
      </w:r>
    </w:p>
    <w:p w14:paraId="58BB393E" w14:textId="555C546D" w:rsidR="008D1913" w:rsidRPr="00E23AB0" w:rsidRDefault="005073EE" w:rsidP="00CD23E4">
      <w:pPr>
        <w:pStyle w:val="BodyText"/>
        <w:spacing w:before="120" w:after="120"/>
        <w:ind w:left="1123" w:right="1134"/>
        <w:rPr>
          <w:bCs/>
          <w:w w:val="95"/>
          <w:sz w:val="24"/>
          <w:szCs w:val="24"/>
          <w:lang w:val="en-GB"/>
        </w:rPr>
      </w:pPr>
      <w:r w:rsidRPr="00E23AB0">
        <w:rPr>
          <w:sz w:val="24"/>
          <w:szCs w:val="24"/>
          <w:lang w:val="en-GB"/>
        </w:rPr>
        <w:t>The Victorian Government is reforming senior secondary schooling to build the aspirations and skills of young people, set them up for future careers, and meet the needs of the modern economy. Victoria is moving towards a new integrated senior secondary certificate that will bring together</w:t>
      </w:r>
      <w:r w:rsidR="00CD23E4" w:rsidRPr="00E23AB0">
        <w:rPr>
          <w:sz w:val="24"/>
          <w:szCs w:val="24"/>
          <w:lang w:val="en-GB"/>
        </w:rPr>
        <w:t xml:space="preserve"> </w:t>
      </w:r>
      <w:r w:rsidRPr="00E23AB0">
        <w:rPr>
          <w:sz w:val="24"/>
          <w:szCs w:val="24"/>
          <w:lang w:val="en-GB"/>
        </w:rPr>
        <w:t>our two senior secondary certificates, the Victorian Certificate of Education (VCE) and the</w:t>
      </w:r>
      <w:r w:rsidR="00CD23E4" w:rsidRPr="00E23AB0">
        <w:rPr>
          <w:sz w:val="24"/>
          <w:szCs w:val="24"/>
          <w:lang w:val="en-GB"/>
        </w:rPr>
        <w:t xml:space="preserve"> </w:t>
      </w:r>
      <w:r w:rsidRPr="00E23AB0">
        <w:rPr>
          <w:sz w:val="24"/>
          <w:szCs w:val="24"/>
          <w:lang w:val="en-GB"/>
        </w:rPr>
        <w:t>Victorian Certificate of Applied Learning (VCAL).</w:t>
      </w:r>
      <w:r w:rsidR="008D1913" w:rsidRPr="00E23AB0">
        <w:rPr>
          <w:bCs/>
          <w:w w:val="95"/>
          <w:sz w:val="24"/>
          <w:szCs w:val="24"/>
          <w:lang w:val="en-GB"/>
        </w:rPr>
        <w:t xml:space="preserve"> </w:t>
      </w:r>
    </w:p>
    <w:p w14:paraId="380F304C" w14:textId="06B7EAE6" w:rsidR="00553A18" w:rsidRPr="00E23AB0" w:rsidRDefault="008D1913" w:rsidP="00CD23E4">
      <w:pPr>
        <w:pStyle w:val="BodyText"/>
        <w:spacing w:before="120" w:after="120"/>
        <w:ind w:left="1123" w:right="1278"/>
        <w:rPr>
          <w:bCs/>
          <w:sz w:val="24"/>
          <w:szCs w:val="24"/>
          <w:lang w:val="en-GB"/>
        </w:rPr>
      </w:pPr>
      <w:r w:rsidRPr="00E23AB0">
        <w:rPr>
          <w:bCs/>
          <w:sz w:val="24"/>
          <w:szCs w:val="24"/>
          <w:lang w:val="en-GB"/>
        </w:rPr>
        <w:t xml:space="preserve">The reforms give students greater choice and options with their senior secondary schooling, allowing them to pursue an education aligned to their strengths, </w:t>
      </w:r>
      <w:proofErr w:type="gramStart"/>
      <w:r w:rsidRPr="00E23AB0">
        <w:rPr>
          <w:bCs/>
          <w:sz w:val="24"/>
          <w:szCs w:val="24"/>
          <w:lang w:val="en-GB"/>
        </w:rPr>
        <w:t>interests</w:t>
      </w:r>
      <w:proofErr w:type="gramEnd"/>
      <w:r w:rsidRPr="00E23AB0">
        <w:rPr>
          <w:bCs/>
          <w:sz w:val="24"/>
          <w:szCs w:val="24"/>
          <w:lang w:val="en-GB"/>
        </w:rPr>
        <w:t xml:space="preserve"> and aspirations.</w:t>
      </w:r>
      <w:r w:rsidRPr="00E23AB0">
        <w:rPr>
          <w:bCs/>
          <w:sz w:val="24"/>
          <w:szCs w:val="24"/>
          <w:lang w:val="en-GB"/>
        </w:rPr>
        <w:tab/>
      </w:r>
    </w:p>
    <w:p w14:paraId="5AB0A58F" w14:textId="77777777" w:rsidR="00CD23E4" w:rsidRPr="00E23AB0" w:rsidRDefault="00CD23E4" w:rsidP="00CD23E4">
      <w:pPr>
        <w:pStyle w:val="BodyText"/>
        <w:spacing w:before="120" w:after="120"/>
        <w:ind w:left="1133" w:right="1276"/>
        <w:rPr>
          <w:b/>
          <w:bCs/>
          <w:sz w:val="24"/>
          <w:szCs w:val="24"/>
          <w:lang w:val="en-GB"/>
        </w:rPr>
      </w:pPr>
    </w:p>
    <w:p w14:paraId="14C11F08" w14:textId="1DD3A012" w:rsidR="00553A18" w:rsidRPr="00E23AB0" w:rsidRDefault="00553A18" w:rsidP="00CD23E4">
      <w:pPr>
        <w:pStyle w:val="BodyText"/>
        <w:spacing w:before="120" w:after="120"/>
        <w:ind w:left="1133" w:right="1276"/>
        <w:rPr>
          <w:b/>
          <w:bCs/>
          <w:sz w:val="22"/>
          <w:szCs w:val="22"/>
          <w:lang w:val="en-GB"/>
        </w:rPr>
      </w:pPr>
      <w:r w:rsidRPr="00E23AB0">
        <w:rPr>
          <w:b/>
          <w:bCs/>
          <w:sz w:val="22"/>
          <w:szCs w:val="22"/>
          <w:lang w:val="en-GB"/>
        </w:rPr>
        <w:t>Current system</w:t>
      </w:r>
    </w:p>
    <w:p w14:paraId="02C74423" w14:textId="7CE199CD" w:rsidR="00553A18" w:rsidRPr="00E23AB0" w:rsidRDefault="00553A18" w:rsidP="00CD23E4">
      <w:pPr>
        <w:pStyle w:val="BodyText"/>
        <w:numPr>
          <w:ilvl w:val="0"/>
          <w:numId w:val="1"/>
        </w:numPr>
        <w:spacing w:before="120" w:after="120"/>
        <w:ind w:right="1276"/>
        <w:rPr>
          <w:sz w:val="22"/>
          <w:szCs w:val="22"/>
          <w:lang w:val="en-GB"/>
        </w:rPr>
      </w:pPr>
      <w:r w:rsidRPr="00E23AB0">
        <w:rPr>
          <w:sz w:val="22"/>
          <w:szCs w:val="22"/>
          <w:lang w:val="en-GB"/>
        </w:rPr>
        <w:t>Students can enrol in Victorian Certificate of Education (VCE) or Victorian Certificate of Applied Learning (VCAL)</w:t>
      </w:r>
    </w:p>
    <w:p w14:paraId="12AC5D6C" w14:textId="4AB4D613" w:rsidR="00553A18" w:rsidRPr="00E23AB0" w:rsidRDefault="00553A18" w:rsidP="00E23AB0">
      <w:pPr>
        <w:pStyle w:val="BodyText"/>
        <w:numPr>
          <w:ilvl w:val="0"/>
          <w:numId w:val="1"/>
        </w:numPr>
        <w:spacing w:before="120" w:after="120"/>
        <w:ind w:right="1276"/>
        <w:rPr>
          <w:sz w:val="22"/>
          <w:szCs w:val="22"/>
          <w:lang w:val="en-GB"/>
        </w:rPr>
      </w:pPr>
      <w:r w:rsidRPr="00E23AB0">
        <w:rPr>
          <w:sz w:val="22"/>
          <w:szCs w:val="22"/>
          <w:lang w:val="en-GB"/>
        </w:rPr>
        <w:t>2022 is the final year of VCAL enrolments</w:t>
      </w:r>
    </w:p>
    <w:p w14:paraId="17B60EF4" w14:textId="77777777" w:rsidR="005073EE" w:rsidRDefault="005073EE" w:rsidP="00CD23E4">
      <w:pPr>
        <w:pStyle w:val="BodyText"/>
        <w:spacing w:before="120" w:after="120"/>
        <w:ind w:left="1133" w:right="1276"/>
        <w:rPr>
          <w:b/>
          <w:bCs/>
          <w:sz w:val="22"/>
          <w:szCs w:val="22"/>
          <w:lang w:val="en-GB"/>
        </w:rPr>
      </w:pPr>
    </w:p>
    <w:p w14:paraId="1D6CD1BB" w14:textId="795A492C" w:rsidR="00553A18" w:rsidRPr="00E23AB0" w:rsidRDefault="00553A18" w:rsidP="00CD23E4">
      <w:pPr>
        <w:pStyle w:val="BodyText"/>
        <w:spacing w:before="120" w:after="120"/>
        <w:ind w:left="1133" w:right="1276"/>
        <w:rPr>
          <w:b/>
          <w:bCs/>
          <w:sz w:val="22"/>
          <w:szCs w:val="22"/>
          <w:lang w:val="en-GB"/>
        </w:rPr>
      </w:pPr>
      <w:r w:rsidRPr="00E23AB0">
        <w:rPr>
          <w:b/>
          <w:bCs/>
          <w:sz w:val="22"/>
          <w:szCs w:val="22"/>
          <w:lang w:val="en-GB"/>
        </w:rPr>
        <w:t>What’s changing?</w:t>
      </w:r>
    </w:p>
    <w:p w14:paraId="11B1F9C4" w14:textId="77777777" w:rsidR="00553A18" w:rsidRPr="00E23AB0" w:rsidRDefault="00553A18" w:rsidP="00CD23E4">
      <w:pPr>
        <w:pStyle w:val="BodyText"/>
        <w:numPr>
          <w:ilvl w:val="0"/>
          <w:numId w:val="1"/>
        </w:numPr>
        <w:spacing w:before="120" w:after="120"/>
        <w:ind w:right="1276"/>
        <w:rPr>
          <w:sz w:val="22"/>
          <w:szCs w:val="22"/>
          <w:lang w:val="en-GB"/>
        </w:rPr>
      </w:pPr>
      <w:r w:rsidRPr="00E23AB0">
        <w:rPr>
          <w:sz w:val="22"/>
          <w:szCs w:val="22"/>
          <w:lang w:val="en-GB"/>
        </w:rPr>
        <w:t>From 2023, students can enrol in the VCE, which includes the VCE Vocational Major, or the Victorian Pathways Certificate.</w:t>
      </w:r>
    </w:p>
    <w:p w14:paraId="2EA9F8F9" w14:textId="480BF720" w:rsidR="00553A18" w:rsidRPr="00E23AB0" w:rsidRDefault="00553A18" w:rsidP="00CD23E4">
      <w:pPr>
        <w:pStyle w:val="BodyText"/>
        <w:numPr>
          <w:ilvl w:val="0"/>
          <w:numId w:val="1"/>
        </w:numPr>
        <w:spacing w:before="120" w:after="120"/>
        <w:ind w:right="1276"/>
        <w:rPr>
          <w:sz w:val="22"/>
          <w:szCs w:val="22"/>
          <w:lang w:val="en-GB"/>
        </w:rPr>
      </w:pPr>
      <w:r w:rsidRPr="00E23AB0">
        <w:rPr>
          <w:sz w:val="22"/>
          <w:szCs w:val="22"/>
          <w:lang w:val="en-GB"/>
        </w:rPr>
        <w:t xml:space="preserve">The VCE Vocational Major is a two-year applied learning program within the VCE that will support students to develop academic and practical skills, knowledge, </w:t>
      </w:r>
      <w:proofErr w:type="gramStart"/>
      <w:r w:rsidRPr="00E23AB0">
        <w:rPr>
          <w:sz w:val="22"/>
          <w:szCs w:val="22"/>
          <w:lang w:val="en-GB"/>
        </w:rPr>
        <w:t>confidence</w:t>
      </w:r>
      <w:proofErr w:type="gramEnd"/>
      <w:r w:rsidRPr="00E23AB0">
        <w:rPr>
          <w:sz w:val="22"/>
          <w:szCs w:val="22"/>
          <w:lang w:val="en-GB"/>
        </w:rPr>
        <w:t xml:space="preserve"> and agency needed to prepare for the world of work and further education and training</w:t>
      </w:r>
    </w:p>
    <w:p w14:paraId="73F9095B" w14:textId="5BBE4904" w:rsidR="008E3BFB" w:rsidRPr="00E23AB0" w:rsidRDefault="00553A18" w:rsidP="00E23AB0">
      <w:pPr>
        <w:pStyle w:val="BodyText"/>
        <w:numPr>
          <w:ilvl w:val="0"/>
          <w:numId w:val="1"/>
        </w:numPr>
        <w:spacing w:before="120" w:after="120"/>
        <w:ind w:right="1276"/>
        <w:rPr>
          <w:sz w:val="22"/>
          <w:szCs w:val="22"/>
          <w:lang w:val="en-GB"/>
        </w:rPr>
      </w:pPr>
      <w:r w:rsidRPr="00E23AB0">
        <w:rPr>
          <w:sz w:val="22"/>
          <w:szCs w:val="22"/>
          <w:lang w:val="en-GB"/>
        </w:rPr>
        <w:t>The Victorian Pathways Certificate is designed for a limited cohort of students in Years 11 and 12 who are not ready to undertake the VCE or the VCE Vocational Major for various reasons. Students and their families should discuss suitability for enrolment in the Victorian Pathways Certificate with their school.</w:t>
      </w:r>
    </w:p>
    <w:p w14:paraId="45EE3035" w14:textId="77777777" w:rsidR="005073EE" w:rsidRDefault="005073EE" w:rsidP="00CD23E4">
      <w:pPr>
        <w:pStyle w:val="BodyText"/>
        <w:spacing w:before="120" w:after="120"/>
        <w:ind w:left="1133" w:right="1276"/>
        <w:rPr>
          <w:b/>
          <w:bCs/>
          <w:sz w:val="22"/>
          <w:szCs w:val="22"/>
          <w:lang w:val="en-GB"/>
        </w:rPr>
      </w:pPr>
    </w:p>
    <w:p w14:paraId="525C5551" w14:textId="3E6864C2" w:rsidR="008D1913" w:rsidRPr="00E23AB0" w:rsidRDefault="008D1913" w:rsidP="00CD23E4">
      <w:pPr>
        <w:pStyle w:val="BodyText"/>
        <w:spacing w:before="120" w:after="120"/>
        <w:ind w:left="1133" w:right="1276"/>
        <w:rPr>
          <w:b/>
          <w:bCs/>
          <w:sz w:val="22"/>
          <w:szCs w:val="22"/>
          <w:lang w:val="en-GB"/>
        </w:rPr>
      </w:pPr>
      <w:r w:rsidRPr="00E23AB0">
        <w:rPr>
          <w:b/>
          <w:bCs/>
          <w:sz w:val="22"/>
          <w:szCs w:val="22"/>
          <w:lang w:val="en-GB"/>
        </w:rPr>
        <w:t>Why change?</w:t>
      </w:r>
    </w:p>
    <w:p w14:paraId="462CA015" w14:textId="77777777" w:rsidR="008D1913" w:rsidRPr="00E23AB0" w:rsidRDefault="008D1913" w:rsidP="00CD23E4">
      <w:pPr>
        <w:pStyle w:val="BodyText"/>
        <w:numPr>
          <w:ilvl w:val="0"/>
          <w:numId w:val="1"/>
        </w:numPr>
        <w:spacing w:before="120" w:after="120"/>
        <w:ind w:right="1276"/>
        <w:rPr>
          <w:sz w:val="22"/>
          <w:szCs w:val="22"/>
          <w:lang w:val="en-GB"/>
        </w:rPr>
      </w:pPr>
      <w:r w:rsidRPr="00E23AB0">
        <w:rPr>
          <w:sz w:val="22"/>
          <w:szCs w:val="22"/>
          <w:lang w:val="en-GB"/>
        </w:rPr>
        <w:t xml:space="preserve">Provide students with greater choice, </w:t>
      </w:r>
      <w:proofErr w:type="gramStart"/>
      <w:r w:rsidRPr="00E23AB0">
        <w:rPr>
          <w:sz w:val="22"/>
          <w:szCs w:val="22"/>
          <w:lang w:val="en-GB"/>
        </w:rPr>
        <w:t>confidence</w:t>
      </w:r>
      <w:proofErr w:type="gramEnd"/>
      <w:r w:rsidRPr="00E23AB0">
        <w:rPr>
          <w:sz w:val="22"/>
          <w:szCs w:val="22"/>
          <w:lang w:val="en-GB"/>
        </w:rPr>
        <w:t xml:space="preserve"> and skills for their future career </w:t>
      </w:r>
    </w:p>
    <w:p w14:paraId="461996EA" w14:textId="77777777" w:rsidR="008D1913" w:rsidRPr="00E23AB0" w:rsidRDefault="008D1913" w:rsidP="00CD23E4">
      <w:pPr>
        <w:pStyle w:val="BodyText"/>
        <w:numPr>
          <w:ilvl w:val="0"/>
          <w:numId w:val="1"/>
        </w:numPr>
        <w:spacing w:before="120" w:after="120"/>
        <w:ind w:right="1276"/>
        <w:rPr>
          <w:sz w:val="22"/>
          <w:szCs w:val="22"/>
          <w:lang w:val="en-GB"/>
        </w:rPr>
      </w:pPr>
      <w:r w:rsidRPr="00E23AB0">
        <w:rPr>
          <w:sz w:val="22"/>
          <w:szCs w:val="22"/>
          <w:lang w:val="en-GB"/>
        </w:rPr>
        <w:t>Align more closely with Victoria’s growth sectors and what local industry needs.</w:t>
      </w:r>
    </w:p>
    <w:p w14:paraId="52E2E3F3" w14:textId="6FB677AA" w:rsidR="004C666B" w:rsidRPr="00E23AB0" w:rsidRDefault="008D1913" w:rsidP="00CD23E4">
      <w:pPr>
        <w:pStyle w:val="BodyText"/>
        <w:numPr>
          <w:ilvl w:val="0"/>
          <w:numId w:val="1"/>
        </w:numPr>
        <w:spacing w:before="120" w:after="120"/>
        <w:ind w:right="1276"/>
        <w:rPr>
          <w:sz w:val="22"/>
          <w:szCs w:val="22"/>
          <w:lang w:val="en-GB"/>
        </w:rPr>
      </w:pPr>
      <w:r w:rsidRPr="00E23AB0">
        <w:rPr>
          <w:sz w:val="22"/>
          <w:szCs w:val="22"/>
          <w:lang w:val="en-GB"/>
        </w:rPr>
        <w:t>Recognise and celebrate all learning pathways equally.</w:t>
      </w:r>
    </w:p>
    <w:p w14:paraId="6D038481" w14:textId="77777777" w:rsidR="00553A18" w:rsidRPr="00E23AB0" w:rsidRDefault="00553A18" w:rsidP="00CD23E4">
      <w:pPr>
        <w:pStyle w:val="BodyText"/>
        <w:spacing w:before="120" w:after="120"/>
        <w:rPr>
          <w:rFonts w:ascii="Verdana"/>
          <w:sz w:val="22"/>
          <w:szCs w:val="22"/>
          <w:lang w:val="en-GB"/>
        </w:rPr>
      </w:pPr>
    </w:p>
    <w:p w14:paraId="52E2E3F5" w14:textId="09038570" w:rsidR="004C666B" w:rsidRPr="00E23AB0" w:rsidRDefault="004C666B" w:rsidP="00CD23E4">
      <w:pPr>
        <w:pStyle w:val="BodyText"/>
        <w:spacing w:before="120" w:after="120"/>
        <w:rPr>
          <w:rFonts w:ascii="Lucida Sans"/>
          <w:b/>
          <w:sz w:val="24"/>
          <w:szCs w:val="24"/>
          <w:lang w:val="en-GB"/>
        </w:rPr>
      </w:pPr>
    </w:p>
    <w:p w14:paraId="52E2E3F7" w14:textId="44F3C62C" w:rsidR="004C666B" w:rsidRPr="00E23AB0" w:rsidRDefault="004C666B" w:rsidP="00E23AB0">
      <w:pPr>
        <w:pStyle w:val="BodyText"/>
        <w:spacing w:before="120" w:after="120"/>
        <w:ind w:right="1137"/>
        <w:rPr>
          <w:rFonts w:ascii="Lucida Sans"/>
          <w:b/>
          <w:sz w:val="24"/>
          <w:szCs w:val="24"/>
          <w:lang w:val="en-GB"/>
        </w:rPr>
      </w:pPr>
    </w:p>
    <w:p w14:paraId="52E2E3F8" w14:textId="77777777" w:rsidR="004C666B" w:rsidRPr="00E23AB0" w:rsidRDefault="005073EE" w:rsidP="00E23AB0">
      <w:pPr>
        <w:spacing w:before="120" w:after="120" w:line="256" w:lineRule="exact"/>
        <w:ind w:left="1119" w:right="1137"/>
        <w:rPr>
          <w:b/>
          <w:sz w:val="24"/>
          <w:szCs w:val="24"/>
          <w:lang w:val="en-GB"/>
        </w:rPr>
      </w:pPr>
      <w:r w:rsidRPr="00E23AB0">
        <w:rPr>
          <w:b/>
          <w:color w:val="0077BE"/>
          <w:sz w:val="24"/>
          <w:szCs w:val="24"/>
          <w:lang w:val="en-GB"/>
        </w:rPr>
        <w:t>More information</w:t>
      </w:r>
    </w:p>
    <w:p w14:paraId="52E2E3F9" w14:textId="556D5B86" w:rsidR="004C666B" w:rsidRPr="00E23AB0" w:rsidRDefault="005073EE" w:rsidP="00E23AB0">
      <w:pPr>
        <w:tabs>
          <w:tab w:val="left" w:pos="10348"/>
        </w:tabs>
        <w:spacing w:before="120" w:after="120"/>
        <w:ind w:left="1119" w:right="1137"/>
        <w:rPr>
          <w:b/>
          <w:sz w:val="24"/>
          <w:szCs w:val="24"/>
          <w:lang w:val="en-GB"/>
        </w:rPr>
      </w:pPr>
      <w:r w:rsidRPr="00E23AB0">
        <w:rPr>
          <w:sz w:val="24"/>
          <w:szCs w:val="24"/>
          <w:lang w:val="en-GB"/>
        </w:rPr>
        <w:t>Contact your school or career adviser to find out more</w:t>
      </w:r>
      <w:r w:rsidR="008D1913" w:rsidRPr="00E23AB0">
        <w:rPr>
          <w:sz w:val="24"/>
          <w:szCs w:val="24"/>
          <w:lang w:val="en-GB"/>
        </w:rPr>
        <w:t xml:space="preserve"> a</w:t>
      </w:r>
      <w:r w:rsidRPr="00E23AB0">
        <w:rPr>
          <w:sz w:val="24"/>
          <w:szCs w:val="24"/>
          <w:lang w:val="en-GB"/>
        </w:rPr>
        <w:t>bout the senior secondary pathway option</w:t>
      </w:r>
      <w:r w:rsidR="008D1913" w:rsidRPr="00E23AB0">
        <w:rPr>
          <w:sz w:val="24"/>
          <w:szCs w:val="24"/>
          <w:lang w:val="en-GB"/>
        </w:rPr>
        <w:t>s o</w:t>
      </w:r>
      <w:r w:rsidRPr="00E23AB0">
        <w:rPr>
          <w:sz w:val="24"/>
          <w:szCs w:val="24"/>
          <w:lang w:val="en-GB"/>
        </w:rPr>
        <w:t xml:space="preserve">r visit </w:t>
      </w:r>
      <w:hyperlink r:id="rId9">
        <w:r w:rsidRPr="00E23AB0">
          <w:rPr>
            <w:b/>
            <w:sz w:val="24"/>
            <w:szCs w:val="24"/>
            <w:lang w:val="en-GB"/>
          </w:rPr>
          <w:t>bit.ly/senior-sec-pathways</w:t>
        </w:r>
      </w:hyperlink>
    </w:p>
    <w:sectPr w:rsidR="004C666B" w:rsidRPr="00E23AB0">
      <w:type w:val="continuous"/>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E63BD"/>
    <w:multiLevelType w:val="hybridMultilevel"/>
    <w:tmpl w:val="0D76BE2A"/>
    <w:lvl w:ilvl="0" w:tplc="0C090001">
      <w:start w:val="1"/>
      <w:numFmt w:val="bullet"/>
      <w:lvlText w:val=""/>
      <w:lvlJc w:val="left"/>
      <w:pPr>
        <w:ind w:left="1853" w:hanging="360"/>
      </w:pPr>
      <w:rPr>
        <w:rFonts w:ascii="Symbol" w:hAnsi="Symbol" w:hint="default"/>
        <w:b w:val="0"/>
        <w:bCs w:val="0"/>
        <w:i w:val="0"/>
        <w:iCs w:val="0"/>
        <w:w w:val="60"/>
        <w:sz w:val="15"/>
        <w:szCs w:val="15"/>
        <w:lang w:val="en-US" w:eastAsia="en-US" w:bidi="ar-SA"/>
      </w:rPr>
    </w:lvl>
    <w:lvl w:ilvl="1" w:tplc="0C090003" w:tentative="1">
      <w:start w:val="1"/>
      <w:numFmt w:val="bullet"/>
      <w:lvlText w:val="o"/>
      <w:lvlJc w:val="left"/>
      <w:pPr>
        <w:ind w:left="2573" w:hanging="360"/>
      </w:pPr>
      <w:rPr>
        <w:rFonts w:ascii="Courier New" w:hAnsi="Courier New" w:cs="Courier New" w:hint="default"/>
      </w:rPr>
    </w:lvl>
    <w:lvl w:ilvl="2" w:tplc="0C090005" w:tentative="1">
      <w:start w:val="1"/>
      <w:numFmt w:val="bullet"/>
      <w:lvlText w:val=""/>
      <w:lvlJc w:val="left"/>
      <w:pPr>
        <w:ind w:left="3293" w:hanging="360"/>
      </w:pPr>
      <w:rPr>
        <w:rFonts w:ascii="Wingdings" w:hAnsi="Wingdings" w:hint="default"/>
      </w:rPr>
    </w:lvl>
    <w:lvl w:ilvl="3" w:tplc="0C090001" w:tentative="1">
      <w:start w:val="1"/>
      <w:numFmt w:val="bullet"/>
      <w:lvlText w:val=""/>
      <w:lvlJc w:val="left"/>
      <w:pPr>
        <w:ind w:left="4013" w:hanging="360"/>
      </w:pPr>
      <w:rPr>
        <w:rFonts w:ascii="Symbol" w:hAnsi="Symbol" w:hint="default"/>
      </w:rPr>
    </w:lvl>
    <w:lvl w:ilvl="4" w:tplc="0C090003" w:tentative="1">
      <w:start w:val="1"/>
      <w:numFmt w:val="bullet"/>
      <w:lvlText w:val="o"/>
      <w:lvlJc w:val="left"/>
      <w:pPr>
        <w:ind w:left="4733" w:hanging="360"/>
      </w:pPr>
      <w:rPr>
        <w:rFonts w:ascii="Courier New" w:hAnsi="Courier New" w:cs="Courier New" w:hint="default"/>
      </w:rPr>
    </w:lvl>
    <w:lvl w:ilvl="5" w:tplc="0C090005" w:tentative="1">
      <w:start w:val="1"/>
      <w:numFmt w:val="bullet"/>
      <w:lvlText w:val=""/>
      <w:lvlJc w:val="left"/>
      <w:pPr>
        <w:ind w:left="5453" w:hanging="360"/>
      </w:pPr>
      <w:rPr>
        <w:rFonts w:ascii="Wingdings" w:hAnsi="Wingdings" w:hint="default"/>
      </w:rPr>
    </w:lvl>
    <w:lvl w:ilvl="6" w:tplc="0C090001" w:tentative="1">
      <w:start w:val="1"/>
      <w:numFmt w:val="bullet"/>
      <w:lvlText w:val=""/>
      <w:lvlJc w:val="left"/>
      <w:pPr>
        <w:ind w:left="6173" w:hanging="360"/>
      </w:pPr>
      <w:rPr>
        <w:rFonts w:ascii="Symbol" w:hAnsi="Symbol" w:hint="default"/>
      </w:rPr>
    </w:lvl>
    <w:lvl w:ilvl="7" w:tplc="0C090003" w:tentative="1">
      <w:start w:val="1"/>
      <w:numFmt w:val="bullet"/>
      <w:lvlText w:val="o"/>
      <w:lvlJc w:val="left"/>
      <w:pPr>
        <w:ind w:left="6893" w:hanging="360"/>
      </w:pPr>
      <w:rPr>
        <w:rFonts w:ascii="Courier New" w:hAnsi="Courier New" w:cs="Courier New" w:hint="default"/>
      </w:rPr>
    </w:lvl>
    <w:lvl w:ilvl="8" w:tplc="0C090005" w:tentative="1">
      <w:start w:val="1"/>
      <w:numFmt w:val="bullet"/>
      <w:lvlText w:val=""/>
      <w:lvlJc w:val="left"/>
      <w:pPr>
        <w:ind w:left="76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4C666B"/>
    <w:rsid w:val="004C666B"/>
    <w:rsid w:val="005073EE"/>
    <w:rsid w:val="005412A5"/>
    <w:rsid w:val="00553A18"/>
    <w:rsid w:val="008D1913"/>
    <w:rsid w:val="008E3BFB"/>
    <w:rsid w:val="00CD23E4"/>
    <w:rsid w:val="00E22B6C"/>
    <w:rsid w:val="00E23A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2E3E3"/>
  <w15:docId w15:val="{79198DC6-44AC-4AF3-BBC9-0E239BF5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line="430" w:lineRule="exact"/>
      <w:ind w:left="1123"/>
    </w:pPr>
    <w:rPr>
      <w:rFonts w:ascii="Verdana" w:eastAsia="Verdana" w:hAnsi="Verdana" w:cs="Verdana"/>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1" Type="http://schemas.openxmlformats.org/officeDocument/2006/relationships/theme" Target="theme/theme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bit.ly/senior-sec-pathw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54D775242817A240BA9AD5A8C8BB81E8" ma:contentTypeVersion="9" ma:contentTypeDescription="DET Document" ma:contentTypeScope="" ma:versionID="fb94f1aad23c697356138732e67ab53d">
  <xsd:schema xmlns:xsd="http://www.w3.org/2001/XMLSchema" xmlns:xs="http://www.w3.org/2001/XMLSchema" xmlns:p="http://schemas.microsoft.com/office/2006/metadata/properties" xmlns:ns1="http://schemas.microsoft.com/sharepoint/v3" xmlns:ns2="http://schemas.microsoft.com/Sharepoint/v3" xmlns:ns3="0c36ff92-d041-4586-a8be-cc68f7f52222" xmlns:ns4="http://schemas.microsoft.com/sharepoint/v4" targetNamespace="http://schemas.microsoft.com/office/2006/metadata/properties" ma:root="true" ma:fieldsID="f31aecdfef9accc38bcfc271d8004653" ns1:_="" ns2:_="" ns3:_="" ns4:_="">
    <xsd:import namespace="http://schemas.microsoft.com/sharepoint/v3"/>
    <xsd:import namespace="http://schemas.microsoft.com/Sharepoint/v3"/>
    <xsd:import namespace="0c36ff92-d041-4586-a8be-cc68f7f52222"/>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36ff92-d041-4586-a8be-cc68f7f52222"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e5b762f4-b7b3-4adc-83fc-7be5a33ffa68}" ma:internalName="TaxCatchAll" ma:readOnly="false" ma:showField="CatchAllData" ma:web="0c36ff92-d041-4586-a8be-cc68f7f5222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e5b762f4-b7b3-4adc-83fc-7be5a33ffa68}" ma:internalName="TaxCatchAllLabel" ma:readOnly="true" ma:showField="CatchAllDataLabel" ma:web="0c36ff92-d041-4586-a8be-cc68f7f5222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438</Topic>
    <Expired xmlns="bb5ce4db-eb21-467d-b968-528655912a38">false</Expired>
  </documentManagement>
</p:properties>
</file>

<file path=customXml/itemProps1.xml><?xml version="1.0" encoding="utf-8"?>
<ds:datastoreItem xmlns:ds="http://schemas.openxmlformats.org/officeDocument/2006/customXml" ds:itemID="{B0EE6CB6-6F8B-483B-9DC3-B1A25BF5B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c36ff92-d041-4586-a8be-cc68f7f522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2436B0-5723-4ED7-9D43-F5BCBB8D01C3}"/>
</file>

<file path=customXml/itemProps3.xml><?xml version="1.0" encoding="utf-8"?>
<ds:datastoreItem xmlns:ds="http://schemas.openxmlformats.org/officeDocument/2006/customXml" ds:itemID="{9EF1BF85-E733-421F-A334-C2A6571E9555}">
  <ds:schemaRefs>
    <ds:schemaRef ds:uri="http://schemas.microsoft.com/sharepoint/v3/contenttype/forms"/>
  </ds:schemaRefs>
</ds:datastoreItem>
</file>

<file path=customXml/itemProps4.xml><?xml version="1.0" encoding="utf-8"?>
<ds:datastoreItem xmlns:ds="http://schemas.openxmlformats.org/officeDocument/2006/customXml" ds:itemID="{0235F470-7D36-4AEE-8AA2-A45D9F778610}">
  <ds:schemaRefs>
    <ds:schemaRef ds:uri="http://purl.org/dc/terms/"/>
    <ds:schemaRef ds:uri="http://schemas.microsoft.com/office/2006/documentManagement/types"/>
    <ds:schemaRef ds:uri="http://www.w3.org/XML/1998/namespace"/>
    <ds:schemaRef ds:uri="http://schemas.microsoft.com/sharepoint/v3"/>
    <ds:schemaRef ds:uri="http://purl.org/dc/dcmitype/"/>
    <ds:schemaRef ds:uri="http://schemas.microsoft.com/sharepoint/v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c36ff92-d041-4586-a8be-cc68f7f5222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Swagerman</cp:lastModifiedBy>
  <cp:revision>2</cp:revision>
  <dcterms:created xsi:type="dcterms:W3CDTF">2022-04-08T01:50:00Z</dcterms:created>
  <dcterms:modified xsi:type="dcterms:W3CDTF">2022-04-08T01:50:00Z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Creator">
    <vt:lpwstr>Adobe InDesign 17.1 (Windows)</vt:lpwstr>
  </property>
  <property fmtid="{D5CDD505-2E9C-101B-9397-08002B2CF9AE}" pid="4" name="LastSaved">
    <vt:filetime>2022-04-07T00:00:00Z</vt:filetime>
  </property>
  <property fmtid="{D5CDD505-2E9C-101B-9397-08002B2CF9AE}" pid="5" name="DET_EDRMS_RCS">
    <vt:lpwstr/>
  </property>
  <property fmtid="{D5CDD505-2E9C-101B-9397-08002B2CF9AE}" pid="6" name="DET_EDRMS_SecClass">
    <vt:lpwstr/>
  </property>
  <property fmtid="{D5CDD505-2E9C-101B-9397-08002B2CF9AE}" pid="7" name="ContentTypeId">
    <vt:lpwstr>0x0101008D837B29B15B0F4C8E944F501DC9554C</vt:lpwstr>
  </property>
  <property fmtid="{D5CDD505-2E9C-101B-9397-08002B2CF9AE}" pid="8" name="DET_EDRMS_BusUnit">
    <vt:lpwstr/>
  </property>
</Properties>
</file>