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1D38BF09" w:rsidR="00624A55" w:rsidRPr="008F3D35" w:rsidRDefault="00217733" w:rsidP="008F3D35">
      <w:pPr>
        <w:pStyle w:val="Heading1"/>
      </w:pPr>
      <w:r>
        <w:rPr>
          <w:lang w:val="en-AU"/>
        </w:rPr>
        <w:t>School Credit Carryover Policy – FAQ</w:t>
      </w:r>
    </w:p>
    <w:p w14:paraId="7D101E54" w14:textId="40EEC263" w:rsidR="00624A55" w:rsidRDefault="002E1926" w:rsidP="00624A55">
      <w:pPr>
        <w:pStyle w:val="Intro"/>
      </w:pPr>
      <w:r>
        <w:t xml:space="preserve">This frequently asked questions document aims to assist </w:t>
      </w:r>
      <w:r w:rsidR="002927C1">
        <w:t xml:space="preserve">schools with questions they may have in relation to the </w:t>
      </w:r>
      <w:hyperlink r:id="rId11" w:history="1">
        <w:r w:rsidR="002927C1" w:rsidRPr="00E1255E">
          <w:rPr>
            <w:rStyle w:val="Hyperlink"/>
          </w:rPr>
          <w:t>School Credit Carryover Policy</w:t>
        </w:r>
      </w:hyperlink>
      <w:r w:rsidR="002927C1">
        <w:t xml:space="preserve">. </w:t>
      </w:r>
    </w:p>
    <w:p w14:paraId="7FA9E73E" w14:textId="7AA555FA" w:rsidR="00724095" w:rsidRDefault="001E7879" w:rsidP="00624A55">
      <w:pPr>
        <w:pStyle w:val="Heading3"/>
        <w:rPr>
          <w:lang w:val="en-AU"/>
        </w:rPr>
      </w:pPr>
      <w:r>
        <w:rPr>
          <w:lang w:val="en-AU"/>
        </w:rPr>
        <w:t>What will be changing and why?</w:t>
      </w:r>
    </w:p>
    <w:p w14:paraId="6D01D9FE" w14:textId="7007B381" w:rsidR="000B1D45" w:rsidRDefault="00FE7C0B" w:rsidP="00C20A3D">
      <w:pPr>
        <w:rPr>
          <w:lang w:val="en-AU"/>
        </w:rPr>
      </w:pPr>
      <w:r w:rsidRPr="002D13B3">
        <w:rPr>
          <w:lang w:val="en-AU"/>
        </w:rPr>
        <w:t xml:space="preserve">The </w:t>
      </w:r>
      <w:hyperlink r:id="rId12" w:history="1">
        <w:r w:rsidRPr="00E1255E">
          <w:rPr>
            <w:rStyle w:val="Hyperlink"/>
            <w:lang w:val="en-AU"/>
          </w:rPr>
          <w:t>School Credit Carryover Policy</w:t>
        </w:r>
      </w:hyperlink>
      <w:r w:rsidRPr="002D13B3">
        <w:rPr>
          <w:lang w:val="en-AU"/>
        </w:rPr>
        <w:t xml:space="preserve"> will introduce limits on how much funding can be carried over to the following year, while supporting schools to spend their budget on current students.</w:t>
      </w:r>
    </w:p>
    <w:p w14:paraId="3B2FF5E1" w14:textId="77777777" w:rsidR="003B353F" w:rsidRDefault="00252734" w:rsidP="00C20A3D">
      <w:r>
        <w:t>W</w:t>
      </w:r>
      <w:r w:rsidRPr="00252734">
        <w:t>e are putting in place sensible limits to ensure today’s school funding is spent to benefit today’s students.</w:t>
      </w:r>
      <w:r w:rsidR="003B353F">
        <w:t xml:space="preserve"> </w:t>
      </w:r>
    </w:p>
    <w:p w14:paraId="5C1EB5C0" w14:textId="7B1260C2" w:rsidR="004E045E" w:rsidRPr="002D13B3" w:rsidRDefault="004E045E" w:rsidP="002D13B3">
      <w:r w:rsidRPr="004E045E">
        <w:t>The immediate aim of the policy is to support schools with the largest credit surpluses to reduce their surplus by investing in the current</w:t>
      </w:r>
      <w:r w:rsidR="0008598D">
        <w:t xml:space="preserve"> teaching and</w:t>
      </w:r>
      <w:r w:rsidRPr="004E045E">
        <w:t xml:space="preserve"> student cohort</w:t>
      </w:r>
      <w:r w:rsidR="00252734">
        <w:t>.</w:t>
      </w:r>
    </w:p>
    <w:p w14:paraId="0791E185" w14:textId="07E1658F" w:rsidR="002559D1" w:rsidRDefault="002559D1" w:rsidP="002559D1">
      <w:pPr>
        <w:pStyle w:val="Heading3"/>
        <w:rPr>
          <w:lang w:val="en-AU"/>
        </w:rPr>
      </w:pPr>
      <w:r>
        <w:rPr>
          <w:lang w:val="en-AU"/>
        </w:rPr>
        <w:t xml:space="preserve">When does the policy take effect? </w:t>
      </w:r>
    </w:p>
    <w:p w14:paraId="0E10A0E2" w14:textId="70C0EBBE" w:rsidR="00293C31" w:rsidRDefault="002559D1" w:rsidP="002559D1">
      <w:pPr>
        <w:rPr>
          <w:lang w:val="en-AU"/>
        </w:rPr>
      </w:pPr>
      <w:r>
        <w:rPr>
          <w:lang w:val="en-AU"/>
        </w:rPr>
        <w:t xml:space="preserve">The policy will </w:t>
      </w:r>
      <w:r w:rsidR="005E5457">
        <w:rPr>
          <w:lang w:val="en-AU"/>
        </w:rPr>
        <w:t xml:space="preserve">take effect at the </w:t>
      </w:r>
      <w:r>
        <w:rPr>
          <w:lang w:val="en-AU"/>
        </w:rPr>
        <w:t xml:space="preserve">start </w:t>
      </w:r>
      <w:r w:rsidR="005E5457">
        <w:rPr>
          <w:lang w:val="en-AU"/>
        </w:rPr>
        <w:t>of</w:t>
      </w:r>
      <w:r>
        <w:rPr>
          <w:lang w:val="en-AU"/>
        </w:rPr>
        <w:t xml:space="preserve"> 202</w:t>
      </w:r>
      <w:r w:rsidR="00141C29">
        <w:rPr>
          <w:lang w:val="en-AU"/>
        </w:rPr>
        <w:t>4</w:t>
      </w:r>
      <w:r w:rsidR="00AE7F29">
        <w:rPr>
          <w:lang w:val="en-AU"/>
        </w:rPr>
        <w:t xml:space="preserve"> and will have a four-year transition period. </w:t>
      </w:r>
    </w:p>
    <w:p w14:paraId="0285561B" w14:textId="6864F9A6" w:rsidR="002559D1" w:rsidRDefault="00AE7F29" w:rsidP="002559D1">
      <w:pPr>
        <w:rPr>
          <w:lang w:val="en-AU"/>
        </w:rPr>
      </w:pPr>
      <w:r>
        <w:rPr>
          <w:lang w:val="en-AU"/>
        </w:rPr>
        <w:t xml:space="preserve">The transition period </w:t>
      </w:r>
      <w:r w:rsidR="00293C31">
        <w:rPr>
          <w:lang w:val="en-AU"/>
        </w:rPr>
        <w:t>will finish</w:t>
      </w:r>
      <w:r>
        <w:rPr>
          <w:lang w:val="en-AU"/>
        </w:rPr>
        <w:t xml:space="preserve"> at the end of the 202</w:t>
      </w:r>
      <w:r w:rsidR="00141C29">
        <w:rPr>
          <w:lang w:val="en-AU"/>
        </w:rPr>
        <w:t>7</w:t>
      </w:r>
      <w:r>
        <w:rPr>
          <w:lang w:val="en-AU"/>
        </w:rPr>
        <w:t xml:space="preserve"> school year. </w:t>
      </w:r>
    </w:p>
    <w:p w14:paraId="05CE6152" w14:textId="527A1C12" w:rsidR="00525D74" w:rsidRDefault="00525D74" w:rsidP="00624A55">
      <w:pPr>
        <w:pStyle w:val="Heading3"/>
        <w:rPr>
          <w:lang w:val="en-AU"/>
        </w:rPr>
      </w:pPr>
      <w:r>
        <w:rPr>
          <w:lang w:val="en-AU"/>
        </w:rPr>
        <w:t xml:space="preserve">How much </w:t>
      </w:r>
      <w:r w:rsidR="008E119B">
        <w:rPr>
          <w:lang w:val="en-AU"/>
        </w:rPr>
        <w:t xml:space="preserve">credit </w:t>
      </w:r>
      <w:r>
        <w:rPr>
          <w:lang w:val="en-AU"/>
        </w:rPr>
        <w:t>surplus can I carry over into future years?</w:t>
      </w:r>
    </w:p>
    <w:p w14:paraId="1FC6BC73" w14:textId="313A07C3" w:rsidR="00FB52B3" w:rsidRPr="00FB52B3" w:rsidRDefault="00FB52B3" w:rsidP="00FB52B3">
      <w:pPr>
        <w:rPr>
          <w:bCs/>
          <w:lang w:val="en-AU"/>
        </w:rPr>
      </w:pPr>
      <w:r w:rsidRPr="00FB52B3">
        <w:rPr>
          <w:bCs/>
          <w:lang w:val="en-AU"/>
        </w:rPr>
        <w:t xml:space="preserve">The amount of </w:t>
      </w:r>
      <w:r w:rsidR="003D7CD0">
        <w:rPr>
          <w:bCs/>
          <w:lang w:val="en-AU"/>
        </w:rPr>
        <w:t xml:space="preserve">SRP credit </w:t>
      </w:r>
      <w:r w:rsidRPr="00FB52B3">
        <w:rPr>
          <w:bCs/>
          <w:lang w:val="en-AU"/>
        </w:rPr>
        <w:t xml:space="preserve">carryover allowed will be capped based on a proportion of the total credit component of their SRP funding. </w:t>
      </w:r>
    </w:p>
    <w:p w14:paraId="26385ACD" w14:textId="6DBF699F" w:rsidR="00FB52B3" w:rsidRPr="00FB52B3" w:rsidRDefault="00FB52B3" w:rsidP="00FB52B3">
      <w:pPr>
        <w:numPr>
          <w:ilvl w:val="0"/>
          <w:numId w:val="18"/>
        </w:numPr>
        <w:rPr>
          <w:bCs/>
          <w:lang w:val="en-AU"/>
        </w:rPr>
      </w:pPr>
      <w:r w:rsidRPr="00FB52B3">
        <w:rPr>
          <w:bCs/>
          <w:lang w:val="en-AU"/>
        </w:rPr>
        <w:t>In 202</w:t>
      </w:r>
      <w:r w:rsidR="00141C29">
        <w:rPr>
          <w:bCs/>
          <w:lang w:val="en-AU"/>
        </w:rPr>
        <w:t>4</w:t>
      </w:r>
      <w:r w:rsidRPr="00FB52B3">
        <w:rPr>
          <w:bCs/>
          <w:lang w:val="en-AU"/>
        </w:rPr>
        <w:t xml:space="preserve">, schools </w:t>
      </w:r>
      <w:r w:rsidR="0008598D">
        <w:rPr>
          <w:bCs/>
          <w:lang w:val="en-AU"/>
        </w:rPr>
        <w:t>can</w:t>
      </w:r>
      <w:r w:rsidRPr="00FB52B3">
        <w:rPr>
          <w:bCs/>
          <w:lang w:val="en-AU"/>
        </w:rPr>
        <w:t xml:space="preserve"> carry over up to 7.5% of the total credit component of their SRP into 202</w:t>
      </w:r>
      <w:r w:rsidR="00141C29">
        <w:rPr>
          <w:bCs/>
          <w:lang w:val="en-AU"/>
        </w:rPr>
        <w:t>5</w:t>
      </w:r>
      <w:r w:rsidRPr="00FB52B3">
        <w:rPr>
          <w:bCs/>
          <w:lang w:val="en-AU"/>
        </w:rPr>
        <w:t xml:space="preserve">. Any amount of surplus above that threshold will be withheld by the department. </w:t>
      </w:r>
    </w:p>
    <w:p w14:paraId="5B0027D6" w14:textId="6343E4E2" w:rsidR="00FB52B3" w:rsidRPr="00FB52B3" w:rsidRDefault="00FB52B3" w:rsidP="00FB52B3">
      <w:pPr>
        <w:numPr>
          <w:ilvl w:val="0"/>
          <w:numId w:val="18"/>
        </w:numPr>
        <w:rPr>
          <w:bCs/>
          <w:lang w:val="en-AU"/>
        </w:rPr>
      </w:pPr>
      <w:r w:rsidRPr="00FB52B3">
        <w:rPr>
          <w:bCs/>
          <w:lang w:val="en-AU"/>
        </w:rPr>
        <w:t>In 202</w:t>
      </w:r>
      <w:r w:rsidR="00141C29">
        <w:rPr>
          <w:bCs/>
          <w:lang w:val="en-AU"/>
        </w:rPr>
        <w:t>5</w:t>
      </w:r>
      <w:r w:rsidRPr="00FB52B3">
        <w:rPr>
          <w:bCs/>
          <w:lang w:val="en-AU"/>
        </w:rPr>
        <w:t xml:space="preserve">, schools </w:t>
      </w:r>
      <w:r w:rsidR="0008598D">
        <w:rPr>
          <w:bCs/>
          <w:lang w:val="en-AU"/>
        </w:rPr>
        <w:t>can</w:t>
      </w:r>
      <w:r w:rsidRPr="00FB52B3">
        <w:rPr>
          <w:bCs/>
          <w:lang w:val="en-AU"/>
        </w:rPr>
        <w:t xml:space="preserve"> carry over up to 5% of the total credit component of their SRP into 202</w:t>
      </w:r>
      <w:r w:rsidR="00141C29">
        <w:rPr>
          <w:bCs/>
          <w:lang w:val="en-AU"/>
        </w:rPr>
        <w:t>6</w:t>
      </w:r>
      <w:r w:rsidRPr="00FB52B3">
        <w:rPr>
          <w:bCs/>
          <w:lang w:val="en-AU"/>
        </w:rPr>
        <w:t xml:space="preserve">. Any amount of surplus above that threshold will be withheld by the department. </w:t>
      </w:r>
    </w:p>
    <w:p w14:paraId="300533E1" w14:textId="0E628141" w:rsidR="00FB52B3" w:rsidRPr="00FB52B3" w:rsidRDefault="00FB52B3" w:rsidP="00FB52B3">
      <w:pPr>
        <w:numPr>
          <w:ilvl w:val="0"/>
          <w:numId w:val="18"/>
        </w:numPr>
        <w:rPr>
          <w:bCs/>
          <w:lang w:val="en-AU"/>
        </w:rPr>
      </w:pPr>
      <w:r w:rsidRPr="00FB52B3">
        <w:rPr>
          <w:bCs/>
          <w:lang w:val="en-AU"/>
        </w:rPr>
        <w:t>In 202</w:t>
      </w:r>
      <w:r w:rsidR="00141C29">
        <w:rPr>
          <w:bCs/>
          <w:lang w:val="en-AU"/>
        </w:rPr>
        <w:t>6</w:t>
      </w:r>
      <w:r w:rsidRPr="00FB52B3">
        <w:rPr>
          <w:bCs/>
          <w:lang w:val="en-AU"/>
        </w:rPr>
        <w:t>, the threshold will remain at 5% of the total credit component into 202</w:t>
      </w:r>
      <w:r w:rsidR="00141C29">
        <w:rPr>
          <w:bCs/>
          <w:lang w:val="en-AU"/>
        </w:rPr>
        <w:t>7</w:t>
      </w:r>
      <w:r w:rsidRPr="00FB52B3">
        <w:rPr>
          <w:bCs/>
          <w:lang w:val="en-AU"/>
        </w:rPr>
        <w:t xml:space="preserve">, with the remaining balance to be withheld by the department. </w:t>
      </w:r>
    </w:p>
    <w:p w14:paraId="52A4113C" w14:textId="0DF892D8" w:rsidR="00FB52B3" w:rsidRPr="00FB52B3" w:rsidRDefault="00FB52B3" w:rsidP="00FB52B3">
      <w:pPr>
        <w:numPr>
          <w:ilvl w:val="0"/>
          <w:numId w:val="18"/>
        </w:numPr>
        <w:rPr>
          <w:bCs/>
          <w:lang w:val="en-AU"/>
        </w:rPr>
      </w:pPr>
      <w:r w:rsidRPr="00FB52B3">
        <w:rPr>
          <w:bCs/>
          <w:lang w:val="en-AU"/>
        </w:rPr>
        <w:t>In 202</w:t>
      </w:r>
      <w:r w:rsidR="00141C29">
        <w:rPr>
          <w:bCs/>
          <w:lang w:val="en-AU"/>
        </w:rPr>
        <w:t>7</w:t>
      </w:r>
      <w:r w:rsidRPr="00FB52B3">
        <w:rPr>
          <w:bCs/>
          <w:lang w:val="en-AU"/>
        </w:rPr>
        <w:t xml:space="preserve">, the threshold will reduce to 3% of the total credit component of the SRP and remain at 3% ongoing. </w:t>
      </w:r>
    </w:p>
    <w:p w14:paraId="7B36041C" w14:textId="77777777" w:rsidR="00FB52B3" w:rsidRPr="00FB52B3" w:rsidRDefault="00FB52B3" w:rsidP="00FB52B3">
      <w:pPr>
        <w:rPr>
          <w:bCs/>
          <w:lang w:val="en-AU"/>
        </w:rPr>
      </w:pPr>
      <w:r w:rsidRPr="00FB52B3">
        <w:rPr>
          <w:bCs/>
          <w:lang w:val="en-AU"/>
        </w:rPr>
        <w:t xml:space="preserve">The carryover threshold represents the maximum amount of funds a school can have carried over at any given time. </w:t>
      </w:r>
    </w:p>
    <w:p w14:paraId="0D3B9A6E" w14:textId="3DD3CCE7" w:rsidR="00525D74" w:rsidRDefault="00920AF4" w:rsidP="00525D74">
      <w:pPr>
        <w:rPr>
          <w:bCs/>
          <w:lang w:val="en-AU"/>
        </w:rPr>
      </w:pPr>
      <w:r>
        <w:rPr>
          <w:bCs/>
          <w:lang w:val="en-AU"/>
        </w:rPr>
        <w:t>Specialist</w:t>
      </w:r>
      <w:r w:rsidR="006F12C4" w:rsidRPr="006F12C4">
        <w:rPr>
          <w:bCs/>
          <w:lang w:val="en-AU"/>
        </w:rPr>
        <w:t xml:space="preserve"> schools will be permitted to carry over up to 10% of the total credit component of their SRP into future years. The 10% threshold will not change and will remain ongoing.</w:t>
      </w:r>
    </w:p>
    <w:tbl>
      <w:tblPr>
        <w:tblStyle w:val="TableGrid"/>
        <w:tblW w:w="0" w:type="auto"/>
        <w:tblLook w:val="04A0" w:firstRow="1" w:lastRow="0" w:firstColumn="1" w:lastColumn="0" w:noHBand="0" w:noVBand="1"/>
      </w:tblPr>
      <w:tblGrid>
        <w:gridCol w:w="2122"/>
        <w:gridCol w:w="1446"/>
        <w:gridCol w:w="1446"/>
        <w:gridCol w:w="1446"/>
        <w:gridCol w:w="1446"/>
        <w:gridCol w:w="1446"/>
      </w:tblGrid>
      <w:tr w:rsidR="00396FF2" w:rsidRPr="00396FF2" w14:paraId="2D8CF08C" w14:textId="77777777" w:rsidTr="00530E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3C57C49" w14:textId="77777777" w:rsidR="00396FF2" w:rsidRPr="00396FF2" w:rsidRDefault="00396FF2" w:rsidP="00396FF2">
            <w:pPr>
              <w:rPr>
                <w:b/>
                <w:lang w:val="en-AU"/>
              </w:rPr>
            </w:pPr>
            <w:r w:rsidRPr="00396FF2">
              <w:rPr>
                <w:b/>
                <w:lang w:val="en-AU"/>
              </w:rPr>
              <w:t>Credit surplus retention rate</w:t>
            </w:r>
          </w:p>
        </w:tc>
        <w:tc>
          <w:tcPr>
            <w:tcW w:w="1446" w:type="dxa"/>
          </w:tcPr>
          <w:p w14:paraId="7A3DE8F0" w14:textId="63562394" w:rsidR="00396FF2" w:rsidRPr="00396FF2" w:rsidRDefault="00396FF2" w:rsidP="00F33659">
            <w:pPr>
              <w:jc w:val="center"/>
              <w:cnfStyle w:val="100000000000" w:firstRow="1" w:lastRow="0" w:firstColumn="0" w:lastColumn="0" w:oddVBand="0" w:evenVBand="0" w:oddHBand="0" w:evenHBand="0" w:firstRowFirstColumn="0" w:firstRowLastColumn="0" w:lastRowFirstColumn="0" w:lastRowLastColumn="0"/>
              <w:rPr>
                <w:b/>
                <w:lang w:val="en-AU"/>
              </w:rPr>
            </w:pPr>
            <w:r w:rsidRPr="00396FF2">
              <w:rPr>
                <w:b/>
                <w:bCs/>
                <w:lang w:val="en-AU"/>
              </w:rPr>
              <w:t>Year One (202</w:t>
            </w:r>
            <w:r w:rsidR="00683E67">
              <w:rPr>
                <w:b/>
                <w:bCs/>
                <w:lang w:val="en-AU"/>
              </w:rPr>
              <w:t>4</w:t>
            </w:r>
            <w:r w:rsidRPr="00396FF2">
              <w:rPr>
                <w:b/>
                <w:bCs/>
                <w:lang w:val="en-AU"/>
              </w:rPr>
              <w:t>)</w:t>
            </w:r>
          </w:p>
        </w:tc>
        <w:tc>
          <w:tcPr>
            <w:tcW w:w="1446" w:type="dxa"/>
          </w:tcPr>
          <w:p w14:paraId="341E3919" w14:textId="5E6B65F4" w:rsidR="00396FF2" w:rsidRPr="00396FF2" w:rsidRDefault="00396FF2" w:rsidP="00F33659">
            <w:pPr>
              <w:jc w:val="center"/>
              <w:cnfStyle w:val="100000000000" w:firstRow="1" w:lastRow="0" w:firstColumn="0" w:lastColumn="0" w:oddVBand="0" w:evenVBand="0" w:oddHBand="0" w:evenHBand="0" w:firstRowFirstColumn="0" w:firstRowLastColumn="0" w:lastRowFirstColumn="0" w:lastRowLastColumn="0"/>
              <w:rPr>
                <w:b/>
                <w:lang w:val="en-AU"/>
              </w:rPr>
            </w:pPr>
            <w:r w:rsidRPr="00396FF2">
              <w:rPr>
                <w:b/>
                <w:bCs/>
                <w:lang w:val="en-AU"/>
              </w:rPr>
              <w:t>Year Two (202</w:t>
            </w:r>
            <w:r w:rsidR="00683E67">
              <w:rPr>
                <w:b/>
                <w:bCs/>
                <w:lang w:val="en-AU"/>
              </w:rPr>
              <w:t>5</w:t>
            </w:r>
            <w:r w:rsidRPr="00396FF2">
              <w:rPr>
                <w:b/>
                <w:bCs/>
                <w:lang w:val="en-AU"/>
              </w:rPr>
              <w:t>)</w:t>
            </w:r>
          </w:p>
        </w:tc>
        <w:tc>
          <w:tcPr>
            <w:tcW w:w="1446" w:type="dxa"/>
          </w:tcPr>
          <w:p w14:paraId="06813BF1" w14:textId="18B20F5C" w:rsidR="00396FF2" w:rsidRPr="00396FF2" w:rsidRDefault="00396FF2" w:rsidP="00F33659">
            <w:pPr>
              <w:jc w:val="center"/>
              <w:cnfStyle w:val="100000000000" w:firstRow="1" w:lastRow="0" w:firstColumn="0" w:lastColumn="0" w:oddVBand="0" w:evenVBand="0" w:oddHBand="0" w:evenHBand="0" w:firstRowFirstColumn="0" w:firstRowLastColumn="0" w:lastRowFirstColumn="0" w:lastRowLastColumn="0"/>
              <w:rPr>
                <w:b/>
                <w:lang w:val="en-AU"/>
              </w:rPr>
            </w:pPr>
            <w:r w:rsidRPr="00396FF2">
              <w:rPr>
                <w:b/>
                <w:bCs/>
                <w:lang w:val="en-AU"/>
              </w:rPr>
              <w:t>Year Three (202</w:t>
            </w:r>
            <w:r w:rsidR="00683E67">
              <w:rPr>
                <w:b/>
                <w:bCs/>
                <w:lang w:val="en-AU"/>
              </w:rPr>
              <w:t>6</w:t>
            </w:r>
            <w:r w:rsidRPr="00396FF2">
              <w:rPr>
                <w:b/>
                <w:bCs/>
                <w:lang w:val="en-AU"/>
              </w:rPr>
              <w:t>)</w:t>
            </w:r>
          </w:p>
        </w:tc>
        <w:tc>
          <w:tcPr>
            <w:tcW w:w="1446" w:type="dxa"/>
          </w:tcPr>
          <w:p w14:paraId="26E54772" w14:textId="6C05DD00" w:rsidR="00396FF2" w:rsidRPr="00396FF2" w:rsidRDefault="00396FF2" w:rsidP="00F33659">
            <w:pPr>
              <w:jc w:val="center"/>
              <w:cnfStyle w:val="100000000000" w:firstRow="1" w:lastRow="0" w:firstColumn="0" w:lastColumn="0" w:oddVBand="0" w:evenVBand="0" w:oddHBand="0" w:evenHBand="0" w:firstRowFirstColumn="0" w:firstRowLastColumn="0" w:lastRowFirstColumn="0" w:lastRowLastColumn="0"/>
              <w:rPr>
                <w:b/>
                <w:lang w:val="en-AU"/>
              </w:rPr>
            </w:pPr>
            <w:r w:rsidRPr="00396FF2">
              <w:rPr>
                <w:b/>
                <w:bCs/>
                <w:lang w:val="en-AU"/>
              </w:rPr>
              <w:t>Year Four (202</w:t>
            </w:r>
            <w:r w:rsidR="00683E67">
              <w:rPr>
                <w:b/>
                <w:bCs/>
                <w:lang w:val="en-AU"/>
              </w:rPr>
              <w:t>7</w:t>
            </w:r>
            <w:r w:rsidRPr="00396FF2">
              <w:rPr>
                <w:b/>
                <w:bCs/>
                <w:lang w:val="en-AU"/>
              </w:rPr>
              <w:t>)</w:t>
            </w:r>
          </w:p>
        </w:tc>
        <w:tc>
          <w:tcPr>
            <w:tcW w:w="1446" w:type="dxa"/>
          </w:tcPr>
          <w:p w14:paraId="44F2B169" w14:textId="77777777" w:rsidR="00396FF2" w:rsidRPr="00396FF2" w:rsidRDefault="00396FF2" w:rsidP="00F33659">
            <w:pPr>
              <w:jc w:val="center"/>
              <w:cnfStyle w:val="100000000000" w:firstRow="1" w:lastRow="0" w:firstColumn="0" w:lastColumn="0" w:oddVBand="0" w:evenVBand="0" w:oddHBand="0" w:evenHBand="0" w:firstRowFirstColumn="0" w:firstRowLastColumn="0" w:lastRowFirstColumn="0" w:lastRowLastColumn="0"/>
              <w:rPr>
                <w:b/>
                <w:lang w:val="en-AU"/>
              </w:rPr>
            </w:pPr>
            <w:r w:rsidRPr="00396FF2">
              <w:rPr>
                <w:b/>
                <w:bCs/>
                <w:lang w:val="en-AU"/>
              </w:rPr>
              <w:t>Ongoing</w:t>
            </w:r>
          </w:p>
        </w:tc>
      </w:tr>
      <w:tr w:rsidR="00396FF2" w:rsidRPr="00396FF2" w14:paraId="7C9FD34E" w14:textId="77777777" w:rsidTr="00530E42">
        <w:tc>
          <w:tcPr>
            <w:cnfStyle w:val="001000000000" w:firstRow="0" w:lastRow="0" w:firstColumn="1" w:lastColumn="0" w:oddVBand="0" w:evenVBand="0" w:oddHBand="0" w:evenHBand="0" w:firstRowFirstColumn="0" w:firstRowLastColumn="0" w:lastRowFirstColumn="0" w:lastRowLastColumn="0"/>
            <w:tcW w:w="2122" w:type="dxa"/>
          </w:tcPr>
          <w:p w14:paraId="12F4F7D0" w14:textId="016880CE" w:rsidR="00396FF2" w:rsidRPr="00396FF2" w:rsidRDefault="00396FF2" w:rsidP="00396FF2">
            <w:pPr>
              <w:rPr>
                <w:bCs/>
                <w:color w:val="auto"/>
                <w:lang w:val="en-AU"/>
              </w:rPr>
            </w:pPr>
            <w:r w:rsidRPr="00396FF2">
              <w:rPr>
                <w:bCs/>
                <w:color w:val="auto"/>
                <w:lang w:val="en-AU"/>
              </w:rPr>
              <w:t xml:space="preserve">All schools (except </w:t>
            </w:r>
            <w:r w:rsidR="00920AF4">
              <w:rPr>
                <w:bCs/>
                <w:color w:val="auto"/>
                <w:lang w:val="en-AU"/>
              </w:rPr>
              <w:t>specialist</w:t>
            </w:r>
            <w:r w:rsidRPr="00396FF2">
              <w:rPr>
                <w:bCs/>
                <w:color w:val="auto"/>
                <w:lang w:val="en-AU"/>
              </w:rPr>
              <w:t xml:space="preserve"> schools)</w:t>
            </w:r>
          </w:p>
        </w:tc>
        <w:tc>
          <w:tcPr>
            <w:tcW w:w="1446" w:type="dxa"/>
          </w:tcPr>
          <w:p w14:paraId="5AD3AEF1" w14:textId="77777777" w:rsidR="00396FF2" w:rsidRPr="00396FF2" w:rsidRDefault="00396FF2" w:rsidP="00F33659">
            <w:pPr>
              <w:jc w:val="center"/>
              <w:cnfStyle w:val="000000000000" w:firstRow="0" w:lastRow="0" w:firstColumn="0" w:lastColumn="0" w:oddVBand="0" w:evenVBand="0" w:oddHBand="0" w:evenHBand="0" w:firstRowFirstColumn="0" w:firstRowLastColumn="0" w:lastRowFirstColumn="0" w:lastRowLastColumn="0"/>
              <w:rPr>
                <w:lang w:val="en-AU"/>
              </w:rPr>
            </w:pPr>
            <w:r w:rsidRPr="00396FF2">
              <w:t>7.5%</w:t>
            </w:r>
          </w:p>
        </w:tc>
        <w:tc>
          <w:tcPr>
            <w:tcW w:w="1446" w:type="dxa"/>
          </w:tcPr>
          <w:p w14:paraId="05EB3F3A" w14:textId="77777777" w:rsidR="00396FF2" w:rsidRPr="00396FF2" w:rsidRDefault="00396FF2" w:rsidP="00F33659">
            <w:pPr>
              <w:jc w:val="center"/>
              <w:cnfStyle w:val="000000000000" w:firstRow="0" w:lastRow="0" w:firstColumn="0" w:lastColumn="0" w:oddVBand="0" w:evenVBand="0" w:oddHBand="0" w:evenHBand="0" w:firstRowFirstColumn="0" w:firstRowLastColumn="0" w:lastRowFirstColumn="0" w:lastRowLastColumn="0"/>
              <w:rPr>
                <w:lang w:val="en-AU"/>
              </w:rPr>
            </w:pPr>
            <w:r w:rsidRPr="00396FF2">
              <w:t>5%</w:t>
            </w:r>
          </w:p>
        </w:tc>
        <w:tc>
          <w:tcPr>
            <w:tcW w:w="1446" w:type="dxa"/>
          </w:tcPr>
          <w:p w14:paraId="2CE54839" w14:textId="77777777" w:rsidR="00396FF2" w:rsidRPr="00396FF2" w:rsidRDefault="00396FF2" w:rsidP="00F33659">
            <w:pPr>
              <w:jc w:val="center"/>
              <w:cnfStyle w:val="000000000000" w:firstRow="0" w:lastRow="0" w:firstColumn="0" w:lastColumn="0" w:oddVBand="0" w:evenVBand="0" w:oddHBand="0" w:evenHBand="0" w:firstRowFirstColumn="0" w:firstRowLastColumn="0" w:lastRowFirstColumn="0" w:lastRowLastColumn="0"/>
              <w:rPr>
                <w:lang w:val="en-AU"/>
              </w:rPr>
            </w:pPr>
            <w:r w:rsidRPr="00396FF2">
              <w:t>5%</w:t>
            </w:r>
          </w:p>
        </w:tc>
        <w:tc>
          <w:tcPr>
            <w:tcW w:w="1446" w:type="dxa"/>
          </w:tcPr>
          <w:p w14:paraId="7310765D" w14:textId="77777777" w:rsidR="00396FF2" w:rsidRPr="00396FF2" w:rsidRDefault="00396FF2" w:rsidP="00F33659">
            <w:pPr>
              <w:jc w:val="center"/>
              <w:cnfStyle w:val="000000000000" w:firstRow="0" w:lastRow="0" w:firstColumn="0" w:lastColumn="0" w:oddVBand="0" w:evenVBand="0" w:oddHBand="0" w:evenHBand="0" w:firstRowFirstColumn="0" w:firstRowLastColumn="0" w:lastRowFirstColumn="0" w:lastRowLastColumn="0"/>
              <w:rPr>
                <w:lang w:val="en-AU"/>
              </w:rPr>
            </w:pPr>
            <w:r w:rsidRPr="00396FF2">
              <w:t>3%</w:t>
            </w:r>
          </w:p>
        </w:tc>
        <w:tc>
          <w:tcPr>
            <w:tcW w:w="1446" w:type="dxa"/>
          </w:tcPr>
          <w:p w14:paraId="5999CECF" w14:textId="77777777" w:rsidR="00396FF2" w:rsidRPr="00396FF2" w:rsidRDefault="00396FF2" w:rsidP="00F33659">
            <w:pPr>
              <w:jc w:val="center"/>
              <w:cnfStyle w:val="000000000000" w:firstRow="0" w:lastRow="0" w:firstColumn="0" w:lastColumn="0" w:oddVBand="0" w:evenVBand="0" w:oddHBand="0" w:evenHBand="0" w:firstRowFirstColumn="0" w:firstRowLastColumn="0" w:lastRowFirstColumn="0" w:lastRowLastColumn="0"/>
              <w:rPr>
                <w:lang w:val="en-AU"/>
              </w:rPr>
            </w:pPr>
            <w:r w:rsidRPr="00396FF2">
              <w:t>3%</w:t>
            </w:r>
          </w:p>
        </w:tc>
      </w:tr>
      <w:tr w:rsidR="00396FF2" w:rsidRPr="00396FF2" w14:paraId="6EB7F1DC" w14:textId="77777777" w:rsidTr="00530E42">
        <w:tc>
          <w:tcPr>
            <w:cnfStyle w:val="001000000000" w:firstRow="0" w:lastRow="0" w:firstColumn="1" w:lastColumn="0" w:oddVBand="0" w:evenVBand="0" w:oddHBand="0" w:evenHBand="0" w:firstRowFirstColumn="0" w:firstRowLastColumn="0" w:lastRowFirstColumn="0" w:lastRowLastColumn="0"/>
            <w:tcW w:w="2122" w:type="dxa"/>
          </w:tcPr>
          <w:p w14:paraId="1A7A5E0F" w14:textId="21220BDF" w:rsidR="00396FF2" w:rsidRPr="00396FF2" w:rsidRDefault="00920AF4" w:rsidP="00396FF2">
            <w:pPr>
              <w:rPr>
                <w:color w:val="auto"/>
                <w:lang w:val="en-AU"/>
              </w:rPr>
            </w:pPr>
            <w:r>
              <w:rPr>
                <w:color w:val="auto"/>
                <w:lang w:val="en-AU"/>
              </w:rPr>
              <w:t>Specialist</w:t>
            </w:r>
            <w:r w:rsidR="00396FF2" w:rsidRPr="00396FF2">
              <w:rPr>
                <w:color w:val="auto"/>
                <w:lang w:val="en-AU"/>
              </w:rPr>
              <w:t xml:space="preserve"> schools</w:t>
            </w:r>
          </w:p>
        </w:tc>
        <w:tc>
          <w:tcPr>
            <w:tcW w:w="1446" w:type="dxa"/>
          </w:tcPr>
          <w:p w14:paraId="63772FB4" w14:textId="77777777" w:rsidR="00396FF2" w:rsidRPr="00396FF2" w:rsidRDefault="00396FF2" w:rsidP="00F33659">
            <w:pPr>
              <w:jc w:val="center"/>
              <w:cnfStyle w:val="000000000000" w:firstRow="0" w:lastRow="0" w:firstColumn="0" w:lastColumn="0" w:oddVBand="0" w:evenVBand="0" w:oddHBand="0" w:evenHBand="0" w:firstRowFirstColumn="0" w:firstRowLastColumn="0" w:lastRowFirstColumn="0" w:lastRowLastColumn="0"/>
              <w:rPr>
                <w:lang w:val="en-AU"/>
              </w:rPr>
            </w:pPr>
            <w:r w:rsidRPr="00396FF2">
              <w:t>10%</w:t>
            </w:r>
          </w:p>
        </w:tc>
        <w:tc>
          <w:tcPr>
            <w:tcW w:w="1446" w:type="dxa"/>
          </w:tcPr>
          <w:p w14:paraId="6E6DE674" w14:textId="77777777" w:rsidR="00396FF2" w:rsidRPr="00396FF2" w:rsidRDefault="00396FF2" w:rsidP="00F33659">
            <w:pPr>
              <w:jc w:val="center"/>
              <w:cnfStyle w:val="000000000000" w:firstRow="0" w:lastRow="0" w:firstColumn="0" w:lastColumn="0" w:oddVBand="0" w:evenVBand="0" w:oddHBand="0" w:evenHBand="0" w:firstRowFirstColumn="0" w:firstRowLastColumn="0" w:lastRowFirstColumn="0" w:lastRowLastColumn="0"/>
              <w:rPr>
                <w:lang w:val="en-AU"/>
              </w:rPr>
            </w:pPr>
            <w:r w:rsidRPr="00396FF2">
              <w:t>10%</w:t>
            </w:r>
          </w:p>
        </w:tc>
        <w:tc>
          <w:tcPr>
            <w:tcW w:w="1446" w:type="dxa"/>
          </w:tcPr>
          <w:p w14:paraId="092ED6B9" w14:textId="77777777" w:rsidR="00396FF2" w:rsidRPr="00396FF2" w:rsidRDefault="00396FF2" w:rsidP="00F33659">
            <w:pPr>
              <w:jc w:val="center"/>
              <w:cnfStyle w:val="000000000000" w:firstRow="0" w:lastRow="0" w:firstColumn="0" w:lastColumn="0" w:oddVBand="0" w:evenVBand="0" w:oddHBand="0" w:evenHBand="0" w:firstRowFirstColumn="0" w:firstRowLastColumn="0" w:lastRowFirstColumn="0" w:lastRowLastColumn="0"/>
              <w:rPr>
                <w:lang w:val="en-AU"/>
              </w:rPr>
            </w:pPr>
            <w:r w:rsidRPr="00396FF2">
              <w:t>10%</w:t>
            </w:r>
          </w:p>
        </w:tc>
        <w:tc>
          <w:tcPr>
            <w:tcW w:w="1446" w:type="dxa"/>
          </w:tcPr>
          <w:p w14:paraId="64F01DF1" w14:textId="77777777" w:rsidR="00396FF2" w:rsidRPr="00396FF2" w:rsidRDefault="00396FF2" w:rsidP="00F33659">
            <w:pPr>
              <w:jc w:val="center"/>
              <w:cnfStyle w:val="000000000000" w:firstRow="0" w:lastRow="0" w:firstColumn="0" w:lastColumn="0" w:oddVBand="0" w:evenVBand="0" w:oddHBand="0" w:evenHBand="0" w:firstRowFirstColumn="0" w:firstRowLastColumn="0" w:lastRowFirstColumn="0" w:lastRowLastColumn="0"/>
              <w:rPr>
                <w:lang w:val="en-AU"/>
              </w:rPr>
            </w:pPr>
            <w:r w:rsidRPr="00396FF2">
              <w:t>10%</w:t>
            </w:r>
          </w:p>
        </w:tc>
        <w:tc>
          <w:tcPr>
            <w:tcW w:w="1446" w:type="dxa"/>
          </w:tcPr>
          <w:p w14:paraId="6AB9A33B" w14:textId="77777777" w:rsidR="00396FF2" w:rsidRPr="00396FF2" w:rsidRDefault="00396FF2" w:rsidP="00F33659">
            <w:pPr>
              <w:jc w:val="center"/>
              <w:cnfStyle w:val="000000000000" w:firstRow="0" w:lastRow="0" w:firstColumn="0" w:lastColumn="0" w:oddVBand="0" w:evenVBand="0" w:oddHBand="0" w:evenHBand="0" w:firstRowFirstColumn="0" w:firstRowLastColumn="0" w:lastRowFirstColumn="0" w:lastRowLastColumn="0"/>
              <w:rPr>
                <w:lang w:val="en-AU"/>
              </w:rPr>
            </w:pPr>
            <w:r w:rsidRPr="00396FF2">
              <w:t>10%</w:t>
            </w:r>
          </w:p>
        </w:tc>
      </w:tr>
    </w:tbl>
    <w:p w14:paraId="5E08C194" w14:textId="77777777" w:rsidR="0004000A" w:rsidRPr="00525D74" w:rsidRDefault="0004000A" w:rsidP="00525D74">
      <w:pPr>
        <w:rPr>
          <w:lang w:val="en-AU"/>
        </w:rPr>
      </w:pPr>
    </w:p>
    <w:p w14:paraId="368BB2F0" w14:textId="6B3906FF" w:rsidR="00624A55" w:rsidRPr="00624A55" w:rsidRDefault="00131AAD" w:rsidP="00624A55">
      <w:pPr>
        <w:pStyle w:val="Heading3"/>
        <w:rPr>
          <w:lang w:val="en-AU"/>
        </w:rPr>
      </w:pPr>
      <w:r>
        <w:rPr>
          <w:lang w:val="en-AU"/>
        </w:rPr>
        <w:lastRenderedPageBreak/>
        <w:t xml:space="preserve">What happens to my accumulated surplus? </w:t>
      </w:r>
    </w:p>
    <w:p w14:paraId="6CDBD3B5" w14:textId="0B889AD3" w:rsidR="0035096F" w:rsidRDefault="002559D1" w:rsidP="00512C8C">
      <w:pPr>
        <w:rPr>
          <w:lang w:val="en-AU"/>
        </w:rPr>
      </w:pPr>
      <w:r>
        <w:rPr>
          <w:lang w:val="en-AU"/>
        </w:rPr>
        <w:t>Any s</w:t>
      </w:r>
      <w:r w:rsidR="0066015D">
        <w:rPr>
          <w:lang w:val="en-AU"/>
        </w:rPr>
        <w:t>urplus that a school has accrued up until the end of 202</w:t>
      </w:r>
      <w:r w:rsidR="00C53047">
        <w:rPr>
          <w:lang w:val="en-AU"/>
        </w:rPr>
        <w:t>3 (as at reconciliation)</w:t>
      </w:r>
      <w:r w:rsidR="0066015D">
        <w:rPr>
          <w:lang w:val="en-AU"/>
        </w:rPr>
        <w:t xml:space="preserve"> will be </w:t>
      </w:r>
      <w:r w:rsidR="00B04921">
        <w:rPr>
          <w:lang w:val="en-AU"/>
        </w:rPr>
        <w:t>retained</w:t>
      </w:r>
      <w:r w:rsidR="0066015D">
        <w:rPr>
          <w:lang w:val="en-AU"/>
        </w:rPr>
        <w:t xml:space="preserve"> by the school</w:t>
      </w:r>
      <w:r w:rsidR="0035096F">
        <w:rPr>
          <w:lang w:val="en-AU"/>
        </w:rPr>
        <w:t xml:space="preserve"> </w:t>
      </w:r>
      <w:r w:rsidR="00B04921">
        <w:rPr>
          <w:lang w:val="en-AU"/>
        </w:rPr>
        <w:t xml:space="preserve">as a carry forward credit surplus </w:t>
      </w:r>
      <w:r w:rsidR="00F606FF">
        <w:rPr>
          <w:lang w:val="en-AU"/>
        </w:rPr>
        <w:t xml:space="preserve">in their SRP </w:t>
      </w:r>
      <w:r w:rsidR="0035096F">
        <w:rPr>
          <w:lang w:val="en-AU"/>
        </w:rPr>
        <w:t xml:space="preserve">and quarantined from the carryover policy requirements. </w:t>
      </w:r>
    </w:p>
    <w:p w14:paraId="4909E44B" w14:textId="77E4C12B" w:rsidR="00481BF8" w:rsidRDefault="0066015D" w:rsidP="00512C8C">
      <w:pPr>
        <w:rPr>
          <w:lang w:val="en-AU"/>
        </w:rPr>
      </w:pPr>
      <w:r>
        <w:rPr>
          <w:lang w:val="en-AU"/>
        </w:rPr>
        <w:t xml:space="preserve">However, schools will be required to spend </w:t>
      </w:r>
      <w:r w:rsidR="0035096F">
        <w:rPr>
          <w:lang w:val="en-AU"/>
        </w:rPr>
        <w:t>th</w:t>
      </w:r>
      <w:r w:rsidR="004A41C3">
        <w:rPr>
          <w:lang w:val="en-AU"/>
        </w:rPr>
        <w:t>is</w:t>
      </w:r>
      <w:r w:rsidR="0035096F">
        <w:rPr>
          <w:lang w:val="en-AU"/>
        </w:rPr>
        <w:t xml:space="preserve"> accumulated surplus balance by the end of the transition period</w:t>
      </w:r>
      <w:r w:rsidR="002B743F">
        <w:rPr>
          <w:lang w:val="en-AU"/>
        </w:rPr>
        <w:t xml:space="preserve"> (end of 202</w:t>
      </w:r>
      <w:r w:rsidR="00ED34C3">
        <w:rPr>
          <w:lang w:val="en-AU"/>
        </w:rPr>
        <w:t>7</w:t>
      </w:r>
      <w:r w:rsidR="002B743F">
        <w:rPr>
          <w:lang w:val="en-AU"/>
        </w:rPr>
        <w:t>)</w:t>
      </w:r>
      <w:r w:rsidR="0035096F">
        <w:rPr>
          <w:lang w:val="en-AU"/>
        </w:rPr>
        <w:t>.</w:t>
      </w:r>
      <w:r w:rsidR="00481BF8">
        <w:rPr>
          <w:lang w:val="en-AU"/>
        </w:rPr>
        <w:t xml:space="preserve"> </w:t>
      </w:r>
    </w:p>
    <w:p w14:paraId="43954B2B" w14:textId="3A68D529" w:rsidR="00F5184B" w:rsidRDefault="00F5184B" w:rsidP="00512C8C">
      <w:pPr>
        <w:rPr>
          <w:lang w:val="en-AU"/>
        </w:rPr>
      </w:pPr>
      <w:r>
        <w:rPr>
          <w:lang w:val="en-AU"/>
        </w:rPr>
        <w:t xml:space="preserve">The accumulated balance and current year </w:t>
      </w:r>
      <w:r w:rsidR="008D4215">
        <w:rPr>
          <w:lang w:val="en-AU"/>
        </w:rPr>
        <w:t xml:space="preserve">SRP position will be differentiated on budget management reports. </w:t>
      </w:r>
    </w:p>
    <w:p w14:paraId="213D0D9E" w14:textId="77777777" w:rsidR="00BB5287" w:rsidRDefault="00A35953" w:rsidP="00512C8C">
      <w:pPr>
        <w:rPr>
          <w:lang w:val="en-AU"/>
        </w:rPr>
      </w:pPr>
      <w:r>
        <w:rPr>
          <w:lang w:val="en-AU"/>
        </w:rPr>
        <w:t xml:space="preserve">SRP funds allocated to schools in relation to 2024 and future years cannot be spent on capital investment, as this does not produce a benefit for current students. </w:t>
      </w:r>
    </w:p>
    <w:p w14:paraId="1930426E" w14:textId="3EB09023" w:rsidR="00624A55" w:rsidRDefault="00A35953" w:rsidP="00512C8C">
      <w:pPr>
        <w:rPr>
          <w:lang w:val="en-AU"/>
        </w:rPr>
      </w:pPr>
      <w:r>
        <w:rPr>
          <w:lang w:val="en-AU"/>
        </w:rPr>
        <w:t xml:space="preserve">However, in recognition that schools may </w:t>
      </w:r>
      <w:r w:rsidR="00A062C4">
        <w:rPr>
          <w:lang w:val="en-AU"/>
        </w:rPr>
        <w:t xml:space="preserve">have </w:t>
      </w:r>
      <w:r>
        <w:rPr>
          <w:lang w:val="en-AU"/>
        </w:rPr>
        <w:t xml:space="preserve">already committed accumulated balances for this purpose, schools will be able to spend their credit balances accumulated prior to the end of the 2023 school year for this purpose (subject to approval of a credit to cash transfer and compliance with department policies regarding capital works). </w:t>
      </w:r>
    </w:p>
    <w:p w14:paraId="50F1D0FA" w14:textId="737BAE5E" w:rsidR="00A062C4" w:rsidRDefault="00A062C4" w:rsidP="00A062C4">
      <w:pPr>
        <w:pStyle w:val="Heading3"/>
        <w:rPr>
          <w:lang w:val="en-AU"/>
        </w:rPr>
      </w:pPr>
      <w:r>
        <w:rPr>
          <w:lang w:val="en-AU"/>
        </w:rPr>
        <w:t xml:space="preserve">What if my school has committed some of the accumulated surplus for capital works? </w:t>
      </w:r>
    </w:p>
    <w:p w14:paraId="6671C2E8" w14:textId="5EEA808E" w:rsidR="00A062C4" w:rsidRDefault="00A062C4" w:rsidP="00512C8C">
      <w:pPr>
        <w:rPr>
          <w:lang w:val="en-AU"/>
        </w:rPr>
      </w:pPr>
      <w:r>
        <w:rPr>
          <w:lang w:val="en-AU"/>
        </w:rPr>
        <w:t xml:space="preserve">While SRP credit funding is for salaries, we recognise that schools may need time to adjust to the change.  For this reason, surplus accumulated prior to the end of 2023 can be used for capital works (subject to compliance with department policies).  There is no impact on planned projects funded from existing surplus.  </w:t>
      </w:r>
    </w:p>
    <w:p w14:paraId="15F483E0" w14:textId="24100130" w:rsidR="0092257A" w:rsidRDefault="00985B32" w:rsidP="0092257A">
      <w:pPr>
        <w:pStyle w:val="Heading3"/>
        <w:rPr>
          <w:lang w:val="en-AU"/>
        </w:rPr>
      </w:pPr>
      <w:r>
        <w:rPr>
          <w:lang w:val="en-AU"/>
        </w:rPr>
        <w:t xml:space="preserve">How do I know how much surplus </w:t>
      </w:r>
      <w:r w:rsidR="005964B8">
        <w:rPr>
          <w:lang w:val="en-AU"/>
        </w:rPr>
        <w:t>will</w:t>
      </w:r>
      <w:r>
        <w:rPr>
          <w:lang w:val="en-AU"/>
        </w:rPr>
        <w:t xml:space="preserve"> be withheld? </w:t>
      </w:r>
    </w:p>
    <w:p w14:paraId="4DAAB8DA" w14:textId="123C1528" w:rsidR="00985B32" w:rsidRDefault="005964B8" w:rsidP="00985B32">
      <w:pPr>
        <w:rPr>
          <w:lang w:val="en-AU"/>
        </w:rPr>
      </w:pPr>
      <w:r>
        <w:rPr>
          <w:lang w:val="en-AU"/>
        </w:rPr>
        <w:t xml:space="preserve">The carryover threshold allowed </w:t>
      </w:r>
      <w:r w:rsidR="00C511CD">
        <w:rPr>
          <w:lang w:val="en-AU"/>
        </w:rPr>
        <w:t xml:space="preserve">for each year </w:t>
      </w:r>
      <w:r w:rsidR="005C0D99">
        <w:rPr>
          <w:lang w:val="en-AU"/>
        </w:rPr>
        <w:t xml:space="preserve">will be a percentage of the total credit component of </w:t>
      </w:r>
      <w:r w:rsidR="00C511CD">
        <w:rPr>
          <w:lang w:val="en-AU"/>
        </w:rPr>
        <w:t xml:space="preserve">a school’s </w:t>
      </w:r>
      <w:r w:rsidR="005C0D99">
        <w:rPr>
          <w:lang w:val="en-AU"/>
        </w:rPr>
        <w:t xml:space="preserve">SRP funding. </w:t>
      </w:r>
    </w:p>
    <w:p w14:paraId="2C51DB95" w14:textId="10475603" w:rsidR="005C0D99" w:rsidRDefault="008C54CD" w:rsidP="00985B32">
      <w:pPr>
        <w:rPr>
          <w:lang w:val="en-AU"/>
        </w:rPr>
      </w:pPr>
      <w:r>
        <w:rPr>
          <w:lang w:val="en-AU"/>
        </w:rPr>
        <w:t xml:space="preserve">This will be clearly displayed </w:t>
      </w:r>
      <w:r w:rsidR="006632F3">
        <w:rPr>
          <w:lang w:val="en-AU"/>
        </w:rPr>
        <w:t xml:space="preserve">as a separate line in </w:t>
      </w:r>
      <w:r w:rsidR="00C511CD">
        <w:rPr>
          <w:lang w:val="en-AU"/>
        </w:rPr>
        <w:t xml:space="preserve">a school’s </w:t>
      </w:r>
      <w:r w:rsidR="006632F3">
        <w:rPr>
          <w:lang w:val="en-AU"/>
        </w:rPr>
        <w:t>budget management report</w:t>
      </w:r>
      <w:r w:rsidR="00C511CD">
        <w:rPr>
          <w:lang w:val="en-AU"/>
        </w:rPr>
        <w:t xml:space="preserve"> to support schools with expenditure planning. </w:t>
      </w:r>
    </w:p>
    <w:p w14:paraId="250B4628" w14:textId="47B95010" w:rsidR="003406FC" w:rsidRDefault="003406FC" w:rsidP="003406FC">
      <w:pPr>
        <w:pStyle w:val="Heading3"/>
        <w:rPr>
          <w:lang w:val="en-AU"/>
        </w:rPr>
      </w:pPr>
      <w:r>
        <w:rPr>
          <w:lang w:val="en-AU"/>
        </w:rPr>
        <w:t>What will the department do with the money that is withheld?</w:t>
      </w:r>
    </w:p>
    <w:p w14:paraId="0F7A68CB" w14:textId="3438E94F" w:rsidR="00A35953" w:rsidRDefault="00A35953" w:rsidP="00985B32">
      <w:pPr>
        <w:rPr>
          <w:lang w:val="en-AU"/>
        </w:rPr>
      </w:pPr>
      <w:r>
        <w:rPr>
          <w:lang w:val="en-AU"/>
        </w:rPr>
        <w:t xml:space="preserve">The purpose of the policy is to support schools in spending today’s money on today’s students.  </w:t>
      </w:r>
      <w:r w:rsidR="00C511CD">
        <w:rPr>
          <w:lang w:val="en-AU"/>
        </w:rPr>
        <w:t>The department</w:t>
      </w:r>
      <w:r>
        <w:rPr>
          <w:lang w:val="en-AU"/>
        </w:rPr>
        <w:t xml:space="preserve"> will be supporting schools to ensure that as far as possible they can </w:t>
      </w:r>
      <w:r w:rsidR="00C511CD">
        <w:rPr>
          <w:lang w:val="en-AU"/>
        </w:rPr>
        <w:t>use their funding to best promote positive student outcomes</w:t>
      </w:r>
      <w:r>
        <w:rPr>
          <w:lang w:val="en-AU"/>
        </w:rPr>
        <w:t xml:space="preserve">.  </w:t>
      </w:r>
    </w:p>
    <w:p w14:paraId="03013233" w14:textId="7641A0D5" w:rsidR="003406FC" w:rsidRDefault="00C511CD" w:rsidP="00985B32">
      <w:pPr>
        <w:rPr>
          <w:lang w:val="en-AU"/>
        </w:rPr>
      </w:pPr>
      <w:r>
        <w:rPr>
          <w:lang w:val="en-AU"/>
        </w:rPr>
        <w:t>Any u</w:t>
      </w:r>
      <w:r w:rsidR="008612F4">
        <w:rPr>
          <w:lang w:val="en-AU"/>
        </w:rPr>
        <w:t xml:space="preserve">nused credit </w:t>
      </w:r>
      <w:r w:rsidR="00BB63DF">
        <w:rPr>
          <w:lang w:val="en-AU"/>
        </w:rPr>
        <w:t xml:space="preserve">funds </w:t>
      </w:r>
      <w:r>
        <w:rPr>
          <w:lang w:val="en-AU"/>
        </w:rPr>
        <w:t>that are not spent by schools</w:t>
      </w:r>
      <w:r w:rsidR="00BB63DF">
        <w:rPr>
          <w:lang w:val="en-AU"/>
        </w:rPr>
        <w:t xml:space="preserve"> will be reinvested into schools </w:t>
      </w:r>
      <w:r w:rsidR="00F27C7C">
        <w:rPr>
          <w:lang w:val="en-AU"/>
        </w:rPr>
        <w:t xml:space="preserve">to benefit existing students. </w:t>
      </w:r>
    </w:p>
    <w:p w14:paraId="6A1856DB" w14:textId="5D3386B3" w:rsidR="00B05401" w:rsidRDefault="00B05401" w:rsidP="00B05401">
      <w:pPr>
        <w:pStyle w:val="Heading3"/>
        <w:rPr>
          <w:lang w:val="en-AU"/>
        </w:rPr>
      </w:pPr>
      <w:r>
        <w:rPr>
          <w:lang w:val="en-AU"/>
        </w:rPr>
        <w:t>How will small schools be protected by the policy?</w:t>
      </w:r>
    </w:p>
    <w:p w14:paraId="50206F0C" w14:textId="322E23DC" w:rsidR="0093209B" w:rsidRDefault="00225F63" w:rsidP="0093209B">
      <w:pPr>
        <w:rPr>
          <w:bCs/>
          <w:lang w:val="en-AU"/>
        </w:rPr>
      </w:pPr>
      <w:r>
        <w:rPr>
          <w:lang w:val="en-AU"/>
        </w:rPr>
        <w:t xml:space="preserve">Any school </w:t>
      </w:r>
      <w:r w:rsidR="0093209B">
        <w:rPr>
          <w:bCs/>
          <w:lang w:val="en-AU"/>
        </w:rPr>
        <w:t>that has a</w:t>
      </w:r>
      <w:r w:rsidR="0093209B" w:rsidRPr="0093209B">
        <w:rPr>
          <w:bCs/>
          <w:lang w:val="en-AU"/>
        </w:rPr>
        <w:t xml:space="preserve"> surplus balance that exceed</w:t>
      </w:r>
      <w:r w:rsidR="0093209B">
        <w:rPr>
          <w:bCs/>
          <w:lang w:val="en-AU"/>
        </w:rPr>
        <w:t>s</w:t>
      </w:r>
      <w:r w:rsidR="0093209B" w:rsidRPr="0093209B">
        <w:rPr>
          <w:bCs/>
          <w:lang w:val="en-AU"/>
        </w:rPr>
        <w:t xml:space="preserve"> the threshold requirements will not have their surplu</w:t>
      </w:r>
      <w:r w:rsidR="00AC6738">
        <w:rPr>
          <w:bCs/>
          <w:lang w:val="en-AU"/>
        </w:rPr>
        <w:t>s</w:t>
      </w:r>
      <w:r w:rsidR="0093209B" w:rsidRPr="0093209B">
        <w:rPr>
          <w:bCs/>
          <w:lang w:val="en-AU"/>
        </w:rPr>
        <w:t xml:space="preserve"> reduced </w:t>
      </w:r>
      <w:r w:rsidR="0052151B">
        <w:rPr>
          <w:bCs/>
          <w:lang w:val="en-AU"/>
        </w:rPr>
        <w:t xml:space="preserve">to </w:t>
      </w:r>
      <w:r w:rsidR="0093209B" w:rsidRPr="0093209B">
        <w:rPr>
          <w:bCs/>
          <w:lang w:val="en-AU"/>
        </w:rPr>
        <w:t>below $100,000</w:t>
      </w:r>
      <w:r w:rsidR="009A691C">
        <w:rPr>
          <w:bCs/>
          <w:lang w:val="en-AU"/>
        </w:rPr>
        <w:t xml:space="preserve">, or $200,000 for </w:t>
      </w:r>
      <w:r w:rsidR="00920AF4">
        <w:rPr>
          <w:bCs/>
          <w:lang w:val="en-AU"/>
        </w:rPr>
        <w:t>specialist</w:t>
      </w:r>
      <w:r w:rsidR="009A691C">
        <w:rPr>
          <w:bCs/>
          <w:lang w:val="en-AU"/>
        </w:rPr>
        <w:t xml:space="preserve"> schools. </w:t>
      </w:r>
    </w:p>
    <w:p w14:paraId="6A84C38E" w14:textId="760BD8BD" w:rsidR="00E87378" w:rsidRDefault="00E87378" w:rsidP="0093209B">
      <w:pPr>
        <w:rPr>
          <w:bCs/>
          <w:lang w:val="en-AU"/>
        </w:rPr>
      </w:pPr>
      <w:r>
        <w:rPr>
          <w:bCs/>
          <w:lang w:val="en-AU"/>
        </w:rPr>
        <w:t>In other words</w:t>
      </w:r>
      <w:r w:rsidR="002A2668">
        <w:rPr>
          <w:bCs/>
          <w:lang w:val="en-AU"/>
        </w:rPr>
        <w:t xml:space="preserve">, in year one of the policy: </w:t>
      </w:r>
    </w:p>
    <w:p w14:paraId="073963C5" w14:textId="063006D2" w:rsidR="00864E74" w:rsidRPr="00864E74" w:rsidRDefault="009733D9" w:rsidP="00864E74">
      <w:pPr>
        <w:jc w:val="center"/>
        <w:rPr>
          <w:i/>
          <w:iCs/>
          <w:lang w:val="en-AU"/>
        </w:rPr>
      </w:pPr>
      <w:r>
        <w:rPr>
          <w:b/>
          <w:bCs/>
          <w:i/>
          <w:iCs/>
          <w:lang w:val="en-AU"/>
        </w:rPr>
        <w:t xml:space="preserve">All schools: </w:t>
      </w:r>
      <w:r w:rsidR="00864E74" w:rsidRPr="00864E74">
        <w:rPr>
          <w:i/>
          <w:iCs/>
          <w:lang w:val="en-AU"/>
        </w:rPr>
        <w:t>Maximum SRP credit that can be retained = the greater of:</w:t>
      </w:r>
    </w:p>
    <w:p w14:paraId="5B0CA9D3" w14:textId="0FE8303E" w:rsidR="002A2668" w:rsidRDefault="00864E74" w:rsidP="00864E74">
      <w:pPr>
        <w:jc w:val="center"/>
        <w:rPr>
          <w:i/>
          <w:iCs/>
          <w:lang w:val="en-AU"/>
        </w:rPr>
      </w:pPr>
      <w:r w:rsidRPr="00864E74">
        <w:rPr>
          <w:i/>
          <w:iCs/>
          <w:lang w:val="en-AU"/>
        </w:rPr>
        <w:t xml:space="preserve">Total Annual SRP Credit x 7.5% </w:t>
      </w:r>
      <w:r w:rsidRPr="00864E74">
        <w:rPr>
          <w:i/>
          <w:iCs/>
          <w:u w:val="single"/>
          <w:lang w:val="en-AU"/>
        </w:rPr>
        <w:t>OR</w:t>
      </w:r>
      <w:r w:rsidRPr="00864E74">
        <w:rPr>
          <w:i/>
          <w:iCs/>
          <w:lang w:val="en-AU"/>
        </w:rPr>
        <w:t xml:space="preserve"> $100,000</w:t>
      </w:r>
    </w:p>
    <w:p w14:paraId="598F7B1C" w14:textId="77777777" w:rsidR="001F3CB1" w:rsidRPr="00864E74" w:rsidRDefault="001F3CB1" w:rsidP="00864E74">
      <w:pPr>
        <w:jc w:val="center"/>
        <w:rPr>
          <w:i/>
          <w:iCs/>
          <w:lang w:val="en-AU"/>
        </w:rPr>
      </w:pPr>
    </w:p>
    <w:p w14:paraId="607B5819" w14:textId="2F227698" w:rsidR="001F3CB1" w:rsidRPr="00864E74" w:rsidRDefault="00920AF4" w:rsidP="001F3CB1">
      <w:pPr>
        <w:jc w:val="center"/>
        <w:rPr>
          <w:i/>
          <w:iCs/>
          <w:lang w:val="en-AU"/>
        </w:rPr>
      </w:pPr>
      <w:r>
        <w:rPr>
          <w:b/>
          <w:bCs/>
          <w:i/>
          <w:iCs/>
          <w:lang w:val="en-AU"/>
        </w:rPr>
        <w:t>Specialist</w:t>
      </w:r>
      <w:r w:rsidR="001F3CB1">
        <w:rPr>
          <w:b/>
          <w:bCs/>
          <w:i/>
          <w:iCs/>
          <w:lang w:val="en-AU"/>
        </w:rPr>
        <w:t xml:space="preserve"> schools: </w:t>
      </w:r>
      <w:r w:rsidR="001F3CB1" w:rsidRPr="00864E74">
        <w:rPr>
          <w:i/>
          <w:iCs/>
          <w:lang w:val="en-AU"/>
        </w:rPr>
        <w:t>Maximum SRP credit that can be retained = the greater of:</w:t>
      </w:r>
    </w:p>
    <w:p w14:paraId="1196D282" w14:textId="33AD06BC" w:rsidR="00B05401" w:rsidRPr="00B05401" w:rsidRDefault="001F3CB1" w:rsidP="001F3CB1">
      <w:pPr>
        <w:jc w:val="center"/>
        <w:rPr>
          <w:lang w:val="en-AU"/>
        </w:rPr>
      </w:pPr>
      <w:r w:rsidRPr="00864E74">
        <w:rPr>
          <w:i/>
          <w:iCs/>
          <w:lang w:val="en-AU"/>
        </w:rPr>
        <w:lastRenderedPageBreak/>
        <w:t xml:space="preserve">Total Annual SRP Credit x </w:t>
      </w:r>
      <w:r>
        <w:rPr>
          <w:i/>
          <w:iCs/>
          <w:lang w:val="en-AU"/>
        </w:rPr>
        <w:t>10</w:t>
      </w:r>
      <w:r w:rsidRPr="00864E74">
        <w:rPr>
          <w:i/>
          <w:iCs/>
          <w:lang w:val="en-AU"/>
        </w:rPr>
        <w:t xml:space="preserve">% </w:t>
      </w:r>
      <w:r w:rsidRPr="00864E74">
        <w:rPr>
          <w:i/>
          <w:iCs/>
          <w:u w:val="single"/>
          <w:lang w:val="en-AU"/>
        </w:rPr>
        <w:t>OR</w:t>
      </w:r>
      <w:r w:rsidRPr="00864E74">
        <w:rPr>
          <w:i/>
          <w:iCs/>
          <w:lang w:val="en-AU"/>
        </w:rPr>
        <w:t xml:space="preserve"> $</w:t>
      </w:r>
      <w:r>
        <w:rPr>
          <w:i/>
          <w:iCs/>
          <w:lang w:val="en-AU"/>
        </w:rPr>
        <w:t>2</w:t>
      </w:r>
      <w:r w:rsidRPr="00864E74">
        <w:rPr>
          <w:i/>
          <w:iCs/>
          <w:lang w:val="en-AU"/>
        </w:rPr>
        <w:t>00,000</w:t>
      </w:r>
    </w:p>
    <w:p w14:paraId="365AAF25" w14:textId="77777777" w:rsidR="0034759E" w:rsidRDefault="0034759E" w:rsidP="0034759E">
      <w:pPr>
        <w:pStyle w:val="Heading3"/>
        <w:rPr>
          <w:lang w:val="en-AU"/>
        </w:rPr>
      </w:pPr>
      <w:r>
        <w:rPr>
          <w:lang w:val="en-AU"/>
        </w:rPr>
        <w:t>How will specialist schools be impacted by the policy?</w:t>
      </w:r>
    </w:p>
    <w:p w14:paraId="4FFDF9EE" w14:textId="01BC73B0" w:rsidR="0034759E" w:rsidRPr="00B35549" w:rsidRDefault="0034759E" w:rsidP="0034759E">
      <w:pPr>
        <w:rPr>
          <w:lang w:val="en-AU"/>
        </w:rPr>
      </w:pPr>
      <w:r>
        <w:rPr>
          <w:lang w:val="en-AU"/>
        </w:rPr>
        <w:t>Specialist schools are included in the scope of the policy</w:t>
      </w:r>
      <w:r w:rsidR="00C511CD">
        <w:rPr>
          <w:lang w:val="en-AU"/>
        </w:rPr>
        <w:t>.  They</w:t>
      </w:r>
      <w:r>
        <w:rPr>
          <w:lang w:val="en-AU"/>
        </w:rPr>
        <w:t xml:space="preserve"> are granted a higher carryover threshold and </w:t>
      </w:r>
      <w:r w:rsidR="00C511CD">
        <w:rPr>
          <w:lang w:val="en-AU"/>
        </w:rPr>
        <w:t xml:space="preserve">also have </w:t>
      </w:r>
      <w:r>
        <w:rPr>
          <w:lang w:val="en-AU"/>
        </w:rPr>
        <w:t xml:space="preserve">a higher protection base for smaller schools. This is to recognise the more unpredictable nature of their expenditure. </w:t>
      </w:r>
    </w:p>
    <w:p w14:paraId="34CF0E04" w14:textId="0F6CD387" w:rsidR="007D1F8D" w:rsidRDefault="007D1F8D" w:rsidP="00985B32">
      <w:pPr>
        <w:pStyle w:val="Heading3"/>
        <w:rPr>
          <w:lang w:val="en-AU"/>
        </w:rPr>
      </w:pPr>
      <w:r>
        <w:rPr>
          <w:lang w:val="en-AU"/>
        </w:rPr>
        <w:t>Deficit write-off incentive for small schools</w:t>
      </w:r>
    </w:p>
    <w:p w14:paraId="3498AC8C" w14:textId="5893A21D" w:rsidR="007D1F8D" w:rsidRDefault="00C85DD8" w:rsidP="007D1F8D">
      <w:pPr>
        <w:rPr>
          <w:lang w:val="en-AU"/>
        </w:rPr>
      </w:pPr>
      <w:r>
        <w:rPr>
          <w:lang w:val="en-AU"/>
        </w:rPr>
        <w:t>To further protect small schools</w:t>
      </w:r>
      <w:r w:rsidR="007E6ECA">
        <w:rPr>
          <w:lang w:val="en-AU"/>
        </w:rPr>
        <w:t xml:space="preserve">, and to recognise </w:t>
      </w:r>
      <w:r w:rsidR="00BB5287">
        <w:rPr>
          <w:lang w:val="en-AU"/>
        </w:rPr>
        <w:t>workforce challenges</w:t>
      </w:r>
      <w:r w:rsidR="00B21D8E">
        <w:rPr>
          <w:lang w:val="en-AU"/>
        </w:rPr>
        <w:t xml:space="preserve"> in small schools, there will be </w:t>
      </w:r>
      <w:r w:rsidR="00C511CD">
        <w:rPr>
          <w:lang w:val="en-AU"/>
        </w:rPr>
        <w:t xml:space="preserve">an </w:t>
      </w:r>
      <w:r w:rsidR="00B21D8E">
        <w:rPr>
          <w:lang w:val="en-AU"/>
        </w:rPr>
        <w:t xml:space="preserve">opportunity to have small deficits written off by the department. </w:t>
      </w:r>
    </w:p>
    <w:p w14:paraId="45178065" w14:textId="66713936" w:rsidR="0053680C" w:rsidRDefault="00106FEB" w:rsidP="007D1F8D">
      <w:pPr>
        <w:rPr>
          <w:lang w:val="en-AU"/>
        </w:rPr>
      </w:pPr>
      <w:r>
        <w:rPr>
          <w:lang w:val="en-AU"/>
        </w:rPr>
        <w:t xml:space="preserve">Small schools that, in the spirit </w:t>
      </w:r>
      <w:r w:rsidR="00186386">
        <w:rPr>
          <w:lang w:val="en-AU"/>
        </w:rPr>
        <w:t>of trying to spend their entire SRP credit allocation for the benefit of the existing students, exceed their full allocation</w:t>
      </w:r>
      <w:r w:rsidR="00D17C54">
        <w:rPr>
          <w:lang w:val="en-AU"/>
        </w:rPr>
        <w:t xml:space="preserve"> </w:t>
      </w:r>
      <w:r w:rsidR="00C511CD">
        <w:rPr>
          <w:lang w:val="en-AU"/>
        </w:rPr>
        <w:t>resulting in</w:t>
      </w:r>
      <w:r w:rsidR="00E610BB">
        <w:rPr>
          <w:lang w:val="en-AU"/>
        </w:rPr>
        <w:t xml:space="preserve"> a small deficit, will have an opportunity to </w:t>
      </w:r>
      <w:r w:rsidR="0053680C">
        <w:rPr>
          <w:lang w:val="en-AU"/>
        </w:rPr>
        <w:t xml:space="preserve">have their deficits reduced by the department up to $50,000. </w:t>
      </w:r>
    </w:p>
    <w:p w14:paraId="631249AE" w14:textId="210A98EF" w:rsidR="00B15AD0" w:rsidRDefault="0053680C" w:rsidP="007D1F8D">
      <w:pPr>
        <w:rPr>
          <w:lang w:val="en-AU"/>
        </w:rPr>
      </w:pPr>
      <w:r>
        <w:rPr>
          <w:lang w:val="en-AU"/>
        </w:rPr>
        <w:t>This incentive only applies to very small and small schools (in line with the Small Schools Base Funding which defines small</w:t>
      </w:r>
      <w:r w:rsidR="00425192">
        <w:rPr>
          <w:lang w:val="en-AU"/>
        </w:rPr>
        <w:t xml:space="preserve"> school</w:t>
      </w:r>
      <w:r>
        <w:rPr>
          <w:lang w:val="en-AU"/>
        </w:rPr>
        <w:t xml:space="preserve">s as either primary schools with less than 80.1 students or secondary schools with less than 400 students). </w:t>
      </w:r>
    </w:p>
    <w:p w14:paraId="6B9B6624" w14:textId="77777777" w:rsidR="00301FD7" w:rsidRDefault="00B15AD0" w:rsidP="007D1F8D">
      <w:pPr>
        <w:rPr>
          <w:lang w:val="en-AU"/>
        </w:rPr>
      </w:pPr>
      <w:r>
        <w:rPr>
          <w:lang w:val="en-AU"/>
        </w:rPr>
        <w:t xml:space="preserve">For this incentive to apply, small schools must demonstrate that the deficit was caused by adding additional staff and the deficit is not offset by significant amounts of locally raised funds. </w:t>
      </w:r>
    </w:p>
    <w:p w14:paraId="4E833050" w14:textId="67B08CB9" w:rsidR="00106FEB" w:rsidRDefault="00301FD7" w:rsidP="007D1F8D">
      <w:pPr>
        <w:rPr>
          <w:lang w:val="en-AU"/>
        </w:rPr>
      </w:pPr>
      <w:r>
        <w:rPr>
          <w:lang w:val="en-AU"/>
        </w:rPr>
        <w:t xml:space="preserve">Additionally, schools that have submitted a credit-to-cash transfer in the calendar year will not be eligible for the incentive. </w:t>
      </w:r>
    </w:p>
    <w:p w14:paraId="40DCAAB1" w14:textId="778C3AFB" w:rsidR="00BC4036" w:rsidRDefault="00BC4036" w:rsidP="007D1F8D">
      <w:pPr>
        <w:rPr>
          <w:lang w:val="en-AU"/>
        </w:rPr>
      </w:pPr>
      <w:r>
        <w:rPr>
          <w:lang w:val="en-AU"/>
        </w:rPr>
        <w:t xml:space="preserve">If a school that is eligible for the incentive </w:t>
      </w:r>
      <w:r w:rsidR="004E151B">
        <w:rPr>
          <w:lang w:val="en-AU"/>
        </w:rPr>
        <w:t xml:space="preserve">operates a small deficit, but has an accumulated surplus balance, it is expected that the accumulated surplus would be used to offset the deficit in the first instance. </w:t>
      </w:r>
    </w:p>
    <w:p w14:paraId="08D75D2D" w14:textId="13EBF819" w:rsidR="00985B32" w:rsidRDefault="002949F5" w:rsidP="00985B32">
      <w:pPr>
        <w:pStyle w:val="Heading3"/>
        <w:rPr>
          <w:lang w:val="en-AU"/>
        </w:rPr>
      </w:pPr>
      <w:r>
        <w:rPr>
          <w:lang w:val="en-AU"/>
        </w:rPr>
        <w:t>Credit-to-cash transfers</w:t>
      </w:r>
    </w:p>
    <w:p w14:paraId="1E685798" w14:textId="00D04A72" w:rsidR="002949F5" w:rsidRDefault="00D81583" w:rsidP="00BC2DEB">
      <w:pPr>
        <w:rPr>
          <w:lang w:val="en-AU"/>
        </w:rPr>
      </w:pPr>
      <w:r>
        <w:rPr>
          <w:lang w:val="en-AU"/>
        </w:rPr>
        <w:t xml:space="preserve">The rules </w:t>
      </w:r>
      <w:r w:rsidR="00C26293">
        <w:rPr>
          <w:lang w:val="en-AU"/>
        </w:rPr>
        <w:t>around Credit-to-cash transfer reque</w:t>
      </w:r>
      <w:r w:rsidR="007269E9">
        <w:rPr>
          <w:lang w:val="en-AU"/>
        </w:rPr>
        <w:t>sts were recently strengthened</w:t>
      </w:r>
      <w:r w:rsidR="005E3BCD">
        <w:rPr>
          <w:lang w:val="en-AU"/>
        </w:rPr>
        <w:t xml:space="preserve">, including </w:t>
      </w:r>
      <w:r w:rsidR="00B27413">
        <w:rPr>
          <w:lang w:val="en-AU"/>
        </w:rPr>
        <w:t>changes</w:t>
      </w:r>
      <w:r w:rsidR="00137EF8">
        <w:rPr>
          <w:lang w:val="en-AU"/>
        </w:rPr>
        <w:t xml:space="preserve"> on CCT requests for capital works.</w:t>
      </w:r>
      <w:r w:rsidR="00CD7978">
        <w:rPr>
          <w:lang w:val="en-AU"/>
        </w:rPr>
        <w:t xml:space="preserve"> The </w:t>
      </w:r>
      <w:r w:rsidR="000C77C8">
        <w:rPr>
          <w:lang w:val="en-AU"/>
        </w:rPr>
        <w:t>changes</w:t>
      </w:r>
      <w:r w:rsidR="00CD7978">
        <w:rPr>
          <w:lang w:val="en-AU"/>
        </w:rPr>
        <w:t xml:space="preserve"> </w:t>
      </w:r>
      <w:r w:rsidR="004E729D">
        <w:rPr>
          <w:lang w:val="en-AU"/>
        </w:rPr>
        <w:t>appl</w:t>
      </w:r>
      <w:r w:rsidR="00B17C74">
        <w:rPr>
          <w:lang w:val="en-AU"/>
        </w:rPr>
        <w:t>y</w:t>
      </w:r>
      <w:r w:rsidR="004E729D">
        <w:rPr>
          <w:lang w:val="en-AU"/>
        </w:rPr>
        <w:t xml:space="preserve"> from 1 January 2024 and </w:t>
      </w:r>
      <w:r w:rsidR="00C7216C">
        <w:rPr>
          <w:lang w:val="en-AU"/>
        </w:rPr>
        <w:t>more information is</w:t>
      </w:r>
      <w:r w:rsidR="00683E67">
        <w:rPr>
          <w:lang w:val="en-AU"/>
        </w:rPr>
        <w:t xml:space="preserve"> available </w:t>
      </w:r>
      <w:r w:rsidR="00BC2DEB">
        <w:rPr>
          <w:lang w:val="en-AU"/>
        </w:rPr>
        <w:t xml:space="preserve">at </w:t>
      </w:r>
      <w:hyperlink r:id="rId13" w:history="1">
        <w:r w:rsidR="00BC2DEB" w:rsidRPr="00BC2DEB">
          <w:rPr>
            <w:rStyle w:val="Hyperlink"/>
            <w:b/>
            <w:bCs/>
            <w:lang w:val="en-AU"/>
          </w:rPr>
          <w:t>Student Resource Package – Managing the Budget Cash</w:t>
        </w:r>
      </w:hyperlink>
      <w:r w:rsidR="007269E9">
        <w:rPr>
          <w:lang w:val="en-AU"/>
        </w:rPr>
        <w:t>.</w:t>
      </w:r>
    </w:p>
    <w:p w14:paraId="727DACC3" w14:textId="01F0A690" w:rsidR="00B17C74" w:rsidRPr="00B17C74" w:rsidRDefault="00B17C74" w:rsidP="002949F5">
      <w:pPr>
        <w:rPr>
          <w:rFonts w:asciiTheme="majorHAnsi" w:eastAsiaTheme="majorEastAsia" w:hAnsiTheme="majorHAnsi" w:cstheme="majorBidi"/>
          <w:b/>
          <w:color w:val="E25205" w:themeColor="accent1"/>
          <w:sz w:val="28"/>
          <w:lang w:val="en-AU"/>
        </w:rPr>
      </w:pPr>
      <w:r w:rsidRPr="00B17C74">
        <w:rPr>
          <w:rFonts w:asciiTheme="majorHAnsi" w:eastAsiaTheme="majorEastAsia" w:hAnsiTheme="majorHAnsi" w:cstheme="majorBidi"/>
          <w:b/>
          <w:color w:val="E25205" w:themeColor="accent1"/>
          <w:sz w:val="28"/>
          <w:lang w:val="en-AU"/>
        </w:rPr>
        <w:t xml:space="preserve">What are expenditure options for schools with an SRP credit surplus? </w:t>
      </w:r>
    </w:p>
    <w:p w14:paraId="0C540BBA" w14:textId="77777777" w:rsidR="00A22CC4" w:rsidRDefault="008F193A" w:rsidP="002949F5">
      <w:pPr>
        <w:rPr>
          <w:lang w:val="en-AU"/>
        </w:rPr>
      </w:pPr>
      <w:r>
        <w:rPr>
          <w:lang w:val="en-AU"/>
        </w:rPr>
        <w:t xml:space="preserve">SRP credit is provided to schools for staffing and therefore schools should give priority to spending any surplus </w:t>
      </w:r>
      <w:r w:rsidR="00B17C74">
        <w:rPr>
          <w:lang w:val="en-AU"/>
        </w:rPr>
        <w:t xml:space="preserve">funds on </w:t>
      </w:r>
      <w:r>
        <w:rPr>
          <w:lang w:val="en-AU"/>
        </w:rPr>
        <w:t xml:space="preserve">staffing resources.  These may include </w:t>
      </w:r>
      <w:r w:rsidR="00B17C74">
        <w:rPr>
          <w:lang w:val="en-AU"/>
        </w:rPr>
        <w:t>staff development</w:t>
      </w:r>
      <w:r w:rsidR="00045496">
        <w:rPr>
          <w:lang w:val="en-AU"/>
        </w:rPr>
        <w:t>, onboarding, retention</w:t>
      </w:r>
      <w:r w:rsidR="003038B9">
        <w:rPr>
          <w:lang w:val="en-AU"/>
        </w:rPr>
        <w:t xml:space="preserve"> and attraction</w:t>
      </w:r>
      <w:r w:rsidR="00A22CC4">
        <w:rPr>
          <w:lang w:val="en-AU"/>
        </w:rPr>
        <w:t xml:space="preserve"> and </w:t>
      </w:r>
      <w:r w:rsidR="00B17C74">
        <w:rPr>
          <w:lang w:val="en-AU"/>
        </w:rPr>
        <w:t>supporting access to Casual Relief Teachers</w:t>
      </w:r>
      <w:r w:rsidR="00A22CC4">
        <w:rPr>
          <w:lang w:val="en-AU"/>
        </w:rPr>
        <w:t xml:space="preserve">.  </w:t>
      </w:r>
    </w:p>
    <w:p w14:paraId="1741BCB7" w14:textId="05D9D345" w:rsidR="00B17C74" w:rsidRDefault="00A22CC4" w:rsidP="002949F5">
      <w:pPr>
        <w:rPr>
          <w:lang w:val="en-AU"/>
        </w:rPr>
      </w:pPr>
      <w:r>
        <w:rPr>
          <w:lang w:val="en-AU"/>
        </w:rPr>
        <w:t>Schools are also encouraged to consider spend on</w:t>
      </w:r>
      <w:r w:rsidR="00B17C74">
        <w:rPr>
          <w:lang w:val="en-AU"/>
        </w:rPr>
        <w:t xml:space="preserve"> other staffing </w:t>
      </w:r>
      <w:r w:rsidR="001D57EA">
        <w:rPr>
          <w:lang w:val="en-AU"/>
        </w:rPr>
        <w:t>resources</w:t>
      </w:r>
      <w:r>
        <w:rPr>
          <w:lang w:val="en-AU"/>
        </w:rPr>
        <w:t xml:space="preserve"> including additional staff to assist </w:t>
      </w:r>
      <w:r w:rsidRPr="00A22CC4">
        <w:rPr>
          <w:lang w:val="en-AU"/>
        </w:rPr>
        <w:t>with recruitment, facilities management, operations managers and opportunities to promote talent across the wider school system</w:t>
      </w:r>
      <w:r w:rsidR="00B17C74">
        <w:rPr>
          <w:lang w:val="en-AU"/>
        </w:rPr>
        <w:t xml:space="preserve">. </w:t>
      </w:r>
    </w:p>
    <w:p w14:paraId="61D2C4F0" w14:textId="62C8938D" w:rsidR="00B17C74" w:rsidRDefault="003038B9" w:rsidP="002949F5">
      <w:pPr>
        <w:rPr>
          <w:lang w:val="en-AU"/>
        </w:rPr>
      </w:pPr>
      <w:r>
        <w:rPr>
          <w:lang w:val="en-AU"/>
        </w:rPr>
        <w:t xml:space="preserve">Schools can also consider spend on other school led </w:t>
      </w:r>
      <w:r w:rsidR="00B17C74">
        <w:rPr>
          <w:lang w:val="en-AU"/>
        </w:rPr>
        <w:t xml:space="preserve">initiatives to </w:t>
      </w:r>
      <w:r>
        <w:rPr>
          <w:lang w:val="en-AU"/>
        </w:rPr>
        <w:t>support positive student learning and wellbeing outcomes</w:t>
      </w:r>
      <w:r w:rsidR="00B17C74">
        <w:rPr>
          <w:lang w:val="en-AU"/>
        </w:rPr>
        <w:t xml:space="preserve">. </w:t>
      </w:r>
    </w:p>
    <w:p w14:paraId="3A22DE08" w14:textId="5B8A4AFF" w:rsidR="00B17C74" w:rsidRDefault="00B17C74" w:rsidP="002949F5">
      <w:pPr>
        <w:rPr>
          <w:lang w:val="en-AU"/>
        </w:rPr>
      </w:pPr>
      <w:r>
        <w:rPr>
          <w:lang w:val="en-AU"/>
        </w:rPr>
        <w:t>Examples of potential areas of expenditure (</w:t>
      </w:r>
      <w:r w:rsidR="003038B9">
        <w:rPr>
          <w:lang w:val="en-AU"/>
        </w:rPr>
        <w:t>subject to compliance with other department policies</w:t>
      </w:r>
      <w:r>
        <w:rPr>
          <w:lang w:val="en-AU"/>
        </w:rPr>
        <w:t xml:space="preserve">) include: </w:t>
      </w:r>
    </w:p>
    <w:p w14:paraId="691A47B2" w14:textId="5A132883" w:rsidR="00B17C74" w:rsidRDefault="00B17C74" w:rsidP="00B17C74">
      <w:pPr>
        <w:pStyle w:val="ListParagraph"/>
        <w:numPr>
          <w:ilvl w:val="0"/>
          <w:numId w:val="26"/>
        </w:numPr>
        <w:rPr>
          <w:lang w:val="en-AU"/>
        </w:rPr>
      </w:pPr>
      <w:r>
        <w:rPr>
          <w:lang w:val="en-AU"/>
        </w:rPr>
        <w:t>Support to camps, sports and excursions.</w:t>
      </w:r>
    </w:p>
    <w:p w14:paraId="7D934692" w14:textId="21860DEC" w:rsidR="00B17C74" w:rsidRDefault="00B17C74" w:rsidP="00B17C74">
      <w:pPr>
        <w:pStyle w:val="ListParagraph"/>
        <w:numPr>
          <w:ilvl w:val="0"/>
          <w:numId w:val="26"/>
        </w:numPr>
        <w:rPr>
          <w:lang w:val="en-AU"/>
        </w:rPr>
      </w:pPr>
      <w:r>
        <w:rPr>
          <w:lang w:val="en-AU"/>
        </w:rPr>
        <w:t>Educational materials (including textbooks), systems support, programs and development.</w:t>
      </w:r>
    </w:p>
    <w:p w14:paraId="3DDE928C" w14:textId="606FD98C" w:rsidR="003038B9" w:rsidRPr="003038B9" w:rsidRDefault="00B17C74" w:rsidP="003038B9">
      <w:pPr>
        <w:pStyle w:val="ListParagraph"/>
        <w:numPr>
          <w:ilvl w:val="0"/>
          <w:numId w:val="26"/>
        </w:numPr>
        <w:rPr>
          <w:lang w:val="en-AU"/>
        </w:rPr>
      </w:pPr>
      <w:r>
        <w:rPr>
          <w:lang w:val="en-AU"/>
        </w:rPr>
        <w:t>Maintenance</w:t>
      </w:r>
      <w:r w:rsidR="003038B9">
        <w:rPr>
          <w:lang w:val="en-AU"/>
        </w:rPr>
        <w:t xml:space="preserve"> and grounds</w:t>
      </w:r>
      <w:r>
        <w:rPr>
          <w:lang w:val="en-AU"/>
        </w:rPr>
        <w:t>.</w:t>
      </w:r>
    </w:p>
    <w:p w14:paraId="23F18D32" w14:textId="223AB271" w:rsidR="00B17C74" w:rsidRPr="00B17C74" w:rsidRDefault="00B17C74" w:rsidP="00B17C74">
      <w:pPr>
        <w:rPr>
          <w:lang w:val="en-AU"/>
        </w:rPr>
      </w:pPr>
      <w:r>
        <w:rPr>
          <w:lang w:val="en-AU"/>
        </w:rPr>
        <w:t xml:space="preserve">Schools </w:t>
      </w:r>
      <w:r w:rsidR="003038B9">
        <w:rPr>
          <w:lang w:val="en-AU"/>
        </w:rPr>
        <w:t>may</w:t>
      </w:r>
      <w:r>
        <w:rPr>
          <w:lang w:val="en-AU"/>
        </w:rPr>
        <w:t xml:space="preserve"> request a CCT for capital works compliant with VSBA guidance using their </w:t>
      </w:r>
      <w:r>
        <w:rPr>
          <w:b/>
          <w:bCs/>
          <w:lang w:val="en-AU"/>
        </w:rPr>
        <w:t>accumulated balance only</w:t>
      </w:r>
      <w:r>
        <w:rPr>
          <w:lang w:val="en-AU"/>
        </w:rPr>
        <w:t xml:space="preserve">. </w:t>
      </w:r>
    </w:p>
    <w:p w14:paraId="01FDE0D6" w14:textId="68DFB2AB" w:rsidR="002949F5" w:rsidRDefault="00762A63" w:rsidP="002949F5">
      <w:pPr>
        <w:pStyle w:val="Heading3"/>
        <w:rPr>
          <w:lang w:val="en-AU"/>
        </w:rPr>
      </w:pPr>
      <w:r>
        <w:rPr>
          <w:lang w:val="en-AU"/>
        </w:rPr>
        <w:lastRenderedPageBreak/>
        <w:t xml:space="preserve">How will schools be supported </w:t>
      </w:r>
      <w:r w:rsidR="00C21126">
        <w:rPr>
          <w:lang w:val="en-AU"/>
        </w:rPr>
        <w:t>to spend?</w:t>
      </w:r>
    </w:p>
    <w:p w14:paraId="0F115F9D" w14:textId="5016DE61" w:rsidR="00F767C5" w:rsidRDefault="000840DE" w:rsidP="00F767C5">
      <w:pPr>
        <w:rPr>
          <w:lang w:val="en-AU"/>
        </w:rPr>
      </w:pPr>
      <w:r>
        <w:rPr>
          <w:lang w:val="en-AU"/>
        </w:rPr>
        <w:t>To support the effective delivery of the policy, a multipronged approach to support schools will accompany the Carryover Policy</w:t>
      </w:r>
      <w:r w:rsidR="004C2FFB">
        <w:rPr>
          <w:lang w:val="en-AU"/>
        </w:rPr>
        <w:t xml:space="preserve"> including: </w:t>
      </w:r>
    </w:p>
    <w:p w14:paraId="6CF65143" w14:textId="508E447A" w:rsidR="004C2FFB" w:rsidRDefault="00D11DCE" w:rsidP="00AD0941">
      <w:pPr>
        <w:pStyle w:val="ListParagraph"/>
        <w:numPr>
          <w:ilvl w:val="0"/>
          <w:numId w:val="19"/>
        </w:numPr>
        <w:rPr>
          <w:lang w:val="en-AU"/>
        </w:rPr>
      </w:pPr>
      <w:r w:rsidRPr="002E0F34">
        <w:rPr>
          <w:b/>
          <w:bCs/>
          <w:lang w:val="en-AU"/>
        </w:rPr>
        <w:t>Support materi</w:t>
      </w:r>
      <w:r w:rsidR="00670C5D" w:rsidRPr="002E0F34">
        <w:rPr>
          <w:b/>
          <w:bCs/>
          <w:lang w:val="en-AU"/>
        </w:rPr>
        <w:t>al</w:t>
      </w:r>
      <w:r w:rsidR="00670C5D">
        <w:rPr>
          <w:lang w:val="en-AU"/>
        </w:rPr>
        <w:t xml:space="preserve"> – advice and best-practice examples on how to spend funding effectively.</w:t>
      </w:r>
    </w:p>
    <w:p w14:paraId="67239E5D" w14:textId="0B4E61E4" w:rsidR="00C87076" w:rsidRDefault="00C87076" w:rsidP="00AD0941">
      <w:pPr>
        <w:pStyle w:val="ListParagraph"/>
        <w:numPr>
          <w:ilvl w:val="0"/>
          <w:numId w:val="19"/>
        </w:numPr>
        <w:rPr>
          <w:lang w:val="en-AU"/>
        </w:rPr>
      </w:pPr>
      <w:r w:rsidRPr="002E0F34">
        <w:rPr>
          <w:b/>
          <w:bCs/>
          <w:lang w:val="en-AU"/>
        </w:rPr>
        <w:t>Financial data tools</w:t>
      </w:r>
      <w:r>
        <w:rPr>
          <w:lang w:val="en-AU"/>
        </w:rPr>
        <w:t xml:space="preserve"> for departmental staff to identify schools requiring additional support. </w:t>
      </w:r>
    </w:p>
    <w:p w14:paraId="4AAE1DFF" w14:textId="1CFD1CCF" w:rsidR="00E10A0B" w:rsidRDefault="00E10A0B" w:rsidP="00AD0941">
      <w:pPr>
        <w:pStyle w:val="ListParagraph"/>
        <w:numPr>
          <w:ilvl w:val="0"/>
          <w:numId w:val="19"/>
        </w:numPr>
        <w:rPr>
          <w:lang w:val="en-AU"/>
        </w:rPr>
      </w:pPr>
      <w:r w:rsidRPr="002E0F34">
        <w:rPr>
          <w:b/>
          <w:bCs/>
          <w:lang w:val="en-AU"/>
        </w:rPr>
        <w:t>One-on-one</w:t>
      </w:r>
      <w:r>
        <w:rPr>
          <w:lang w:val="en-AU"/>
        </w:rPr>
        <w:t xml:space="preserve"> support to schools with the largest credit surpluses</w:t>
      </w:r>
      <w:r w:rsidR="00A062C4">
        <w:rPr>
          <w:lang w:val="en-AU"/>
        </w:rPr>
        <w:t xml:space="preserve"> (including guidance to schools with existing surplus balances)</w:t>
      </w:r>
      <w:r>
        <w:rPr>
          <w:lang w:val="en-AU"/>
        </w:rPr>
        <w:t>, including strategies to effectively spend funding</w:t>
      </w:r>
      <w:r w:rsidR="00AD0941">
        <w:rPr>
          <w:lang w:val="en-AU"/>
        </w:rPr>
        <w:t xml:space="preserve">. </w:t>
      </w:r>
    </w:p>
    <w:p w14:paraId="3469A290" w14:textId="32BF21E1" w:rsidR="00547A98" w:rsidRDefault="00C511CD">
      <w:pPr>
        <w:spacing w:after="0"/>
        <w:rPr>
          <w:lang w:val="en-AU"/>
        </w:rPr>
      </w:pPr>
      <w:r>
        <w:rPr>
          <w:lang w:val="en-AU"/>
        </w:rPr>
        <w:t>Support from dedicated Strategic Financial Management Advisors (SFMAs) who will work with schools on financial planning.</w:t>
      </w:r>
    </w:p>
    <w:sectPr w:rsidR="00547A98" w:rsidSect="00B47FF8">
      <w:headerReference w:type="even" r:id="rId14"/>
      <w:headerReference w:type="default" r:id="rId15"/>
      <w:footerReference w:type="even" r:id="rId16"/>
      <w:footerReference w:type="default" r:id="rId17"/>
      <w:headerReference w:type="first" r:id="rId18"/>
      <w:footerReference w:type="first" r:id="rId19"/>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7459" w14:textId="77777777" w:rsidR="00F112B7" w:rsidRDefault="00F112B7" w:rsidP="003967DD">
      <w:pPr>
        <w:spacing w:after="0"/>
      </w:pPr>
      <w:r>
        <w:separator/>
      </w:r>
    </w:p>
  </w:endnote>
  <w:endnote w:type="continuationSeparator" w:id="0">
    <w:p w14:paraId="4AA3D5EB" w14:textId="77777777" w:rsidR="00F112B7" w:rsidRDefault="00F112B7" w:rsidP="003967DD">
      <w:pPr>
        <w:spacing w:after="0"/>
      </w:pPr>
      <w:r>
        <w:continuationSeparator/>
      </w:r>
    </w:p>
  </w:endnote>
  <w:endnote w:type="continuationNotice" w:id="1">
    <w:p w14:paraId="162B47DB" w14:textId="77777777" w:rsidR="00F112B7" w:rsidRDefault="00F11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3BB6" w14:textId="77777777" w:rsidR="00DC48EE" w:rsidRDefault="00DC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F316" w14:textId="77777777" w:rsidR="00F112B7" w:rsidRDefault="00F112B7" w:rsidP="003967DD">
      <w:pPr>
        <w:spacing w:after="0"/>
      </w:pPr>
      <w:r>
        <w:separator/>
      </w:r>
    </w:p>
  </w:footnote>
  <w:footnote w:type="continuationSeparator" w:id="0">
    <w:p w14:paraId="22C79793" w14:textId="77777777" w:rsidR="00F112B7" w:rsidRDefault="00F112B7" w:rsidP="003967DD">
      <w:pPr>
        <w:spacing w:after="0"/>
      </w:pPr>
      <w:r>
        <w:continuationSeparator/>
      </w:r>
    </w:p>
  </w:footnote>
  <w:footnote w:type="continuationNotice" w:id="1">
    <w:p w14:paraId="728CD3E8" w14:textId="77777777" w:rsidR="00F112B7" w:rsidRDefault="00F112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E0E" w14:textId="38D41D0D" w:rsidR="00B47FF8" w:rsidRDefault="00B4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B093" w14:textId="59E298A1" w:rsidR="00B47FF8" w:rsidRDefault="00B4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53781B"/>
    <w:multiLevelType w:val="hybridMultilevel"/>
    <w:tmpl w:val="D44032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1D91DB3"/>
    <w:multiLevelType w:val="hybridMultilevel"/>
    <w:tmpl w:val="173A83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82C0C"/>
    <w:multiLevelType w:val="hybridMultilevel"/>
    <w:tmpl w:val="0728C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A90DB8"/>
    <w:multiLevelType w:val="hybridMultilevel"/>
    <w:tmpl w:val="E68A002E"/>
    <w:lvl w:ilvl="0" w:tplc="C76E59F0">
      <w:start w:val="2"/>
      <w:numFmt w:val="bullet"/>
      <w:lvlText w:val="-"/>
      <w:lvlJc w:val="left"/>
      <w:pPr>
        <w:ind w:left="720" w:hanging="360"/>
      </w:pPr>
      <w:rPr>
        <w:rFonts w:ascii="Arial" w:eastAsiaTheme="minorHAns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E0355"/>
    <w:multiLevelType w:val="hybridMultilevel"/>
    <w:tmpl w:val="E8EE8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326AB7"/>
    <w:multiLevelType w:val="hybridMultilevel"/>
    <w:tmpl w:val="7EECA21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F6091A"/>
    <w:multiLevelType w:val="hybridMultilevel"/>
    <w:tmpl w:val="AE78E79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5340A3"/>
    <w:multiLevelType w:val="hybridMultilevel"/>
    <w:tmpl w:val="F3F4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31128C"/>
    <w:multiLevelType w:val="hybridMultilevel"/>
    <w:tmpl w:val="5CC6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7"/>
  </w:num>
  <w:num w:numId="13" w16cid:durableId="1077093040">
    <w:abstractNumId w:val="24"/>
  </w:num>
  <w:num w:numId="14" w16cid:durableId="548568946">
    <w:abstractNumId w:val="25"/>
  </w:num>
  <w:num w:numId="15" w16cid:durableId="1307275789">
    <w:abstractNumId w:val="15"/>
  </w:num>
  <w:num w:numId="16" w16cid:durableId="1422794765">
    <w:abstractNumId w:val="21"/>
  </w:num>
  <w:num w:numId="17" w16cid:durableId="2083717576">
    <w:abstractNumId w:val="16"/>
  </w:num>
  <w:num w:numId="18" w16cid:durableId="2138065798">
    <w:abstractNumId w:val="18"/>
  </w:num>
  <w:num w:numId="19" w16cid:durableId="86509449">
    <w:abstractNumId w:val="22"/>
  </w:num>
  <w:num w:numId="20" w16cid:durableId="735591343">
    <w:abstractNumId w:val="23"/>
  </w:num>
  <w:num w:numId="21" w16cid:durableId="1971207725">
    <w:abstractNumId w:val="11"/>
  </w:num>
  <w:num w:numId="22" w16cid:durableId="1516383299">
    <w:abstractNumId w:val="19"/>
  </w:num>
  <w:num w:numId="23" w16cid:durableId="1103569380">
    <w:abstractNumId w:val="14"/>
  </w:num>
  <w:num w:numId="24" w16cid:durableId="1027945865">
    <w:abstractNumId w:val="12"/>
  </w:num>
  <w:num w:numId="25" w16cid:durableId="1333147239">
    <w:abstractNumId w:val="20"/>
  </w:num>
  <w:num w:numId="26" w16cid:durableId="2053844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5AC9"/>
    <w:rsid w:val="00011F31"/>
    <w:rsid w:val="000127B1"/>
    <w:rsid w:val="000131C4"/>
    <w:rsid w:val="00013339"/>
    <w:rsid w:val="000204EA"/>
    <w:rsid w:val="000209C7"/>
    <w:rsid w:val="000256E2"/>
    <w:rsid w:val="000264AD"/>
    <w:rsid w:val="0002759F"/>
    <w:rsid w:val="0004000A"/>
    <w:rsid w:val="00045496"/>
    <w:rsid w:val="00050F95"/>
    <w:rsid w:val="000525D5"/>
    <w:rsid w:val="000639D3"/>
    <w:rsid w:val="00063B52"/>
    <w:rsid w:val="00071FDC"/>
    <w:rsid w:val="0007213C"/>
    <w:rsid w:val="00080DA9"/>
    <w:rsid w:val="000840DE"/>
    <w:rsid w:val="0008598D"/>
    <w:rsid w:val="000861DD"/>
    <w:rsid w:val="000A17E5"/>
    <w:rsid w:val="000A1D7B"/>
    <w:rsid w:val="000A47D4"/>
    <w:rsid w:val="000B1B01"/>
    <w:rsid w:val="000B1CE0"/>
    <w:rsid w:val="000B1D45"/>
    <w:rsid w:val="000B2D5C"/>
    <w:rsid w:val="000B4791"/>
    <w:rsid w:val="000C600E"/>
    <w:rsid w:val="000C77C8"/>
    <w:rsid w:val="000D3F8A"/>
    <w:rsid w:val="000D792D"/>
    <w:rsid w:val="00100ED1"/>
    <w:rsid w:val="00106FEB"/>
    <w:rsid w:val="00107691"/>
    <w:rsid w:val="00122369"/>
    <w:rsid w:val="00122CA8"/>
    <w:rsid w:val="00124353"/>
    <w:rsid w:val="00131AAD"/>
    <w:rsid w:val="00133996"/>
    <w:rsid w:val="00137EF8"/>
    <w:rsid w:val="00141C29"/>
    <w:rsid w:val="00150E0F"/>
    <w:rsid w:val="00153BA1"/>
    <w:rsid w:val="00156AF1"/>
    <w:rsid w:val="00157212"/>
    <w:rsid w:val="00157F9D"/>
    <w:rsid w:val="0016287D"/>
    <w:rsid w:val="00163B84"/>
    <w:rsid w:val="0017575F"/>
    <w:rsid w:val="00186386"/>
    <w:rsid w:val="001A19EC"/>
    <w:rsid w:val="001B03CB"/>
    <w:rsid w:val="001C24E2"/>
    <w:rsid w:val="001D0D94"/>
    <w:rsid w:val="001D13F9"/>
    <w:rsid w:val="001D57EA"/>
    <w:rsid w:val="001E7879"/>
    <w:rsid w:val="001F39DD"/>
    <w:rsid w:val="001F3CB1"/>
    <w:rsid w:val="001F7B27"/>
    <w:rsid w:val="0021008D"/>
    <w:rsid w:val="00212989"/>
    <w:rsid w:val="00217733"/>
    <w:rsid w:val="0022165A"/>
    <w:rsid w:val="00225F63"/>
    <w:rsid w:val="00237DFE"/>
    <w:rsid w:val="002512BE"/>
    <w:rsid w:val="00252734"/>
    <w:rsid w:val="002559D1"/>
    <w:rsid w:val="00261131"/>
    <w:rsid w:val="0026598A"/>
    <w:rsid w:val="00273B69"/>
    <w:rsid w:val="00275FB8"/>
    <w:rsid w:val="002927C1"/>
    <w:rsid w:val="00293C31"/>
    <w:rsid w:val="002949F5"/>
    <w:rsid w:val="00296B30"/>
    <w:rsid w:val="002970AA"/>
    <w:rsid w:val="002972FF"/>
    <w:rsid w:val="002A2668"/>
    <w:rsid w:val="002A4A96"/>
    <w:rsid w:val="002B387D"/>
    <w:rsid w:val="002B743F"/>
    <w:rsid w:val="002C5B82"/>
    <w:rsid w:val="002D13B3"/>
    <w:rsid w:val="002E0F34"/>
    <w:rsid w:val="002E170E"/>
    <w:rsid w:val="002E1926"/>
    <w:rsid w:val="002E3BED"/>
    <w:rsid w:val="002E6655"/>
    <w:rsid w:val="002E7C00"/>
    <w:rsid w:val="002F41D7"/>
    <w:rsid w:val="002F6115"/>
    <w:rsid w:val="00301FD7"/>
    <w:rsid w:val="003038B9"/>
    <w:rsid w:val="00312720"/>
    <w:rsid w:val="00313CBF"/>
    <w:rsid w:val="00327CAA"/>
    <w:rsid w:val="003406FC"/>
    <w:rsid w:val="00343AFC"/>
    <w:rsid w:val="0034745C"/>
    <w:rsid w:val="0034759E"/>
    <w:rsid w:val="0035096F"/>
    <w:rsid w:val="00352FE9"/>
    <w:rsid w:val="00355C7B"/>
    <w:rsid w:val="00371FFD"/>
    <w:rsid w:val="0038524A"/>
    <w:rsid w:val="003967DD"/>
    <w:rsid w:val="00396A3F"/>
    <w:rsid w:val="00396FF2"/>
    <w:rsid w:val="003A4C39"/>
    <w:rsid w:val="003B1435"/>
    <w:rsid w:val="003B353F"/>
    <w:rsid w:val="003B5955"/>
    <w:rsid w:val="003C084B"/>
    <w:rsid w:val="003C6EE4"/>
    <w:rsid w:val="003D7CD0"/>
    <w:rsid w:val="003F3478"/>
    <w:rsid w:val="003F5648"/>
    <w:rsid w:val="00411C54"/>
    <w:rsid w:val="004122DB"/>
    <w:rsid w:val="00416F13"/>
    <w:rsid w:val="0042333B"/>
    <w:rsid w:val="00425192"/>
    <w:rsid w:val="00431FB6"/>
    <w:rsid w:val="0043377A"/>
    <w:rsid w:val="0043494B"/>
    <w:rsid w:val="00443E58"/>
    <w:rsid w:val="004464E9"/>
    <w:rsid w:val="00457106"/>
    <w:rsid w:val="00463BA0"/>
    <w:rsid w:val="00466C9B"/>
    <w:rsid w:val="00481BF8"/>
    <w:rsid w:val="004A2E74"/>
    <w:rsid w:val="004A41C3"/>
    <w:rsid w:val="004B2ED6"/>
    <w:rsid w:val="004B5E48"/>
    <w:rsid w:val="004C1783"/>
    <w:rsid w:val="004C2FFB"/>
    <w:rsid w:val="004E045E"/>
    <w:rsid w:val="004E151B"/>
    <w:rsid w:val="004E1AA6"/>
    <w:rsid w:val="004E729D"/>
    <w:rsid w:val="004F306E"/>
    <w:rsid w:val="004F6E43"/>
    <w:rsid w:val="00500ADA"/>
    <w:rsid w:val="00512BBA"/>
    <w:rsid w:val="00512C8C"/>
    <w:rsid w:val="00520087"/>
    <w:rsid w:val="0052151B"/>
    <w:rsid w:val="00523367"/>
    <w:rsid w:val="005258D1"/>
    <w:rsid w:val="00525D74"/>
    <w:rsid w:val="0052731E"/>
    <w:rsid w:val="0053680C"/>
    <w:rsid w:val="0054079F"/>
    <w:rsid w:val="00547A98"/>
    <w:rsid w:val="00555277"/>
    <w:rsid w:val="00562927"/>
    <w:rsid w:val="00565C17"/>
    <w:rsid w:val="00567CF0"/>
    <w:rsid w:val="00584366"/>
    <w:rsid w:val="005874F3"/>
    <w:rsid w:val="005964B8"/>
    <w:rsid w:val="005A4F12"/>
    <w:rsid w:val="005C0D99"/>
    <w:rsid w:val="005C48BD"/>
    <w:rsid w:val="005D62E9"/>
    <w:rsid w:val="005E0713"/>
    <w:rsid w:val="005E3BCD"/>
    <w:rsid w:val="005E5457"/>
    <w:rsid w:val="005F358E"/>
    <w:rsid w:val="005F7A40"/>
    <w:rsid w:val="0060200A"/>
    <w:rsid w:val="006059FE"/>
    <w:rsid w:val="006127F5"/>
    <w:rsid w:val="00612895"/>
    <w:rsid w:val="00624A55"/>
    <w:rsid w:val="0063022C"/>
    <w:rsid w:val="0065043A"/>
    <w:rsid w:val="006523D7"/>
    <w:rsid w:val="0066015D"/>
    <w:rsid w:val="006632F3"/>
    <w:rsid w:val="00663A58"/>
    <w:rsid w:val="006671CE"/>
    <w:rsid w:val="00670C5D"/>
    <w:rsid w:val="00681FC5"/>
    <w:rsid w:val="00682310"/>
    <w:rsid w:val="00683E67"/>
    <w:rsid w:val="0068433B"/>
    <w:rsid w:val="00685F3F"/>
    <w:rsid w:val="00685FB3"/>
    <w:rsid w:val="006A1F8A"/>
    <w:rsid w:val="006A25AC"/>
    <w:rsid w:val="006B0BA1"/>
    <w:rsid w:val="006B3CFB"/>
    <w:rsid w:val="006B5FBF"/>
    <w:rsid w:val="006C45C0"/>
    <w:rsid w:val="006C7DEB"/>
    <w:rsid w:val="006D77BE"/>
    <w:rsid w:val="006E2B9A"/>
    <w:rsid w:val="006E4058"/>
    <w:rsid w:val="006E65DC"/>
    <w:rsid w:val="006E69E9"/>
    <w:rsid w:val="006F12C4"/>
    <w:rsid w:val="00703EE6"/>
    <w:rsid w:val="00705FF5"/>
    <w:rsid w:val="00710472"/>
    <w:rsid w:val="00710CED"/>
    <w:rsid w:val="007149F4"/>
    <w:rsid w:val="00724095"/>
    <w:rsid w:val="007269E9"/>
    <w:rsid w:val="0072750B"/>
    <w:rsid w:val="007323D4"/>
    <w:rsid w:val="00735566"/>
    <w:rsid w:val="00753A58"/>
    <w:rsid w:val="007577E0"/>
    <w:rsid w:val="00760E27"/>
    <w:rsid w:val="00762A63"/>
    <w:rsid w:val="00767573"/>
    <w:rsid w:val="007745BB"/>
    <w:rsid w:val="00792BE6"/>
    <w:rsid w:val="007B531F"/>
    <w:rsid w:val="007B556E"/>
    <w:rsid w:val="007C11E6"/>
    <w:rsid w:val="007D1F8D"/>
    <w:rsid w:val="007D3E38"/>
    <w:rsid w:val="007D40FC"/>
    <w:rsid w:val="007E06B0"/>
    <w:rsid w:val="007E0A6C"/>
    <w:rsid w:val="007E57DA"/>
    <w:rsid w:val="007E6725"/>
    <w:rsid w:val="007E6ECA"/>
    <w:rsid w:val="007E71DF"/>
    <w:rsid w:val="008037B6"/>
    <w:rsid w:val="00804461"/>
    <w:rsid w:val="008065DA"/>
    <w:rsid w:val="0081578D"/>
    <w:rsid w:val="00835B65"/>
    <w:rsid w:val="0084437A"/>
    <w:rsid w:val="00846028"/>
    <w:rsid w:val="00846174"/>
    <w:rsid w:val="0085209C"/>
    <w:rsid w:val="008612F4"/>
    <w:rsid w:val="0086435F"/>
    <w:rsid w:val="00864E74"/>
    <w:rsid w:val="00872D4E"/>
    <w:rsid w:val="008733CA"/>
    <w:rsid w:val="00881EDB"/>
    <w:rsid w:val="00882117"/>
    <w:rsid w:val="00890680"/>
    <w:rsid w:val="00892E24"/>
    <w:rsid w:val="008973FB"/>
    <w:rsid w:val="008A266F"/>
    <w:rsid w:val="008A4EE0"/>
    <w:rsid w:val="008B061D"/>
    <w:rsid w:val="008B1737"/>
    <w:rsid w:val="008C3CCA"/>
    <w:rsid w:val="008C54CD"/>
    <w:rsid w:val="008D35C7"/>
    <w:rsid w:val="008D4215"/>
    <w:rsid w:val="008D7A62"/>
    <w:rsid w:val="008E119B"/>
    <w:rsid w:val="008F193A"/>
    <w:rsid w:val="008F3D35"/>
    <w:rsid w:val="008F5913"/>
    <w:rsid w:val="00903438"/>
    <w:rsid w:val="00905DFA"/>
    <w:rsid w:val="009071E5"/>
    <w:rsid w:val="009132B2"/>
    <w:rsid w:val="00920AF4"/>
    <w:rsid w:val="0092257A"/>
    <w:rsid w:val="0093209B"/>
    <w:rsid w:val="00934E38"/>
    <w:rsid w:val="009356CF"/>
    <w:rsid w:val="00952690"/>
    <w:rsid w:val="00954B9A"/>
    <w:rsid w:val="00970B1F"/>
    <w:rsid w:val="0097227F"/>
    <w:rsid w:val="009733D9"/>
    <w:rsid w:val="00981D25"/>
    <w:rsid w:val="00985B32"/>
    <w:rsid w:val="0099358C"/>
    <w:rsid w:val="009A691C"/>
    <w:rsid w:val="009B0F0D"/>
    <w:rsid w:val="009B32FA"/>
    <w:rsid w:val="009C2CF7"/>
    <w:rsid w:val="009D1787"/>
    <w:rsid w:val="009F14E0"/>
    <w:rsid w:val="009F33D4"/>
    <w:rsid w:val="009F6A77"/>
    <w:rsid w:val="009F720B"/>
    <w:rsid w:val="009F7EE2"/>
    <w:rsid w:val="00A03683"/>
    <w:rsid w:val="00A062C4"/>
    <w:rsid w:val="00A113E3"/>
    <w:rsid w:val="00A1168D"/>
    <w:rsid w:val="00A219B1"/>
    <w:rsid w:val="00A22CC4"/>
    <w:rsid w:val="00A24D2A"/>
    <w:rsid w:val="00A31505"/>
    <w:rsid w:val="00A31926"/>
    <w:rsid w:val="00A320B9"/>
    <w:rsid w:val="00A34FC3"/>
    <w:rsid w:val="00A35953"/>
    <w:rsid w:val="00A45426"/>
    <w:rsid w:val="00A47223"/>
    <w:rsid w:val="00A502F6"/>
    <w:rsid w:val="00A50989"/>
    <w:rsid w:val="00A6247C"/>
    <w:rsid w:val="00A64D07"/>
    <w:rsid w:val="00A710DF"/>
    <w:rsid w:val="00A742F7"/>
    <w:rsid w:val="00A97282"/>
    <w:rsid w:val="00AA0DCB"/>
    <w:rsid w:val="00AA63D2"/>
    <w:rsid w:val="00AB6AC7"/>
    <w:rsid w:val="00AC09E4"/>
    <w:rsid w:val="00AC3134"/>
    <w:rsid w:val="00AC42FD"/>
    <w:rsid w:val="00AC6738"/>
    <w:rsid w:val="00AD0941"/>
    <w:rsid w:val="00AD3096"/>
    <w:rsid w:val="00AD7705"/>
    <w:rsid w:val="00AE6814"/>
    <w:rsid w:val="00AE7F29"/>
    <w:rsid w:val="00B04921"/>
    <w:rsid w:val="00B05401"/>
    <w:rsid w:val="00B05C19"/>
    <w:rsid w:val="00B06215"/>
    <w:rsid w:val="00B15AD0"/>
    <w:rsid w:val="00B17C74"/>
    <w:rsid w:val="00B21562"/>
    <w:rsid w:val="00B21D8E"/>
    <w:rsid w:val="00B27413"/>
    <w:rsid w:val="00B33311"/>
    <w:rsid w:val="00B35549"/>
    <w:rsid w:val="00B448C1"/>
    <w:rsid w:val="00B47FF8"/>
    <w:rsid w:val="00B50106"/>
    <w:rsid w:val="00B707D9"/>
    <w:rsid w:val="00B775D4"/>
    <w:rsid w:val="00B95C06"/>
    <w:rsid w:val="00BA5296"/>
    <w:rsid w:val="00BB5287"/>
    <w:rsid w:val="00BB63DF"/>
    <w:rsid w:val="00BC2888"/>
    <w:rsid w:val="00BC2DEB"/>
    <w:rsid w:val="00BC3C4A"/>
    <w:rsid w:val="00BC4036"/>
    <w:rsid w:val="00BC69FF"/>
    <w:rsid w:val="00BD082B"/>
    <w:rsid w:val="00BD7400"/>
    <w:rsid w:val="00BD7B43"/>
    <w:rsid w:val="00C129C7"/>
    <w:rsid w:val="00C20A3D"/>
    <w:rsid w:val="00C21126"/>
    <w:rsid w:val="00C26293"/>
    <w:rsid w:val="00C315BD"/>
    <w:rsid w:val="00C511BC"/>
    <w:rsid w:val="00C511CD"/>
    <w:rsid w:val="00C53047"/>
    <w:rsid w:val="00C539BB"/>
    <w:rsid w:val="00C5555E"/>
    <w:rsid w:val="00C567C6"/>
    <w:rsid w:val="00C7216C"/>
    <w:rsid w:val="00C77EFD"/>
    <w:rsid w:val="00C85D20"/>
    <w:rsid w:val="00C85DD8"/>
    <w:rsid w:val="00C866F2"/>
    <w:rsid w:val="00C87076"/>
    <w:rsid w:val="00C91A00"/>
    <w:rsid w:val="00CA41BD"/>
    <w:rsid w:val="00CB6DDB"/>
    <w:rsid w:val="00CC20AA"/>
    <w:rsid w:val="00CC2564"/>
    <w:rsid w:val="00CC5AA8"/>
    <w:rsid w:val="00CD2C3E"/>
    <w:rsid w:val="00CD42A0"/>
    <w:rsid w:val="00CD5993"/>
    <w:rsid w:val="00CD7978"/>
    <w:rsid w:val="00CE7916"/>
    <w:rsid w:val="00CE7E19"/>
    <w:rsid w:val="00D076EB"/>
    <w:rsid w:val="00D114C4"/>
    <w:rsid w:val="00D11DCE"/>
    <w:rsid w:val="00D17C54"/>
    <w:rsid w:val="00D17E55"/>
    <w:rsid w:val="00D233D2"/>
    <w:rsid w:val="00D31E14"/>
    <w:rsid w:val="00D46985"/>
    <w:rsid w:val="00D5073A"/>
    <w:rsid w:val="00D51574"/>
    <w:rsid w:val="00D55B74"/>
    <w:rsid w:val="00D76D76"/>
    <w:rsid w:val="00D77221"/>
    <w:rsid w:val="00D81583"/>
    <w:rsid w:val="00D8482D"/>
    <w:rsid w:val="00D92797"/>
    <w:rsid w:val="00D9777A"/>
    <w:rsid w:val="00DB3506"/>
    <w:rsid w:val="00DC48EE"/>
    <w:rsid w:val="00DC4D0D"/>
    <w:rsid w:val="00DD1385"/>
    <w:rsid w:val="00E00C05"/>
    <w:rsid w:val="00E10A0B"/>
    <w:rsid w:val="00E1255E"/>
    <w:rsid w:val="00E16DCB"/>
    <w:rsid w:val="00E220F7"/>
    <w:rsid w:val="00E2551C"/>
    <w:rsid w:val="00E34263"/>
    <w:rsid w:val="00E34721"/>
    <w:rsid w:val="00E3483F"/>
    <w:rsid w:val="00E371EF"/>
    <w:rsid w:val="00E40AB2"/>
    <w:rsid w:val="00E4317E"/>
    <w:rsid w:val="00E445A0"/>
    <w:rsid w:val="00E44ED6"/>
    <w:rsid w:val="00E47519"/>
    <w:rsid w:val="00E5030B"/>
    <w:rsid w:val="00E610BB"/>
    <w:rsid w:val="00E621D8"/>
    <w:rsid w:val="00E62FBD"/>
    <w:rsid w:val="00E64758"/>
    <w:rsid w:val="00E77EB9"/>
    <w:rsid w:val="00E87378"/>
    <w:rsid w:val="00E87E91"/>
    <w:rsid w:val="00EC3980"/>
    <w:rsid w:val="00EC454C"/>
    <w:rsid w:val="00EC69D6"/>
    <w:rsid w:val="00ED3302"/>
    <w:rsid w:val="00ED34C3"/>
    <w:rsid w:val="00ED68D6"/>
    <w:rsid w:val="00ED7305"/>
    <w:rsid w:val="00EE4EA9"/>
    <w:rsid w:val="00EF14E9"/>
    <w:rsid w:val="00F112B7"/>
    <w:rsid w:val="00F12460"/>
    <w:rsid w:val="00F206DB"/>
    <w:rsid w:val="00F20CEC"/>
    <w:rsid w:val="00F24D0B"/>
    <w:rsid w:val="00F27C7C"/>
    <w:rsid w:val="00F33659"/>
    <w:rsid w:val="00F35DAB"/>
    <w:rsid w:val="00F464B2"/>
    <w:rsid w:val="00F5184B"/>
    <w:rsid w:val="00F5271F"/>
    <w:rsid w:val="00F606FF"/>
    <w:rsid w:val="00F67AE4"/>
    <w:rsid w:val="00F767C5"/>
    <w:rsid w:val="00F83025"/>
    <w:rsid w:val="00F84D7B"/>
    <w:rsid w:val="00F94715"/>
    <w:rsid w:val="00FA4391"/>
    <w:rsid w:val="00FB09A9"/>
    <w:rsid w:val="00FB2A19"/>
    <w:rsid w:val="00FB3419"/>
    <w:rsid w:val="00FB4678"/>
    <w:rsid w:val="00FB52B3"/>
    <w:rsid w:val="00FB54A8"/>
    <w:rsid w:val="00FB7265"/>
    <w:rsid w:val="00FC1F04"/>
    <w:rsid w:val="00FE6114"/>
    <w:rsid w:val="00FE7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BC2888"/>
    <w:pPr>
      <w:ind w:left="720"/>
      <w:contextualSpacing/>
    </w:pPr>
  </w:style>
  <w:style w:type="character" w:styleId="CommentReference">
    <w:name w:val="annotation reference"/>
    <w:basedOn w:val="DefaultParagraphFont"/>
    <w:uiPriority w:val="99"/>
    <w:semiHidden/>
    <w:unhideWhenUsed/>
    <w:rsid w:val="007E06B0"/>
    <w:rPr>
      <w:sz w:val="16"/>
      <w:szCs w:val="16"/>
    </w:rPr>
  </w:style>
  <w:style w:type="paragraph" w:styleId="CommentText">
    <w:name w:val="annotation text"/>
    <w:basedOn w:val="Normal"/>
    <w:link w:val="CommentTextChar"/>
    <w:uiPriority w:val="99"/>
    <w:unhideWhenUsed/>
    <w:rsid w:val="007E06B0"/>
    <w:rPr>
      <w:sz w:val="20"/>
      <w:szCs w:val="20"/>
    </w:rPr>
  </w:style>
  <w:style w:type="character" w:customStyle="1" w:styleId="CommentTextChar">
    <w:name w:val="Comment Text Char"/>
    <w:basedOn w:val="DefaultParagraphFont"/>
    <w:link w:val="CommentText"/>
    <w:uiPriority w:val="99"/>
    <w:rsid w:val="007E06B0"/>
    <w:rPr>
      <w:sz w:val="20"/>
      <w:szCs w:val="20"/>
    </w:rPr>
  </w:style>
  <w:style w:type="paragraph" w:styleId="CommentSubject">
    <w:name w:val="annotation subject"/>
    <w:basedOn w:val="CommentText"/>
    <w:next w:val="CommentText"/>
    <w:link w:val="CommentSubjectChar"/>
    <w:uiPriority w:val="99"/>
    <w:semiHidden/>
    <w:unhideWhenUsed/>
    <w:rsid w:val="007E06B0"/>
    <w:rPr>
      <w:b/>
      <w:bCs/>
    </w:rPr>
  </w:style>
  <w:style w:type="character" w:customStyle="1" w:styleId="CommentSubjectChar">
    <w:name w:val="Comment Subject Char"/>
    <w:basedOn w:val="CommentTextChar"/>
    <w:link w:val="CommentSubject"/>
    <w:uiPriority w:val="99"/>
    <w:semiHidden/>
    <w:rsid w:val="007E06B0"/>
    <w:rPr>
      <w:b/>
      <w:bCs/>
      <w:sz w:val="20"/>
      <w:szCs w:val="20"/>
    </w:rPr>
  </w:style>
  <w:style w:type="paragraph" w:styleId="Revision">
    <w:name w:val="Revision"/>
    <w:hidden/>
    <w:uiPriority w:val="99"/>
    <w:semiHidden/>
    <w:rsid w:val="001E78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470053236">
      <w:bodyDiv w:val="1"/>
      <w:marLeft w:val="0"/>
      <w:marRight w:val="0"/>
      <w:marTop w:val="0"/>
      <w:marBottom w:val="0"/>
      <w:divBdr>
        <w:top w:val="none" w:sz="0" w:space="0" w:color="auto"/>
        <w:left w:val="none" w:sz="0" w:space="0" w:color="auto"/>
        <w:bottom w:val="none" w:sz="0" w:space="0" w:color="auto"/>
        <w:right w:val="none" w:sz="0" w:space="0" w:color="auto"/>
      </w:divBdr>
    </w:div>
    <w:div w:id="113764566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84473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student-resource-package-srp-managing-budget/guidance/7-cas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education.vic.gov.au/pal/student-resource-package-srp-managing-budget/guidance/credit-carryover-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student-resource-package-srp-managing-budget/guidance/credit-carryover-poli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349</Topic>
    <Expired xmlns="bb5ce4db-eb21-467d-b968-528655912a38">false</Expir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5EE81B01-9064-49FF-959A-7E47914DF72C}"/>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7a2b200-f654-4ad0-9a63-c032a64fd972"/>
    <ds:schemaRef ds:uri="b5426cb8-9245-4716-8b42-991f5d301053"/>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Lea Costa</cp:lastModifiedBy>
  <cp:revision>13</cp:revision>
  <dcterms:created xsi:type="dcterms:W3CDTF">2023-12-14T06:30:00Z</dcterms:created>
  <dcterms:modified xsi:type="dcterms:W3CDTF">2023-12-14T12:32:00Z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ediaServiceImageTags">
    <vt:lpwstr/>
  </property>
</Properties>
</file>