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33024" w14:textId="587E95D8" w:rsidR="00A05424" w:rsidRDefault="00A05424" w:rsidP="00A05424"/>
    <w:p w14:paraId="3E7080F5" w14:textId="28072F57" w:rsidR="00624A55" w:rsidRPr="008F3D35" w:rsidRDefault="00EC2C55" w:rsidP="008F3D35">
      <w:pPr>
        <w:pStyle w:val="Heading1"/>
        <w:bidi/>
      </w:pPr>
      <w:r>
        <w:rPr>
          <w:rtl/>
        </w:rPr>
        <w:t xml:space="preserve">معلومات لأولياء الأمور/مقدّمي الرعاية عن </w:t>
      </w:r>
      <w:hyperlink r:id="rId8" w:history="1">
        <w:r>
          <w:rPr>
            <w:rStyle w:val="Hyperlink"/>
            <w:color w:val="E57100" w:themeColor="accent1"/>
            <w:u w:val="none"/>
            <w:rtl/>
          </w:rPr>
          <w:t>سياسة التقييد والعزل</w:t>
        </w:r>
      </w:hyperlink>
      <w:r>
        <w:rPr>
          <w:rtl/>
        </w:rPr>
        <w:t xml:space="preserve"> </w:t>
      </w:r>
    </w:p>
    <w:p w14:paraId="002BA137" w14:textId="3F00A3BE" w:rsidR="00772D33" w:rsidRPr="00624A55" w:rsidRDefault="009A69FA" w:rsidP="00624A55">
      <w:pPr>
        <w:pStyle w:val="Intro"/>
        <w:bidi/>
      </w:pPr>
      <w:r>
        <w:rPr>
          <w:rtl/>
        </w:rPr>
        <w:t xml:space="preserve">المعلومات التالية حول التقييد الجسدي والعزل مُخصّصة لأولياء أمور/مقدّمي الرعاية للطلاب المُلتحقين بالمدارس الحكومية في ولاية فيكتوريا. </w:t>
      </w:r>
    </w:p>
    <w:p w14:paraId="6E6868DC" w14:textId="4FAA4A44" w:rsidR="00624A55" w:rsidRPr="00624A55" w:rsidRDefault="00772D33" w:rsidP="00624A55">
      <w:pPr>
        <w:pStyle w:val="Heading2"/>
        <w:bidi/>
      </w:pPr>
      <w:r>
        <w:rPr>
          <w:rFonts w:ascii="Arial" w:hAnsi="Arial" w:cs="Arial"/>
          <w:rtl/>
        </w:rPr>
        <w:t>نظرة عامة</w:t>
      </w:r>
    </w:p>
    <w:p w14:paraId="0C890D76" w14:textId="77777777" w:rsidR="009704C2" w:rsidRDefault="009A69FA" w:rsidP="009704C2">
      <w:pPr>
        <w:pStyle w:val="ListParagraph"/>
        <w:numPr>
          <w:ilvl w:val="0"/>
          <w:numId w:val="19"/>
        </w:numPr>
        <w:bidi/>
      </w:pPr>
      <w:r>
        <w:rPr>
          <w:rtl/>
        </w:rPr>
        <w:t xml:space="preserve">يحقّ لجميع الطلّاب أن يكونوا بأمان في المدرسة. </w:t>
      </w:r>
    </w:p>
    <w:p w14:paraId="055BF7E1" w14:textId="214C6C8B" w:rsidR="009704C2" w:rsidRPr="009A69FA" w:rsidRDefault="009704C2" w:rsidP="009704C2">
      <w:pPr>
        <w:pStyle w:val="ListParagraph"/>
        <w:numPr>
          <w:ilvl w:val="0"/>
          <w:numId w:val="19"/>
        </w:numPr>
        <w:bidi/>
      </w:pPr>
      <w:r>
        <w:rPr>
          <w:rtl/>
        </w:rPr>
        <w:t xml:space="preserve">تحمي القوانين والسياسات حقوق الطلّاب. </w:t>
      </w:r>
    </w:p>
    <w:p w14:paraId="0972CB60" w14:textId="77777777" w:rsidR="00F2554E" w:rsidRDefault="009A69FA" w:rsidP="009A69FA">
      <w:pPr>
        <w:pStyle w:val="ListParagraph"/>
        <w:numPr>
          <w:ilvl w:val="0"/>
          <w:numId w:val="19"/>
        </w:numPr>
        <w:bidi/>
      </w:pPr>
      <w:r>
        <w:rPr>
          <w:rtl/>
        </w:rPr>
        <w:t>يقع على عاتق موظفي المدرسة واجب رعاية طلّابهم.</w:t>
      </w:r>
    </w:p>
    <w:p w14:paraId="5B66B52A" w14:textId="53AB4ABF" w:rsidR="009A69FA" w:rsidRPr="009A69FA" w:rsidRDefault="00F2554E" w:rsidP="00F2554E">
      <w:pPr>
        <w:pStyle w:val="ListParagraph"/>
        <w:numPr>
          <w:ilvl w:val="0"/>
          <w:numId w:val="19"/>
        </w:numPr>
        <w:bidi/>
      </w:pPr>
      <w:r>
        <w:rPr>
          <w:rtl/>
        </w:rPr>
        <w:t xml:space="preserve">يحقّ لموظفي المدرسة العمل في بيئات آمنة. </w:t>
      </w:r>
    </w:p>
    <w:p w14:paraId="0E40F755" w14:textId="21C86BFA" w:rsidR="009A69FA" w:rsidRPr="009A69FA" w:rsidRDefault="009A69FA" w:rsidP="009A69FA">
      <w:pPr>
        <w:pStyle w:val="ListParagraph"/>
        <w:numPr>
          <w:ilvl w:val="0"/>
          <w:numId w:val="19"/>
        </w:numPr>
        <w:bidi/>
      </w:pPr>
      <w:r>
        <w:rPr>
          <w:rtl/>
        </w:rPr>
        <w:t xml:space="preserve">يسمح القانون لموظفي المدرسة بِمَنع أي طالب من القيام بأشياء خطيرة. </w:t>
      </w:r>
    </w:p>
    <w:p w14:paraId="7C0896D8" w14:textId="3948EC9D" w:rsidR="009A69FA" w:rsidRDefault="009A69FA" w:rsidP="009A69FA">
      <w:pPr>
        <w:pStyle w:val="ListParagraph"/>
        <w:numPr>
          <w:ilvl w:val="0"/>
          <w:numId w:val="19"/>
        </w:numPr>
        <w:bidi/>
      </w:pPr>
      <w:r>
        <w:rPr>
          <w:rtl/>
        </w:rPr>
        <w:t xml:space="preserve">قد تعني الاختلافات في القوانين والسياسات في بعض الأحيان أن المدارس لا تستطيع القيام بالأشياء نفسها التي يمكن للعائلات القيام بها في المنزل. </w:t>
      </w:r>
    </w:p>
    <w:p w14:paraId="18357488" w14:textId="3FBB6AB9" w:rsidR="009A69FA" w:rsidRDefault="009A69FA" w:rsidP="009A69FA">
      <w:pPr>
        <w:pStyle w:val="Heading2"/>
        <w:bidi/>
        <w:rPr>
          <w:rFonts w:ascii="Arial" w:hAnsi="Arial" w:cs="Arial"/>
        </w:rPr>
      </w:pPr>
      <w:r>
        <w:rPr>
          <w:rFonts w:ascii="Arial" w:hAnsi="Arial" w:cs="Arial"/>
          <w:rtl/>
        </w:rPr>
        <w:t>معلومات عن التقييد الجسدي والعزل</w:t>
      </w:r>
    </w:p>
    <w:p w14:paraId="13FA1426" w14:textId="4F9965B1" w:rsidR="005F25F8" w:rsidRPr="005F25F8" w:rsidRDefault="005F25F8" w:rsidP="005F25F8">
      <w:pPr>
        <w:pStyle w:val="Heading2"/>
        <w:bidi/>
        <w:rPr>
          <w:rFonts w:ascii="Arial" w:hAnsi="Arial" w:cs="Arial"/>
        </w:rPr>
      </w:pPr>
      <w:r>
        <w:rPr>
          <w:rFonts w:ascii="Arial" w:hAnsi="Arial" w:cs="Arial"/>
          <w:rtl/>
        </w:rPr>
        <w:t>ما هو التقييد الجسدي والعزل</w:t>
      </w:r>
    </w:p>
    <w:p w14:paraId="052D2CC1" w14:textId="77777777" w:rsidR="003D7B19" w:rsidRDefault="00376227" w:rsidP="009A69FA">
      <w:pPr>
        <w:bidi/>
      </w:pPr>
      <w:r>
        <w:rPr>
          <w:rtl/>
        </w:rPr>
        <w:t xml:space="preserve">تعرّف الدائرة التقييد الجسدي على أنه استخدام القوة الجسدية لمنع الطالب من التحرّك. </w:t>
      </w:r>
    </w:p>
    <w:p w14:paraId="71359DE3" w14:textId="64068A94" w:rsidR="003D7B19" w:rsidRDefault="00376227" w:rsidP="009A69FA">
      <w:pPr>
        <w:bidi/>
      </w:pPr>
      <w:r>
        <w:rPr>
          <w:rtl/>
        </w:rPr>
        <w:t xml:space="preserve">إذا أمسك أحد الموظفين أي جزءٍ من جسم الطالب، ولم يتمكّن الطالب من التحرّك بعيداً عن الموظّف، فهذا يكون تقييداً جسدياً. وإذا قام أحد الموظفين بسدّ الطريق على الطالب، ولكنّ الطالب يستطيع الابتعاد عن الموظف، فلن يكون هذا تقييداً جسدياً. </w:t>
      </w:r>
    </w:p>
    <w:p w14:paraId="7A8E5716" w14:textId="2ECA83A9" w:rsidR="001C1172" w:rsidRDefault="003D7B19" w:rsidP="001C1172">
      <w:pPr>
        <w:bidi/>
      </w:pPr>
      <w:r>
        <w:rPr>
          <w:rtl/>
        </w:rPr>
        <w:t>تُعَرّف الدائرة العزل على أنه عملية ترك الطالب بمفرده في غرفة أو منطقة لا يُسمَح له بمغادرتها. يُحظّر استخدام غُرَف أو مناطق أخرى في المدرسة مُخصّصة للعزل تمّ بناؤها بهدف العزل أو تُستخدم للعزل في المدارس. يجب على المدارس عدم منع الطلاب من مغادرة مناطق المدرسة التي يستخدمها الطلاب عادةً.</w:t>
      </w:r>
    </w:p>
    <w:p w14:paraId="4D3C9C5A" w14:textId="6D37C719" w:rsidR="009A69FA" w:rsidRDefault="009A69FA" w:rsidP="009A69FA">
      <w:pPr>
        <w:bidi/>
      </w:pPr>
      <w:r>
        <w:rPr>
          <w:rtl/>
        </w:rPr>
        <w:t xml:space="preserve">إذا تُرِك عدد من الطلاب في غرفة أو منطقة، فهذا لا يتوافق مع تعريف العزل. وإخراج طالب من الصف أو طرده لفترة مؤقتة أو دائمة لا يُعتبر عملية عزل. </w:t>
      </w:r>
    </w:p>
    <w:p w14:paraId="66643A40" w14:textId="569F2F0B" w:rsidR="009A69FA" w:rsidRPr="001412E6" w:rsidRDefault="005F25F8" w:rsidP="001412E6">
      <w:pPr>
        <w:pStyle w:val="Heading2"/>
        <w:bidi/>
        <w:rPr>
          <w:rFonts w:ascii="Arial" w:hAnsi="Arial" w:cs="Arial"/>
        </w:rPr>
      </w:pPr>
      <w:r>
        <w:rPr>
          <w:rFonts w:ascii="Arial" w:hAnsi="Arial" w:cs="Arial"/>
          <w:rtl/>
        </w:rPr>
        <w:t>استخدام التقييد الجسدي والعزل في المدارس</w:t>
      </w:r>
    </w:p>
    <w:p w14:paraId="2B8F0DF8" w14:textId="444D9FAA" w:rsidR="009704C2" w:rsidRDefault="009A69FA" w:rsidP="009704C2">
      <w:pPr>
        <w:bidi/>
      </w:pPr>
      <w:r>
        <w:rPr>
          <w:rtl/>
        </w:rPr>
        <w:t xml:space="preserve">يُسمح لموظفي المدرسة باستخدام التقييد الجسدي والعزل فقط عند الحاجة إلى حماية أحد الأشخاص لأن الطالب على وشك إيذاء نفسه أو شخص آخر ولا توجد طريقة أخرى للحفاظ على سلامته. وتُعتبر هذه الحالات حالات طارئة. </w:t>
      </w:r>
    </w:p>
    <w:p w14:paraId="0A8295C8" w14:textId="37E697FB" w:rsidR="009A69FA" w:rsidRDefault="009A69FA" w:rsidP="009A69FA">
      <w:pPr>
        <w:bidi/>
      </w:pPr>
      <w:r>
        <w:rPr>
          <w:rtl/>
        </w:rPr>
        <w:t>يجب على موظفي المدرسة التوقّف عن استخدام التقييد الجسدي والعزل بمجرد زوال الخطر.</w:t>
      </w:r>
    </w:p>
    <w:p w14:paraId="4EB8DB4B" w14:textId="24614C68" w:rsidR="009A69FA" w:rsidRDefault="009A69FA" w:rsidP="009A69FA">
      <w:pPr>
        <w:bidi/>
      </w:pPr>
      <w:r>
        <w:rPr>
          <w:rtl/>
        </w:rPr>
        <w:t xml:space="preserve">إذا تمّ عزل أحد الطلاب، فيجب على الموظفين مراقبته طوال مدّة العزل. </w:t>
      </w:r>
    </w:p>
    <w:p w14:paraId="24C1AA95" w14:textId="38CB32D5" w:rsidR="009A69FA" w:rsidRDefault="009A69FA" w:rsidP="009A69FA">
      <w:pPr>
        <w:bidi/>
      </w:pPr>
      <w:r>
        <w:rPr>
          <w:rtl/>
        </w:rPr>
        <w:t xml:space="preserve">لا أحد يستطيع أن يطلب من موظفي المدرسة استخدام التقييد الجسدي أو العزل - لا الأطباء ولا المتخصصين الصحيين ولا أنتم كأولياء أمور/مقدّمي رعاية ولا طفلكم. </w:t>
      </w:r>
    </w:p>
    <w:p w14:paraId="34B9E3E8" w14:textId="37DD63AF" w:rsidR="009A69FA" w:rsidRDefault="009A69FA" w:rsidP="009A69FA">
      <w:pPr>
        <w:bidi/>
      </w:pPr>
      <w:r>
        <w:rPr>
          <w:rtl/>
        </w:rPr>
        <w:t xml:space="preserve">يجب عدم إدراج التقييد الجسدي والعزل في خطة دعم سلوك الطالب أو خطة الأمان أو خطة التعليم الفردي أو أي وثيقة حول تعلّم الطالب أو سلامته. </w:t>
      </w:r>
    </w:p>
    <w:p w14:paraId="09BB7633" w14:textId="71BFA411" w:rsidR="009A69FA" w:rsidRDefault="009A69FA" w:rsidP="009A69FA">
      <w:pPr>
        <w:bidi/>
      </w:pPr>
      <w:r>
        <w:rPr>
          <w:rtl/>
        </w:rPr>
        <w:t>إذا كان طفلكم يتلقّى الدعم من المشروع الوطني للتأمين ضد الإعاقة (NDIS)، فقد لا يُسمح باستخدام بعض الممارسات المُستخدمة في المنزل في مدرسة طفلكم لأن مشروع NDIS يعمل بموجب قوانين مختلفة عن القوانين التي تتبعها المدارس.</w:t>
      </w:r>
    </w:p>
    <w:p w14:paraId="77B23ACC" w14:textId="2950473D" w:rsidR="009A69FA" w:rsidRDefault="009A69FA" w:rsidP="009A69FA">
      <w:pPr>
        <w:bidi/>
      </w:pPr>
      <w:r>
        <w:rPr>
          <w:rtl/>
        </w:rPr>
        <w:t>إذا تمّ تقييد طفلكم أو عزله في المدرسة، فستقوم المدرسة بما يلي:</w:t>
      </w:r>
    </w:p>
    <w:p w14:paraId="0B868DC3" w14:textId="5E6996EC" w:rsidR="009A69FA" w:rsidRDefault="009A69FA" w:rsidP="00ED1E80">
      <w:pPr>
        <w:pStyle w:val="ListParagraph"/>
        <w:numPr>
          <w:ilvl w:val="0"/>
          <w:numId w:val="20"/>
        </w:numPr>
        <w:bidi/>
      </w:pPr>
      <w:r>
        <w:rPr>
          <w:rtl/>
        </w:rPr>
        <w:t xml:space="preserve">التأكد من سلامة الجميع، بما في ذلك سلامة طفلكم </w:t>
      </w:r>
    </w:p>
    <w:p w14:paraId="43F929D0" w14:textId="13CFB294" w:rsidR="009A69FA" w:rsidRDefault="009A69FA" w:rsidP="00ED1E80">
      <w:pPr>
        <w:pStyle w:val="ListParagraph"/>
        <w:numPr>
          <w:ilvl w:val="0"/>
          <w:numId w:val="20"/>
        </w:numPr>
        <w:bidi/>
      </w:pPr>
      <w:r>
        <w:rPr>
          <w:rtl/>
        </w:rPr>
        <w:t xml:space="preserve">إخباركم بما حدث ولماذا تمّ استخدام التقييد الجسدي أو العزل </w:t>
      </w:r>
    </w:p>
    <w:p w14:paraId="48C5DE56" w14:textId="22029F40" w:rsidR="009A69FA" w:rsidRDefault="009A69FA" w:rsidP="00ED1E80">
      <w:pPr>
        <w:pStyle w:val="ListParagraph"/>
        <w:numPr>
          <w:ilvl w:val="0"/>
          <w:numId w:val="20"/>
        </w:numPr>
        <w:bidi/>
      </w:pPr>
      <w:r>
        <w:rPr>
          <w:rtl/>
        </w:rPr>
        <w:t xml:space="preserve">إبلاغ الدائرة بالحادثة </w:t>
      </w:r>
    </w:p>
    <w:p w14:paraId="69EF77E9" w14:textId="59A418AA" w:rsidR="009A69FA" w:rsidRDefault="009A69FA" w:rsidP="00ED1E80">
      <w:pPr>
        <w:pStyle w:val="ListParagraph"/>
        <w:numPr>
          <w:ilvl w:val="0"/>
          <w:numId w:val="20"/>
        </w:numPr>
        <w:bidi/>
      </w:pPr>
      <w:r>
        <w:rPr>
          <w:rtl/>
        </w:rPr>
        <w:lastRenderedPageBreak/>
        <w:t xml:space="preserve">محاولة القيام بأشياء جديدة لمنع حدوث مثل هذه المواقف في المستقبل </w:t>
      </w:r>
    </w:p>
    <w:p w14:paraId="5511D6F7" w14:textId="26303832" w:rsidR="009A69FA" w:rsidRDefault="009A69FA" w:rsidP="00ED1E80">
      <w:pPr>
        <w:pStyle w:val="ListParagraph"/>
        <w:numPr>
          <w:ilvl w:val="0"/>
          <w:numId w:val="20"/>
        </w:numPr>
        <w:bidi/>
      </w:pPr>
      <w:r>
        <w:rPr>
          <w:rtl/>
        </w:rPr>
        <w:t>التحدّث معكم عن رأي المدرسة في الأشياء التي قد تكون مفيدة لطفلكم.</w:t>
      </w:r>
    </w:p>
    <w:p w14:paraId="2870AB62" w14:textId="77777777" w:rsidR="009A69FA" w:rsidRPr="001412E6" w:rsidRDefault="009A69FA" w:rsidP="001412E6">
      <w:pPr>
        <w:pStyle w:val="Heading2"/>
        <w:bidi/>
        <w:rPr>
          <w:rFonts w:ascii="Arial" w:hAnsi="Arial" w:cs="Arial"/>
        </w:rPr>
      </w:pPr>
      <w:r>
        <w:rPr>
          <w:rFonts w:ascii="Arial" w:hAnsi="Arial" w:cs="Arial"/>
          <w:rtl/>
        </w:rPr>
        <w:t>للحصول على المزيد من المعلومات</w:t>
      </w:r>
    </w:p>
    <w:p w14:paraId="20A6FEE6" w14:textId="4533841A" w:rsidR="00F2554E" w:rsidRDefault="00ED1E80" w:rsidP="009A69FA">
      <w:pPr>
        <w:bidi/>
      </w:pPr>
      <w:r>
        <w:rPr>
          <w:rtl/>
        </w:rPr>
        <w:t>إذا كنتم ترغبون في الحصول على المزيد من المعلومات حول أي حادثة أو سياسة الدائرة بشأن التقييد الجسدي والعزل، يمكنكم القيام بما يلي:</w:t>
      </w:r>
    </w:p>
    <w:p w14:paraId="44227C61" w14:textId="6BB46060" w:rsidR="00ED1E80" w:rsidRDefault="00ED1E80" w:rsidP="00A05424">
      <w:pPr>
        <w:pStyle w:val="ListParagraph"/>
        <w:numPr>
          <w:ilvl w:val="0"/>
          <w:numId w:val="25"/>
        </w:numPr>
        <w:bidi/>
      </w:pPr>
      <w:r>
        <w:rPr>
          <w:rtl/>
        </w:rPr>
        <w:t>التحدّث إلى الموظفين في مدرسة طفلكم</w:t>
      </w:r>
    </w:p>
    <w:p w14:paraId="54AC91C0" w14:textId="01351EB2" w:rsidR="009A69FA" w:rsidRPr="00A05424" w:rsidRDefault="00F2554E" w:rsidP="00A05424">
      <w:pPr>
        <w:pStyle w:val="ListParagraph"/>
        <w:numPr>
          <w:ilvl w:val="0"/>
          <w:numId w:val="25"/>
        </w:numPr>
        <w:bidi/>
        <w:rPr>
          <w:rFonts w:ascii="Arial" w:hAnsi="Arial" w:cs="Arial"/>
          <w:bCs/>
          <w:iCs/>
        </w:rPr>
      </w:pPr>
      <w:r>
        <w:rPr>
          <w:rtl/>
        </w:rPr>
        <w:t xml:space="preserve">يُرجى زيارة صفحة </w:t>
      </w:r>
      <w:hyperlink r:id="rId9" w:history="1">
        <w:r>
          <w:rPr>
            <w:rStyle w:val="Hyperlink"/>
            <w:rFonts w:ascii="Arial" w:hAnsi="Arial" w:cs="Arial"/>
            <w:rtl/>
          </w:rPr>
          <w:t>سياسة التقييد والعزل</w:t>
        </w:r>
      </w:hyperlink>
      <w:r>
        <w:rPr>
          <w:rtl/>
        </w:rPr>
        <w:t xml:space="preserve"> على موقع دائرة التعليم والتدريب الإلكتروني.</w:t>
      </w:r>
    </w:p>
    <w:p w14:paraId="3A2D3A18" w14:textId="51AD3D06" w:rsidR="009A69FA" w:rsidRPr="001412E6" w:rsidRDefault="009A69FA" w:rsidP="001412E6">
      <w:pPr>
        <w:pStyle w:val="Heading2"/>
        <w:bidi/>
        <w:rPr>
          <w:rFonts w:ascii="Arial" w:hAnsi="Arial" w:cs="Arial"/>
        </w:rPr>
      </w:pPr>
      <w:r>
        <w:rPr>
          <w:rFonts w:ascii="Arial" w:hAnsi="Arial" w:cs="Arial"/>
          <w:rtl/>
        </w:rPr>
        <w:t>الشكاوى</w:t>
      </w:r>
    </w:p>
    <w:p w14:paraId="741A8528" w14:textId="57934935" w:rsidR="009A69FA" w:rsidRDefault="009A69FA" w:rsidP="009A69FA">
      <w:pPr>
        <w:bidi/>
      </w:pPr>
      <w:r>
        <w:rPr>
          <w:rtl/>
        </w:rPr>
        <w:t>إذا كنتم ترغبون في تقديم شكوى بشأن حادثة تتعلّق بالتقييد الجسدي أو العزل في إحدى المدارس، فاتبعوا الخطوات التالية:</w:t>
      </w:r>
    </w:p>
    <w:p w14:paraId="38733296" w14:textId="00999FC1" w:rsidR="009A69FA" w:rsidRDefault="00ED1E80" w:rsidP="00E73705">
      <w:pPr>
        <w:pStyle w:val="ListParagraph"/>
        <w:numPr>
          <w:ilvl w:val="0"/>
          <w:numId w:val="24"/>
        </w:numPr>
        <w:bidi/>
      </w:pPr>
      <w:r>
        <w:rPr>
          <w:rtl/>
        </w:rPr>
        <w:t xml:space="preserve">تحدّثوا إلى المدرسة أولاً </w:t>
      </w:r>
    </w:p>
    <w:p w14:paraId="3668836D" w14:textId="60BBE82F" w:rsidR="009A69FA" w:rsidRDefault="00ED1E80" w:rsidP="00E73705">
      <w:pPr>
        <w:pStyle w:val="ListParagraph"/>
        <w:numPr>
          <w:ilvl w:val="0"/>
          <w:numId w:val="24"/>
        </w:numPr>
        <w:bidi/>
      </w:pPr>
      <w:r>
        <w:rPr>
          <w:rtl/>
        </w:rPr>
        <w:t xml:space="preserve">إذا لم تكونوا راضين عن جواب موظفي المدرسة أو أفعالهم، اتصلوا بأقرب مكتب إقليمي لكم </w:t>
      </w:r>
    </w:p>
    <w:p w14:paraId="68439F2D" w14:textId="3C6AD498" w:rsidR="009A69FA" w:rsidRDefault="00ED1E80" w:rsidP="00E73705">
      <w:pPr>
        <w:pStyle w:val="ListParagraph"/>
        <w:numPr>
          <w:ilvl w:val="0"/>
          <w:numId w:val="24"/>
        </w:numPr>
        <w:bidi/>
      </w:pPr>
      <w:r>
        <w:rPr>
          <w:rtl/>
        </w:rPr>
        <w:t xml:space="preserve">إذا ما زلتم غير راضين، اتصلوا بالمكتب المركزي. </w:t>
      </w:r>
    </w:p>
    <w:p w14:paraId="49FF4CB6" w14:textId="4A16C1EB" w:rsidR="00E2479D" w:rsidRDefault="009A69FA" w:rsidP="00E2479D">
      <w:pPr>
        <w:bidi/>
      </w:pPr>
      <w:r>
        <w:rPr>
          <w:rtl/>
        </w:rPr>
        <w:t xml:space="preserve">تتوفّر جميع هذه التفاصيل على الموقع الإلكتروني هذا: </w:t>
      </w:r>
      <w:hyperlink r:id="rId10" w:history="1">
        <w:r>
          <w:rPr>
            <w:rStyle w:val="Hyperlink"/>
          </w:rPr>
          <w:t>https://www.education.vic.gov.au/parents/going-to-school/Pages/school-complaints.aspx</w:t>
        </w:r>
      </w:hyperlink>
    </w:p>
    <w:p w14:paraId="661A3F11" w14:textId="3CEAF0C0" w:rsidR="00E2479D" w:rsidRPr="00F2554E" w:rsidRDefault="00F2554E" w:rsidP="00F2554E">
      <w:pPr>
        <w:pStyle w:val="Heading2"/>
        <w:bidi/>
        <w:rPr>
          <w:rFonts w:ascii="Arial" w:hAnsi="Arial" w:cs="Arial"/>
        </w:rPr>
      </w:pPr>
      <w:r>
        <w:rPr>
          <w:rFonts w:ascii="Arial" w:hAnsi="Arial" w:cs="Arial"/>
          <w:rtl/>
        </w:rPr>
        <w:t>للمزيد من الدعم</w:t>
      </w:r>
    </w:p>
    <w:p w14:paraId="4DAAD8BF" w14:textId="77777777" w:rsidR="00D55807" w:rsidRDefault="00E73705" w:rsidP="00D55807">
      <w:pPr>
        <w:pStyle w:val="Heading2"/>
        <w:bidi/>
        <w:rPr>
          <w:rFonts w:ascii="Arial" w:hAnsi="Arial" w:cs="Arial"/>
        </w:rPr>
      </w:pPr>
      <w:r>
        <w:rPr>
          <w:rFonts w:asciiTheme="minorHAnsi" w:hAnsiTheme="minorHAnsi" w:cstheme="minorBidi"/>
          <w:b w:val="0"/>
          <w:color w:val="auto"/>
          <w:sz w:val="22"/>
          <w:szCs w:val="22"/>
          <w:rtl/>
        </w:rPr>
        <w:t>Parent Line:‏ https://parentline.com.au/ أو اتصلوا على الرقم 1300 30 1300</w:t>
      </w:r>
      <w:r w:rsidR="00D55807" w:rsidRPr="00D55807">
        <w:rPr>
          <w:rFonts w:ascii="Arial" w:hAnsi="Arial" w:cs="Arial"/>
          <w:rtl/>
        </w:rPr>
        <w:t xml:space="preserve"> </w:t>
      </w:r>
    </w:p>
    <w:p w14:paraId="51B4BFCE" w14:textId="1EDADF07" w:rsidR="00D55807" w:rsidRPr="00E2479D" w:rsidRDefault="00D55807" w:rsidP="00D55807">
      <w:pPr>
        <w:pStyle w:val="Heading2"/>
        <w:bidi/>
        <w:rPr>
          <w:rFonts w:ascii="Arial" w:hAnsi="Arial" w:cs="Arial"/>
        </w:rPr>
      </w:pPr>
      <w:r>
        <w:rPr>
          <w:rFonts w:ascii="Arial" w:hAnsi="Arial" w:cs="Arial"/>
          <w:rtl/>
        </w:rPr>
        <w:t>سياسات ومعلومات ذات صلة</w:t>
      </w:r>
    </w:p>
    <w:p w14:paraId="1E2F2C16" w14:textId="77777777" w:rsidR="00D55807" w:rsidRPr="009A69FA" w:rsidRDefault="00D55807" w:rsidP="00D55807">
      <w:pPr>
        <w:pStyle w:val="Heading2"/>
        <w:bidi/>
        <w:rPr>
          <w:rFonts w:asciiTheme="minorHAnsi" w:eastAsiaTheme="minorHAnsi" w:hAnsiTheme="minorHAnsi" w:cstheme="minorBidi"/>
          <w:b w:val="0"/>
          <w:color w:val="auto"/>
          <w:sz w:val="22"/>
          <w:szCs w:val="24"/>
        </w:rPr>
      </w:pPr>
      <w:r>
        <w:rPr>
          <w:rFonts w:asciiTheme="minorHAnsi" w:hAnsiTheme="minorHAnsi" w:cstheme="minorBidi"/>
          <w:b w:val="0"/>
          <w:color w:val="auto"/>
          <w:sz w:val="22"/>
          <w:szCs w:val="22"/>
          <w:rtl/>
        </w:rPr>
        <w:t>معايير سلامة الطفل</w:t>
      </w:r>
    </w:p>
    <w:p w14:paraId="12BB1CAA" w14:textId="77777777" w:rsidR="00D55807" w:rsidRDefault="00D55807" w:rsidP="00280560">
      <w:pPr>
        <w:pStyle w:val="Heading2"/>
        <w:jc w:val="right"/>
        <w:rPr>
          <w:rFonts w:asciiTheme="minorHAnsi" w:eastAsiaTheme="minorHAnsi" w:hAnsiTheme="minorHAnsi" w:cstheme="minorBidi"/>
          <w:b w:val="0"/>
          <w:color w:val="auto"/>
          <w:sz w:val="22"/>
          <w:szCs w:val="24"/>
        </w:rPr>
      </w:pPr>
      <w:r>
        <w:rPr>
          <w:rFonts w:asciiTheme="minorHAnsi" w:hAnsiTheme="minorHAnsi" w:cstheme="minorBidi"/>
          <w:b w:val="0"/>
          <w:color w:val="auto"/>
          <w:sz w:val="22"/>
        </w:rPr>
        <w:t>https://www.education.vic.gov.au/school/teachers/health/childprotection/Pages/safeenviro.aspx</w:t>
      </w:r>
      <w:r w:rsidRPr="00E73705">
        <w:t xml:space="preserve"> </w:t>
      </w:r>
    </w:p>
    <w:p w14:paraId="2F4762FA" w14:textId="77777777" w:rsidR="00D55807" w:rsidRPr="009A69FA" w:rsidRDefault="00D55807" w:rsidP="00D55807">
      <w:pPr>
        <w:pStyle w:val="Heading2"/>
        <w:bidi/>
        <w:rPr>
          <w:rFonts w:asciiTheme="minorHAnsi" w:eastAsiaTheme="minorHAnsi" w:hAnsiTheme="minorHAnsi" w:cstheme="minorBidi"/>
          <w:b w:val="0"/>
          <w:color w:val="auto"/>
          <w:sz w:val="22"/>
          <w:szCs w:val="24"/>
        </w:rPr>
      </w:pPr>
      <w:r>
        <w:rPr>
          <w:rFonts w:asciiTheme="minorHAnsi" w:hAnsiTheme="minorHAnsi" w:cstheme="minorBidi"/>
          <w:b w:val="0"/>
          <w:color w:val="auto"/>
          <w:sz w:val="22"/>
          <w:szCs w:val="22"/>
          <w:rtl/>
        </w:rPr>
        <w:t>سياسة واجب الرعاية</w:t>
      </w:r>
    </w:p>
    <w:p w14:paraId="60ACD3A8" w14:textId="77777777" w:rsidR="00D55807" w:rsidRPr="009A69FA" w:rsidRDefault="00D55807" w:rsidP="00280560">
      <w:pPr>
        <w:pStyle w:val="Heading2"/>
        <w:jc w:val="right"/>
        <w:rPr>
          <w:rFonts w:asciiTheme="minorHAnsi" w:eastAsiaTheme="minorHAnsi" w:hAnsiTheme="minorHAnsi" w:cstheme="minorBidi"/>
          <w:b w:val="0"/>
          <w:color w:val="auto"/>
          <w:sz w:val="22"/>
          <w:szCs w:val="24"/>
        </w:rPr>
      </w:pPr>
      <w:r>
        <w:rPr>
          <w:rFonts w:asciiTheme="minorHAnsi" w:hAnsiTheme="minorHAnsi" w:cstheme="minorBidi"/>
          <w:b w:val="0"/>
          <w:color w:val="auto"/>
          <w:sz w:val="22"/>
        </w:rPr>
        <w:t>https://www.education.vic.gov.au/school/principals/spag/safety/Pages/dutyofcare.aspx</w:t>
      </w:r>
    </w:p>
    <w:p w14:paraId="6140AEC5" w14:textId="77777777" w:rsidR="00D55807" w:rsidRPr="009A69FA" w:rsidRDefault="00D55807" w:rsidP="00D55807">
      <w:pPr>
        <w:pStyle w:val="Heading2"/>
        <w:bidi/>
        <w:rPr>
          <w:rFonts w:asciiTheme="minorHAnsi" w:eastAsiaTheme="minorHAnsi" w:hAnsiTheme="minorHAnsi" w:cstheme="minorBidi"/>
          <w:b w:val="0"/>
          <w:color w:val="auto"/>
          <w:sz w:val="22"/>
          <w:szCs w:val="24"/>
        </w:rPr>
      </w:pPr>
      <w:r>
        <w:rPr>
          <w:rFonts w:asciiTheme="minorHAnsi" w:hAnsiTheme="minorHAnsi" w:cstheme="minorBidi"/>
          <w:b w:val="0"/>
          <w:color w:val="auto"/>
          <w:sz w:val="22"/>
          <w:szCs w:val="22"/>
          <w:rtl/>
        </w:rPr>
        <w:t>التقييد والعزل</w:t>
      </w:r>
    </w:p>
    <w:p w14:paraId="097D9423" w14:textId="77777777" w:rsidR="00D55807" w:rsidRPr="009A69FA" w:rsidRDefault="00D55807" w:rsidP="00280560">
      <w:pPr>
        <w:pStyle w:val="Heading2"/>
        <w:jc w:val="right"/>
        <w:rPr>
          <w:rFonts w:asciiTheme="minorHAnsi" w:eastAsiaTheme="minorHAnsi" w:hAnsiTheme="minorHAnsi" w:cstheme="minorBidi"/>
          <w:b w:val="0"/>
          <w:color w:val="auto"/>
          <w:sz w:val="22"/>
          <w:szCs w:val="24"/>
        </w:rPr>
      </w:pPr>
      <w:r>
        <w:rPr>
          <w:rFonts w:asciiTheme="minorHAnsi" w:hAnsiTheme="minorHAnsi" w:cstheme="minorBidi"/>
          <w:b w:val="0"/>
          <w:color w:val="auto"/>
          <w:sz w:val="22"/>
        </w:rPr>
        <w:t>https://www2.education.vic.gov.au/pal/restraint-seclusion/policy</w:t>
      </w:r>
    </w:p>
    <w:p w14:paraId="31A8AAA7" w14:textId="77777777" w:rsidR="00D55807" w:rsidRPr="009A69FA" w:rsidRDefault="00D55807" w:rsidP="00D55807">
      <w:pPr>
        <w:pStyle w:val="Heading2"/>
        <w:bidi/>
        <w:rPr>
          <w:rFonts w:asciiTheme="minorHAnsi" w:eastAsiaTheme="minorHAnsi" w:hAnsiTheme="minorHAnsi" w:cstheme="minorBidi"/>
          <w:b w:val="0"/>
          <w:color w:val="auto"/>
          <w:sz w:val="22"/>
          <w:szCs w:val="24"/>
        </w:rPr>
      </w:pPr>
      <w:r>
        <w:rPr>
          <w:rFonts w:asciiTheme="minorHAnsi" w:hAnsiTheme="minorHAnsi" w:cstheme="minorBidi"/>
          <w:b w:val="0"/>
          <w:color w:val="auto"/>
          <w:sz w:val="22"/>
          <w:szCs w:val="22"/>
          <w:rtl/>
        </w:rPr>
        <w:t xml:space="preserve">الغرف الحسية </w:t>
      </w:r>
    </w:p>
    <w:p w14:paraId="2EA79B64" w14:textId="77777777" w:rsidR="00D55807" w:rsidRDefault="00D84009" w:rsidP="00280560">
      <w:pPr>
        <w:pStyle w:val="Heading2"/>
        <w:jc w:val="right"/>
        <w:rPr>
          <w:rFonts w:asciiTheme="minorHAnsi" w:eastAsiaTheme="minorHAnsi" w:hAnsiTheme="minorHAnsi" w:cstheme="minorBidi"/>
          <w:b w:val="0"/>
          <w:color w:val="auto"/>
          <w:sz w:val="22"/>
          <w:szCs w:val="24"/>
        </w:rPr>
      </w:pPr>
      <w:hyperlink r:id="rId11" w:history="1">
        <w:r w:rsidR="00EC2C55">
          <w:rPr>
            <w:rFonts w:asciiTheme="minorHAnsi" w:hAnsiTheme="minorHAnsi" w:cstheme="minorBidi"/>
            <w:b w:val="0"/>
            <w:color w:val="auto"/>
            <w:sz w:val="22"/>
          </w:rPr>
          <w:t>https://www2.education.vic.gov.au/pal/sensory-rooms/policy</w:t>
        </w:r>
      </w:hyperlink>
    </w:p>
    <w:p w14:paraId="34C8FC40" w14:textId="77FA0061" w:rsidR="00E73705" w:rsidRPr="00E73705" w:rsidRDefault="00280560" w:rsidP="00E73705">
      <w:r>
        <w:t xml:space="preserve">  </w:t>
      </w:r>
    </w:p>
    <w:p w14:paraId="7461FCE6" w14:textId="20A320E4" w:rsidR="00772D33" w:rsidRDefault="005B5DEC" w:rsidP="009A69FA">
      <w:pPr>
        <w:pStyle w:val="Heading2"/>
        <w:bidi/>
      </w:pPr>
      <w:r>
        <w:rPr>
          <w:rtl/>
        </w:rPr>
        <w:lastRenderedPageBreak/>
        <w:t>التشريعات ذات الصلة</w:t>
      </w:r>
    </w:p>
    <w:p w14:paraId="4B0F2686" w14:textId="77777777" w:rsidR="009A69FA" w:rsidRPr="009A69FA" w:rsidRDefault="009A69FA" w:rsidP="009A69FA">
      <w:pPr>
        <w:pStyle w:val="Heading2"/>
        <w:bidi/>
        <w:rPr>
          <w:rFonts w:asciiTheme="minorHAnsi" w:eastAsiaTheme="minorHAnsi" w:hAnsiTheme="minorHAnsi" w:cstheme="minorBidi"/>
          <w:b w:val="0"/>
          <w:color w:val="auto"/>
          <w:sz w:val="22"/>
          <w:szCs w:val="24"/>
        </w:rPr>
      </w:pPr>
      <w:r>
        <w:rPr>
          <w:rFonts w:asciiTheme="minorHAnsi" w:hAnsiTheme="minorHAnsi" w:cstheme="minorBidi"/>
          <w:b w:val="0"/>
          <w:color w:val="auto"/>
          <w:sz w:val="22"/>
          <w:szCs w:val="22"/>
          <w:rtl/>
        </w:rPr>
        <w:t>قانون ميثاق حقوق الإنسان والمسؤوليات لعام 2006</w:t>
      </w:r>
    </w:p>
    <w:p w14:paraId="1F45B7CD" w14:textId="77777777" w:rsidR="009A69FA" w:rsidRPr="009A69FA" w:rsidRDefault="009A69FA" w:rsidP="00280560">
      <w:pPr>
        <w:pStyle w:val="Heading2"/>
        <w:jc w:val="right"/>
        <w:rPr>
          <w:rFonts w:asciiTheme="minorHAnsi" w:eastAsiaTheme="minorHAnsi" w:hAnsiTheme="minorHAnsi" w:cstheme="minorBidi"/>
          <w:b w:val="0"/>
          <w:color w:val="auto"/>
          <w:sz w:val="22"/>
          <w:szCs w:val="24"/>
        </w:rPr>
      </w:pPr>
      <w:r>
        <w:rPr>
          <w:rFonts w:asciiTheme="minorHAnsi" w:hAnsiTheme="minorHAnsi" w:cstheme="minorBidi"/>
          <w:b w:val="0"/>
          <w:color w:val="auto"/>
          <w:sz w:val="22"/>
        </w:rPr>
        <w:t>https://www.legislation.vic.gov.au/in-force/acts/charter-human-rights-and-responsibilities-act-2006/014</w:t>
      </w:r>
    </w:p>
    <w:p w14:paraId="50A8F423" w14:textId="77777777" w:rsidR="009A69FA" w:rsidRPr="009A69FA" w:rsidRDefault="009A69FA" w:rsidP="009A69FA">
      <w:pPr>
        <w:pStyle w:val="Heading2"/>
        <w:bidi/>
        <w:rPr>
          <w:rFonts w:asciiTheme="minorHAnsi" w:eastAsiaTheme="minorHAnsi" w:hAnsiTheme="minorHAnsi" w:cstheme="minorBidi"/>
          <w:b w:val="0"/>
          <w:color w:val="auto"/>
          <w:sz w:val="22"/>
          <w:szCs w:val="24"/>
        </w:rPr>
      </w:pPr>
      <w:r>
        <w:rPr>
          <w:rFonts w:asciiTheme="minorHAnsi" w:hAnsiTheme="minorHAnsi" w:cstheme="minorBidi"/>
          <w:b w:val="0"/>
          <w:color w:val="auto"/>
          <w:sz w:val="22"/>
          <w:szCs w:val="22"/>
          <w:rtl/>
        </w:rPr>
        <w:t>قانون رفاهية وسلامة الطفل 2005</w:t>
      </w:r>
    </w:p>
    <w:p w14:paraId="7CAAB32F" w14:textId="77777777" w:rsidR="009A69FA" w:rsidRPr="009A69FA" w:rsidRDefault="009A69FA" w:rsidP="00280560">
      <w:pPr>
        <w:pStyle w:val="Heading2"/>
        <w:jc w:val="right"/>
        <w:rPr>
          <w:rFonts w:asciiTheme="minorHAnsi" w:eastAsiaTheme="minorHAnsi" w:hAnsiTheme="minorHAnsi" w:cstheme="minorBidi"/>
          <w:b w:val="0"/>
          <w:color w:val="auto"/>
          <w:sz w:val="22"/>
          <w:szCs w:val="24"/>
        </w:rPr>
      </w:pPr>
      <w:bookmarkStart w:id="0" w:name="_GoBack"/>
      <w:r>
        <w:rPr>
          <w:rFonts w:asciiTheme="minorHAnsi" w:hAnsiTheme="minorHAnsi" w:cstheme="minorBidi"/>
          <w:b w:val="0"/>
          <w:color w:val="auto"/>
          <w:sz w:val="22"/>
        </w:rPr>
        <w:t>https://www.legislation.vic.gov.au/in-force/acts/child-wellbeing-and-safety-act-2005/030</w:t>
      </w:r>
    </w:p>
    <w:bookmarkEnd w:id="0"/>
    <w:p w14:paraId="3BA9156D" w14:textId="77777777" w:rsidR="009A69FA" w:rsidRPr="009A69FA" w:rsidRDefault="009A69FA" w:rsidP="009A69FA">
      <w:pPr>
        <w:pStyle w:val="Heading2"/>
        <w:bidi/>
        <w:rPr>
          <w:rFonts w:asciiTheme="minorHAnsi" w:eastAsiaTheme="minorHAnsi" w:hAnsiTheme="minorHAnsi" w:cstheme="minorBidi"/>
          <w:b w:val="0"/>
          <w:color w:val="auto"/>
          <w:sz w:val="22"/>
          <w:szCs w:val="24"/>
        </w:rPr>
      </w:pPr>
      <w:r>
        <w:rPr>
          <w:rFonts w:asciiTheme="minorHAnsi" w:hAnsiTheme="minorHAnsi" w:cstheme="minorBidi"/>
          <w:b w:val="0"/>
          <w:color w:val="auto"/>
          <w:sz w:val="22"/>
          <w:szCs w:val="22"/>
          <w:rtl/>
        </w:rPr>
        <w:t>التشريعات الإصلاحية للتعليم والتدريب لعام 2017 (فيكتوريا) التشريع 24، العقوبة الجسدية غير مسموح بها</w:t>
      </w:r>
    </w:p>
    <w:p w14:paraId="60A7BA1B" w14:textId="77777777" w:rsidR="009A69FA" w:rsidRPr="009A69FA" w:rsidRDefault="009A69FA" w:rsidP="009A69FA">
      <w:pPr>
        <w:pStyle w:val="Heading2"/>
        <w:bidi/>
        <w:rPr>
          <w:rFonts w:asciiTheme="minorHAnsi" w:eastAsiaTheme="minorHAnsi" w:hAnsiTheme="minorHAnsi" w:cstheme="minorBidi"/>
          <w:b w:val="0"/>
          <w:color w:val="auto"/>
          <w:sz w:val="22"/>
          <w:szCs w:val="24"/>
        </w:rPr>
      </w:pPr>
      <w:r>
        <w:rPr>
          <w:rFonts w:asciiTheme="minorHAnsi" w:hAnsiTheme="minorHAnsi" w:cstheme="minorBidi"/>
          <w:b w:val="0"/>
          <w:color w:val="auto"/>
          <w:sz w:val="22"/>
          <w:szCs w:val="22"/>
          <w:rtl/>
        </w:rPr>
        <w:t>التشريعات الإصلاحية للتعليم والتدريب لعام 2017 (فيكتوريا) التشريع 25، التقييد من الخطر</w:t>
      </w:r>
    </w:p>
    <w:p w14:paraId="09C6715E" w14:textId="35CBC1D6" w:rsidR="009A69FA" w:rsidRDefault="00D84009" w:rsidP="00280560">
      <w:pPr>
        <w:pStyle w:val="Heading2"/>
        <w:jc w:val="right"/>
        <w:rPr>
          <w:rFonts w:asciiTheme="minorHAnsi" w:eastAsiaTheme="minorHAnsi" w:hAnsiTheme="minorHAnsi" w:cstheme="minorBidi"/>
          <w:b w:val="0"/>
          <w:color w:val="auto"/>
          <w:sz w:val="22"/>
          <w:szCs w:val="24"/>
        </w:rPr>
      </w:pPr>
      <w:hyperlink r:id="rId12" w:history="1">
        <w:r w:rsidR="00EC2C55">
          <w:rPr>
            <w:rFonts w:asciiTheme="minorHAnsi" w:hAnsiTheme="minorHAnsi" w:cstheme="minorBidi"/>
            <w:b w:val="0"/>
            <w:color w:val="auto"/>
            <w:sz w:val="22"/>
          </w:rPr>
          <w:t>https://www.legislation.vic.gov.au/in-force/statutory-rules/education-and-training-reform-regulations-2017/002</w:t>
        </w:r>
      </w:hyperlink>
    </w:p>
    <w:p w14:paraId="56EDA560" w14:textId="7412A164" w:rsidR="00B34060" w:rsidRPr="00B34060" w:rsidRDefault="00B34060" w:rsidP="009A69FA">
      <w:pPr>
        <w:pStyle w:val="Heading2"/>
        <w:bidi/>
      </w:pPr>
      <w:r>
        <w:rPr>
          <w:rtl/>
        </w:rPr>
        <w:t>تاريخ آخر تحديث للمعلومات</w:t>
      </w:r>
    </w:p>
    <w:p w14:paraId="130EC4BE" w14:textId="13CC858C" w:rsidR="00B34060" w:rsidRDefault="00E73705" w:rsidP="005B5DEC">
      <w:pPr>
        <w:bidi/>
      </w:pPr>
      <w:r>
        <w:rPr>
          <w:rtl/>
        </w:rPr>
        <w:t>أيار/مايو 2021</w:t>
      </w:r>
    </w:p>
    <w:p w14:paraId="206C7C23" w14:textId="727A2593" w:rsidR="00B34060" w:rsidRDefault="00B34060" w:rsidP="00B34060">
      <w:pPr>
        <w:pStyle w:val="Heading2"/>
        <w:bidi/>
      </w:pPr>
      <w:r>
        <w:rPr>
          <w:rtl/>
        </w:rPr>
        <w:t>النطاق</w:t>
      </w:r>
    </w:p>
    <w:p w14:paraId="1119A5F4" w14:textId="77777777" w:rsidR="009A69FA" w:rsidRPr="009A69FA" w:rsidRDefault="009A69FA" w:rsidP="009A69FA">
      <w:pPr>
        <w:bidi/>
      </w:pPr>
      <w:r>
        <w:rPr>
          <w:rtl/>
        </w:rPr>
        <w:t>للمدارس</w:t>
      </w:r>
    </w:p>
    <w:p w14:paraId="20002F20" w14:textId="5E96502D" w:rsidR="009A69FA" w:rsidRPr="009A69FA" w:rsidRDefault="009A69FA" w:rsidP="009A69FA">
      <w:pPr>
        <w:bidi/>
      </w:pPr>
      <w:r>
        <w:rPr>
          <w:rtl/>
        </w:rPr>
        <w:t>لمجالس المدارس</w:t>
      </w:r>
    </w:p>
    <w:p w14:paraId="53006293" w14:textId="478EA4F7" w:rsidR="00B34060" w:rsidRDefault="009A69FA" w:rsidP="009A69FA">
      <w:pPr>
        <w:bidi/>
      </w:pPr>
      <w:r>
        <w:rPr>
          <w:rtl/>
        </w:rPr>
        <w:t>لجميع موظفي الدائرة</w:t>
      </w:r>
    </w:p>
    <w:p w14:paraId="2FF0BD52" w14:textId="0B37F535" w:rsidR="00B34060" w:rsidRDefault="00F2554E" w:rsidP="00B34060">
      <w:pPr>
        <w:pStyle w:val="Heading2"/>
        <w:bidi/>
      </w:pPr>
      <w:r>
        <w:rPr>
          <w:rtl/>
        </w:rPr>
        <w:t>من الذي يتأكد من صحة هذه الاستمارة؟</w:t>
      </w:r>
      <w:r w:rsidR="00B34060" w:rsidRPr="00B34060">
        <w:rPr>
          <w:rtl/>
        </w:rPr>
        <w:tab/>
      </w:r>
    </w:p>
    <w:p w14:paraId="73E2E7A5" w14:textId="77987C98" w:rsidR="00B34060" w:rsidRPr="00B34060" w:rsidRDefault="00B34060" w:rsidP="00B34060">
      <w:pPr>
        <w:bidi/>
        <w:rPr>
          <w:rFonts w:ascii="Arial" w:hAnsi="Arial" w:cs="Arial"/>
          <w:iCs/>
        </w:rPr>
      </w:pPr>
      <w:r>
        <w:rPr>
          <w:rFonts w:ascii="Arial" w:hAnsi="Arial" w:cs="Arial"/>
          <w:rtl/>
        </w:rPr>
        <w:t>مستشار دعم السلوك الرئيسي</w:t>
      </w:r>
    </w:p>
    <w:p w14:paraId="1FBCC76A" w14:textId="032D3009" w:rsidR="00B34060" w:rsidRPr="00B34060" w:rsidRDefault="00B34060" w:rsidP="00B34060">
      <w:pPr>
        <w:bidi/>
        <w:rPr>
          <w:rFonts w:ascii="Arial" w:hAnsi="Arial" w:cs="Arial"/>
          <w:iCs/>
        </w:rPr>
      </w:pPr>
      <w:r>
        <w:rPr>
          <w:rFonts w:ascii="Arial" w:hAnsi="Arial" w:cs="Arial"/>
          <w:rtl/>
        </w:rPr>
        <w:t>بريد إلكتروني: restraint.seclusion@education.vic.gov.au</w:t>
      </w:r>
    </w:p>
    <w:sectPr w:rsidR="00B34060" w:rsidRPr="00B34060" w:rsidSect="006E2B9A">
      <w:headerReference w:type="even" r:id="rId13"/>
      <w:headerReference w:type="default" r:id="rId14"/>
      <w:footerReference w:type="even" r:id="rId15"/>
      <w:footerReference w:type="default" r:id="rId16"/>
      <w:headerReference w:type="first" r:id="rId17"/>
      <w:footerReference w:type="first" r:id="rId18"/>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39E7B" w14:textId="77777777" w:rsidR="00E73B11" w:rsidRDefault="00E73B11" w:rsidP="003967DD">
      <w:pPr>
        <w:spacing w:after="0"/>
      </w:pPr>
      <w:r>
        <w:separator/>
      </w:r>
    </w:p>
  </w:endnote>
  <w:endnote w:type="continuationSeparator" w:id="0">
    <w:p w14:paraId="60B41128" w14:textId="77777777" w:rsidR="00E73B11" w:rsidRDefault="00E73B1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84009">
      <w:rPr>
        <w:rStyle w:val="PageNumber"/>
        <w:noProof/>
      </w:rPr>
      <w:t>3</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98FC5" w14:textId="77777777" w:rsidR="00EC2C55" w:rsidRDefault="00EC2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90569" w14:textId="77777777" w:rsidR="00E73B11" w:rsidRDefault="00E73B11" w:rsidP="003967DD">
      <w:pPr>
        <w:spacing w:after="0"/>
      </w:pPr>
      <w:r>
        <w:separator/>
      </w:r>
    </w:p>
  </w:footnote>
  <w:footnote w:type="continuationSeparator" w:id="0">
    <w:p w14:paraId="695277A6" w14:textId="77777777" w:rsidR="00E73B11" w:rsidRDefault="00E73B11"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04AA5" w14:textId="77777777" w:rsidR="00EC2C55" w:rsidRDefault="00EC2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09B1B" w14:textId="77777777" w:rsidR="00EC2C55" w:rsidRDefault="00EC2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7C9600B"/>
    <w:multiLevelType w:val="hybridMultilevel"/>
    <w:tmpl w:val="8D46635C"/>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199E6EAF"/>
    <w:multiLevelType w:val="hybridMultilevel"/>
    <w:tmpl w:val="00529BB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14534E7"/>
    <w:multiLevelType w:val="multilevel"/>
    <w:tmpl w:val="5C3CDC64"/>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3DC416C"/>
    <w:multiLevelType w:val="hybridMultilevel"/>
    <w:tmpl w:val="26E8EE84"/>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693B6D"/>
    <w:multiLevelType w:val="hybridMultilevel"/>
    <w:tmpl w:val="E5D23A4C"/>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697920F4"/>
    <w:multiLevelType w:val="hybridMultilevel"/>
    <w:tmpl w:val="E146BE2C"/>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6DE659CA"/>
    <w:multiLevelType w:val="hybridMultilevel"/>
    <w:tmpl w:val="E8A22F50"/>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6FB363FF"/>
    <w:multiLevelType w:val="hybridMultilevel"/>
    <w:tmpl w:val="D9F2D9B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7"/>
  </w:num>
  <w:num w:numId="17">
    <w:abstractNumId w:val="14"/>
  </w:num>
  <w:num w:numId="18">
    <w:abstractNumId w:val="12"/>
  </w:num>
  <w:num w:numId="19">
    <w:abstractNumId w:val="22"/>
  </w:num>
  <w:num w:numId="20">
    <w:abstractNumId w:val="11"/>
  </w:num>
  <w:num w:numId="21">
    <w:abstractNumId w:val="21"/>
  </w:num>
  <w:num w:numId="22">
    <w:abstractNumId w:val="16"/>
  </w:num>
  <w:num w:numId="23">
    <w:abstractNumId w:val="19"/>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41BE"/>
    <w:rsid w:val="00011F31"/>
    <w:rsid w:val="00013339"/>
    <w:rsid w:val="000256E2"/>
    <w:rsid w:val="00080DA9"/>
    <w:rsid w:val="000861DD"/>
    <w:rsid w:val="000A47D4"/>
    <w:rsid w:val="000C4748"/>
    <w:rsid w:val="000C600E"/>
    <w:rsid w:val="00122369"/>
    <w:rsid w:val="001412E6"/>
    <w:rsid w:val="00150E0F"/>
    <w:rsid w:val="00155FDB"/>
    <w:rsid w:val="00157212"/>
    <w:rsid w:val="0016287D"/>
    <w:rsid w:val="001C1172"/>
    <w:rsid w:val="001D0D94"/>
    <w:rsid w:val="001D13F9"/>
    <w:rsid w:val="001F39DD"/>
    <w:rsid w:val="002512BE"/>
    <w:rsid w:val="00275FB8"/>
    <w:rsid w:val="00280560"/>
    <w:rsid w:val="002A4A96"/>
    <w:rsid w:val="002E3BED"/>
    <w:rsid w:val="002F41D7"/>
    <w:rsid w:val="002F6115"/>
    <w:rsid w:val="00312720"/>
    <w:rsid w:val="00322079"/>
    <w:rsid w:val="00343AFC"/>
    <w:rsid w:val="0034745C"/>
    <w:rsid w:val="00376227"/>
    <w:rsid w:val="003967DD"/>
    <w:rsid w:val="003A4C39"/>
    <w:rsid w:val="003D7B19"/>
    <w:rsid w:val="0042333B"/>
    <w:rsid w:val="00443E58"/>
    <w:rsid w:val="00451EC2"/>
    <w:rsid w:val="004A2E74"/>
    <w:rsid w:val="004B2ED6"/>
    <w:rsid w:val="00500ADA"/>
    <w:rsid w:val="00512BBA"/>
    <w:rsid w:val="00533E75"/>
    <w:rsid w:val="00555277"/>
    <w:rsid w:val="00567CF0"/>
    <w:rsid w:val="00584366"/>
    <w:rsid w:val="00591BC9"/>
    <w:rsid w:val="005A4F12"/>
    <w:rsid w:val="005B5DEC"/>
    <w:rsid w:val="005E0713"/>
    <w:rsid w:val="005F25F8"/>
    <w:rsid w:val="00624A55"/>
    <w:rsid w:val="006523D7"/>
    <w:rsid w:val="006671CE"/>
    <w:rsid w:val="006A1F8A"/>
    <w:rsid w:val="006A25AC"/>
    <w:rsid w:val="006C45C0"/>
    <w:rsid w:val="006E2B9A"/>
    <w:rsid w:val="00710CED"/>
    <w:rsid w:val="00735566"/>
    <w:rsid w:val="0076408A"/>
    <w:rsid w:val="00767573"/>
    <w:rsid w:val="00772D33"/>
    <w:rsid w:val="007B556E"/>
    <w:rsid w:val="007D3E38"/>
    <w:rsid w:val="007D40FC"/>
    <w:rsid w:val="008065DA"/>
    <w:rsid w:val="00856E11"/>
    <w:rsid w:val="00890680"/>
    <w:rsid w:val="00892E24"/>
    <w:rsid w:val="00896719"/>
    <w:rsid w:val="008B1737"/>
    <w:rsid w:val="008F3D35"/>
    <w:rsid w:val="00901623"/>
    <w:rsid w:val="0092678B"/>
    <w:rsid w:val="00952690"/>
    <w:rsid w:val="00954B9A"/>
    <w:rsid w:val="009704C2"/>
    <w:rsid w:val="0099358C"/>
    <w:rsid w:val="009A69FA"/>
    <w:rsid w:val="009F6A77"/>
    <w:rsid w:val="00A05424"/>
    <w:rsid w:val="00A31926"/>
    <w:rsid w:val="00A710DF"/>
    <w:rsid w:val="00B1375D"/>
    <w:rsid w:val="00B21562"/>
    <w:rsid w:val="00B34060"/>
    <w:rsid w:val="00B72D1E"/>
    <w:rsid w:val="00B775D4"/>
    <w:rsid w:val="00C539BB"/>
    <w:rsid w:val="00CC5AA8"/>
    <w:rsid w:val="00CD5993"/>
    <w:rsid w:val="00CE7916"/>
    <w:rsid w:val="00D17E55"/>
    <w:rsid w:val="00D30367"/>
    <w:rsid w:val="00D55807"/>
    <w:rsid w:val="00D84009"/>
    <w:rsid w:val="00D9777A"/>
    <w:rsid w:val="00DC4D0D"/>
    <w:rsid w:val="00E2479D"/>
    <w:rsid w:val="00E34263"/>
    <w:rsid w:val="00E34721"/>
    <w:rsid w:val="00E4317E"/>
    <w:rsid w:val="00E47519"/>
    <w:rsid w:val="00E5030B"/>
    <w:rsid w:val="00E64758"/>
    <w:rsid w:val="00E73705"/>
    <w:rsid w:val="00E73B11"/>
    <w:rsid w:val="00E77EB9"/>
    <w:rsid w:val="00EC2C55"/>
    <w:rsid w:val="00ED1E80"/>
    <w:rsid w:val="00F2554E"/>
    <w:rsid w:val="00F5271F"/>
    <w:rsid w:val="00F94715"/>
    <w:rsid w:val="00FD04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heme="majorBidi"/>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heme="majorBidi"/>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heme="majorBidi"/>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heme="majorBidi"/>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BalloonText">
    <w:name w:val="Balloon Text"/>
    <w:basedOn w:val="Normal"/>
    <w:link w:val="BalloonTextChar"/>
    <w:uiPriority w:val="99"/>
    <w:semiHidden/>
    <w:unhideWhenUsed/>
    <w:rsid w:val="00772D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33"/>
    <w:rPr>
      <w:rFonts w:ascii="Segoe UI" w:hAnsi="Segoe UI" w:cs="Segoe UI"/>
      <w:sz w:val="18"/>
      <w:szCs w:val="18"/>
    </w:rPr>
  </w:style>
  <w:style w:type="paragraph" w:styleId="ListParagraph">
    <w:name w:val="List Paragraph"/>
    <w:basedOn w:val="Normal"/>
    <w:uiPriority w:val="34"/>
    <w:qFormat/>
    <w:rsid w:val="00772D33"/>
    <w:pPr>
      <w:spacing w:after="160" w:line="259" w:lineRule="auto"/>
      <w:ind w:left="720"/>
      <w:contextualSpacing/>
    </w:pPr>
    <w:rPr>
      <w:szCs w:val="22"/>
      <w:lang w:val="en-AU"/>
    </w:rPr>
  </w:style>
  <w:style w:type="table" w:customStyle="1" w:styleId="TableGrid1">
    <w:name w:val="Table Grid1"/>
    <w:basedOn w:val="TableNormal"/>
    <w:next w:val="TableGrid"/>
    <w:uiPriority w:val="39"/>
    <w:rsid w:val="00451EC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69FA"/>
    <w:rPr>
      <w:sz w:val="16"/>
      <w:szCs w:val="16"/>
    </w:rPr>
  </w:style>
  <w:style w:type="paragraph" w:styleId="CommentText">
    <w:name w:val="annotation text"/>
    <w:basedOn w:val="Normal"/>
    <w:link w:val="CommentTextChar"/>
    <w:uiPriority w:val="99"/>
    <w:semiHidden/>
    <w:unhideWhenUsed/>
    <w:rsid w:val="009A69FA"/>
    <w:rPr>
      <w:sz w:val="20"/>
      <w:szCs w:val="20"/>
    </w:rPr>
  </w:style>
  <w:style w:type="character" w:customStyle="1" w:styleId="CommentTextChar">
    <w:name w:val="Comment Text Char"/>
    <w:basedOn w:val="DefaultParagraphFont"/>
    <w:link w:val="CommentText"/>
    <w:uiPriority w:val="99"/>
    <w:semiHidden/>
    <w:rsid w:val="009A69FA"/>
    <w:rPr>
      <w:sz w:val="20"/>
      <w:szCs w:val="20"/>
    </w:rPr>
  </w:style>
  <w:style w:type="paragraph" w:styleId="CommentSubject">
    <w:name w:val="annotation subject"/>
    <w:basedOn w:val="CommentText"/>
    <w:next w:val="CommentText"/>
    <w:link w:val="CommentSubjectChar"/>
    <w:uiPriority w:val="99"/>
    <w:semiHidden/>
    <w:unhideWhenUsed/>
    <w:rsid w:val="009A69FA"/>
    <w:rPr>
      <w:b/>
      <w:bCs/>
    </w:rPr>
  </w:style>
  <w:style w:type="character" w:customStyle="1" w:styleId="CommentSubjectChar">
    <w:name w:val="Comment Subject Char"/>
    <w:basedOn w:val="CommentTextChar"/>
    <w:link w:val="CommentSubject"/>
    <w:uiPriority w:val="99"/>
    <w:semiHidden/>
    <w:rsid w:val="009A69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938945420">
      <w:bodyDiv w:val="1"/>
      <w:marLeft w:val="0"/>
      <w:marRight w:val="0"/>
      <w:marTop w:val="0"/>
      <w:marBottom w:val="0"/>
      <w:divBdr>
        <w:top w:val="none" w:sz="0" w:space="0" w:color="auto"/>
        <w:left w:val="none" w:sz="0" w:space="0" w:color="auto"/>
        <w:bottom w:val="none" w:sz="0" w:space="0" w:color="auto"/>
        <w:right w:val="none" w:sz="0" w:space="0" w:color="auto"/>
      </w:divBdr>
      <w:divsChild>
        <w:div w:id="452596839">
          <w:marLeft w:val="0"/>
          <w:marRight w:val="0"/>
          <w:marTop w:val="0"/>
          <w:marBottom w:val="0"/>
          <w:divBdr>
            <w:top w:val="none" w:sz="0" w:space="0" w:color="auto"/>
            <w:left w:val="none" w:sz="0" w:space="0" w:color="auto"/>
            <w:bottom w:val="none" w:sz="0" w:space="0" w:color="auto"/>
            <w:right w:val="none" w:sz="0" w:space="0" w:color="auto"/>
          </w:divBdr>
          <w:divsChild>
            <w:div w:id="1648894762">
              <w:marLeft w:val="0"/>
              <w:marRight w:val="0"/>
              <w:marTop w:val="0"/>
              <w:marBottom w:val="0"/>
              <w:divBdr>
                <w:top w:val="none" w:sz="0" w:space="0" w:color="auto"/>
                <w:left w:val="none" w:sz="0" w:space="0" w:color="auto"/>
                <w:bottom w:val="none" w:sz="0" w:space="0" w:color="auto"/>
                <w:right w:val="none" w:sz="0" w:space="0" w:color="auto"/>
              </w:divBdr>
              <w:divsChild>
                <w:div w:id="518203013">
                  <w:marLeft w:val="0"/>
                  <w:marRight w:val="0"/>
                  <w:marTop w:val="0"/>
                  <w:marBottom w:val="0"/>
                  <w:divBdr>
                    <w:top w:val="none" w:sz="0" w:space="0" w:color="auto"/>
                    <w:left w:val="none" w:sz="0" w:space="0" w:color="auto"/>
                    <w:bottom w:val="none" w:sz="0" w:space="0" w:color="auto"/>
                    <w:right w:val="none" w:sz="0" w:space="0" w:color="auto"/>
                  </w:divBdr>
                  <w:divsChild>
                    <w:div w:id="1617909186">
                      <w:marLeft w:val="0"/>
                      <w:marRight w:val="0"/>
                      <w:marTop w:val="0"/>
                      <w:marBottom w:val="0"/>
                      <w:divBdr>
                        <w:top w:val="none" w:sz="0" w:space="0" w:color="auto"/>
                        <w:left w:val="none" w:sz="0" w:space="0" w:color="auto"/>
                        <w:bottom w:val="none" w:sz="0" w:space="0" w:color="auto"/>
                        <w:right w:val="none" w:sz="0" w:space="0" w:color="auto"/>
                      </w:divBdr>
                      <w:divsChild>
                        <w:div w:id="1118447901">
                          <w:marLeft w:val="0"/>
                          <w:marRight w:val="0"/>
                          <w:marTop w:val="0"/>
                          <w:marBottom w:val="0"/>
                          <w:divBdr>
                            <w:top w:val="none" w:sz="0" w:space="0" w:color="auto"/>
                            <w:left w:val="none" w:sz="0" w:space="0" w:color="auto"/>
                            <w:bottom w:val="none" w:sz="0" w:space="0" w:color="auto"/>
                            <w:right w:val="none" w:sz="0" w:space="0" w:color="auto"/>
                          </w:divBdr>
                          <w:divsChild>
                            <w:div w:id="17435697">
                              <w:marLeft w:val="0"/>
                              <w:marRight w:val="0"/>
                              <w:marTop w:val="0"/>
                              <w:marBottom w:val="0"/>
                              <w:divBdr>
                                <w:top w:val="none" w:sz="0" w:space="0" w:color="auto"/>
                                <w:left w:val="none" w:sz="0" w:space="0" w:color="auto"/>
                                <w:bottom w:val="none" w:sz="0" w:space="0" w:color="auto"/>
                                <w:right w:val="none" w:sz="0" w:space="0" w:color="auto"/>
                              </w:divBdr>
                              <w:divsChild>
                                <w:div w:id="518854414">
                                  <w:marLeft w:val="0"/>
                                  <w:marRight w:val="0"/>
                                  <w:marTop w:val="0"/>
                                  <w:marBottom w:val="0"/>
                                  <w:divBdr>
                                    <w:top w:val="none" w:sz="0" w:space="0" w:color="auto"/>
                                    <w:left w:val="none" w:sz="0" w:space="0" w:color="auto"/>
                                    <w:bottom w:val="none" w:sz="0" w:space="0" w:color="auto"/>
                                    <w:right w:val="none" w:sz="0" w:space="0" w:color="auto"/>
                                  </w:divBdr>
                                  <w:divsChild>
                                    <w:div w:id="1207178385">
                                      <w:marLeft w:val="0"/>
                                      <w:marRight w:val="0"/>
                                      <w:marTop w:val="0"/>
                                      <w:marBottom w:val="0"/>
                                      <w:divBdr>
                                        <w:top w:val="none" w:sz="0" w:space="0" w:color="auto"/>
                                        <w:left w:val="none" w:sz="0" w:space="0" w:color="auto"/>
                                        <w:bottom w:val="none" w:sz="0" w:space="0" w:color="auto"/>
                                        <w:right w:val="none" w:sz="0" w:space="0" w:color="auto"/>
                                      </w:divBdr>
                                      <w:divsChild>
                                        <w:div w:id="10645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887475">
      <w:bodyDiv w:val="1"/>
      <w:marLeft w:val="0"/>
      <w:marRight w:val="0"/>
      <w:marTop w:val="0"/>
      <w:marBottom w:val="0"/>
      <w:divBdr>
        <w:top w:val="none" w:sz="0" w:space="0" w:color="auto"/>
        <w:left w:val="none" w:sz="0" w:space="0" w:color="auto"/>
        <w:bottom w:val="none" w:sz="0" w:space="0" w:color="auto"/>
        <w:right w:val="none" w:sz="0" w:space="0" w:color="auto"/>
      </w:divBdr>
      <w:divsChild>
        <w:div w:id="1041053982">
          <w:marLeft w:val="0"/>
          <w:marRight w:val="0"/>
          <w:marTop w:val="0"/>
          <w:marBottom w:val="0"/>
          <w:divBdr>
            <w:top w:val="none" w:sz="0" w:space="0" w:color="auto"/>
            <w:left w:val="none" w:sz="0" w:space="0" w:color="auto"/>
            <w:bottom w:val="none" w:sz="0" w:space="0" w:color="auto"/>
            <w:right w:val="none" w:sz="0" w:space="0" w:color="auto"/>
          </w:divBdr>
          <w:divsChild>
            <w:div w:id="1348632226">
              <w:marLeft w:val="0"/>
              <w:marRight w:val="0"/>
              <w:marTop w:val="0"/>
              <w:marBottom w:val="0"/>
              <w:divBdr>
                <w:top w:val="none" w:sz="0" w:space="0" w:color="auto"/>
                <w:left w:val="none" w:sz="0" w:space="0" w:color="auto"/>
                <w:bottom w:val="none" w:sz="0" w:space="0" w:color="auto"/>
                <w:right w:val="none" w:sz="0" w:space="0" w:color="auto"/>
              </w:divBdr>
              <w:divsChild>
                <w:div w:id="1424573216">
                  <w:marLeft w:val="0"/>
                  <w:marRight w:val="0"/>
                  <w:marTop w:val="0"/>
                  <w:marBottom w:val="0"/>
                  <w:divBdr>
                    <w:top w:val="none" w:sz="0" w:space="0" w:color="auto"/>
                    <w:left w:val="none" w:sz="0" w:space="0" w:color="auto"/>
                    <w:bottom w:val="none" w:sz="0" w:space="0" w:color="auto"/>
                    <w:right w:val="none" w:sz="0" w:space="0" w:color="auto"/>
                  </w:divBdr>
                  <w:divsChild>
                    <w:div w:id="1179126086">
                      <w:marLeft w:val="0"/>
                      <w:marRight w:val="0"/>
                      <w:marTop w:val="0"/>
                      <w:marBottom w:val="0"/>
                      <w:divBdr>
                        <w:top w:val="none" w:sz="0" w:space="0" w:color="auto"/>
                        <w:left w:val="none" w:sz="0" w:space="0" w:color="auto"/>
                        <w:bottom w:val="none" w:sz="0" w:space="0" w:color="auto"/>
                        <w:right w:val="none" w:sz="0" w:space="0" w:color="auto"/>
                      </w:divBdr>
                      <w:divsChild>
                        <w:div w:id="973289221">
                          <w:marLeft w:val="0"/>
                          <w:marRight w:val="0"/>
                          <w:marTop w:val="0"/>
                          <w:marBottom w:val="0"/>
                          <w:divBdr>
                            <w:top w:val="none" w:sz="0" w:space="0" w:color="auto"/>
                            <w:left w:val="none" w:sz="0" w:space="0" w:color="auto"/>
                            <w:bottom w:val="none" w:sz="0" w:space="0" w:color="auto"/>
                            <w:right w:val="none" w:sz="0" w:space="0" w:color="auto"/>
                          </w:divBdr>
                          <w:divsChild>
                            <w:div w:id="108202850">
                              <w:marLeft w:val="0"/>
                              <w:marRight w:val="0"/>
                              <w:marTop w:val="0"/>
                              <w:marBottom w:val="0"/>
                              <w:divBdr>
                                <w:top w:val="none" w:sz="0" w:space="0" w:color="auto"/>
                                <w:left w:val="none" w:sz="0" w:space="0" w:color="auto"/>
                                <w:bottom w:val="none" w:sz="0" w:space="0" w:color="auto"/>
                                <w:right w:val="none" w:sz="0" w:space="0" w:color="auto"/>
                              </w:divBdr>
                              <w:divsChild>
                                <w:div w:id="1638298392">
                                  <w:marLeft w:val="0"/>
                                  <w:marRight w:val="0"/>
                                  <w:marTop w:val="0"/>
                                  <w:marBottom w:val="0"/>
                                  <w:divBdr>
                                    <w:top w:val="none" w:sz="0" w:space="0" w:color="auto"/>
                                    <w:left w:val="none" w:sz="0" w:space="0" w:color="auto"/>
                                    <w:bottom w:val="none" w:sz="0" w:space="0" w:color="auto"/>
                                    <w:right w:val="none" w:sz="0" w:space="0" w:color="auto"/>
                                  </w:divBdr>
                                  <w:divsChild>
                                    <w:div w:id="569660928">
                                      <w:marLeft w:val="0"/>
                                      <w:marRight w:val="0"/>
                                      <w:marTop w:val="0"/>
                                      <w:marBottom w:val="0"/>
                                      <w:divBdr>
                                        <w:top w:val="none" w:sz="0" w:space="0" w:color="auto"/>
                                        <w:left w:val="none" w:sz="0" w:space="0" w:color="auto"/>
                                        <w:bottom w:val="none" w:sz="0" w:space="0" w:color="auto"/>
                                        <w:right w:val="none" w:sz="0" w:space="0" w:color="auto"/>
                                      </w:divBdr>
                                      <w:divsChild>
                                        <w:div w:id="21259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9160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restraint-seclusion/polic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legislation.vic.gov.au/in-force/statutory-rules/education-and-training-reform-regulations-2017/00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sensory-rooms/policy"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s://www.education.vic.gov.au/parents/going-to-school/Pages/school-complaint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2.education.vic.gov.au/pal/restraint-seclusion/policy"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Arial"/>
        <a:font script="Jpan" typeface="ＭＳ Ｐゴシック"/>
        <a:font script="Hang" typeface="굴림"/>
        <a:font script="Hans" typeface="黑体"/>
        <a:font script="Hant" typeface="微軟正黑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Arial"/>
        <a:font script="Jpan" typeface="ＭＳ Ｐゴシック"/>
        <a:font script="Hang" typeface="굴림"/>
        <a:font script="Hans" typeface="黑体"/>
        <a:font script="Hant" typeface="微軟正黑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290</Topic>
    <Expired xmlns="bb5ce4db-eb21-467d-b968-528655912a38">false</Expired>
  </documentManagement>
</p:properties>
</file>

<file path=customXml/itemProps1.xml><?xml version="1.0" encoding="utf-8"?>
<ds:datastoreItem xmlns:ds="http://schemas.openxmlformats.org/officeDocument/2006/customXml" ds:itemID="{EEEE6EEF-638A-4ACE-BF7A-8736FEEB51C2}">
  <ds:schemaRefs>
    <ds:schemaRef ds:uri="http://schemas.openxmlformats.org/officeDocument/2006/bibliography"/>
  </ds:schemaRefs>
</ds:datastoreItem>
</file>

<file path=customXml/itemProps2.xml><?xml version="1.0" encoding="utf-8"?>
<ds:datastoreItem xmlns:ds="http://schemas.openxmlformats.org/officeDocument/2006/customXml" ds:itemID="{781FFA24-2998-4A29-BCD5-8A609E1DD6B5}"/>
</file>

<file path=customXml/itemProps3.xml><?xml version="1.0" encoding="utf-8"?>
<ds:datastoreItem xmlns:ds="http://schemas.openxmlformats.org/officeDocument/2006/customXml" ds:itemID="{A68AD950-E1EE-42BC-B6DF-6FB5FDB2ACA2}"/>
</file>

<file path=customXml/itemProps4.xml><?xml version="1.0" encoding="utf-8"?>
<ds:datastoreItem xmlns:ds="http://schemas.openxmlformats.org/officeDocument/2006/customXml" ds:itemID="{7C2CF958-7E54-44D4-9A35-882179DADAF0}"/>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2021-06-08T05:32:00Z</dcterms:created>
  <dcterms:modified xsi:type="dcterms:W3CDTF">2021-06-17T01:28:00Z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