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6C0CA422" w:rsidR="00624A55" w:rsidRPr="008F3D35" w:rsidRDefault="008E4DE4" w:rsidP="008F3D35">
      <w:pPr>
        <w:pStyle w:val="Heading1"/>
      </w:pPr>
      <w:r>
        <w:rPr>
          <w:lang w:val="en-AU"/>
        </w:rPr>
        <w:t>Outside School Hours Care</w:t>
      </w:r>
      <w:r w:rsidR="001A61D1">
        <w:rPr>
          <w:lang w:val="en-AU"/>
        </w:rPr>
        <w:t xml:space="preserve"> (OSHC)</w:t>
      </w:r>
      <w:r>
        <w:rPr>
          <w:lang w:val="en-AU"/>
        </w:rPr>
        <w:t xml:space="preserve"> Establishment Grants Initiative</w:t>
      </w:r>
    </w:p>
    <w:p w14:paraId="7D101E54" w14:textId="60309AB4" w:rsidR="00624A55" w:rsidRPr="00624A55" w:rsidRDefault="008E4DE4" w:rsidP="00624A55">
      <w:pPr>
        <w:pStyle w:val="Intro"/>
      </w:pPr>
      <w:r>
        <w:t>Information for cluster partner schools</w:t>
      </w:r>
    </w:p>
    <w:p w14:paraId="7C8F1769" w14:textId="2CA69999" w:rsidR="5BD566C5" w:rsidRPr="00AE6926" w:rsidRDefault="5BD566C5" w:rsidP="42E5FB60">
      <w:pPr>
        <w:pStyle w:val="Intro"/>
        <w:rPr>
          <w:b w:val="0"/>
          <w:color w:val="auto"/>
          <w:sz w:val="22"/>
        </w:rPr>
      </w:pPr>
      <w:r w:rsidRPr="00AE6926">
        <w:rPr>
          <w:b w:val="0"/>
          <w:color w:val="auto"/>
          <w:sz w:val="22"/>
        </w:rPr>
        <w:t xml:space="preserve">The OSHC </w:t>
      </w:r>
      <w:r w:rsidR="00393E28">
        <w:rPr>
          <w:b w:val="0"/>
          <w:color w:val="auto"/>
          <w:sz w:val="22"/>
        </w:rPr>
        <w:t xml:space="preserve">Establishment </w:t>
      </w:r>
      <w:r w:rsidRPr="00AE6926">
        <w:rPr>
          <w:b w:val="0"/>
          <w:color w:val="auto"/>
          <w:sz w:val="22"/>
        </w:rPr>
        <w:t>Grants Initiative</w:t>
      </w:r>
      <w:r w:rsidR="00393E28">
        <w:rPr>
          <w:b w:val="0"/>
          <w:color w:val="auto"/>
          <w:sz w:val="22"/>
        </w:rPr>
        <w:t xml:space="preserve"> </w:t>
      </w:r>
      <w:r w:rsidR="00CE3D90">
        <w:rPr>
          <w:b w:val="0"/>
          <w:color w:val="auto"/>
          <w:sz w:val="22"/>
        </w:rPr>
        <w:t>will support up to 400 schools that do not currently offer an OSHC service t</w:t>
      </w:r>
      <w:r w:rsidR="00D40379">
        <w:rPr>
          <w:b w:val="0"/>
          <w:color w:val="auto"/>
          <w:sz w:val="22"/>
        </w:rPr>
        <w:t>o provide access to one for their students</w:t>
      </w:r>
      <w:r w:rsidR="00666871">
        <w:rPr>
          <w:b w:val="0"/>
          <w:color w:val="auto"/>
          <w:sz w:val="22"/>
        </w:rPr>
        <w:t xml:space="preserve"> and families</w:t>
      </w:r>
      <w:r w:rsidR="00D40379">
        <w:rPr>
          <w:b w:val="0"/>
          <w:color w:val="auto"/>
          <w:sz w:val="22"/>
        </w:rPr>
        <w:t>.</w:t>
      </w:r>
      <w:r w:rsidR="00641AA0">
        <w:rPr>
          <w:b w:val="0"/>
          <w:color w:val="auto"/>
          <w:sz w:val="22"/>
        </w:rPr>
        <w:t xml:space="preserve"> Lead schools have been provided with a comprehensive guidance document to support</w:t>
      </w:r>
      <w:r w:rsidR="00491FFF">
        <w:rPr>
          <w:b w:val="0"/>
          <w:color w:val="auto"/>
          <w:sz w:val="22"/>
        </w:rPr>
        <w:t xml:space="preserve"> them in taking the steps to establish a service. </w:t>
      </w:r>
      <w:hyperlink r:id="rId11" w:history="1">
        <w:r w:rsidR="00491FFF" w:rsidRPr="007C7E02">
          <w:rPr>
            <w:rStyle w:val="Hyperlink"/>
            <w:b w:val="0"/>
            <w:sz w:val="22"/>
          </w:rPr>
          <w:t>Supporting documentatio</w:t>
        </w:r>
        <w:r w:rsidR="00792F34">
          <w:rPr>
            <w:rStyle w:val="Hyperlink"/>
            <w:b w:val="0"/>
            <w:sz w:val="22"/>
          </w:rPr>
          <w:t>n for lead schools</w:t>
        </w:r>
      </w:hyperlink>
      <w:r w:rsidR="007C7E02">
        <w:rPr>
          <w:b w:val="0"/>
          <w:color w:val="auto"/>
          <w:sz w:val="22"/>
        </w:rPr>
        <w:t xml:space="preserve">, as well as </w:t>
      </w:r>
      <w:hyperlink r:id="rId12" w:history="1">
        <w:r w:rsidR="007C7E02" w:rsidRPr="007D28F4">
          <w:rPr>
            <w:rStyle w:val="Hyperlink"/>
            <w:b w:val="0"/>
            <w:sz w:val="22"/>
          </w:rPr>
          <w:t>general information</w:t>
        </w:r>
        <w:r w:rsidR="007D28F4" w:rsidRPr="007D28F4">
          <w:rPr>
            <w:rStyle w:val="Hyperlink"/>
            <w:b w:val="0"/>
            <w:sz w:val="22"/>
          </w:rPr>
          <w:t xml:space="preserve"> about the </w:t>
        </w:r>
        <w:r w:rsidR="00792F34">
          <w:rPr>
            <w:rStyle w:val="Hyperlink"/>
            <w:b w:val="0"/>
            <w:sz w:val="22"/>
          </w:rPr>
          <w:t>OSHC Grants Initiative</w:t>
        </w:r>
      </w:hyperlink>
      <w:r w:rsidR="007C7E02">
        <w:rPr>
          <w:b w:val="0"/>
          <w:color w:val="auto"/>
          <w:sz w:val="22"/>
        </w:rPr>
        <w:t>,</w:t>
      </w:r>
      <w:r w:rsidR="00491FFF">
        <w:rPr>
          <w:b w:val="0"/>
          <w:color w:val="auto"/>
          <w:sz w:val="22"/>
        </w:rPr>
        <w:t xml:space="preserve"> </w:t>
      </w:r>
      <w:r w:rsidR="007C7E02">
        <w:rPr>
          <w:b w:val="0"/>
          <w:color w:val="auto"/>
          <w:sz w:val="22"/>
        </w:rPr>
        <w:t>are</w:t>
      </w:r>
      <w:r w:rsidR="00491FFF">
        <w:rPr>
          <w:b w:val="0"/>
          <w:color w:val="auto"/>
          <w:sz w:val="22"/>
        </w:rPr>
        <w:t xml:space="preserve"> </w:t>
      </w:r>
      <w:r w:rsidR="00792F34">
        <w:rPr>
          <w:b w:val="0"/>
          <w:color w:val="auto"/>
          <w:sz w:val="22"/>
        </w:rPr>
        <w:t xml:space="preserve">both </w:t>
      </w:r>
      <w:r w:rsidR="00491FFF">
        <w:rPr>
          <w:b w:val="0"/>
          <w:color w:val="auto"/>
          <w:sz w:val="22"/>
        </w:rPr>
        <w:t xml:space="preserve">available on the </w:t>
      </w:r>
      <w:r w:rsidR="00491FFF" w:rsidRPr="008A2473">
        <w:rPr>
          <w:b w:val="0"/>
          <w:color w:val="auto"/>
          <w:sz w:val="22"/>
        </w:rPr>
        <w:t>Policy and Advisory Library</w:t>
      </w:r>
      <w:r w:rsidR="00491FFF">
        <w:rPr>
          <w:b w:val="0"/>
          <w:color w:val="auto"/>
          <w:sz w:val="22"/>
        </w:rPr>
        <w:t>.</w:t>
      </w:r>
    </w:p>
    <w:p w14:paraId="368BB2F0" w14:textId="4642DFDC" w:rsidR="00624A55" w:rsidRPr="008E4DE4" w:rsidRDefault="008E4DE4" w:rsidP="00624A55">
      <w:pPr>
        <w:pStyle w:val="Heading3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What is a cluster arrangement?</w:t>
      </w:r>
    </w:p>
    <w:p w14:paraId="2FF672E2" w14:textId="2FDAD69D" w:rsidR="008E4DE4" w:rsidRDefault="008E4DE4" w:rsidP="00624A55">
      <w:pPr>
        <w:rPr>
          <w:lang w:val="en-AU"/>
        </w:rPr>
      </w:pPr>
      <w:r w:rsidRPr="008E4DE4">
        <w:rPr>
          <w:lang w:val="en-AU"/>
        </w:rPr>
        <w:t xml:space="preserve">Under the </w:t>
      </w:r>
      <w:r w:rsidR="00666871" w:rsidRPr="00AE6926">
        <w:t xml:space="preserve">OSHC </w:t>
      </w:r>
      <w:r w:rsidR="00666871">
        <w:t xml:space="preserve">Establishment </w:t>
      </w:r>
      <w:r w:rsidRPr="008E4DE4">
        <w:rPr>
          <w:lang w:val="en-AU"/>
        </w:rPr>
        <w:t>Grants initiative, a government school is eligible for up to $75,000 to establish an OSHC service</w:t>
      </w:r>
      <w:r w:rsidR="00EF2D61">
        <w:rPr>
          <w:lang w:val="en-AU"/>
        </w:rPr>
        <w:t xml:space="preserve"> on a school site that does not currently offer OSHC</w:t>
      </w:r>
      <w:r w:rsidRPr="008E4DE4">
        <w:rPr>
          <w:lang w:val="en-AU"/>
        </w:rPr>
        <w:t xml:space="preserve">. If a school decides to partner with other </w:t>
      </w:r>
      <w:r w:rsidR="236A5948" w:rsidRPr="5F92C9F6">
        <w:rPr>
          <w:lang w:val="en-AU"/>
        </w:rPr>
        <w:t xml:space="preserve">government </w:t>
      </w:r>
      <w:r w:rsidRPr="008E4DE4">
        <w:rPr>
          <w:lang w:val="en-AU"/>
        </w:rPr>
        <w:t>school</w:t>
      </w:r>
      <w:r w:rsidR="00EF2D61">
        <w:rPr>
          <w:lang w:val="en-AU"/>
        </w:rPr>
        <w:t>s</w:t>
      </w:r>
      <w:r w:rsidRPr="008E4DE4">
        <w:rPr>
          <w:lang w:val="en-AU"/>
        </w:rPr>
        <w:t xml:space="preserve"> to establish a service that would be used by multiple schools, the </w:t>
      </w:r>
      <w:r w:rsidR="00911C55">
        <w:rPr>
          <w:lang w:val="en-AU"/>
        </w:rPr>
        <w:t xml:space="preserve">grant cap </w:t>
      </w:r>
      <w:r w:rsidRPr="008E4DE4">
        <w:rPr>
          <w:lang w:val="en-AU"/>
        </w:rPr>
        <w:t>amount is $</w:t>
      </w:r>
      <w:r w:rsidR="00EF2D61">
        <w:rPr>
          <w:lang w:val="en-AU"/>
        </w:rPr>
        <w:t>75</w:t>
      </w:r>
      <w:r w:rsidRPr="008E4DE4">
        <w:rPr>
          <w:lang w:val="en-AU"/>
        </w:rPr>
        <w:t>,000</w:t>
      </w:r>
      <w:r w:rsidR="00EF2D61">
        <w:rPr>
          <w:lang w:val="en-AU"/>
        </w:rPr>
        <w:t xml:space="preserve"> multiplied by the number of school sites/campuses that will gain access to OSHC</w:t>
      </w:r>
      <w:r w:rsidRPr="008E4DE4">
        <w:rPr>
          <w:lang w:val="en-AU"/>
        </w:rPr>
        <w:t xml:space="preserve">. </w:t>
      </w:r>
    </w:p>
    <w:p w14:paraId="7921D6A4" w14:textId="77777777" w:rsidR="00ED3CEE" w:rsidRDefault="008E4DE4" w:rsidP="00624A55">
      <w:pPr>
        <w:rPr>
          <w:lang w:val="en-AU"/>
        </w:rPr>
      </w:pPr>
      <w:r w:rsidRPr="008E4DE4">
        <w:rPr>
          <w:lang w:val="en-AU"/>
        </w:rPr>
        <w:t>The lead school</w:t>
      </w:r>
      <w:r w:rsidR="007170E9">
        <w:rPr>
          <w:lang w:val="en-AU"/>
        </w:rPr>
        <w:t>, who submits the application,</w:t>
      </w:r>
      <w:r w:rsidRPr="008E4DE4">
        <w:rPr>
          <w:lang w:val="en-AU"/>
        </w:rPr>
        <w:t xml:space="preserve"> will receive the funding to establish the service. </w:t>
      </w:r>
      <w:r w:rsidR="00ED3CEE">
        <w:rPr>
          <w:lang w:val="en-AU"/>
        </w:rPr>
        <w:t>Partner schools should supply a document showing that they agree to be part of the cluster for the application, such as a signed letter on school letterhead.</w:t>
      </w:r>
    </w:p>
    <w:p w14:paraId="16DDB9A8" w14:textId="07D0247C" w:rsidR="00624A55" w:rsidRDefault="008E4DE4" w:rsidP="5F92C9F6">
      <w:pPr>
        <w:rPr>
          <w:lang w:val="en-AU"/>
        </w:rPr>
      </w:pPr>
      <w:r w:rsidRPr="008E4DE4">
        <w:rPr>
          <w:lang w:val="en-AU"/>
        </w:rPr>
        <w:t xml:space="preserve">Lead and partner schools will discuss expenses required to run the service and facilitate access for all children (such as for transport), </w:t>
      </w:r>
      <w:r w:rsidR="282F0522" w:rsidRPr="5F92C9F6">
        <w:rPr>
          <w:lang w:val="en-AU"/>
        </w:rPr>
        <w:t>the location of the service, governance arrangements (such as being on an OSHC subcommittee)</w:t>
      </w:r>
      <w:r w:rsidR="49CF8D55" w:rsidRPr="5F92C9F6">
        <w:rPr>
          <w:lang w:val="en-AU"/>
        </w:rPr>
        <w:t>. If a third party provider</w:t>
      </w:r>
      <w:r w:rsidRPr="008E4DE4">
        <w:rPr>
          <w:lang w:val="en-AU"/>
        </w:rPr>
        <w:t xml:space="preserve"> </w:t>
      </w:r>
      <w:r w:rsidR="49CF8D55" w:rsidRPr="5F92C9F6">
        <w:rPr>
          <w:lang w:val="en-AU"/>
        </w:rPr>
        <w:t>operate</w:t>
      </w:r>
      <w:r w:rsidR="00666871">
        <w:rPr>
          <w:lang w:val="en-AU"/>
        </w:rPr>
        <w:t>s</w:t>
      </w:r>
      <w:r w:rsidR="49CF8D55" w:rsidRPr="5F92C9F6">
        <w:rPr>
          <w:lang w:val="en-AU"/>
        </w:rPr>
        <w:t xml:space="preserve"> the service, all schools in the cluster should participate in the </w:t>
      </w:r>
      <w:r w:rsidR="00642EF4">
        <w:rPr>
          <w:lang w:val="en-AU"/>
        </w:rPr>
        <w:t>E</w:t>
      </w:r>
      <w:r w:rsidR="003116F5">
        <w:rPr>
          <w:lang w:val="en-AU"/>
        </w:rPr>
        <w:t xml:space="preserve">xpression of Interest </w:t>
      </w:r>
      <w:r w:rsidR="49CF8D55" w:rsidRPr="5F92C9F6">
        <w:rPr>
          <w:lang w:val="en-AU"/>
        </w:rPr>
        <w:t>process to select the provider.</w:t>
      </w:r>
    </w:p>
    <w:p w14:paraId="1930426E" w14:textId="0034940E" w:rsidR="00624A55" w:rsidRDefault="49CF8D55" w:rsidP="00624A55">
      <w:pPr>
        <w:rPr>
          <w:lang w:val="en-AU"/>
        </w:rPr>
      </w:pPr>
      <w:r w:rsidRPr="5F92C9F6">
        <w:rPr>
          <w:lang w:val="en-AU"/>
        </w:rPr>
        <w:t>The</w:t>
      </w:r>
      <w:r w:rsidR="008E4DE4" w:rsidRPr="5F92C9F6">
        <w:rPr>
          <w:lang w:val="en-AU"/>
        </w:rPr>
        <w:t xml:space="preserve"> lead school will </w:t>
      </w:r>
      <w:r w:rsidR="008E4DE4" w:rsidRPr="008E4DE4">
        <w:rPr>
          <w:lang w:val="en-AU"/>
        </w:rPr>
        <w:t xml:space="preserve">reimburse partner schools for agreed expenses. </w:t>
      </w:r>
      <w:r w:rsidR="00ED3CEE">
        <w:rPr>
          <w:lang w:val="en-AU"/>
        </w:rPr>
        <w:t xml:space="preserve">The lead school is responsible for keeping track of </w:t>
      </w:r>
      <w:r w:rsidR="00C308E1">
        <w:rPr>
          <w:lang w:val="en-AU"/>
        </w:rPr>
        <w:t>the expenditure of grant funds and completing the acquittal process for the grant.</w:t>
      </w:r>
    </w:p>
    <w:p w14:paraId="7C209C06" w14:textId="744B966F" w:rsidR="00584327" w:rsidRDefault="00584327" w:rsidP="00624A55">
      <w:pPr>
        <w:rPr>
          <w:lang w:val="en-AU"/>
        </w:rPr>
      </w:pPr>
      <w:r>
        <w:rPr>
          <w:lang w:val="en-AU"/>
        </w:rPr>
        <w:t xml:space="preserve">Details of </w:t>
      </w:r>
      <w:r w:rsidR="00A71009">
        <w:rPr>
          <w:lang w:val="en-AU"/>
        </w:rPr>
        <w:t>the cluster arrangement can be captured in a mutually developed Memorandum of Understanding between the participating schools.</w:t>
      </w:r>
      <w:r w:rsidR="00FD5EC7">
        <w:rPr>
          <w:lang w:val="en-AU"/>
        </w:rPr>
        <w:t xml:space="preserve"> </w:t>
      </w:r>
      <w:r w:rsidR="00EF0A7B">
        <w:rPr>
          <w:lang w:val="en-AU"/>
        </w:rPr>
        <w:t>The MOU would include details of roles and responsibilities of each participating school</w:t>
      </w:r>
      <w:r w:rsidR="002A2B2F">
        <w:rPr>
          <w:lang w:val="en-AU"/>
        </w:rPr>
        <w:t>, which are outlined in the final section of this document.</w:t>
      </w:r>
      <w:r w:rsidR="00EF0A7B">
        <w:rPr>
          <w:lang w:val="en-AU"/>
        </w:rPr>
        <w:t xml:space="preserve"> </w:t>
      </w:r>
      <w:hyperlink r:id="rId13" w:history="1">
        <w:r w:rsidR="009E1CD2" w:rsidRPr="00A5015F">
          <w:rPr>
            <w:rStyle w:val="Hyperlink"/>
            <w:lang w:val="en-AU"/>
          </w:rPr>
          <w:t>A template MOU</w:t>
        </w:r>
      </w:hyperlink>
      <w:r w:rsidR="009E1CD2" w:rsidRPr="00A5015F">
        <w:rPr>
          <w:lang w:val="en-AU"/>
        </w:rPr>
        <w:t xml:space="preserve"> </w:t>
      </w:r>
      <w:r w:rsidR="00A5015F" w:rsidRPr="00A5015F">
        <w:rPr>
          <w:lang w:val="en-AU"/>
        </w:rPr>
        <w:t xml:space="preserve">is available for you to use. </w:t>
      </w:r>
    </w:p>
    <w:p w14:paraId="0317C6E8" w14:textId="3ED711D9" w:rsidR="001322FC" w:rsidRPr="008E4DE4" w:rsidRDefault="001322FC" w:rsidP="001322FC">
      <w:pPr>
        <w:pStyle w:val="Heading3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What are the benefits of a cluster arrangement?</w:t>
      </w:r>
    </w:p>
    <w:p w14:paraId="2CB83D3D" w14:textId="79680266" w:rsidR="00ED7CE0" w:rsidRDefault="00B948D3" w:rsidP="001322FC">
      <w:pPr>
        <w:pStyle w:val="ListParagraph"/>
        <w:numPr>
          <w:ilvl w:val="0"/>
          <w:numId w:val="19"/>
        </w:numPr>
      </w:pPr>
      <w:r>
        <w:t>A greater amount of funding is available for establishing the new service (</w:t>
      </w:r>
      <w:proofErr w:type="gramStart"/>
      <w:r w:rsidR="00EF2D61">
        <w:t>e.g.</w:t>
      </w:r>
      <w:proofErr w:type="gramEnd"/>
      <w:r w:rsidR="00EF2D61">
        <w:t xml:space="preserve"> </w:t>
      </w:r>
      <w:r w:rsidR="00772F29">
        <w:t xml:space="preserve">up to </w:t>
      </w:r>
      <w:r>
        <w:t xml:space="preserve">$150,000 </w:t>
      </w:r>
      <w:r w:rsidR="00EF2D61">
        <w:t>for two school sites, $225,000 for three school sites</w:t>
      </w:r>
      <w:r>
        <w:t>).</w:t>
      </w:r>
    </w:p>
    <w:p w14:paraId="1FB1CD25" w14:textId="568E21AC" w:rsidR="001322FC" w:rsidRDefault="008D7C73" w:rsidP="001322FC">
      <w:pPr>
        <w:pStyle w:val="ListParagraph"/>
        <w:numPr>
          <w:ilvl w:val="0"/>
          <w:numId w:val="19"/>
        </w:numPr>
      </w:pPr>
      <w:r>
        <w:t>A</w:t>
      </w:r>
      <w:r w:rsidR="001322FC">
        <w:t xml:space="preserve"> service that is used by more than one school</w:t>
      </w:r>
      <w:r>
        <w:t xml:space="preserve"> has</w:t>
      </w:r>
      <w:r w:rsidR="0023186A">
        <w:t xml:space="preserve"> an increased </w:t>
      </w:r>
      <w:r>
        <w:t>likelihood</w:t>
      </w:r>
      <w:r w:rsidR="0023186A">
        <w:t xml:space="preserve"> of </w:t>
      </w:r>
      <w:r w:rsidR="00012CE8">
        <w:t>the service</w:t>
      </w:r>
      <w:r w:rsidR="008906D4">
        <w:t xml:space="preserve"> gaining</w:t>
      </w:r>
      <w:r w:rsidR="003A55CA">
        <w:t xml:space="preserve"> sufficient enrolments to </w:t>
      </w:r>
      <w:r w:rsidR="00F134E5">
        <w:t>maintain</w:t>
      </w:r>
      <w:r w:rsidR="00012CE8">
        <w:t xml:space="preserve"> viab</w:t>
      </w:r>
      <w:r w:rsidR="00F134E5">
        <w:t>ility</w:t>
      </w:r>
      <w:r w:rsidR="0084213E">
        <w:t xml:space="preserve"> </w:t>
      </w:r>
      <w:r w:rsidR="00B03A37">
        <w:t>following the conclusion</w:t>
      </w:r>
      <w:r w:rsidR="004B366A">
        <w:t xml:space="preserve"> of the grant </w:t>
      </w:r>
      <w:r w:rsidR="00F134E5">
        <w:t>funding.</w:t>
      </w:r>
    </w:p>
    <w:p w14:paraId="41671D8E" w14:textId="79A0C98E" w:rsidR="000D314F" w:rsidRDefault="005E0358" w:rsidP="001322FC">
      <w:pPr>
        <w:pStyle w:val="ListParagraph"/>
        <w:numPr>
          <w:ilvl w:val="0"/>
          <w:numId w:val="19"/>
        </w:numPr>
      </w:pPr>
      <w:r>
        <w:t xml:space="preserve">The arrangement </w:t>
      </w:r>
      <w:r w:rsidR="00927E48">
        <w:t>provides an opportunity to</w:t>
      </w:r>
      <w:r>
        <w:t xml:space="preserve"> strengthen relationships between neighbouring schools</w:t>
      </w:r>
      <w:r w:rsidR="00927E48">
        <w:t xml:space="preserve">, their communities and the students who attend </w:t>
      </w:r>
      <w:r w:rsidR="00FF27E3">
        <w:t>the shared service.</w:t>
      </w:r>
    </w:p>
    <w:p w14:paraId="129CEAE4" w14:textId="149D5FEA" w:rsidR="000329FF" w:rsidRDefault="00A73651" w:rsidP="001322FC">
      <w:pPr>
        <w:pStyle w:val="ListParagraph"/>
        <w:numPr>
          <w:ilvl w:val="0"/>
          <w:numId w:val="19"/>
        </w:numPr>
      </w:pPr>
      <w:r>
        <w:t xml:space="preserve">Families will be able to access high quality services at the best facilities available </w:t>
      </w:r>
      <w:r w:rsidR="003E71E8">
        <w:t>across</w:t>
      </w:r>
      <w:r>
        <w:t xml:space="preserve"> the cluster</w:t>
      </w:r>
      <w:r w:rsidR="00880C62">
        <w:t>.</w:t>
      </w:r>
    </w:p>
    <w:p w14:paraId="1BBD7645" w14:textId="4DB1F4F6" w:rsidR="00B45B15" w:rsidRPr="001322FC" w:rsidRDefault="00A54994" w:rsidP="001322FC">
      <w:pPr>
        <w:pStyle w:val="ListParagraph"/>
        <w:numPr>
          <w:ilvl w:val="0"/>
          <w:numId w:val="19"/>
        </w:numPr>
      </w:pPr>
      <w:r>
        <w:t>The</w:t>
      </w:r>
      <w:r w:rsidR="000329FF">
        <w:t xml:space="preserve"> </w:t>
      </w:r>
      <w:r w:rsidR="00880C62">
        <w:t xml:space="preserve">administrative </w:t>
      </w:r>
      <w:r>
        <w:t xml:space="preserve">requirements associated </w:t>
      </w:r>
      <w:r w:rsidR="000329FF">
        <w:t>with setting up</w:t>
      </w:r>
      <w:r w:rsidR="003C42B1">
        <w:t xml:space="preserve"> and maintaining</w:t>
      </w:r>
      <w:r w:rsidR="000329FF">
        <w:t xml:space="preserve"> a</w:t>
      </w:r>
      <w:r w:rsidR="003C42B1">
        <w:t xml:space="preserve">n </w:t>
      </w:r>
      <w:r w:rsidR="000329FF">
        <w:t>OSHC</w:t>
      </w:r>
      <w:r w:rsidR="00CA2B58">
        <w:t xml:space="preserve"> service</w:t>
      </w:r>
      <w:r w:rsidR="000329FF">
        <w:t xml:space="preserve"> </w:t>
      </w:r>
      <w:r w:rsidR="003C42B1">
        <w:t>can be shared across the cluster schools.</w:t>
      </w:r>
    </w:p>
    <w:p w14:paraId="6B714828" w14:textId="5A400B42" w:rsidR="00624A55" w:rsidRPr="008E4DE4" w:rsidRDefault="008E4DE4" w:rsidP="008E4DE4">
      <w:pPr>
        <w:pStyle w:val="Heading3"/>
        <w:rPr>
          <w:sz w:val="32"/>
          <w:szCs w:val="32"/>
          <w:lang w:val="en-AU"/>
        </w:rPr>
      </w:pPr>
      <w:r w:rsidRPr="008E4DE4">
        <w:rPr>
          <w:sz w:val="32"/>
          <w:szCs w:val="32"/>
          <w:lang w:val="en-AU"/>
        </w:rPr>
        <w:lastRenderedPageBreak/>
        <w:t>What are your responsibilities if you are a cluster partner?</w:t>
      </w:r>
    </w:p>
    <w:p w14:paraId="11D06980" w14:textId="56896862" w:rsidR="0C1DA2F0" w:rsidRDefault="0C1DA2F0" w:rsidP="005212E4">
      <w:pPr>
        <w:pStyle w:val="ListParagraph"/>
        <w:numPr>
          <w:ilvl w:val="0"/>
          <w:numId w:val="18"/>
        </w:numPr>
        <w:ind w:left="357" w:hanging="357"/>
      </w:pPr>
      <w:r w:rsidRPr="5F92C9F6">
        <w:rPr>
          <w:b/>
          <w:bCs/>
        </w:rPr>
        <w:t>Support the lead school with their grant application</w:t>
      </w:r>
      <w:r>
        <w:t xml:space="preserve">. Information such as parent surveys of demand for OSHC will strengthen the application </w:t>
      </w:r>
      <w:r w:rsidR="00134D20">
        <w:t>for funding.</w:t>
      </w:r>
    </w:p>
    <w:p w14:paraId="04CBA227" w14:textId="1FD6CCFA" w:rsidR="008E4DE4" w:rsidRDefault="008E4DE4" w:rsidP="005212E4">
      <w:pPr>
        <w:pStyle w:val="ListParagraph"/>
        <w:numPr>
          <w:ilvl w:val="0"/>
          <w:numId w:val="18"/>
        </w:numPr>
        <w:ind w:left="357" w:hanging="357"/>
      </w:pPr>
      <w:r w:rsidRPr="00EC3827">
        <w:rPr>
          <w:b/>
          <w:bCs/>
        </w:rPr>
        <w:t xml:space="preserve">Promote the service to families. </w:t>
      </w:r>
      <w:r w:rsidR="009422C3">
        <w:t>Advertise</w:t>
      </w:r>
      <w:r w:rsidRPr="00713163">
        <w:t xml:space="preserve"> the service on your school’s website and in newsletters</w:t>
      </w:r>
      <w:r>
        <w:t>. Advise families of the arrangement when they enquire about enrolling at your school.</w:t>
      </w:r>
    </w:p>
    <w:p w14:paraId="6B726860" w14:textId="3B75EFE8" w:rsidR="002805E7" w:rsidRDefault="002805E7" w:rsidP="005212E4">
      <w:pPr>
        <w:pStyle w:val="ListParagraph"/>
        <w:numPr>
          <w:ilvl w:val="0"/>
          <w:numId w:val="18"/>
        </w:numPr>
        <w:ind w:left="357" w:hanging="357"/>
      </w:pPr>
      <w:r>
        <w:rPr>
          <w:b/>
          <w:bCs/>
        </w:rPr>
        <w:t xml:space="preserve">Help with the enrolment process. </w:t>
      </w:r>
      <w:r>
        <w:t>If parents have provided consent, the school can supply the OSHC service with copies of medical management plans, immunisation history and behaviour support</w:t>
      </w:r>
      <w:r w:rsidR="0002148B">
        <w:t xml:space="preserve"> plans, if relevant.</w:t>
      </w:r>
    </w:p>
    <w:p w14:paraId="13185AA2" w14:textId="5828F3BA" w:rsidR="008E4DE4" w:rsidRDefault="008E4DE4" w:rsidP="005212E4">
      <w:pPr>
        <w:pStyle w:val="ListParagraph"/>
        <w:numPr>
          <w:ilvl w:val="0"/>
          <w:numId w:val="18"/>
        </w:numPr>
        <w:ind w:left="357" w:hanging="357"/>
      </w:pPr>
      <w:r w:rsidRPr="00EC3827">
        <w:rPr>
          <w:b/>
          <w:bCs/>
        </w:rPr>
        <w:t>Keep details/evidence of expenditure.</w:t>
      </w:r>
      <w:r>
        <w:t xml:space="preserve"> If you spend money in support of the service, and this spending has been previously agreed to </w:t>
      </w:r>
      <w:r w:rsidR="006D5EFB">
        <w:t>with</w:t>
      </w:r>
      <w:r>
        <w:t xml:space="preserve"> the lead school, provide evidence to the lead school for reimbursement.</w:t>
      </w:r>
    </w:p>
    <w:p w14:paraId="2859AFA0" w14:textId="69BA712E" w:rsidR="008E4DE4" w:rsidRPr="007C710E" w:rsidRDefault="008E4DE4" w:rsidP="005212E4">
      <w:pPr>
        <w:pStyle w:val="ListParagraph"/>
        <w:numPr>
          <w:ilvl w:val="0"/>
          <w:numId w:val="18"/>
        </w:numPr>
        <w:ind w:left="357" w:hanging="357"/>
        <w:rPr>
          <w:b/>
          <w:bCs/>
        </w:rPr>
      </w:pPr>
      <w:r>
        <w:rPr>
          <w:b/>
          <w:bCs/>
        </w:rPr>
        <w:t>Take reasonable steps to facilitate access</w:t>
      </w:r>
      <w:r w:rsidR="000356B4">
        <w:rPr>
          <w:b/>
          <w:bCs/>
        </w:rPr>
        <w:t xml:space="preserve"> to</w:t>
      </w:r>
      <w:r>
        <w:rPr>
          <w:b/>
          <w:bCs/>
        </w:rPr>
        <w:t xml:space="preserve"> the OSHC</w:t>
      </w:r>
      <w:r w:rsidR="00C82752">
        <w:rPr>
          <w:b/>
          <w:bCs/>
        </w:rPr>
        <w:t xml:space="preserve"> servi</w:t>
      </w:r>
      <w:r w:rsidR="00DD0BB8">
        <w:rPr>
          <w:b/>
          <w:bCs/>
        </w:rPr>
        <w:t>c</w:t>
      </w:r>
      <w:r w:rsidR="00C82752">
        <w:rPr>
          <w:b/>
          <w:bCs/>
        </w:rPr>
        <w:t>e for your students</w:t>
      </w:r>
      <w:r>
        <w:rPr>
          <w:b/>
          <w:bCs/>
        </w:rPr>
        <w:t>.</w:t>
      </w:r>
      <w:r w:rsidR="00EA703A">
        <w:rPr>
          <w:b/>
          <w:bCs/>
        </w:rPr>
        <w:t xml:space="preserve"> </w:t>
      </w:r>
      <w:r w:rsidR="00EA703A">
        <w:t>This could include helping with access to transport</w:t>
      </w:r>
      <w:r w:rsidR="00976339">
        <w:t xml:space="preserve"> </w:t>
      </w:r>
      <w:r w:rsidR="00F76E9E">
        <w:t>or working collaboratively with the OSHC provider about last</w:t>
      </w:r>
      <w:r w:rsidR="00DD0BB8">
        <w:t>-</w:t>
      </w:r>
      <w:r w:rsidR="00F76E9E">
        <w:t>minute booking changes or absences.</w:t>
      </w:r>
    </w:p>
    <w:p w14:paraId="633D1204" w14:textId="37160075" w:rsidR="008E4DE4" w:rsidRDefault="008E4DE4" w:rsidP="005212E4">
      <w:pPr>
        <w:pStyle w:val="ListParagraph"/>
        <w:numPr>
          <w:ilvl w:val="0"/>
          <w:numId w:val="18"/>
        </w:numPr>
        <w:ind w:left="357" w:hanging="357"/>
      </w:pPr>
      <w:r>
        <w:rPr>
          <w:b/>
          <w:bCs/>
        </w:rPr>
        <w:t>Refer any complaints</w:t>
      </w:r>
      <w:r w:rsidR="003F794D">
        <w:rPr>
          <w:b/>
          <w:bCs/>
        </w:rPr>
        <w:t xml:space="preserve"> and feedback</w:t>
      </w:r>
      <w:r>
        <w:rPr>
          <w:b/>
          <w:bCs/>
        </w:rPr>
        <w:t xml:space="preserve"> to the </w:t>
      </w:r>
      <w:r w:rsidR="00EC40BE">
        <w:rPr>
          <w:b/>
          <w:bCs/>
        </w:rPr>
        <w:t>OSHC</w:t>
      </w:r>
      <w:r w:rsidR="00381339">
        <w:rPr>
          <w:b/>
          <w:bCs/>
        </w:rPr>
        <w:t xml:space="preserve"> </w:t>
      </w:r>
      <w:r>
        <w:rPr>
          <w:b/>
          <w:bCs/>
        </w:rPr>
        <w:t>provider</w:t>
      </w:r>
      <w:r>
        <w:t xml:space="preserve">. Whether the service is run by the other school’s council or a third party provider, </w:t>
      </w:r>
      <w:r w:rsidR="00DD0BB8">
        <w:t>they</w:t>
      </w:r>
      <w:r>
        <w:t xml:space="preserve"> need to be notified of any issues or complaints.</w:t>
      </w:r>
    </w:p>
    <w:p w14:paraId="4DD96F1D" w14:textId="4B665723" w:rsidR="00907C1B" w:rsidRDefault="00381339" w:rsidP="00907C1B">
      <w:pPr>
        <w:pStyle w:val="ListParagraph"/>
        <w:numPr>
          <w:ilvl w:val="0"/>
          <w:numId w:val="18"/>
        </w:numPr>
        <w:ind w:left="357" w:hanging="357"/>
      </w:pPr>
      <w:r w:rsidRPr="00386A10">
        <w:rPr>
          <w:b/>
          <w:bCs/>
        </w:rPr>
        <w:t>Co-operate with the lead school on evaluation/monitoring of the program.</w:t>
      </w:r>
      <w:r>
        <w:t xml:space="preserve"> </w:t>
      </w:r>
      <w:r w:rsidR="498DD0EF">
        <w:t>A cluster school should consider being part of ongoing governance arrangements for the service.</w:t>
      </w:r>
      <w:r w:rsidRPr="5F92C9F6">
        <w:rPr>
          <w:b/>
          <w:bCs/>
        </w:rPr>
        <w:t xml:space="preserve"> </w:t>
      </w:r>
      <w:r w:rsidRPr="003C348B">
        <w:t>If the lead school establishes a sub-committee</w:t>
      </w:r>
      <w:r>
        <w:t xml:space="preserve"> for the OSHC, your school </w:t>
      </w:r>
      <w:r w:rsidR="00986EF6">
        <w:t>should</w:t>
      </w:r>
      <w:r>
        <w:t xml:space="preserve"> be represented. Speak with families about their impression of the </w:t>
      </w:r>
      <w:r w:rsidR="00F21498">
        <w:t xml:space="preserve">quality of the </w:t>
      </w:r>
      <w:r>
        <w:t xml:space="preserve">service </w:t>
      </w:r>
      <w:r w:rsidR="00F21498">
        <w:t xml:space="preserve">and </w:t>
      </w:r>
      <w:r>
        <w:t xml:space="preserve">share this feedback with the lead school, and </w:t>
      </w:r>
      <w:r w:rsidR="00014534">
        <w:t>collectively with</w:t>
      </w:r>
      <w:r>
        <w:t xml:space="preserve"> the </w:t>
      </w:r>
      <w:r w:rsidR="00014534">
        <w:t>OSHC</w:t>
      </w:r>
      <w:r>
        <w:t xml:space="preserve"> provider.</w:t>
      </w:r>
    </w:p>
    <w:p w14:paraId="12A9ADB4" w14:textId="41EA3788" w:rsidR="00907C1B" w:rsidRDefault="001F7A3A" w:rsidP="00907C1B">
      <w:pPr>
        <w:rPr>
          <w:rFonts w:asciiTheme="majorHAnsi" w:eastAsiaTheme="majorEastAsia" w:hAnsiTheme="majorHAnsi" w:cstheme="majorBidi"/>
          <w:b/>
          <w:color w:val="E57100" w:themeColor="accent1"/>
          <w:sz w:val="32"/>
          <w:szCs w:val="32"/>
          <w:lang w:val="en-AU"/>
        </w:rPr>
      </w:pPr>
      <w:r>
        <w:rPr>
          <w:rFonts w:asciiTheme="majorHAnsi" w:eastAsiaTheme="majorEastAsia" w:hAnsiTheme="majorHAnsi" w:cstheme="majorBidi"/>
          <w:b/>
          <w:color w:val="E57100" w:themeColor="accent1"/>
          <w:sz w:val="32"/>
          <w:szCs w:val="32"/>
          <w:lang w:val="en-AU"/>
        </w:rPr>
        <w:t>Transport arrangements</w:t>
      </w:r>
    </w:p>
    <w:p w14:paraId="14048EAD" w14:textId="26EA6913" w:rsidR="006C3FAD" w:rsidRPr="00466D50" w:rsidRDefault="006C3FAD" w:rsidP="006C3FAD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6D50">
        <w:rPr>
          <w:rFonts w:asciiTheme="minorHAnsi" w:eastAsiaTheme="minorHAnsi" w:hAnsiTheme="minorHAnsi" w:cstheme="minorBidi"/>
          <w:sz w:val="22"/>
          <w:szCs w:val="22"/>
          <w:lang w:eastAsia="en-US"/>
        </w:rPr>
        <w:t>Please note that if you intend to purchase a vehicle such as a mini-bus to facilitate transport from one school to another, or from multiple schools to a central location, you must obtain the permission of the regional director.</w:t>
      </w:r>
      <w:r w:rsidR="00FA6DB6" w:rsidRPr="00466D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66D50">
        <w:rPr>
          <w:rFonts w:asciiTheme="minorHAnsi" w:eastAsiaTheme="minorHAnsi" w:hAnsiTheme="minorHAnsi" w:cstheme="minorBidi"/>
          <w:sz w:val="22"/>
          <w:szCs w:val="22"/>
          <w:lang w:eastAsia="en-US"/>
        </w:rPr>
        <w:t>We recommend that a purchased bus be no larger than a 12 seat vehicle.</w:t>
      </w:r>
      <w:r w:rsidR="00FA6DB6" w:rsidRPr="00466D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DE23C9F" w14:textId="049FCF12" w:rsidR="006C3FAD" w:rsidRPr="00466D50" w:rsidRDefault="006C3FAD" w:rsidP="006C3FA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466D50">
        <w:rPr>
          <w:rFonts w:asciiTheme="minorHAnsi" w:eastAsiaTheme="minorHAnsi" w:hAnsiTheme="minorHAnsi" w:cstheme="minorBidi"/>
          <w:sz w:val="22"/>
          <w:szCs w:val="22"/>
          <w:lang w:eastAsia="en-US"/>
        </w:rPr>
        <w:t>For further information, schools should contact the Student Transport Unit (FSB) on 03 9637 2200 or</w:t>
      </w:r>
      <w:r w:rsidRPr="00466D50">
        <w:rPr>
          <w:rFonts w:ascii="Arial" w:hAnsi="Arial" w:cs="Arial"/>
          <w:color w:val="333333"/>
          <w:sz w:val="22"/>
          <w:szCs w:val="22"/>
        </w:rPr>
        <w:t xml:space="preserve"> </w:t>
      </w:r>
      <w:hyperlink r:id="rId14" w:history="1">
        <w:r w:rsidRPr="00466D50">
          <w:rPr>
            <w:rStyle w:val="Hyperlink"/>
            <w:rFonts w:ascii="Arial" w:hAnsi="Arial" w:cs="Arial"/>
            <w:sz w:val="22"/>
            <w:szCs w:val="22"/>
          </w:rPr>
          <w:t>student.transport@education.vic.gov.au</w:t>
        </w:r>
      </w:hyperlink>
      <w:r w:rsidRPr="00466D50">
        <w:rPr>
          <w:rFonts w:ascii="Arial" w:hAnsi="Arial" w:cs="Arial"/>
          <w:color w:val="333333"/>
          <w:sz w:val="22"/>
          <w:szCs w:val="22"/>
        </w:rPr>
        <w:t>.</w:t>
      </w:r>
    </w:p>
    <w:p w14:paraId="149439DC" w14:textId="077746D1" w:rsidR="006C3FAD" w:rsidRPr="00466D50" w:rsidRDefault="00FA6DB6" w:rsidP="006C3FA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466D50">
        <w:rPr>
          <w:rFonts w:asciiTheme="minorHAnsi" w:eastAsiaTheme="minorHAnsi" w:hAnsiTheme="minorHAnsi" w:cstheme="minorBidi"/>
          <w:sz w:val="22"/>
          <w:szCs w:val="22"/>
          <w:lang w:eastAsia="en-US"/>
        </w:rPr>
        <w:t>Advice regarding buses and vehicles can be found on</w:t>
      </w:r>
      <w:r w:rsidRPr="00466D50">
        <w:rPr>
          <w:rFonts w:ascii="Arial" w:hAnsi="Arial" w:cs="Arial"/>
          <w:color w:val="333333"/>
          <w:sz w:val="22"/>
          <w:szCs w:val="22"/>
        </w:rPr>
        <w:t xml:space="preserve"> </w:t>
      </w:r>
      <w:hyperlink r:id="rId15" w:history="1">
        <w:r w:rsidRPr="00466D50">
          <w:rPr>
            <w:rStyle w:val="Hyperlink"/>
            <w:rFonts w:ascii="Arial" w:hAnsi="Arial" w:cs="Arial"/>
            <w:sz w:val="22"/>
            <w:szCs w:val="22"/>
          </w:rPr>
          <w:t>Policy and Advisory Library</w:t>
        </w:r>
      </w:hyperlink>
      <w:r w:rsidRPr="00466D50">
        <w:rPr>
          <w:rFonts w:ascii="Arial" w:hAnsi="Arial" w:cs="Arial"/>
          <w:color w:val="333333"/>
          <w:sz w:val="22"/>
          <w:szCs w:val="22"/>
        </w:rPr>
        <w:t>.</w:t>
      </w:r>
    </w:p>
    <w:p w14:paraId="6581B85E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3950F060" w14:textId="22553F0B" w:rsidR="00122369" w:rsidRPr="00E34721" w:rsidRDefault="0016287D" w:rsidP="007D40FC">
      <w:pPr>
        <w:pStyle w:val="Copyrighttext"/>
        <w:rPr>
          <w:rFonts w:cstheme="minorHAnsi"/>
        </w:rPr>
      </w:pPr>
      <w:r w:rsidRPr="001105FA">
        <w:t>© State of Victoria (Department of Education and Traini</w:t>
      </w:r>
      <w:r w:rsidRPr="006B104E">
        <w:t>ng)</w:t>
      </w:r>
      <w:r w:rsidR="00E77EB9" w:rsidRPr="006B104E">
        <w:t xml:space="preserve"> 20</w:t>
      </w:r>
      <w:r w:rsidR="00735566" w:rsidRPr="006B104E">
        <w:t>21</w:t>
      </w:r>
      <w:r w:rsidR="00E77EB9" w:rsidRPr="006B104E">
        <w:t>.</w:t>
      </w:r>
      <w:r w:rsidRPr="006B104E">
        <w:t xml:space="preserve"> </w:t>
      </w:r>
      <w:r w:rsidR="00E34721" w:rsidRPr="006B104E">
        <w:rPr>
          <w:rFonts w:cstheme="minorHAnsi"/>
          <w:color w:val="000000"/>
        </w:rPr>
        <w:t>Except</w:t>
      </w:r>
      <w:r w:rsidR="00E34721" w:rsidRPr="00E34721">
        <w:rPr>
          <w:rFonts w:cstheme="minorHAnsi"/>
          <w:color w:val="000000"/>
        </w:rPr>
        <w:t xml:space="preserve"> where otherwise </w:t>
      </w:r>
      <w:hyperlink r:id="rId16" w:history="1">
        <w:r w:rsidR="00E34721" w:rsidRPr="00E34721">
          <w:rPr>
            <w:rStyle w:val="Hyperlink"/>
            <w:rFonts w:cstheme="minorHAnsi"/>
          </w:rPr>
          <w:t>noted,</w:t>
        </w:r>
      </w:hyperlink>
      <w:r w:rsidR="00E34721" w:rsidRPr="00E34721">
        <w:rPr>
          <w:rFonts w:cstheme="minorHAnsi"/>
          <w:color w:val="000000"/>
        </w:rPr>
        <w:t xml:space="preserve"> material in this document is provided under a</w:t>
      </w:r>
      <w:r w:rsidR="007D40FC">
        <w:rPr>
          <w:rFonts w:cstheme="minorHAnsi"/>
          <w:color w:val="000000"/>
        </w:rPr>
        <w:t xml:space="preserve"> </w:t>
      </w:r>
      <w:hyperlink r:id="rId17" w:history="1">
        <w:r w:rsidR="00E34721" w:rsidRPr="00E34721">
          <w:rPr>
            <w:rStyle w:val="Hyperlink"/>
            <w:rFonts w:cstheme="minorHAnsi"/>
          </w:rPr>
          <w:t>Creative Commons Attribution 4.0 International</w:t>
        </w:r>
      </w:hyperlink>
      <w:r w:rsidR="00E34721" w:rsidRPr="00E34721">
        <w:rPr>
          <w:rFonts w:cstheme="minorHAnsi"/>
        </w:rPr>
        <w:t xml:space="preserve"> </w:t>
      </w:r>
      <w:r w:rsidR="00E34721" w:rsidRPr="00E34721">
        <w:rPr>
          <w:rFonts w:cstheme="minorHAnsi"/>
          <w:color w:val="000000"/>
        </w:rPr>
        <w:t>Please check the full </w:t>
      </w:r>
      <w:hyperlink r:id="rId18" w:history="1">
        <w:r w:rsidR="00E34721" w:rsidRPr="00E34721">
          <w:rPr>
            <w:rStyle w:val="Hyperlink"/>
            <w:rFonts w:cstheme="minorHAnsi"/>
          </w:rPr>
          <w:t>copyright notice </w:t>
        </w:r>
      </w:hyperlink>
    </w:p>
    <w:sectPr w:rsidR="00122369" w:rsidRPr="00E34721" w:rsidSect="006E2B9A">
      <w:headerReference w:type="default" r:id="rId19"/>
      <w:footerReference w:type="even" r:id="rId20"/>
      <w:footerReference w:type="default" r:id="rId21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A548" w14:textId="77777777" w:rsidR="00B738FC" w:rsidRDefault="00B738FC" w:rsidP="003967DD">
      <w:pPr>
        <w:spacing w:after="0"/>
      </w:pPr>
      <w:r>
        <w:separator/>
      </w:r>
    </w:p>
  </w:endnote>
  <w:endnote w:type="continuationSeparator" w:id="0">
    <w:p w14:paraId="6B03F2B3" w14:textId="77777777" w:rsidR="00B738FC" w:rsidRDefault="00B738FC" w:rsidP="003967DD">
      <w:pPr>
        <w:spacing w:after="0"/>
      </w:pPr>
      <w:r>
        <w:continuationSeparator/>
      </w:r>
    </w:p>
  </w:endnote>
  <w:endnote w:type="continuationNotice" w:id="1">
    <w:p w14:paraId="5E0464CD" w14:textId="77777777" w:rsidR="00B738FC" w:rsidRDefault="00B738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FF439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FF439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C2DF" w14:textId="77777777" w:rsidR="00B738FC" w:rsidRDefault="00B738FC" w:rsidP="003967DD">
      <w:pPr>
        <w:spacing w:after="0"/>
      </w:pPr>
      <w:r>
        <w:separator/>
      </w:r>
    </w:p>
  </w:footnote>
  <w:footnote w:type="continuationSeparator" w:id="0">
    <w:p w14:paraId="55E73118" w14:textId="77777777" w:rsidR="00B738FC" w:rsidRDefault="00B738FC" w:rsidP="003967DD">
      <w:pPr>
        <w:spacing w:after="0"/>
      </w:pPr>
      <w:r>
        <w:continuationSeparator/>
      </w:r>
    </w:p>
  </w:footnote>
  <w:footnote w:type="continuationNotice" w:id="1">
    <w:p w14:paraId="13B6EBBC" w14:textId="77777777" w:rsidR="00B738FC" w:rsidRDefault="00B738F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8E7E24"/>
    <w:multiLevelType w:val="hybridMultilevel"/>
    <w:tmpl w:val="0D664A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E2EA0"/>
    <w:multiLevelType w:val="hybridMultilevel"/>
    <w:tmpl w:val="C26664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009243">
    <w:abstractNumId w:val="0"/>
  </w:num>
  <w:num w:numId="2" w16cid:durableId="691229366">
    <w:abstractNumId w:val="1"/>
  </w:num>
  <w:num w:numId="3" w16cid:durableId="110176094">
    <w:abstractNumId w:val="2"/>
  </w:num>
  <w:num w:numId="4" w16cid:durableId="739985271">
    <w:abstractNumId w:val="3"/>
  </w:num>
  <w:num w:numId="5" w16cid:durableId="1361666364">
    <w:abstractNumId w:val="4"/>
  </w:num>
  <w:num w:numId="6" w16cid:durableId="430202778">
    <w:abstractNumId w:val="9"/>
  </w:num>
  <w:num w:numId="7" w16cid:durableId="971979255">
    <w:abstractNumId w:val="5"/>
  </w:num>
  <w:num w:numId="8" w16cid:durableId="509637750">
    <w:abstractNumId w:val="6"/>
  </w:num>
  <w:num w:numId="9" w16cid:durableId="1779568935">
    <w:abstractNumId w:val="7"/>
  </w:num>
  <w:num w:numId="10" w16cid:durableId="1081221670">
    <w:abstractNumId w:val="8"/>
  </w:num>
  <w:num w:numId="11" w16cid:durableId="785462145">
    <w:abstractNumId w:val="10"/>
  </w:num>
  <w:num w:numId="12" w16cid:durableId="574821463">
    <w:abstractNumId w:val="15"/>
  </w:num>
  <w:num w:numId="13" w16cid:durableId="969557411">
    <w:abstractNumId w:val="17"/>
  </w:num>
  <w:num w:numId="14" w16cid:durableId="560361923">
    <w:abstractNumId w:val="18"/>
  </w:num>
  <w:num w:numId="15" w16cid:durableId="560677776">
    <w:abstractNumId w:val="12"/>
  </w:num>
  <w:num w:numId="16" w16cid:durableId="886451685">
    <w:abstractNumId w:val="16"/>
  </w:num>
  <w:num w:numId="17" w16cid:durableId="1254169490">
    <w:abstractNumId w:val="14"/>
  </w:num>
  <w:num w:numId="18" w16cid:durableId="1526141142">
    <w:abstractNumId w:val="13"/>
  </w:num>
  <w:num w:numId="19" w16cid:durableId="12596763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DS3MDE3tDA0NjdS0lEKTi0uzszPAykwrAUAeRs7XiwAAAA="/>
  </w:docVars>
  <w:rsids>
    <w:rsidRoot w:val="003967DD"/>
    <w:rsid w:val="00011F31"/>
    <w:rsid w:val="00012CE8"/>
    <w:rsid w:val="00013339"/>
    <w:rsid w:val="00014534"/>
    <w:rsid w:val="000179FB"/>
    <w:rsid w:val="0002148B"/>
    <w:rsid w:val="000256E2"/>
    <w:rsid w:val="000329FF"/>
    <w:rsid w:val="000356B4"/>
    <w:rsid w:val="00050762"/>
    <w:rsid w:val="00077092"/>
    <w:rsid w:val="00077417"/>
    <w:rsid w:val="00080DA9"/>
    <w:rsid w:val="000861DD"/>
    <w:rsid w:val="000A47D4"/>
    <w:rsid w:val="000C600E"/>
    <w:rsid w:val="000D314F"/>
    <w:rsid w:val="00122369"/>
    <w:rsid w:val="001322FC"/>
    <w:rsid w:val="00132F3E"/>
    <w:rsid w:val="00134D20"/>
    <w:rsid w:val="00150E0F"/>
    <w:rsid w:val="00157212"/>
    <w:rsid w:val="0016287D"/>
    <w:rsid w:val="001A61D1"/>
    <w:rsid w:val="001A6746"/>
    <w:rsid w:val="001D0D94"/>
    <w:rsid w:val="001D13F9"/>
    <w:rsid w:val="001F39DD"/>
    <w:rsid w:val="001F7A3A"/>
    <w:rsid w:val="0023186A"/>
    <w:rsid w:val="002512BE"/>
    <w:rsid w:val="00275FB8"/>
    <w:rsid w:val="002805E7"/>
    <w:rsid w:val="002A2B2F"/>
    <w:rsid w:val="002A4A96"/>
    <w:rsid w:val="002C3FF4"/>
    <w:rsid w:val="002E3BED"/>
    <w:rsid w:val="002F41D7"/>
    <w:rsid w:val="002F6115"/>
    <w:rsid w:val="003116F5"/>
    <w:rsid w:val="00312720"/>
    <w:rsid w:val="00343AFC"/>
    <w:rsid w:val="0034745C"/>
    <w:rsid w:val="00381339"/>
    <w:rsid w:val="00384A5E"/>
    <w:rsid w:val="0039319E"/>
    <w:rsid w:val="00393E28"/>
    <w:rsid w:val="003967DD"/>
    <w:rsid w:val="003A4C39"/>
    <w:rsid w:val="003A55CA"/>
    <w:rsid w:val="003C348B"/>
    <w:rsid w:val="003C42B1"/>
    <w:rsid w:val="003C77BB"/>
    <w:rsid w:val="003E71E8"/>
    <w:rsid w:val="003F794D"/>
    <w:rsid w:val="0042333B"/>
    <w:rsid w:val="00443E58"/>
    <w:rsid w:val="00466D50"/>
    <w:rsid w:val="00491FFF"/>
    <w:rsid w:val="00494F1E"/>
    <w:rsid w:val="004A2E74"/>
    <w:rsid w:val="004B2ED6"/>
    <w:rsid w:val="004B366A"/>
    <w:rsid w:val="00500ADA"/>
    <w:rsid w:val="00512BBA"/>
    <w:rsid w:val="005212E4"/>
    <w:rsid w:val="00555277"/>
    <w:rsid w:val="00567CF0"/>
    <w:rsid w:val="00572AEA"/>
    <w:rsid w:val="00584327"/>
    <w:rsid w:val="00584366"/>
    <w:rsid w:val="005A4F12"/>
    <w:rsid w:val="005C1F01"/>
    <w:rsid w:val="005C23A1"/>
    <w:rsid w:val="005D4CBA"/>
    <w:rsid w:val="005E0358"/>
    <w:rsid w:val="005E0713"/>
    <w:rsid w:val="005E4E06"/>
    <w:rsid w:val="005F550B"/>
    <w:rsid w:val="00624A55"/>
    <w:rsid w:val="00641AA0"/>
    <w:rsid w:val="00642EF4"/>
    <w:rsid w:val="006523D7"/>
    <w:rsid w:val="00666871"/>
    <w:rsid w:val="006671CE"/>
    <w:rsid w:val="006A1F8A"/>
    <w:rsid w:val="006A25AC"/>
    <w:rsid w:val="006B104E"/>
    <w:rsid w:val="006B64B5"/>
    <w:rsid w:val="006C3FAD"/>
    <w:rsid w:val="006C45C0"/>
    <w:rsid w:val="006D5EFB"/>
    <w:rsid w:val="006E2B9A"/>
    <w:rsid w:val="00710CED"/>
    <w:rsid w:val="007170E9"/>
    <w:rsid w:val="00735566"/>
    <w:rsid w:val="0075650C"/>
    <w:rsid w:val="00767573"/>
    <w:rsid w:val="00772F29"/>
    <w:rsid w:val="00792F34"/>
    <w:rsid w:val="007A2AA0"/>
    <w:rsid w:val="007B556E"/>
    <w:rsid w:val="007C7E02"/>
    <w:rsid w:val="007D28F4"/>
    <w:rsid w:val="007D3E38"/>
    <w:rsid w:val="007D40FC"/>
    <w:rsid w:val="007D50DD"/>
    <w:rsid w:val="007E4993"/>
    <w:rsid w:val="008065DA"/>
    <w:rsid w:val="00824F72"/>
    <w:rsid w:val="0084213E"/>
    <w:rsid w:val="0085256B"/>
    <w:rsid w:val="00880C62"/>
    <w:rsid w:val="00890680"/>
    <w:rsid w:val="008906D4"/>
    <w:rsid w:val="00892E24"/>
    <w:rsid w:val="008A2473"/>
    <w:rsid w:val="008B1737"/>
    <w:rsid w:val="008C7753"/>
    <w:rsid w:val="008D7C73"/>
    <w:rsid w:val="008E4DE4"/>
    <w:rsid w:val="008F3D35"/>
    <w:rsid w:val="009050AD"/>
    <w:rsid w:val="00907C1B"/>
    <w:rsid w:val="00911C55"/>
    <w:rsid w:val="00927E48"/>
    <w:rsid w:val="009422C3"/>
    <w:rsid w:val="00952690"/>
    <w:rsid w:val="00954B9A"/>
    <w:rsid w:val="00976339"/>
    <w:rsid w:val="00976B28"/>
    <w:rsid w:val="00981440"/>
    <w:rsid w:val="009845DB"/>
    <w:rsid w:val="00986EF6"/>
    <w:rsid w:val="0099358C"/>
    <w:rsid w:val="00995DC9"/>
    <w:rsid w:val="009E1CD2"/>
    <w:rsid w:val="009F6A77"/>
    <w:rsid w:val="00A31926"/>
    <w:rsid w:val="00A5015F"/>
    <w:rsid w:val="00A54994"/>
    <w:rsid w:val="00A60E8B"/>
    <w:rsid w:val="00A71009"/>
    <w:rsid w:val="00A710DF"/>
    <w:rsid w:val="00A73651"/>
    <w:rsid w:val="00AD2F24"/>
    <w:rsid w:val="00AD7178"/>
    <w:rsid w:val="00AE6926"/>
    <w:rsid w:val="00B03A37"/>
    <w:rsid w:val="00B21562"/>
    <w:rsid w:val="00B45B15"/>
    <w:rsid w:val="00B542C7"/>
    <w:rsid w:val="00B738FC"/>
    <w:rsid w:val="00B775D4"/>
    <w:rsid w:val="00B85181"/>
    <w:rsid w:val="00B948D3"/>
    <w:rsid w:val="00C0312B"/>
    <w:rsid w:val="00C0325F"/>
    <w:rsid w:val="00C308E1"/>
    <w:rsid w:val="00C539BB"/>
    <w:rsid w:val="00C82752"/>
    <w:rsid w:val="00CA2B58"/>
    <w:rsid w:val="00CC5AA8"/>
    <w:rsid w:val="00CD5565"/>
    <w:rsid w:val="00CD5993"/>
    <w:rsid w:val="00CE3D90"/>
    <w:rsid w:val="00CE7916"/>
    <w:rsid w:val="00D17E55"/>
    <w:rsid w:val="00D40379"/>
    <w:rsid w:val="00D760F5"/>
    <w:rsid w:val="00D9777A"/>
    <w:rsid w:val="00DC4D0D"/>
    <w:rsid w:val="00DD0BB8"/>
    <w:rsid w:val="00E00F6B"/>
    <w:rsid w:val="00E34263"/>
    <w:rsid w:val="00E34721"/>
    <w:rsid w:val="00E4317E"/>
    <w:rsid w:val="00E47519"/>
    <w:rsid w:val="00E5030B"/>
    <w:rsid w:val="00E64758"/>
    <w:rsid w:val="00E77EB9"/>
    <w:rsid w:val="00EA703A"/>
    <w:rsid w:val="00EC40BE"/>
    <w:rsid w:val="00ED3CEE"/>
    <w:rsid w:val="00ED7CE0"/>
    <w:rsid w:val="00EE247B"/>
    <w:rsid w:val="00EF0A7B"/>
    <w:rsid w:val="00EF2D61"/>
    <w:rsid w:val="00F134E5"/>
    <w:rsid w:val="00F21498"/>
    <w:rsid w:val="00F5271F"/>
    <w:rsid w:val="00F76E9E"/>
    <w:rsid w:val="00F94715"/>
    <w:rsid w:val="00F96B0B"/>
    <w:rsid w:val="00FA6DB6"/>
    <w:rsid w:val="00FD5EC7"/>
    <w:rsid w:val="00FF27E3"/>
    <w:rsid w:val="00FF4399"/>
    <w:rsid w:val="0C1DA2F0"/>
    <w:rsid w:val="13CA7261"/>
    <w:rsid w:val="14593348"/>
    <w:rsid w:val="147E4344"/>
    <w:rsid w:val="15296BBD"/>
    <w:rsid w:val="18C07176"/>
    <w:rsid w:val="236A5948"/>
    <w:rsid w:val="282F0522"/>
    <w:rsid w:val="2DA2A0BA"/>
    <w:rsid w:val="2EF0D3EE"/>
    <w:rsid w:val="42E5FB60"/>
    <w:rsid w:val="43DFE997"/>
    <w:rsid w:val="467C5A63"/>
    <w:rsid w:val="46FF5687"/>
    <w:rsid w:val="498DD0EF"/>
    <w:rsid w:val="49CF8D55"/>
    <w:rsid w:val="4BD43FE9"/>
    <w:rsid w:val="55DDFBF3"/>
    <w:rsid w:val="575ABA8F"/>
    <w:rsid w:val="5BD566C5"/>
    <w:rsid w:val="5F92C9F6"/>
    <w:rsid w:val="5FF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5455FF56-4E41-4198-BDE1-434C0EA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8E4DE4"/>
    <w:pPr>
      <w:spacing w:after="160" w:line="259" w:lineRule="auto"/>
      <w:ind w:left="720"/>
      <w:contextualSpacing/>
    </w:pPr>
    <w:rPr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6C3F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L/oshc-decision-making-mou-template-cluster.docx" TargetMode="External"/><Relationship Id="rId18" Type="http://schemas.openxmlformats.org/officeDocument/2006/relationships/hyperlink" Target="https://www.education.vic.gov.au/Pages/copyright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outside-school-hours-care-decision-making-regarding-provision-oshc/guidance/oshc-establishment" TargetMode="External"/><Relationship Id="rId17" Type="http://schemas.openxmlformats.org/officeDocument/2006/relationships/hyperlink" Target="https://creativecommons.org/licenses/by/4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ges/copyrigh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outside-school-hours-care-decision-making-regarding-provision-oshc/resour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vehicles/polic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dent.transport@education.vic.gov.a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230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71B00FD7-BA4E-466E-9754-E093B2246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Links>
    <vt:vector size="30" baseType="variant"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https://www.education.vic.gov.au/Pages/copyright.aspx</vt:lpwstr>
      </vt:variant>
      <vt:variant>
        <vt:lpwstr/>
      </vt:variant>
      <vt:variant>
        <vt:i4>5308424</vt:i4>
      </vt:variant>
      <vt:variant>
        <vt:i4>9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https://www.education.vic.gov.au/Pages/copyright.aspx</vt:lpwstr>
      </vt:variant>
      <vt:variant>
        <vt:lpwstr/>
      </vt:variant>
      <vt:variant>
        <vt:i4>4390942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https://www2.education.vic.gov.au/pal/outside-school-hours-care-decision-making-regarding-provision-oshc/guidance/oshc-establishment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https://www2.education.vic.gov.au/pal/outside-school-hours-care-decision-making-regarding-provision-oshc/resources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Sarah Joyner</cp:lastModifiedBy>
  <cp:revision>2</cp:revision>
  <dcterms:created xsi:type="dcterms:W3CDTF">2022-06-02T02:50:00Z</dcterms:created>
  <dcterms:modified xsi:type="dcterms:W3CDTF">2022-06-02T02:50:00Z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