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3E71" w14:textId="2E1049BE" w:rsidR="007855F1" w:rsidRPr="00A63D55" w:rsidRDefault="007855F1" w:rsidP="00A63D55">
      <w:pPr>
        <w:pStyle w:val="Covertitle"/>
      </w:pPr>
      <w:r>
        <w:t xml:space="preserve">Outside School Hours Care </w:t>
      </w:r>
      <w:r>
        <w:br/>
        <w:t>(OSHC) Establishment Grant</w:t>
      </w:r>
      <w:r>
        <w:br/>
        <w:t>Initiative</w:t>
      </w:r>
    </w:p>
    <w:p w14:paraId="385AAE9A" w14:textId="18DFC536" w:rsidR="00A63D55" w:rsidRPr="00A63D55" w:rsidRDefault="00437598" w:rsidP="00A63D55">
      <w:pPr>
        <w:pStyle w:val="Coversubtitle"/>
      </w:pPr>
      <w:r>
        <w:t xml:space="preserve">Round </w:t>
      </w:r>
      <w:r w:rsidR="00A24C40">
        <w:t>3</w:t>
      </w:r>
      <w:r>
        <w:t xml:space="preserve"> </w:t>
      </w:r>
      <w:r w:rsidR="007855F1">
        <w:t>Application Guidelines</w:t>
      </w:r>
    </w:p>
    <w:p w14:paraId="5BBE5E4D" w14:textId="77777777" w:rsidR="00DA3218" w:rsidRDefault="00DA3218" w:rsidP="00624A55">
      <w:pPr>
        <w:pStyle w:val="Heading1"/>
        <w:rPr>
          <w:lang w:val="en-AU"/>
        </w:rPr>
      </w:pPr>
    </w:p>
    <w:p w14:paraId="2BE6D8BB" w14:textId="3F756FCC" w:rsidR="00F56A07" w:rsidRPr="00E84354" w:rsidRDefault="006140E5" w:rsidP="00374248">
      <w:pPr>
        <w:rPr>
          <w:b/>
          <w:bCs/>
          <w:color w:val="FFFFFF" w:themeColor="background1"/>
          <w:lang w:val="en-AU"/>
        </w:rPr>
        <w:sectPr w:rsidR="00F56A07" w:rsidRPr="00E84354" w:rsidSect="007B3A5A">
          <w:headerReference w:type="default" r:id="rId12"/>
          <w:footerReference w:type="even" r:id="rId13"/>
          <w:footerReference w:type="default" r:id="rId14"/>
          <w:pgSz w:w="11900" w:h="16840"/>
          <w:pgMar w:top="3402" w:right="1134" w:bottom="1701" w:left="1134" w:header="709" w:footer="709" w:gutter="0"/>
          <w:cols w:space="708"/>
          <w:docGrid w:linePitch="360"/>
        </w:sectPr>
      </w:pPr>
      <w:r>
        <w:rPr>
          <w:b/>
          <w:bCs/>
          <w:color w:val="FFFFFF" w:themeColor="background1"/>
          <w:lang w:val="en-AU"/>
        </w:rPr>
        <w:t>June</w:t>
      </w:r>
      <w:r w:rsidR="00CE2D8F" w:rsidRPr="00E84354">
        <w:rPr>
          <w:b/>
          <w:bCs/>
          <w:color w:val="FFFFFF" w:themeColor="background1"/>
          <w:lang w:val="en-AU"/>
        </w:rPr>
        <w:t xml:space="preserve"> </w:t>
      </w:r>
      <w:r w:rsidR="00437598" w:rsidRPr="00E84354">
        <w:rPr>
          <w:b/>
          <w:bCs/>
          <w:color w:val="FFFFFF" w:themeColor="background1"/>
          <w:lang w:val="en-AU"/>
        </w:rPr>
        <w:t>202</w:t>
      </w:r>
      <w:r w:rsidR="00A24C40">
        <w:rPr>
          <w:b/>
          <w:bCs/>
          <w:color w:val="FFFFFF" w:themeColor="background1"/>
          <w:lang w:val="en-AU"/>
        </w:rPr>
        <w:t>2</w:t>
      </w:r>
    </w:p>
    <w:p w14:paraId="0692BD75" w14:textId="294771C1" w:rsidR="00DA3218" w:rsidRPr="00240F30" w:rsidRDefault="00144FD5" w:rsidP="00144FD5">
      <w:pPr>
        <w:pStyle w:val="Covertitle"/>
        <w:rPr>
          <w:color w:val="E57100" w:themeColor="accent1"/>
        </w:rPr>
      </w:pPr>
      <w:r w:rsidRPr="00240F30">
        <w:rPr>
          <w:color w:val="E57100" w:themeColor="accent1"/>
        </w:rPr>
        <w:lastRenderedPageBreak/>
        <w:t>Contents</w:t>
      </w:r>
    </w:p>
    <w:p w14:paraId="467ADB9D" w14:textId="77777777" w:rsidR="00DA3218" w:rsidRDefault="00DA3218" w:rsidP="00DA3218">
      <w:pPr>
        <w:spacing w:after="40"/>
        <w:rPr>
          <w:rFonts w:cstheme="minorHAnsi"/>
          <w:color w:val="7F7F7F" w:themeColor="text1" w:themeTint="80"/>
          <w:sz w:val="13"/>
          <w:szCs w:val="13"/>
        </w:rPr>
      </w:pPr>
    </w:p>
    <w:p w14:paraId="72642902" w14:textId="5A528FC6" w:rsidR="0066577B" w:rsidRDefault="00DA3218" w:rsidP="00706C5B">
      <w:pPr>
        <w:pStyle w:val="TOC1"/>
        <w:tabs>
          <w:tab w:val="clear" w:pos="660"/>
          <w:tab w:val="left" w:pos="426"/>
        </w:tabs>
        <w:rPr>
          <w:rFonts w:asciiTheme="minorHAnsi" w:hAnsiTheme="minorHAnsi" w:cstheme="minorBidi"/>
          <w:noProof/>
          <w:color w:val="auto"/>
          <w:szCs w:val="22"/>
          <w:lang w:val="en-AU" w:eastAsia="en-AU"/>
        </w:rPr>
      </w:pPr>
      <w:r>
        <w:rPr>
          <w:color w:val="AF272F"/>
        </w:rPr>
        <w:fldChar w:fldCharType="begin"/>
      </w:r>
      <w:r>
        <w:instrText xml:space="preserve"> TOC \t "HEADING 1,1,HEADING 2,2,Heading 3,3" </w:instrText>
      </w:r>
      <w:r>
        <w:rPr>
          <w:color w:val="AF272F"/>
        </w:rPr>
        <w:fldChar w:fldCharType="separate"/>
      </w:r>
      <w:r w:rsidR="0066577B" w:rsidRPr="00D164B6">
        <w:rPr>
          <w:noProof/>
          <w:lang w:val="en-AU"/>
        </w:rPr>
        <w:t>1.</w:t>
      </w:r>
      <w:r w:rsidR="0066577B">
        <w:rPr>
          <w:rFonts w:asciiTheme="minorHAnsi" w:hAnsiTheme="minorHAnsi" w:cstheme="minorBidi"/>
          <w:noProof/>
          <w:color w:val="auto"/>
          <w:szCs w:val="22"/>
          <w:lang w:val="en-AU" w:eastAsia="en-AU"/>
        </w:rPr>
        <w:tab/>
      </w:r>
      <w:r w:rsidR="0066577B" w:rsidRPr="00D164B6">
        <w:rPr>
          <w:noProof/>
          <w:lang w:val="en-AU"/>
        </w:rPr>
        <w:t>Introduction</w:t>
      </w:r>
      <w:r w:rsidR="0066577B">
        <w:rPr>
          <w:noProof/>
        </w:rPr>
        <w:tab/>
      </w:r>
      <w:r w:rsidR="0066577B">
        <w:rPr>
          <w:noProof/>
        </w:rPr>
        <w:fldChar w:fldCharType="begin"/>
      </w:r>
      <w:r w:rsidR="0066577B">
        <w:rPr>
          <w:noProof/>
        </w:rPr>
        <w:instrText xml:space="preserve"> PAGEREF _Toc71026826 \h </w:instrText>
      </w:r>
      <w:r w:rsidR="0066577B">
        <w:rPr>
          <w:noProof/>
        </w:rPr>
      </w:r>
      <w:r w:rsidR="0066577B">
        <w:rPr>
          <w:noProof/>
        </w:rPr>
        <w:fldChar w:fldCharType="separate"/>
      </w:r>
      <w:r w:rsidR="0066577B">
        <w:rPr>
          <w:noProof/>
        </w:rPr>
        <w:t>1</w:t>
      </w:r>
      <w:r w:rsidR="0066577B">
        <w:rPr>
          <w:noProof/>
        </w:rPr>
        <w:fldChar w:fldCharType="end"/>
      </w:r>
    </w:p>
    <w:p w14:paraId="0786244C" w14:textId="6DC5B75F" w:rsidR="0066577B" w:rsidRDefault="0066577B" w:rsidP="00706C5B">
      <w:pPr>
        <w:pStyle w:val="TOC2"/>
        <w:ind w:left="567" w:hanging="141"/>
        <w:rPr>
          <w:rFonts w:asciiTheme="minorHAnsi" w:hAnsiTheme="minorHAnsi" w:cstheme="minorBidi"/>
          <w:noProof/>
          <w:color w:val="auto"/>
          <w:szCs w:val="22"/>
          <w:lang w:val="en-AU" w:eastAsia="en-AU"/>
        </w:rPr>
      </w:pPr>
      <w:r>
        <w:rPr>
          <w:noProof/>
        </w:rPr>
        <w:t>Background</w:t>
      </w:r>
      <w:r>
        <w:rPr>
          <w:noProof/>
        </w:rPr>
        <w:tab/>
      </w:r>
      <w:r>
        <w:rPr>
          <w:noProof/>
        </w:rPr>
        <w:fldChar w:fldCharType="begin"/>
      </w:r>
      <w:r>
        <w:rPr>
          <w:noProof/>
        </w:rPr>
        <w:instrText xml:space="preserve"> PAGEREF _Toc71026827 \h </w:instrText>
      </w:r>
      <w:r>
        <w:rPr>
          <w:noProof/>
        </w:rPr>
      </w:r>
      <w:r>
        <w:rPr>
          <w:noProof/>
        </w:rPr>
        <w:fldChar w:fldCharType="separate"/>
      </w:r>
      <w:r>
        <w:rPr>
          <w:noProof/>
        </w:rPr>
        <w:t>1</w:t>
      </w:r>
      <w:r>
        <w:rPr>
          <w:noProof/>
        </w:rPr>
        <w:fldChar w:fldCharType="end"/>
      </w:r>
    </w:p>
    <w:p w14:paraId="402B20BF" w14:textId="2752AF72" w:rsidR="0066577B" w:rsidRDefault="0066577B" w:rsidP="00706C5B">
      <w:pPr>
        <w:pStyle w:val="TOC1"/>
        <w:tabs>
          <w:tab w:val="clear" w:pos="660"/>
          <w:tab w:val="left" w:pos="426"/>
        </w:tabs>
        <w:rPr>
          <w:rFonts w:asciiTheme="minorHAnsi" w:hAnsiTheme="minorHAnsi" w:cstheme="minorBidi"/>
          <w:noProof/>
          <w:color w:val="auto"/>
          <w:szCs w:val="22"/>
          <w:lang w:val="en-AU" w:eastAsia="en-AU"/>
        </w:rPr>
      </w:pPr>
      <w:r>
        <w:rPr>
          <w:noProof/>
        </w:rPr>
        <w:t>2.</w:t>
      </w:r>
      <w:r>
        <w:rPr>
          <w:rFonts w:asciiTheme="minorHAnsi" w:hAnsiTheme="minorHAnsi" w:cstheme="minorBidi"/>
          <w:noProof/>
          <w:color w:val="auto"/>
          <w:szCs w:val="22"/>
          <w:lang w:val="en-AU" w:eastAsia="en-AU"/>
        </w:rPr>
        <w:tab/>
      </w:r>
      <w:r>
        <w:rPr>
          <w:noProof/>
        </w:rPr>
        <w:t>OSHC Establishment Grants</w:t>
      </w:r>
      <w:r>
        <w:rPr>
          <w:noProof/>
        </w:rPr>
        <w:tab/>
      </w:r>
      <w:r>
        <w:rPr>
          <w:noProof/>
        </w:rPr>
        <w:fldChar w:fldCharType="begin"/>
      </w:r>
      <w:r>
        <w:rPr>
          <w:noProof/>
        </w:rPr>
        <w:instrText xml:space="preserve"> PAGEREF _Toc71026828 \h </w:instrText>
      </w:r>
      <w:r>
        <w:rPr>
          <w:noProof/>
        </w:rPr>
      </w:r>
      <w:r>
        <w:rPr>
          <w:noProof/>
        </w:rPr>
        <w:fldChar w:fldCharType="separate"/>
      </w:r>
      <w:r>
        <w:rPr>
          <w:noProof/>
        </w:rPr>
        <w:t>2</w:t>
      </w:r>
      <w:r>
        <w:rPr>
          <w:noProof/>
        </w:rPr>
        <w:fldChar w:fldCharType="end"/>
      </w:r>
    </w:p>
    <w:p w14:paraId="51940E83" w14:textId="2D6030C5" w:rsidR="0066577B" w:rsidRDefault="0066577B" w:rsidP="00706C5B">
      <w:pPr>
        <w:pStyle w:val="TOC2"/>
        <w:ind w:firstLine="246"/>
        <w:rPr>
          <w:rFonts w:asciiTheme="minorHAnsi" w:hAnsiTheme="minorHAnsi" w:cstheme="minorBidi"/>
          <w:noProof/>
          <w:color w:val="auto"/>
          <w:szCs w:val="22"/>
          <w:lang w:val="en-AU" w:eastAsia="en-AU"/>
        </w:rPr>
      </w:pPr>
      <w:r>
        <w:rPr>
          <w:noProof/>
        </w:rPr>
        <w:t>What is being funded?</w:t>
      </w:r>
      <w:r>
        <w:rPr>
          <w:noProof/>
        </w:rPr>
        <w:tab/>
      </w:r>
      <w:r>
        <w:rPr>
          <w:noProof/>
        </w:rPr>
        <w:fldChar w:fldCharType="begin"/>
      </w:r>
      <w:r>
        <w:rPr>
          <w:noProof/>
        </w:rPr>
        <w:instrText xml:space="preserve"> PAGEREF _Toc71026829 \h </w:instrText>
      </w:r>
      <w:r>
        <w:rPr>
          <w:noProof/>
        </w:rPr>
      </w:r>
      <w:r>
        <w:rPr>
          <w:noProof/>
        </w:rPr>
        <w:fldChar w:fldCharType="separate"/>
      </w:r>
      <w:r>
        <w:rPr>
          <w:noProof/>
        </w:rPr>
        <w:t>2</w:t>
      </w:r>
      <w:r>
        <w:rPr>
          <w:noProof/>
        </w:rPr>
        <w:fldChar w:fldCharType="end"/>
      </w:r>
    </w:p>
    <w:p w14:paraId="37FD8A3D" w14:textId="0D1019D9" w:rsidR="0066577B" w:rsidRPr="0066577B" w:rsidRDefault="0066577B" w:rsidP="00706C5B">
      <w:pPr>
        <w:pStyle w:val="TOC2"/>
        <w:ind w:firstLine="246"/>
        <w:rPr>
          <w:rFonts w:cstheme="minorBidi"/>
          <w:noProof/>
          <w:szCs w:val="22"/>
          <w:lang w:val="en-AU" w:eastAsia="en-AU"/>
        </w:rPr>
      </w:pPr>
      <w:r w:rsidRPr="0066577B">
        <w:rPr>
          <w:noProof/>
        </w:rPr>
        <w:t>Budget example 1 – single school application</w:t>
      </w:r>
      <w:r w:rsidRPr="0066577B">
        <w:rPr>
          <w:noProof/>
        </w:rPr>
        <w:tab/>
      </w:r>
      <w:r w:rsidRPr="0066577B">
        <w:rPr>
          <w:noProof/>
        </w:rPr>
        <w:fldChar w:fldCharType="begin"/>
      </w:r>
      <w:r w:rsidRPr="0066577B">
        <w:rPr>
          <w:noProof/>
        </w:rPr>
        <w:instrText xml:space="preserve"> PAGEREF _Toc71026830 \h </w:instrText>
      </w:r>
      <w:r w:rsidRPr="0066577B">
        <w:rPr>
          <w:noProof/>
        </w:rPr>
      </w:r>
      <w:r w:rsidRPr="0066577B">
        <w:rPr>
          <w:noProof/>
        </w:rPr>
        <w:fldChar w:fldCharType="separate"/>
      </w:r>
      <w:r w:rsidRPr="0066577B">
        <w:rPr>
          <w:noProof/>
        </w:rPr>
        <w:t>3</w:t>
      </w:r>
      <w:r w:rsidRPr="0066577B">
        <w:rPr>
          <w:noProof/>
        </w:rPr>
        <w:fldChar w:fldCharType="end"/>
      </w:r>
    </w:p>
    <w:p w14:paraId="14AD070D" w14:textId="7524337E" w:rsidR="0066577B" w:rsidRDefault="0066577B" w:rsidP="00706C5B">
      <w:pPr>
        <w:pStyle w:val="TOC2"/>
        <w:ind w:firstLine="246"/>
        <w:rPr>
          <w:rFonts w:cstheme="minorBidi"/>
          <w:noProof/>
          <w:szCs w:val="22"/>
          <w:lang w:val="en-AU" w:eastAsia="en-AU"/>
        </w:rPr>
      </w:pPr>
      <w:r w:rsidRPr="0066577B">
        <w:rPr>
          <w:noProof/>
        </w:rPr>
        <w:t>Budget example 2 – multiple school (cluster) application</w:t>
      </w:r>
      <w:r>
        <w:rPr>
          <w:noProof/>
        </w:rPr>
        <w:tab/>
      </w:r>
      <w:r>
        <w:rPr>
          <w:noProof/>
        </w:rPr>
        <w:fldChar w:fldCharType="begin"/>
      </w:r>
      <w:r>
        <w:rPr>
          <w:noProof/>
        </w:rPr>
        <w:instrText xml:space="preserve"> PAGEREF _Toc71026831 \h </w:instrText>
      </w:r>
      <w:r>
        <w:rPr>
          <w:noProof/>
        </w:rPr>
      </w:r>
      <w:r>
        <w:rPr>
          <w:noProof/>
        </w:rPr>
        <w:fldChar w:fldCharType="separate"/>
      </w:r>
      <w:r>
        <w:rPr>
          <w:noProof/>
        </w:rPr>
        <w:t>3</w:t>
      </w:r>
      <w:r>
        <w:rPr>
          <w:noProof/>
        </w:rPr>
        <w:fldChar w:fldCharType="end"/>
      </w:r>
    </w:p>
    <w:p w14:paraId="4CF43CBD" w14:textId="75A9DAD4" w:rsidR="0066577B" w:rsidRDefault="0066577B" w:rsidP="00706C5B">
      <w:pPr>
        <w:pStyle w:val="TOC2"/>
        <w:ind w:firstLine="246"/>
        <w:rPr>
          <w:rFonts w:asciiTheme="minorHAnsi" w:hAnsiTheme="minorHAnsi" w:cstheme="minorBidi"/>
          <w:noProof/>
          <w:color w:val="auto"/>
          <w:szCs w:val="22"/>
          <w:lang w:val="en-AU" w:eastAsia="en-AU"/>
        </w:rPr>
      </w:pPr>
      <w:r>
        <w:rPr>
          <w:noProof/>
        </w:rPr>
        <w:t>Funding exclusions</w:t>
      </w:r>
      <w:r>
        <w:rPr>
          <w:noProof/>
        </w:rPr>
        <w:tab/>
      </w:r>
      <w:r>
        <w:rPr>
          <w:noProof/>
        </w:rPr>
        <w:fldChar w:fldCharType="begin"/>
      </w:r>
      <w:r>
        <w:rPr>
          <w:noProof/>
        </w:rPr>
        <w:instrText xml:space="preserve"> PAGEREF _Toc71026832 \h </w:instrText>
      </w:r>
      <w:r>
        <w:rPr>
          <w:noProof/>
        </w:rPr>
      </w:r>
      <w:r>
        <w:rPr>
          <w:noProof/>
        </w:rPr>
        <w:fldChar w:fldCharType="separate"/>
      </w:r>
      <w:r>
        <w:rPr>
          <w:noProof/>
        </w:rPr>
        <w:t>4</w:t>
      </w:r>
      <w:r>
        <w:rPr>
          <w:noProof/>
        </w:rPr>
        <w:fldChar w:fldCharType="end"/>
      </w:r>
    </w:p>
    <w:p w14:paraId="50CAEF48" w14:textId="40822587" w:rsidR="0066577B" w:rsidRDefault="0066577B" w:rsidP="00706C5B">
      <w:pPr>
        <w:pStyle w:val="TOC1"/>
        <w:tabs>
          <w:tab w:val="clear" w:pos="660"/>
          <w:tab w:val="left" w:pos="426"/>
        </w:tabs>
        <w:rPr>
          <w:rFonts w:asciiTheme="minorHAnsi" w:hAnsiTheme="minorHAnsi" w:cstheme="minorBidi"/>
          <w:noProof/>
          <w:color w:val="auto"/>
          <w:szCs w:val="22"/>
          <w:lang w:val="en-AU" w:eastAsia="en-AU"/>
        </w:rPr>
      </w:pPr>
      <w:r>
        <w:rPr>
          <w:noProof/>
        </w:rPr>
        <w:t>3.</w:t>
      </w:r>
      <w:r>
        <w:rPr>
          <w:rFonts w:asciiTheme="minorHAnsi" w:hAnsiTheme="minorHAnsi" w:cstheme="minorBidi"/>
          <w:noProof/>
          <w:color w:val="auto"/>
          <w:szCs w:val="22"/>
          <w:lang w:val="en-AU" w:eastAsia="en-AU"/>
        </w:rPr>
        <w:tab/>
      </w:r>
      <w:r>
        <w:rPr>
          <w:noProof/>
        </w:rPr>
        <w:t>Funding criteria</w:t>
      </w:r>
      <w:r>
        <w:rPr>
          <w:noProof/>
        </w:rPr>
        <w:tab/>
      </w:r>
      <w:r>
        <w:rPr>
          <w:noProof/>
        </w:rPr>
        <w:fldChar w:fldCharType="begin"/>
      </w:r>
      <w:r>
        <w:rPr>
          <w:noProof/>
        </w:rPr>
        <w:instrText xml:space="preserve"> PAGEREF _Toc71026833 \h </w:instrText>
      </w:r>
      <w:r>
        <w:rPr>
          <w:noProof/>
        </w:rPr>
      </w:r>
      <w:r>
        <w:rPr>
          <w:noProof/>
        </w:rPr>
        <w:fldChar w:fldCharType="separate"/>
      </w:r>
      <w:r>
        <w:rPr>
          <w:noProof/>
        </w:rPr>
        <w:t>5</w:t>
      </w:r>
      <w:r>
        <w:rPr>
          <w:noProof/>
        </w:rPr>
        <w:fldChar w:fldCharType="end"/>
      </w:r>
    </w:p>
    <w:p w14:paraId="144A8815" w14:textId="1A080559" w:rsidR="0066577B" w:rsidRDefault="0066577B" w:rsidP="00706C5B">
      <w:pPr>
        <w:pStyle w:val="TOC2"/>
        <w:ind w:firstLine="246"/>
        <w:rPr>
          <w:rFonts w:asciiTheme="minorHAnsi" w:hAnsiTheme="minorHAnsi" w:cstheme="minorBidi"/>
          <w:noProof/>
          <w:color w:val="auto"/>
          <w:szCs w:val="22"/>
          <w:lang w:val="en-AU" w:eastAsia="en-AU"/>
        </w:rPr>
      </w:pPr>
      <w:r>
        <w:rPr>
          <w:noProof/>
        </w:rPr>
        <w:t>Eligibility</w:t>
      </w:r>
      <w:r>
        <w:rPr>
          <w:noProof/>
        </w:rPr>
        <w:tab/>
      </w:r>
      <w:r>
        <w:rPr>
          <w:noProof/>
        </w:rPr>
        <w:fldChar w:fldCharType="begin"/>
      </w:r>
      <w:r>
        <w:rPr>
          <w:noProof/>
        </w:rPr>
        <w:instrText xml:space="preserve"> PAGEREF _Toc71026834 \h </w:instrText>
      </w:r>
      <w:r>
        <w:rPr>
          <w:noProof/>
        </w:rPr>
      </w:r>
      <w:r>
        <w:rPr>
          <w:noProof/>
        </w:rPr>
        <w:fldChar w:fldCharType="separate"/>
      </w:r>
      <w:r>
        <w:rPr>
          <w:noProof/>
        </w:rPr>
        <w:t>5</w:t>
      </w:r>
      <w:r>
        <w:rPr>
          <w:noProof/>
        </w:rPr>
        <w:fldChar w:fldCharType="end"/>
      </w:r>
    </w:p>
    <w:p w14:paraId="0A5348D3" w14:textId="01C31F87" w:rsidR="0066577B" w:rsidRDefault="0066577B" w:rsidP="00706C5B">
      <w:pPr>
        <w:pStyle w:val="TOC2"/>
        <w:ind w:firstLine="246"/>
        <w:rPr>
          <w:rFonts w:asciiTheme="minorHAnsi" w:hAnsiTheme="minorHAnsi" w:cstheme="minorBidi"/>
          <w:noProof/>
          <w:color w:val="auto"/>
          <w:szCs w:val="22"/>
          <w:lang w:val="en-AU" w:eastAsia="en-AU"/>
        </w:rPr>
      </w:pPr>
      <w:r>
        <w:rPr>
          <w:noProof/>
        </w:rPr>
        <w:t>Assessment priorities</w:t>
      </w:r>
      <w:r>
        <w:rPr>
          <w:noProof/>
        </w:rPr>
        <w:tab/>
      </w:r>
      <w:r>
        <w:rPr>
          <w:noProof/>
        </w:rPr>
        <w:fldChar w:fldCharType="begin"/>
      </w:r>
      <w:r>
        <w:rPr>
          <w:noProof/>
        </w:rPr>
        <w:instrText xml:space="preserve"> PAGEREF _Toc71026835 \h </w:instrText>
      </w:r>
      <w:r>
        <w:rPr>
          <w:noProof/>
        </w:rPr>
      </w:r>
      <w:r>
        <w:rPr>
          <w:noProof/>
        </w:rPr>
        <w:fldChar w:fldCharType="separate"/>
      </w:r>
      <w:r>
        <w:rPr>
          <w:noProof/>
        </w:rPr>
        <w:t>5</w:t>
      </w:r>
      <w:r>
        <w:rPr>
          <w:noProof/>
        </w:rPr>
        <w:fldChar w:fldCharType="end"/>
      </w:r>
    </w:p>
    <w:p w14:paraId="381D8D29" w14:textId="2CA300CD" w:rsidR="0066577B" w:rsidRDefault="0066577B" w:rsidP="00706C5B">
      <w:pPr>
        <w:pStyle w:val="TOC1"/>
        <w:tabs>
          <w:tab w:val="clear" w:pos="660"/>
          <w:tab w:val="left" w:pos="426"/>
        </w:tabs>
        <w:rPr>
          <w:rFonts w:asciiTheme="minorHAnsi" w:hAnsiTheme="minorHAnsi" w:cstheme="minorBidi"/>
          <w:noProof/>
          <w:color w:val="auto"/>
          <w:szCs w:val="22"/>
          <w:lang w:val="en-AU" w:eastAsia="en-AU"/>
        </w:rPr>
      </w:pPr>
      <w:r>
        <w:rPr>
          <w:noProof/>
        </w:rPr>
        <w:t>4.</w:t>
      </w:r>
      <w:r>
        <w:rPr>
          <w:rFonts w:asciiTheme="minorHAnsi" w:hAnsiTheme="minorHAnsi" w:cstheme="minorBidi"/>
          <w:noProof/>
          <w:color w:val="auto"/>
          <w:szCs w:val="22"/>
          <w:lang w:val="en-AU" w:eastAsia="en-AU"/>
        </w:rPr>
        <w:tab/>
      </w:r>
      <w:r>
        <w:rPr>
          <w:noProof/>
        </w:rPr>
        <w:t>Considerations before applying</w:t>
      </w:r>
      <w:r>
        <w:rPr>
          <w:noProof/>
        </w:rPr>
        <w:tab/>
      </w:r>
      <w:r>
        <w:rPr>
          <w:noProof/>
        </w:rPr>
        <w:fldChar w:fldCharType="begin"/>
      </w:r>
      <w:r>
        <w:rPr>
          <w:noProof/>
        </w:rPr>
        <w:instrText xml:space="preserve"> PAGEREF _Toc71026836 \h </w:instrText>
      </w:r>
      <w:r>
        <w:rPr>
          <w:noProof/>
        </w:rPr>
      </w:r>
      <w:r>
        <w:rPr>
          <w:noProof/>
        </w:rPr>
        <w:fldChar w:fldCharType="separate"/>
      </w:r>
      <w:r>
        <w:rPr>
          <w:noProof/>
        </w:rPr>
        <w:t>6</w:t>
      </w:r>
      <w:r>
        <w:rPr>
          <w:noProof/>
        </w:rPr>
        <w:fldChar w:fldCharType="end"/>
      </w:r>
    </w:p>
    <w:p w14:paraId="60BD34CF" w14:textId="2BD1905E" w:rsidR="0066577B" w:rsidRDefault="0066577B" w:rsidP="00706C5B">
      <w:pPr>
        <w:pStyle w:val="TOC2"/>
        <w:ind w:left="709" w:hanging="283"/>
        <w:rPr>
          <w:rFonts w:asciiTheme="minorHAnsi" w:hAnsiTheme="minorHAnsi" w:cstheme="minorBidi"/>
          <w:noProof/>
          <w:color w:val="auto"/>
          <w:szCs w:val="22"/>
          <w:lang w:val="en-AU" w:eastAsia="en-AU"/>
        </w:rPr>
      </w:pPr>
      <w:r>
        <w:rPr>
          <w:noProof/>
        </w:rPr>
        <w:t>Demand for services</w:t>
      </w:r>
      <w:r>
        <w:rPr>
          <w:noProof/>
        </w:rPr>
        <w:tab/>
      </w:r>
      <w:r>
        <w:rPr>
          <w:noProof/>
        </w:rPr>
        <w:fldChar w:fldCharType="begin"/>
      </w:r>
      <w:r>
        <w:rPr>
          <w:noProof/>
        </w:rPr>
        <w:instrText xml:space="preserve"> PAGEREF _Toc71026837 \h </w:instrText>
      </w:r>
      <w:r>
        <w:rPr>
          <w:noProof/>
        </w:rPr>
      </w:r>
      <w:r>
        <w:rPr>
          <w:noProof/>
        </w:rPr>
        <w:fldChar w:fldCharType="separate"/>
      </w:r>
      <w:r>
        <w:rPr>
          <w:noProof/>
        </w:rPr>
        <w:t>6</w:t>
      </w:r>
      <w:r>
        <w:rPr>
          <w:noProof/>
        </w:rPr>
        <w:fldChar w:fldCharType="end"/>
      </w:r>
    </w:p>
    <w:p w14:paraId="559FDE03" w14:textId="10F863E6" w:rsidR="0066577B" w:rsidRDefault="0066577B" w:rsidP="00706C5B">
      <w:pPr>
        <w:pStyle w:val="TOC2"/>
        <w:ind w:left="709" w:hanging="283"/>
        <w:rPr>
          <w:rFonts w:asciiTheme="minorHAnsi" w:hAnsiTheme="minorHAnsi" w:cstheme="minorBidi"/>
          <w:noProof/>
          <w:color w:val="auto"/>
          <w:szCs w:val="22"/>
          <w:lang w:val="en-AU" w:eastAsia="en-AU"/>
        </w:rPr>
      </w:pPr>
      <w:r>
        <w:rPr>
          <w:noProof/>
        </w:rPr>
        <w:t>Model of service delivery</w:t>
      </w:r>
      <w:r>
        <w:rPr>
          <w:noProof/>
        </w:rPr>
        <w:tab/>
      </w:r>
      <w:r>
        <w:rPr>
          <w:noProof/>
        </w:rPr>
        <w:fldChar w:fldCharType="begin"/>
      </w:r>
      <w:r>
        <w:rPr>
          <w:noProof/>
        </w:rPr>
        <w:instrText xml:space="preserve"> PAGEREF _Toc71026838 \h </w:instrText>
      </w:r>
      <w:r>
        <w:rPr>
          <w:noProof/>
        </w:rPr>
      </w:r>
      <w:r>
        <w:rPr>
          <w:noProof/>
        </w:rPr>
        <w:fldChar w:fldCharType="separate"/>
      </w:r>
      <w:r>
        <w:rPr>
          <w:noProof/>
        </w:rPr>
        <w:t>6</w:t>
      </w:r>
      <w:r>
        <w:rPr>
          <w:noProof/>
        </w:rPr>
        <w:fldChar w:fldCharType="end"/>
      </w:r>
    </w:p>
    <w:p w14:paraId="7114F9BF" w14:textId="0D4E15DA" w:rsidR="0066577B" w:rsidRDefault="0066577B" w:rsidP="00706C5B">
      <w:pPr>
        <w:pStyle w:val="TOC2"/>
        <w:ind w:left="709" w:hanging="283"/>
        <w:rPr>
          <w:rFonts w:asciiTheme="minorHAnsi" w:hAnsiTheme="minorHAnsi" w:cstheme="minorBidi"/>
          <w:noProof/>
          <w:color w:val="auto"/>
          <w:szCs w:val="22"/>
          <w:lang w:val="en-AU" w:eastAsia="en-AU"/>
        </w:rPr>
      </w:pPr>
      <w:r>
        <w:rPr>
          <w:noProof/>
        </w:rPr>
        <w:t>Readiness to deliver</w:t>
      </w:r>
      <w:r>
        <w:rPr>
          <w:noProof/>
        </w:rPr>
        <w:tab/>
      </w:r>
      <w:r>
        <w:rPr>
          <w:noProof/>
        </w:rPr>
        <w:fldChar w:fldCharType="begin"/>
      </w:r>
      <w:r>
        <w:rPr>
          <w:noProof/>
        </w:rPr>
        <w:instrText xml:space="preserve"> PAGEREF _Toc71026839 \h </w:instrText>
      </w:r>
      <w:r>
        <w:rPr>
          <w:noProof/>
        </w:rPr>
      </w:r>
      <w:r>
        <w:rPr>
          <w:noProof/>
        </w:rPr>
        <w:fldChar w:fldCharType="separate"/>
      </w:r>
      <w:r>
        <w:rPr>
          <w:noProof/>
        </w:rPr>
        <w:t>6</w:t>
      </w:r>
      <w:r>
        <w:rPr>
          <w:noProof/>
        </w:rPr>
        <w:fldChar w:fldCharType="end"/>
      </w:r>
    </w:p>
    <w:p w14:paraId="4CBDFA5D" w14:textId="72AEED4F" w:rsidR="0066577B" w:rsidRDefault="0066577B" w:rsidP="00706C5B">
      <w:pPr>
        <w:pStyle w:val="TOC2"/>
        <w:ind w:left="709" w:hanging="283"/>
        <w:rPr>
          <w:rFonts w:asciiTheme="minorHAnsi" w:hAnsiTheme="minorHAnsi" w:cstheme="minorBidi"/>
          <w:noProof/>
          <w:color w:val="auto"/>
          <w:szCs w:val="22"/>
          <w:lang w:val="en-AU" w:eastAsia="en-AU"/>
        </w:rPr>
      </w:pPr>
      <w:r>
        <w:rPr>
          <w:noProof/>
        </w:rPr>
        <w:t>Possible cluster arrangements</w:t>
      </w:r>
      <w:r>
        <w:rPr>
          <w:noProof/>
        </w:rPr>
        <w:tab/>
      </w:r>
      <w:r>
        <w:rPr>
          <w:noProof/>
        </w:rPr>
        <w:fldChar w:fldCharType="begin"/>
      </w:r>
      <w:r>
        <w:rPr>
          <w:noProof/>
        </w:rPr>
        <w:instrText xml:space="preserve"> PAGEREF _Toc71026840 \h </w:instrText>
      </w:r>
      <w:r>
        <w:rPr>
          <w:noProof/>
        </w:rPr>
      </w:r>
      <w:r>
        <w:rPr>
          <w:noProof/>
        </w:rPr>
        <w:fldChar w:fldCharType="separate"/>
      </w:r>
      <w:r>
        <w:rPr>
          <w:noProof/>
        </w:rPr>
        <w:t>7</w:t>
      </w:r>
      <w:r>
        <w:rPr>
          <w:noProof/>
        </w:rPr>
        <w:fldChar w:fldCharType="end"/>
      </w:r>
    </w:p>
    <w:p w14:paraId="2F3AA3DE" w14:textId="35394ACE" w:rsidR="0066577B" w:rsidRDefault="0066577B" w:rsidP="00706C5B">
      <w:pPr>
        <w:pStyle w:val="TOC1"/>
        <w:tabs>
          <w:tab w:val="clear" w:pos="660"/>
          <w:tab w:val="left" w:pos="426"/>
        </w:tabs>
        <w:rPr>
          <w:rFonts w:asciiTheme="minorHAnsi" w:hAnsiTheme="minorHAnsi" w:cstheme="minorBidi"/>
          <w:noProof/>
          <w:color w:val="auto"/>
          <w:szCs w:val="22"/>
          <w:lang w:val="en-AU" w:eastAsia="en-AU"/>
        </w:rPr>
      </w:pPr>
      <w:r>
        <w:rPr>
          <w:noProof/>
        </w:rPr>
        <w:t>5.</w:t>
      </w:r>
      <w:r>
        <w:rPr>
          <w:rFonts w:asciiTheme="minorHAnsi" w:hAnsiTheme="minorHAnsi" w:cstheme="minorBidi"/>
          <w:noProof/>
          <w:color w:val="auto"/>
          <w:szCs w:val="22"/>
          <w:lang w:val="en-AU" w:eastAsia="en-AU"/>
        </w:rPr>
        <w:tab/>
      </w:r>
      <w:r>
        <w:rPr>
          <w:noProof/>
        </w:rPr>
        <w:t>How to apply</w:t>
      </w:r>
      <w:r>
        <w:rPr>
          <w:noProof/>
        </w:rPr>
        <w:tab/>
      </w:r>
      <w:r>
        <w:rPr>
          <w:noProof/>
        </w:rPr>
        <w:fldChar w:fldCharType="begin"/>
      </w:r>
      <w:r>
        <w:rPr>
          <w:noProof/>
        </w:rPr>
        <w:instrText xml:space="preserve"> PAGEREF _Toc71026841 \h </w:instrText>
      </w:r>
      <w:r>
        <w:rPr>
          <w:noProof/>
        </w:rPr>
      </w:r>
      <w:r>
        <w:rPr>
          <w:noProof/>
        </w:rPr>
        <w:fldChar w:fldCharType="separate"/>
      </w:r>
      <w:r>
        <w:rPr>
          <w:noProof/>
        </w:rPr>
        <w:t>8</w:t>
      </w:r>
      <w:r>
        <w:rPr>
          <w:noProof/>
        </w:rPr>
        <w:fldChar w:fldCharType="end"/>
      </w:r>
    </w:p>
    <w:p w14:paraId="77AD4C91" w14:textId="493FAC1B" w:rsidR="0066577B" w:rsidRDefault="0066577B" w:rsidP="00706C5B">
      <w:pPr>
        <w:pStyle w:val="TOC1"/>
        <w:tabs>
          <w:tab w:val="clear" w:pos="660"/>
          <w:tab w:val="left" w:pos="426"/>
        </w:tabs>
        <w:rPr>
          <w:rFonts w:asciiTheme="minorHAnsi" w:hAnsiTheme="minorHAnsi" w:cstheme="minorBidi"/>
          <w:noProof/>
          <w:color w:val="auto"/>
          <w:szCs w:val="22"/>
          <w:lang w:val="en-AU" w:eastAsia="en-AU"/>
        </w:rPr>
      </w:pPr>
      <w:r>
        <w:rPr>
          <w:noProof/>
        </w:rPr>
        <w:t>6.</w:t>
      </w:r>
      <w:r>
        <w:rPr>
          <w:rFonts w:asciiTheme="minorHAnsi" w:hAnsiTheme="minorHAnsi" w:cstheme="minorBidi"/>
          <w:noProof/>
          <w:color w:val="auto"/>
          <w:szCs w:val="22"/>
          <w:lang w:val="en-AU" w:eastAsia="en-AU"/>
        </w:rPr>
        <w:tab/>
      </w:r>
      <w:r>
        <w:rPr>
          <w:noProof/>
        </w:rPr>
        <w:t>Application Timeline</w:t>
      </w:r>
      <w:r>
        <w:rPr>
          <w:noProof/>
        </w:rPr>
        <w:tab/>
      </w:r>
      <w:r>
        <w:rPr>
          <w:noProof/>
        </w:rPr>
        <w:fldChar w:fldCharType="begin"/>
      </w:r>
      <w:r>
        <w:rPr>
          <w:noProof/>
        </w:rPr>
        <w:instrText xml:space="preserve"> PAGEREF _Toc71026842 \h </w:instrText>
      </w:r>
      <w:r>
        <w:rPr>
          <w:noProof/>
        </w:rPr>
      </w:r>
      <w:r>
        <w:rPr>
          <w:noProof/>
        </w:rPr>
        <w:fldChar w:fldCharType="separate"/>
      </w:r>
      <w:r>
        <w:rPr>
          <w:noProof/>
        </w:rPr>
        <w:t>9</w:t>
      </w:r>
      <w:r>
        <w:rPr>
          <w:noProof/>
        </w:rPr>
        <w:fldChar w:fldCharType="end"/>
      </w:r>
    </w:p>
    <w:p w14:paraId="4E5F5D79" w14:textId="57D7FF33" w:rsidR="0066577B" w:rsidRDefault="0066577B" w:rsidP="00706C5B">
      <w:pPr>
        <w:pStyle w:val="TOC2"/>
        <w:ind w:firstLine="246"/>
        <w:rPr>
          <w:rFonts w:asciiTheme="minorHAnsi" w:hAnsiTheme="minorHAnsi" w:cstheme="minorBidi"/>
          <w:noProof/>
          <w:color w:val="auto"/>
          <w:szCs w:val="22"/>
          <w:lang w:val="en-AU" w:eastAsia="en-AU"/>
        </w:rPr>
      </w:pPr>
      <w:r>
        <w:rPr>
          <w:noProof/>
        </w:rPr>
        <w:t>Successful applications</w:t>
      </w:r>
      <w:r>
        <w:rPr>
          <w:noProof/>
        </w:rPr>
        <w:tab/>
      </w:r>
      <w:r>
        <w:rPr>
          <w:noProof/>
        </w:rPr>
        <w:fldChar w:fldCharType="begin"/>
      </w:r>
      <w:r>
        <w:rPr>
          <w:noProof/>
        </w:rPr>
        <w:instrText xml:space="preserve"> PAGEREF _Toc71026843 \h </w:instrText>
      </w:r>
      <w:r>
        <w:rPr>
          <w:noProof/>
        </w:rPr>
      </w:r>
      <w:r>
        <w:rPr>
          <w:noProof/>
        </w:rPr>
        <w:fldChar w:fldCharType="separate"/>
      </w:r>
      <w:r>
        <w:rPr>
          <w:noProof/>
        </w:rPr>
        <w:t>9</w:t>
      </w:r>
      <w:r>
        <w:rPr>
          <w:noProof/>
        </w:rPr>
        <w:fldChar w:fldCharType="end"/>
      </w:r>
    </w:p>
    <w:p w14:paraId="3B91BC1B" w14:textId="77FB5D8C" w:rsidR="0066577B" w:rsidRDefault="0066577B" w:rsidP="00706C5B">
      <w:pPr>
        <w:pStyle w:val="TOC2"/>
        <w:ind w:firstLine="246"/>
        <w:rPr>
          <w:rFonts w:asciiTheme="minorHAnsi" w:hAnsiTheme="minorHAnsi" w:cstheme="minorBidi"/>
          <w:noProof/>
          <w:color w:val="auto"/>
          <w:szCs w:val="22"/>
          <w:lang w:val="en-AU" w:eastAsia="en-AU"/>
        </w:rPr>
      </w:pPr>
      <w:r>
        <w:rPr>
          <w:noProof/>
        </w:rPr>
        <w:t>Unsuccessful applications</w:t>
      </w:r>
      <w:r>
        <w:rPr>
          <w:noProof/>
        </w:rPr>
        <w:tab/>
      </w:r>
      <w:r>
        <w:rPr>
          <w:noProof/>
        </w:rPr>
        <w:fldChar w:fldCharType="begin"/>
      </w:r>
      <w:r>
        <w:rPr>
          <w:noProof/>
        </w:rPr>
        <w:instrText xml:space="preserve"> PAGEREF _Toc71026844 \h </w:instrText>
      </w:r>
      <w:r>
        <w:rPr>
          <w:noProof/>
        </w:rPr>
      </w:r>
      <w:r>
        <w:rPr>
          <w:noProof/>
        </w:rPr>
        <w:fldChar w:fldCharType="separate"/>
      </w:r>
      <w:r>
        <w:rPr>
          <w:noProof/>
        </w:rPr>
        <w:t>9</w:t>
      </w:r>
      <w:r>
        <w:rPr>
          <w:noProof/>
        </w:rPr>
        <w:fldChar w:fldCharType="end"/>
      </w:r>
    </w:p>
    <w:p w14:paraId="60EA26C8" w14:textId="6F8B0FC3" w:rsidR="0066577B" w:rsidRDefault="0066577B" w:rsidP="00706C5B">
      <w:pPr>
        <w:pStyle w:val="TOC1"/>
        <w:tabs>
          <w:tab w:val="clear" w:pos="660"/>
          <w:tab w:val="left" w:pos="426"/>
        </w:tabs>
        <w:rPr>
          <w:rFonts w:asciiTheme="minorHAnsi" w:hAnsiTheme="minorHAnsi" w:cstheme="minorBidi"/>
          <w:noProof/>
          <w:color w:val="auto"/>
          <w:szCs w:val="22"/>
          <w:lang w:val="en-AU" w:eastAsia="en-AU"/>
        </w:rPr>
      </w:pPr>
      <w:r>
        <w:rPr>
          <w:noProof/>
        </w:rPr>
        <w:t>7.</w:t>
      </w:r>
      <w:r>
        <w:rPr>
          <w:rFonts w:asciiTheme="minorHAnsi" w:hAnsiTheme="minorHAnsi" w:cstheme="minorBidi"/>
          <w:noProof/>
          <w:color w:val="auto"/>
          <w:szCs w:val="22"/>
          <w:lang w:val="en-AU" w:eastAsia="en-AU"/>
        </w:rPr>
        <w:tab/>
      </w:r>
      <w:r>
        <w:rPr>
          <w:noProof/>
        </w:rPr>
        <w:t>Contact information</w:t>
      </w:r>
      <w:r>
        <w:rPr>
          <w:noProof/>
        </w:rPr>
        <w:tab/>
      </w:r>
      <w:r>
        <w:rPr>
          <w:noProof/>
        </w:rPr>
        <w:fldChar w:fldCharType="begin"/>
      </w:r>
      <w:r>
        <w:rPr>
          <w:noProof/>
        </w:rPr>
        <w:instrText xml:space="preserve"> PAGEREF _Toc71026845 \h </w:instrText>
      </w:r>
      <w:r>
        <w:rPr>
          <w:noProof/>
        </w:rPr>
      </w:r>
      <w:r>
        <w:rPr>
          <w:noProof/>
        </w:rPr>
        <w:fldChar w:fldCharType="separate"/>
      </w:r>
      <w:r>
        <w:rPr>
          <w:noProof/>
        </w:rPr>
        <w:t>10</w:t>
      </w:r>
      <w:r>
        <w:rPr>
          <w:noProof/>
        </w:rPr>
        <w:fldChar w:fldCharType="end"/>
      </w:r>
    </w:p>
    <w:p w14:paraId="11DEB1BB" w14:textId="2F373D1F" w:rsidR="0066577B" w:rsidRDefault="0066577B" w:rsidP="00706C5B">
      <w:pPr>
        <w:pStyle w:val="TOC1"/>
        <w:ind w:left="426"/>
        <w:rPr>
          <w:rFonts w:asciiTheme="minorHAnsi" w:hAnsiTheme="minorHAnsi" w:cstheme="minorBidi"/>
          <w:noProof/>
          <w:color w:val="auto"/>
          <w:szCs w:val="22"/>
          <w:lang w:val="en-AU" w:eastAsia="en-AU"/>
        </w:rPr>
      </w:pPr>
      <w:r>
        <w:rPr>
          <w:noProof/>
        </w:rPr>
        <w:t>Appendix A – Frequently Asked Questions</w:t>
      </w:r>
      <w:r>
        <w:rPr>
          <w:noProof/>
        </w:rPr>
        <w:tab/>
      </w:r>
      <w:r>
        <w:rPr>
          <w:noProof/>
        </w:rPr>
        <w:fldChar w:fldCharType="begin"/>
      </w:r>
      <w:r>
        <w:rPr>
          <w:noProof/>
        </w:rPr>
        <w:instrText xml:space="preserve"> PAGEREF _Toc71026846 \h </w:instrText>
      </w:r>
      <w:r>
        <w:rPr>
          <w:noProof/>
        </w:rPr>
      </w:r>
      <w:r>
        <w:rPr>
          <w:noProof/>
        </w:rPr>
        <w:fldChar w:fldCharType="separate"/>
      </w:r>
      <w:r>
        <w:rPr>
          <w:noProof/>
        </w:rPr>
        <w:t>11</w:t>
      </w:r>
      <w:r>
        <w:rPr>
          <w:noProof/>
        </w:rPr>
        <w:fldChar w:fldCharType="end"/>
      </w:r>
    </w:p>
    <w:p w14:paraId="27551C11" w14:textId="20EF4270" w:rsidR="0066577B" w:rsidRDefault="0066577B" w:rsidP="00706C5B">
      <w:pPr>
        <w:pStyle w:val="TOC2"/>
        <w:ind w:left="426"/>
        <w:rPr>
          <w:rFonts w:asciiTheme="minorHAnsi" w:hAnsiTheme="minorHAnsi" w:cstheme="minorBidi"/>
          <w:noProof/>
          <w:color w:val="auto"/>
          <w:szCs w:val="22"/>
          <w:lang w:val="en-AU" w:eastAsia="en-AU"/>
        </w:rPr>
      </w:pPr>
      <w:r w:rsidRPr="00D164B6">
        <w:rPr>
          <w:noProof/>
          <w:lang w:val="en-AU"/>
        </w:rPr>
        <w:t>Eligibility</w:t>
      </w:r>
      <w:r>
        <w:rPr>
          <w:noProof/>
        </w:rPr>
        <w:tab/>
      </w:r>
      <w:r>
        <w:rPr>
          <w:noProof/>
        </w:rPr>
        <w:fldChar w:fldCharType="begin"/>
      </w:r>
      <w:r>
        <w:rPr>
          <w:noProof/>
        </w:rPr>
        <w:instrText xml:space="preserve"> PAGEREF _Toc71026847 \h </w:instrText>
      </w:r>
      <w:r>
        <w:rPr>
          <w:noProof/>
        </w:rPr>
      </w:r>
      <w:r>
        <w:rPr>
          <w:noProof/>
        </w:rPr>
        <w:fldChar w:fldCharType="separate"/>
      </w:r>
      <w:r>
        <w:rPr>
          <w:noProof/>
        </w:rPr>
        <w:t>11</w:t>
      </w:r>
      <w:r>
        <w:rPr>
          <w:noProof/>
        </w:rPr>
        <w:fldChar w:fldCharType="end"/>
      </w:r>
    </w:p>
    <w:p w14:paraId="07227672" w14:textId="5F8E9377" w:rsidR="0066577B" w:rsidRDefault="0066577B" w:rsidP="00706C5B">
      <w:pPr>
        <w:pStyle w:val="TOC2"/>
        <w:ind w:left="426"/>
        <w:rPr>
          <w:rFonts w:asciiTheme="minorHAnsi" w:hAnsiTheme="minorHAnsi" w:cstheme="minorBidi"/>
          <w:noProof/>
          <w:color w:val="auto"/>
          <w:szCs w:val="22"/>
          <w:lang w:val="en-AU" w:eastAsia="en-AU"/>
        </w:rPr>
      </w:pPr>
      <w:r w:rsidRPr="00D164B6">
        <w:rPr>
          <w:noProof/>
          <w:lang w:val="en-AU"/>
        </w:rPr>
        <w:t>Applying for a grant</w:t>
      </w:r>
      <w:r>
        <w:rPr>
          <w:noProof/>
        </w:rPr>
        <w:tab/>
      </w:r>
      <w:r>
        <w:rPr>
          <w:noProof/>
        </w:rPr>
        <w:fldChar w:fldCharType="begin"/>
      </w:r>
      <w:r>
        <w:rPr>
          <w:noProof/>
        </w:rPr>
        <w:instrText xml:space="preserve"> PAGEREF _Toc71026848 \h </w:instrText>
      </w:r>
      <w:r>
        <w:rPr>
          <w:noProof/>
        </w:rPr>
      </w:r>
      <w:r>
        <w:rPr>
          <w:noProof/>
        </w:rPr>
        <w:fldChar w:fldCharType="separate"/>
      </w:r>
      <w:r>
        <w:rPr>
          <w:noProof/>
        </w:rPr>
        <w:t>11</w:t>
      </w:r>
      <w:r>
        <w:rPr>
          <w:noProof/>
        </w:rPr>
        <w:fldChar w:fldCharType="end"/>
      </w:r>
    </w:p>
    <w:p w14:paraId="5026A4B7" w14:textId="25747A2D" w:rsidR="0066577B" w:rsidRDefault="0066577B" w:rsidP="00706C5B">
      <w:pPr>
        <w:pStyle w:val="TOC2"/>
        <w:ind w:left="426"/>
        <w:rPr>
          <w:rFonts w:asciiTheme="minorHAnsi" w:hAnsiTheme="minorHAnsi" w:cstheme="minorBidi"/>
          <w:noProof/>
          <w:color w:val="auto"/>
          <w:szCs w:val="22"/>
          <w:lang w:val="en-AU" w:eastAsia="en-AU"/>
        </w:rPr>
      </w:pPr>
      <w:r w:rsidRPr="00D164B6">
        <w:rPr>
          <w:noProof/>
          <w:lang w:val="en-AU"/>
        </w:rPr>
        <w:t>Funding</w:t>
      </w:r>
      <w:r>
        <w:rPr>
          <w:noProof/>
        </w:rPr>
        <w:tab/>
      </w:r>
      <w:r>
        <w:rPr>
          <w:noProof/>
        </w:rPr>
        <w:fldChar w:fldCharType="begin"/>
      </w:r>
      <w:r>
        <w:rPr>
          <w:noProof/>
        </w:rPr>
        <w:instrText xml:space="preserve"> PAGEREF _Toc71026849 \h </w:instrText>
      </w:r>
      <w:r>
        <w:rPr>
          <w:noProof/>
        </w:rPr>
      </w:r>
      <w:r>
        <w:rPr>
          <w:noProof/>
        </w:rPr>
        <w:fldChar w:fldCharType="separate"/>
      </w:r>
      <w:r>
        <w:rPr>
          <w:noProof/>
        </w:rPr>
        <w:t>12</w:t>
      </w:r>
      <w:r>
        <w:rPr>
          <w:noProof/>
        </w:rPr>
        <w:fldChar w:fldCharType="end"/>
      </w:r>
    </w:p>
    <w:p w14:paraId="7589EE3F" w14:textId="44C1BC0D" w:rsidR="0066577B" w:rsidRDefault="0066577B" w:rsidP="00706C5B">
      <w:pPr>
        <w:pStyle w:val="TOC2"/>
        <w:ind w:left="426"/>
        <w:rPr>
          <w:rFonts w:asciiTheme="minorHAnsi" w:hAnsiTheme="minorHAnsi" w:cstheme="minorBidi"/>
          <w:noProof/>
          <w:color w:val="auto"/>
          <w:szCs w:val="22"/>
          <w:lang w:val="en-AU" w:eastAsia="en-AU"/>
        </w:rPr>
      </w:pPr>
      <w:r w:rsidRPr="00D164B6">
        <w:rPr>
          <w:noProof/>
          <w:lang w:val="en-AU"/>
        </w:rPr>
        <w:t>Establishing a service</w:t>
      </w:r>
      <w:r>
        <w:rPr>
          <w:noProof/>
        </w:rPr>
        <w:tab/>
      </w:r>
      <w:r>
        <w:rPr>
          <w:noProof/>
        </w:rPr>
        <w:fldChar w:fldCharType="begin"/>
      </w:r>
      <w:r>
        <w:rPr>
          <w:noProof/>
        </w:rPr>
        <w:instrText xml:space="preserve"> PAGEREF _Toc71026850 \h </w:instrText>
      </w:r>
      <w:r>
        <w:rPr>
          <w:noProof/>
        </w:rPr>
      </w:r>
      <w:r>
        <w:rPr>
          <w:noProof/>
        </w:rPr>
        <w:fldChar w:fldCharType="separate"/>
      </w:r>
      <w:r>
        <w:rPr>
          <w:noProof/>
        </w:rPr>
        <w:t>14</w:t>
      </w:r>
      <w:r>
        <w:rPr>
          <w:noProof/>
        </w:rPr>
        <w:fldChar w:fldCharType="end"/>
      </w:r>
    </w:p>
    <w:p w14:paraId="4785EB0F" w14:textId="156D07A9" w:rsidR="0066577B" w:rsidRDefault="0066577B" w:rsidP="00706C5B">
      <w:pPr>
        <w:pStyle w:val="TOC1"/>
        <w:ind w:left="426"/>
        <w:rPr>
          <w:rFonts w:asciiTheme="minorHAnsi" w:hAnsiTheme="minorHAnsi" w:cstheme="minorBidi"/>
          <w:noProof/>
          <w:color w:val="auto"/>
          <w:szCs w:val="22"/>
          <w:lang w:val="en-AU" w:eastAsia="en-AU"/>
        </w:rPr>
      </w:pPr>
      <w:r>
        <w:rPr>
          <w:noProof/>
        </w:rPr>
        <w:t>Appendix B – Sample Application</w:t>
      </w:r>
      <w:r>
        <w:rPr>
          <w:noProof/>
        </w:rPr>
        <w:tab/>
      </w:r>
      <w:r>
        <w:rPr>
          <w:noProof/>
        </w:rPr>
        <w:fldChar w:fldCharType="begin"/>
      </w:r>
      <w:r>
        <w:rPr>
          <w:noProof/>
        </w:rPr>
        <w:instrText xml:space="preserve"> PAGEREF _Toc71026851 \h </w:instrText>
      </w:r>
      <w:r>
        <w:rPr>
          <w:noProof/>
        </w:rPr>
      </w:r>
      <w:r>
        <w:rPr>
          <w:noProof/>
        </w:rPr>
        <w:fldChar w:fldCharType="separate"/>
      </w:r>
      <w:r>
        <w:rPr>
          <w:noProof/>
        </w:rPr>
        <w:t>16</w:t>
      </w:r>
      <w:r>
        <w:rPr>
          <w:noProof/>
        </w:rPr>
        <w:fldChar w:fldCharType="end"/>
      </w:r>
    </w:p>
    <w:p w14:paraId="0042E7F9" w14:textId="7797882C" w:rsidR="00DA3218" w:rsidRDefault="00DA3218" w:rsidP="006C68CF">
      <w:pPr>
        <w:pStyle w:val="TOC3"/>
        <w:rPr>
          <w:rFonts w:cstheme="minorHAnsi"/>
          <w:color w:val="7F7F7F" w:themeColor="text1" w:themeTint="80"/>
          <w:sz w:val="13"/>
          <w:szCs w:val="13"/>
        </w:rPr>
      </w:pPr>
      <w:r>
        <w:fldChar w:fldCharType="end"/>
      </w:r>
    </w:p>
    <w:p w14:paraId="717675D3"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5"/>
          <w:footerReference w:type="default" r:id="rId16"/>
          <w:pgSz w:w="11900" w:h="16840"/>
          <w:pgMar w:top="1134" w:right="1134" w:bottom="1701" w:left="1134" w:header="709" w:footer="709" w:gutter="0"/>
          <w:cols w:space="708"/>
          <w:docGrid w:linePitch="360"/>
        </w:sectPr>
      </w:pPr>
    </w:p>
    <w:p w14:paraId="39BBCFA7" w14:textId="61DA6FB2" w:rsidR="00C25CB0" w:rsidRPr="00497043" w:rsidRDefault="00C25CB0" w:rsidP="00C25CB0">
      <w:pPr>
        <w:pStyle w:val="Heading1"/>
        <w:rPr>
          <w:lang w:val="en-AU"/>
        </w:rPr>
      </w:pPr>
      <w:bookmarkStart w:id="0" w:name="_Toc69373399"/>
      <w:bookmarkStart w:id="1" w:name="_Toc71026826"/>
      <w:r w:rsidRPr="005F1539">
        <w:rPr>
          <w:lang w:val="en-AU"/>
        </w:rPr>
        <w:lastRenderedPageBreak/>
        <w:t>1.</w:t>
      </w:r>
      <w:r w:rsidRPr="005F1539">
        <w:rPr>
          <w:lang w:val="en-AU"/>
        </w:rPr>
        <w:tab/>
        <w:t>Introduction</w:t>
      </w:r>
      <w:bookmarkEnd w:id="0"/>
      <w:bookmarkEnd w:id="1"/>
      <w:r>
        <w:rPr>
          <w:lang w:val="en-AU"/>
        </w:rPr>
        <w:t xml:space="preserve"> </w:t>
      </w:r>
    </w:p>
    <w:p w14:paraId="7519FFF3" w14:textId="402EC269" w:rsidR="00C25CB0" w:rsidRPr="00497043" w:rsidRDefault="00C25CB0" w:rsidP="00C25CB0">
      <w:pPr>
        <w:spacing w:before="360"/>
        <w:jc w:val="both"/>
      </w:pPr>
      <w:r w:rsidRPr="00497043">
        <w:t xml:space="preserve">The Department of Education and Training (the Department) has developed these guidelines to support </w:t>
      </w:r>
      <w:r w:rsidR="00437598">
        <w:t xml:space="preserve">Round </w:t>
      </w:r>
      <w:r w:rsidR="00D73742">
        <w:t>3</w:t>
      </w:r>
      <w:r w:rsidR="00437598">
        <w:t xml:space="preserve"> </w:t>
      </w:r>
      <w:r w:rsidRPr="00497043">
        <w:t xml:space="preserve">applicants to apply for a </w:t>
      </w:r>
      <w:r>
        <w:t>grant</w:t>
      </w:r>
      <w:r w:rsidRPr="00497043">
        <w:t xml:space="preserve"> through the</w:t>
      </w:r>
      <w:r>
        <w:t xml:space="preserve"> </w:t>
      </w:r>
      <w:r w:rsidRPr="00EA712F">
        <w:rPr>
          <w:b/>
        </w:rPr>
        <w:t>Outside School Hours Care (OSHC) Establishment Grant initiative</w:t>
      </w:r>
      <w:r w:rsidRPr="00497043">
        <w:t>.</w:t>
      </w:r>
    </w:p>
    <w:p w14:paraId="017D0CA9" w14:textId="2C4D89F8" w:rsidR="00C25CB0" w:rsidRDefault="00E67EE8" w:rsidP="00C25CB0">
      <w:pPr>
        <w:jc w:val="both"/>
      </w:pPr>
      <w:r>
        <w:t xml:space="preserve">Over four rounds the Department </w:t>
      </w:r>
      <w:r w:rsidR="00EA712F">
        <w:t>is providing</w:t>
      </w:r>
      <w:r w:rsidR="00C25CB0">
        <w:t xml:space="preserve"> to 400 grants</w:t>
      </w:r>
      <w:r>
        <w:t xml:space="preserve"> </w:t>
      </w:r>
      <w:r w:rsidR="00EA712F">
        <w:t>to</w:t>
      </w:r>
      <w:r w:rsidR="00C25CB0">
        <w:t xml:space="preserve"> government schools delivering primary aged education to establish new OSHC programs</w:t>
      </w:r>
      <w:r w:rsidR="00951245">
        <w:t>.</w:t>
      </w:r>
      <w:r w:rsidR="00C25CB0">
        <w:t xml:space="preserve"> The initiative aims to provide access to OSHC services for 95% of Victorian government primary school</w:t>
      </w:r>
      <w:r w:rsidR="60AA42A0">
        <w:t xml:space="preserve"> students.</w:t>
      </w:r>
      <w:r w:rsidR="00C25CB0">
        <w:t xml:space="preserve"> </w:t>
      </w:r>
    </w:p>
    <w:p w14:paraId="1DEA5C0D" w14:textId="0F832157" w:rsidR="00437598" w:rsidRPr="00E67EE8" w:rsidRDefault="004E2DBF" w:rsidP="00C25CB0">
      <w:pPr>
        <w:jc w:val="both"/>
      </w:pPr>
      <w:r w:rsidRPr="00EA712F">
        <w:rPr>
          <w:b/>
        </w:rPr>
        <w:t xml:space="preserve">100 </w:t>
      </w:r>
      <w:r w:rsidR="00437598" w:rsidRPr="00EA712F">
        <w:rPr>
          <w:b/>
        </w:rPr>
        <w:t>grants</w:t>
      </w:r>
      <w:r w:rsidR="00437598">
        <w:t xml:space="preserve"> are available as part of </w:t>
      </w:r>
      <w:r w:rsidR="00437598" w:rsidRPr="00EA712F">
        <w:rPr>
          <w:b/>
        </w:rPr>
        <w:t xml:space="preserve">Round </w:t>
      </w:r>
      <w:r w:rsidR="004B1767" w:rsidRPr="00EA712F">
        <w:rPr>
          <w:b/>
        </w:rPr>
        <w:t>3</w:t>
      </w:r>
      <w:r w:rsidR="00437598">
        <w:t>, with successful schools eligible to receive</w:t>
      </w:r>
      <w:r w:rsidR="00951245">
        <w:t xml:space="preserve"> two yearly payments of</w:t>
      </w:r>
      <w:r w:rsidR="00437598">
        <w:t xml:space="preserve"> $75,000 in 2023 and 2024</w:t>
      </w:r>
      <w:r w:rsidR="00951245">
        <w:t>. A</w:t>
      </w:r>
      <w:r w:rsidR="00E67EE8">
        <w:t>dditional funds</w:t>
      </w:r>
      <w:r w:rsidR="00951245">
        <w:t xml:space="preserve"> are</w:t>
      </w:r>
      <w:r w:rsidR="00E67EE8">
        <w:t xml:space="preserve"> available for specialist schools or schools located in outer regional or remote areas.</w:t>
      </w:r>
    </w:p>
    <w:p w14:paraId="0CB664A8" w14:textId="115436C9" w:rsidR="00C25CB0" w:rsidRDefault="00C25CB0" w:rsidP="00C25CB0">
      <w:pPr>
        <w:jc w:val="both"/>
      </w:pPr>
      <w:r>
        <w:t xml:space="preserve">There are many government schools that do not currently offer OSHC services. </w:t>
      </w:r>
      <w:r w:rsidR="00221DF7">
        <w:t>A</w:t>
      </w:r>
      <w:r>
        <w:t>ccess to OSHC services is particularly limited in rural and regional areas</w:t>
      </w:r>
      <w:r w:rsidR="4A0C7C06">
        <w:t>,</w:t>
      </w:r>
      <w:r>
        <w:t xml:space="preserve"> in small schools</w:t>
      </w:r>
      <w:r w:rsidR="3B4EA488">
        <w:t xml:space="preserve"> and in specialist school settings</w:t>
      </w:r>
      <w:r>
        <w:t xml:space="preserve">. The establishment of new OSHC services will support parents and carers to increase their participation in work, study, training or re-enter the workforce. </w:t>
      </w:r>
    </w:p>
    <w:p w14:paraId="4C403046" w14:textId="4F0DB22E" w:rsidR="00C25CB0" w:rsidRPr="00497043" w:rsidRDefault="00C25CB0" w:rsidP="00C25CB0">
      <w:pPr>
        <w:pStyle w:val="Heading2"/>
      </w:pPr>
      <w:bookmarkStart w:id="2" w:name="_Toc33534745"/>
      <w:bookmarkStart w:id="3" w:name="_Toc69373400"/>
      <w:bookmarkStart w:id="4" w:name="_Toc71026827"/>
      <w:r w:rsidRPr="00497043">
        <w:t>Background</w:t>
      </w:r>
      <w:bookmarkEnd w:id="2"/>
      <w:bookmarkEnd w:id="3"/>
      <w:bookmarkEnd w:id="4"/>
    </w:p>
    <w:p w14:paraId="5588C834" w14:textId="31A84CAF" w:rsidR="00C25CB0" w:rsidRDefault="00C25CB0" w:rsidP="00C25CB0">
      <w:pPr>
        <w:jc w:val="both"/>
        <w:rPr>
          <w:rFonts w:cstheme="minorHAnsi"/>
        </w:rPr>
      </w:pPr>
      <w:r w:rsidRPr="00497043">
        <w:rPr>
          <w:rFonts w:cstheme="minorHAnsi"/>
        </w:rPr>
        <w:t>Launched in late 20</w:t>
      </w:r>
      <w:r>
        <w:rPr>
          <w:rFonts w:cstheme="minorHAnsi"/>
        </w:rPr>
        <w:t>20</w:t>
      </w:r>
      <w:r w:rsidRPr="00497043">
        <w:rPr>
          <w:rFonts w:cstheme="minorHAnsi"/>
        </w:rPr>
        <w:t xml:space="preserve"> as part of the </w:t>
      </w:r>
      <w:r w:rsidRPr="00376478">
        <w:rPr>
          <w:rFonts w:cstheme="minorHAnsi"/>
          <w:i/>
        </w:rPr>
        <w:t>2020 COVID-19 Recovery Budget,</w:t>
      </w:r>
      <w:r w:rsidRPr="00497043">
        <w:rPr>
          <w:rFonts w:cstheme="minorHAnsi"/>
          <w:i/>
        </w:rPr>
        <w:t xml:space="preserve"> </w:t>
      </w:r>
      <w:r w:rsidRPr="00497043">
        <w:t xml:space="preserve">the </w:t>
      </w:r>
      <w:r>
        <w:t>OSHC Establishment Grant</w:t>
      </w:r>
      <w:r w:rsidRPr="00497043">
        <w:rPr>
          <w:rFonts w:cstheme="minorHAnsi"/>
        </w:rPr>
        <w:t xml:space="preserve"> initiative provides </w:t>
      </w:r>
      <w:r>
        <w:rPr>
          <w:rFonts w:cstheme="minorHAnsi"/>
        </w:rPr>
        <w:t>grant</w:t>
      </w:r>
      <w:r w:rsidRPr="00497043">
        <w:rPr>
          <w:rFonts w:cstheme="minorHAnsi"/>
        </w:rPr>
        <w:t xml:space="preserve"> funding </w:t>
      </w:r>
      <w:r>
        <w:rPr>
          <w:rFonts w:cstheme="minorHAnsi"/>
        </w:rPr>
        <w:t>to Victorian government schools delivering primary aged education without an existing OSHC program</w:t>
      </w:r>
      <w:r w:rsidRPr="00497043">
        <w:rPr>
          <w:rFonts w:cstheme="minorHAnsi"/>
        </w:rPr>
        <w:t xml:space="preserve">. </w:t>
      </w:r>
    </w:p>
    <w:p w14:paraId="7B756215" w14:textId="77777777" w:rsidR="00C25CB0" w:rsidRPr="008C6EC3" w:rsidRDefault="00C25CB0" w:rsidP="00C25CB0">
      <w:pPr>
        <w:jc w:val="both"/>
        <w:rPr>
          <w:lang w:val="en-AU"/>
        </w:rPr>
      </w:pPr>
      <w:r w:rsidRPr="008C6EC3">
        <w:rPr>
          <w:lang w:val="en-AU"/>
        </w:rPr>
        <w:t xml:space="preserve">OSHC, where available, provides education and care for children outside school hours and during school holidays. By relieving parents of caring responsibility, OSHC facilitates workforce participation, particularly for women who are more likely to reduce the hours they work to care for children. </w:t>
      </w:r>
    </w:p>
    <w:p w14:paraId="2364E8CA" w14:textId="66C6816D" w:rsidR="001F0116" w:rsidRDefault="00C25CB0" w:rsidP="00C25CB0">
      <w:pPr>
        <w:jc w:val="both"/>
        <w:rPr>
          <w:lang w:val="en-AU"/>
        </w:rPr>
      </w:pPr>
      <w:r w:rsidRPr="008C6EC3">
        <w:rPr>
          <w:lang w:val="en-AU"/>
        </w:rPr>
        <w:t>There are a significant number of Victorian children and families who are unable to access an OSHC service in their local community.</w:t>
      </w:r>
      <w:r>
        <w:rPr>
          <w:lang w:val="en-AU"/>
        </w:rPr>
        <w:t xml:space="preserve"> </w:t>
      </w:r>
      <w:r w:rsidRPr="008C6EC3">
        <w:rPr>
          <w:lang w:val="en-AU"/>
        </w:rPr>
        <w:t xml:space="preserve">In 2020, approximately 62% of Victorian government primary schools delivered on-site OSHC programs. </w:t>
      </w:r>
      <w:r w:rsidR="006D37B1">
        <w:rPr>
          <w:lang w:val="en-AU"/>
        </w:rPr>
        <w:t>To</w:t>
      </w:r>
      <w:r w:rsidRPr="008C6EC3">
        <w:rPr>
          <w:lang w:val="en-AU"/>
        </w:rPr>
        <w:t xml:space="preserve"> </w:t>
      </w:r>
      <w:r>
        <w:rPr>
          <w:lang w:val="en-AU"/>
        </w:rPr>
        <w:t>address</w:t>
      </w:r>
      <w:r w:rsidRPr="008C6EC3">
        <w:rPr>
          <w:lang w:val="en-AU"/>
        </w:rPr>
        <w:t xml:space="preserve"> the uneven access to OSHC services, the Andrews Labor Government is investing $81.6 million over four years </w:t>
      </w:r>
      <w:r w:rsidR="001D6632">
        <w:rPr>
          <w:lang w:val="en-AU"/>
        </w:rPr>
        <w:t xml:space="preserve">(2021-2024) </w:t>
      </w:r>
      <w:r w:rsidRPr="008C6EC3">
        <w:rPr>
          <w:lang w:val="en-AU"/>
        </w:rPr>
        <w:t xml:space="preserve">to support the establishment of new OSHC services at up to 400 Victorian government schools. </w:t>
      </w:r>
    </w:p>
    <w:p w14:paraId="097CBD9E" w14:textId="4932C4F9" w:rsidR="00C25CB0" w:rsidRPr="0000631B" w:rsidRDefault="00CA454E" w:rsidP="00C25CB0">
      <w:pPr>
        <w:rPr>
          <w:highlight w:val="yellow"/>
        </w:rPr>
      </w:pPr>
      <w:r>
        <w:rPr>
          <w:highlight w:val="yellow"/>
        </w:rPr>
        <w:t xml:space="preserve"> </w:t>
      </w:r>
    </w:p>
    <w:p w14:paraId="19D6F361" w14:textId="77777777" w:rsidR="00C25CB0" w:rsidRPr="00497043" w:rsidRDefault="00C25CB0" w:rsidP="00C25CB0">
      <w:pPr>
        <w:pStyle w:val="Heading1"/>
      </w:pPr>
      <w:bookmarkStart w:id="5" w:name="_Toc509222575"/>
      <w:bookmarkStart w:id="6" w:name="_Toc33534746"/>
      <w:bookmarkStart w:id="7" w:name="_Toc69373401"/>
      <w:bookmarkStart w:id="8" w:name="_Toc71026828"/>
      <w:r w:rsidRPr="005F1539">
        <w:t>2.</w:t>
      </w:r>
      <w:r w:rsidRPr="005F1539">
        <w:tab/>
      </w:r>
      <w:bookmarkEnd w:id="5"/>
      <w:bookmarkEnd w:id="6"/>
      <w:r>
        <w:t>OSHC Establishment Grants</w:t>
      </w:r>
      <w:bookmarkEnd w:id="7"/>
      <w:bookmarkEnd w:id="8"/>
    </w:p>
    <w:p w14:paraId="664380CA" w14:textId="77777777" w:rsidR="00C25CB0" w:rsidRDefault="00C25CB0" w:rsidP="00C25CB0">
      <w:pPr>
        <w:jc w:val="both"/>
      </w:pPr>
      <w:r w:rsidRPr="007715C3">
        <w:t xml:space="preserve">The OSHC Establishment Grant initiative aims to improve the availability of OSHC services across Victoria, ensuring that all children and families </w:t>
      </w:r>
      <w:r w:rsidR="00CA1573">
        <w:t>can</w:t>
      </w:r>
      <w:r w:rsidRPr="007715C3">
        <w:t xml:space="preserve"> access programs on their school site or in their local area. The Youth Participation Unit (YPU)</w:t>
      </w:r>
      <w:r w:rsidR="000C6FF5">
        <w:t xml:space="preserve"> in Schools and Regional Services</w:t>
      </w:r>
      <w:r w:rsidRPr="007715C3">
        <w:t xml:space="preserve"> manages the grants program, including the application process, assisting successful recipients to manage their grant </w:t>
      </w:r>
      <w:r w:rsidR="00D223E7">
        <w:t>application,</w:t>
      </w:r>
      <w:r w:rsidR="00CA1573">
        <w:t xml:space="preserve"> </w:t>
      </w:r>
      <w:r w:rsidRPr="007715C3">
        <w:t xml:space="preserve">and supporting schools to set up and deliver their OSHC services. </w:t>
      </w:r>
    </w:p>
    <w:p w14:paraId="79B0267B" w14:textId="77777777" w:rsidR="00EA712F" w:rsidRPr="00EA712F" w:rsidRDefault="00EA712F" w:rsidP="00EA712F">
      <w:pPr>
        <w:jc w:val="both"/>
        <w:rPr>
          <w:b/>
          <w:bCs/>
        </w:rPr>
      </w:pPr>
      <w:r w:rsidRPr="00EA712F">
        <w:rPr>
          <w:b/>
          <w:bCs/>
        </w:rPr>
        <w:t>What is being funded?</w:t>
      </w:r>
    </w:p>
    <w:p w14:paraId="75C1231C" w14:textId="77777777" w:rsidR="00EA712F" w:rsidRPr="00EA712F" w:rsidRDefault="00EA712F" w:rsidP="00EA712F">
      <w:pPr>
        <w:jc w:val="both"/>
      </w:pPr>
      <w:r w:rsidRPr="00EA712F">
        <w:t>The OSHC Establishment Grant initiative has four applications rounds. Round 1 of the Initiative closed in February 2021, and Round 2 closed in September 2021.</w:t>
      </w:r>
    </w:p>
    <w:p w14:paraId="565D3574" w14:textId="286F2625" w:rsidR="00BF0DAA" w:rsidRPr="00EA712F" w:rsidRDefault="00EA712F" w:rsidP="00BF0DAA">
      <w:pPr>
        <w:jc w:val="both"/>
      </w:pPr>
      <w:r w:rsidRPr="00EA712F">
        <w:t xml:space="preserve">In Round 3, the Department will provide grants of $75,000 to support the establishment of new OSHC services, expansion of existing OSHC services to provide new OSHC sessions, or access to existing </w:t>
      </w:r>
      <w:r w:rsidRPr="00EA712F">
        <w:lastRenderedPageBreak/>
        <w:t>OSHC off-site, for at least 100 school sites. Schools that successfully receive a grant in Round 3 will receive two yearly payments, in March 2023 and 2024</w:t>
      </w:r>
      <w:bookmarkStart w:id="9" w:name="_Toc509222576"/>
      <w:bookmarkStart w:id="10" w:name="_Toc33534747"/>
    </w:p>
    <w:bookmarkEnd w:id="9"/>
    <w:bookmarkEnd w:id="10"/>
    <w:p w14:paraId="52CD14E8" w14:textId="715804C5" w:rsidR="008D5245" w:rsidRDefault="00C25CB0" w:rsidP="00C25CB0">
      <w:pPr>
        <w:jc w:val="both"/>
      </w:pPr>
      <w:r>
        <w:t>Where the grant application involves a cluster of school</w:t>
      </w:r>
      <w:r w:rsidR="00500C44">
        <w:t xml:space="preserve"> sites and/or</w:t>
      </w:r>
      <w:r w:rsidR="00AE3166">
        <w:t xml:space="preserve"> </w:t>
      </w:r>
      <w:r w:rsidR="00AC5765">
        <w:t xml:space="preserve">multiple campuses of the same school, </w:t>
      </w:r>
      <w:r w:rsidR="00500C44">
        <w:t>the total amount of funding increases to</w:t>
      </w:r>
      <w:r w:rsidR="002F17BD">
        <w:t xml:space="preserve"> $75,000 per school </w:t>
      </w:r>
      <w:r w:rsidR="002E5626">
        <w:t>or campus</w:t>
      </w:r>
      <w:r w:rsidR="00500C44">
        <w:t>. For instance, if a service is established at one government school that also could be used by a second nearby government school, $150,000 is available to support both the delivery of the service but also transport from the second school.</w:t>
      </w:r>
    </w:p>
    <w:p w14:paraId="496F828C" w14:textId="370CAD79" w:rsidR="00BA3C0E" w:rsidRDefault="00BA3C0E" w:rsidP="00C25CB0">
      <w:pPr>
        <w:jc w:val="both"/>
      </w:pPr>
      <w:r>
        <w:t>In recognition of staffing challenges at certain types of schools</w:t>
      </w:r>
      <w:r w:rsidR="00E472B1">
        <w:t xml:space="preserve"> to establish a financially viable OSHC service</w:t>
      </w:r>
      <w:r>
        <w:t>, additional funds are available to the following types of schools:</w:t>
      </w:r>
    </w:p>
    <w:p w14:paraId="518282DD" w14:textId="39C98199" w:rsidR="00076265" w:rsidRDefault="00BA3C0E" w:rsidP="00076265">
      <w:pPr>
        <w:pStyle w:val="ListParagraph"/>
        <w:numPr>
          <w:ilvl w:val="0"/>
          <w:numId w:val="34"/>
        </w:numPr>
        <w:jc w:val="both"/>
      </w:pPr>
      <w:r>
        <w:t xml:space="preserve">$25,000 for schools located in an area </w:t>
      </w:r>
      <w:r w:rsidR="00EB6182">
        <w:t>designated as “</w:t>
      </w:r>
      <w:r w:rsidR="006817AD">
        <w:t xml:space="preserve">Outer Regional” or “Remote” under the </w:t>
      </w:r>
      <w:r w:rsidR="006817AD">
        <w:rPr>
          <w:rFonts w:ascii="Arial" w:hAnsi="Arial" w:cs="Arial"/>
          <w:color w:val="333333"/>
          <w:shd w:val="clear" w:color="auto" w:fill="FFFFFF"/>
        </w:rPr>
        <w:t>Accessibility and Remoteness Index of Australia (ARIA+).</w:t>
      </w:r>
    </w:p>
    <w:p w14:paraId="6D597630" w14:textId="1EDB2FB6" w:rsidR="009B110B" w:rsidRDefault="006E7122" w:rsidP="003E1F55">
      <w:pPr>
        <w:pStyle w:val="ListParagraph"/>
        <w:numPr>
          <w:ilvl w:val="0"/>
          <w:numId w:val="34"/>
        </w:numPr>
        <w:jc w:val="both"/>
      </w:pPr>
      <w:r>
        <w:t>$30,000</w:t>
      </w:r>
      <w:r w:rsidR="009B110B">
        <w:t xml:space="preserve"> for specialist schools (note: a school cannot receive both the specialist and remote allowances).</w:t>
      </w:r>
    </w:p>
    <w:p w14:paraId="2D7760B3" w14:textId="42E7040E" w:rsidR="00D40BB1" w:rsidRDefault="00D40BB1" w:rsidP="009B110B">
      <w:pPr>
        <w:jc w:val="both"/>
      </w:pPr>
      <w:r>
        <w:t>Cap amounts are exclusive of GST.</w:t>
      </w:r>
    </w:p>
    <w:p w14:paraId="6BDC7B52" w14:textId="77777777" w:rsidR="00C25CB0" w:rsidRDefault="00C25CB0" w:rsidP="00C25CB0">
      <w:pPr>
        <w:jc w:val="both"/>
      </w:pPr>
      <w:r>
        <w:t xml:space="preserve">Grants can be used towards establishment and operational costs, including any of the following: </w:t>
      </w:r>
    </w:p>
    <w:p w14:paraId="0473F7DF" w14:textId="168B7C9B" w:rsidR="00C25CB0" w:rsidRDefault="00FE7AE8" w:rsidP="001D233D">
      <w:pPr>
        <w:pStyle w:val="ListParagraph"/>
        <w:numPr>
          <w:ilvl w:val="0"/>
          <w:numId w:val="11"/>
        </w:numPr>
        <w:jc w:val="both"/>
      </w:pPr>
      <w:r>
        <w:t>S</w:t>
      </w:r>
      <w:r w:rsidR="00C25CB0">
        <w:t>taffing costs (wages/salary and benefits) of educators and administration staff</w:t>
      </w:r>
      <w:r>
        <w:t>.</w:t>
      </w:r>
    </w:p>
    <w:p w14:paraId="6FF8DBE2" w14:textId="1D02F26B" w:rsidR="00C25CB0" w:rsidRDefault="00FE7AE8" w:rsidP="001D233D">
      <w:pPr>
        <w:pStyle w:val="ListParagraph"/>
        <w:numPr>
          <w:ilvl w:val="0"/>
          <w:numId w:val="11"/>
        </w:numPr>
        <w:jc w:val="both"/>
      </w:pPr>
      <w:r>
        <w:t>L</w:t>
      </w:r>
      <w:r w:rsidR="00C25CB0">
        <w:t>icence</w:t>
      </w:r>
      <w:r w:rsidR="005553D5">
        <w:t xml:space="preserve"> or accreditation</w:t>
      </w:r>
      <w:r w:rsidR="00C25CB0">
        <w:t xml:space="preserve"> fees</w:t>
      </w:r>
      <w:r w:rsidR="005553D5">
        <w:t>, e.g. regulatory approval of the service</w:t>
      </w:r>
      <w:r>
        <w:t>.</w:t>
      </w:r>
    </w:p>
    <w:p w14:paraId="39185DF2" w14:textId="6AA5EEAB" w:rsidR="00C25CB0" w:rsidRDefault="001F0116" w:rsidP="001D233D">
      <w:pPr>
        <w:pStyle w:val="ListParagraph"/>
        <w:numPr>
          <w:ilvl w:val="0"/>
          <w:numId w:val="11"/>
        </w:numPr>
        <w:jc w:val="both"/>
      </w:pPr>
      <w:r>
        <w:t>P</w:t>
      </w:r>
      <w:r w:rsidR="00C25CB0">
        <w:t>rogram management and administration costs</w:t>
      </w:r>
      <w:r>
        <w:t>.</w:t>
      </w:r>
    </w:p>
    <w:p w14:paraId="76D8D5AB" w14:textId="014F931F" w:rsidR="00C25CB0" w:rsidRDefault="001F0116" w:rsidP="001D233D">
      <w:pPr>
        <w:pStyle w:val="ListParagraph"/>
        <w:numPr>
          <w:ilvl w:val="0"/>
          <w:numId w:val="11"/>
        </w:numPr>
        <w:jc w:val="both"/>
      </w:pPr>
      <w:r>
        <w:t>R</w:t>
      </w:r>
      <w:r w:rsidR="00C25CB0">
        <w:t>esources and/or equipment, e.g. toys, games, art supplies, sports equipment, books</w:t>
      </w:r>
      <w:r>
        <w:t>.</w:t>
      </w:r>
    </w:p>
    <w:p w14:paraId="7789E945" w14:textId="46A4448E" w:rsidR="00C25CB0" w:rsidRDefault="001F0116" w:rsidP="001D233D">
      <w:pPr>
        <w:pStyle w:val="ListParagraph"/>
        <w:numPr>
          <w:ilvl w:val="0"/>
          <w:numId w:val="11"/>
        </w:numPr>
        <w:jc w:val="both"/>
      </w:pPr>
      <w:r>
        <w:t>T</w:t>
      </w:r>
      <w:r w:rsidR="00C25CB0">
        <w:t>ransport (for both government and non-government students)</w:t>
      </w:r>
      <w:r>
        <w:t>.</w:t>
      </w:r>
    </w:p>
    <w:p w14:paraId="00C6E87E" w14:textId="0C3755FB" w:rsidR="00C25CB0" w:rsidRDefault="001F0116" w:rsidP="001D233D">
      <w:pPr>
        <w:pStyle w:val="ListParagraph"/>
        <w:numPr>
          <w:ilvl w:val="0"/>
          <w:numId w:val="11"/>
        </w:numPr>
        <w:jc w:val="both"/>
      </w:pPr>
      <w:r>
        <w:t>F</w:t>
      </w:r>
      <w:r w:rsidR="00C25CB0">
        <w:t xml:space="preserve">ood </w:t>
      </w:r>
      <w:r>
        <w:t xml:space="preserve">provision. </w:t>
      </w:r>
    </w:p>
    <w:p w14:paraId="69D1D6F4" w14:textId="43340AEE" w:rsidR="00C25CB0" w:rsidRDefault="001F0116" w:rsidP="001D233D">
      <w:pPr>
        <w:pStyle w:val="ListParagraph"/>
        <w:numPr>
          <w:ilvl w:val="0"/>
          <w:numId w:val="11"/>
        </w:numPr>
        <w:jc w:val="both"/>
      </w:pPr>
      <w:r>
        <w:t>P</w:t>
      </w:r>
      <w:r w:rsidR="00C25CB0">
        <w:t>rograms/activities to attract or retain enrolments, including incursions and excursions</w:t>
      </w:r>
      <w:r>
        <w:t>.</w:t>
      </w:r>
    </w:p>
    <w:p w14:paraId="020437F3" w14:textId="5AE399C0" w:rsidR="009E5867" w:rsidRDefault="001F0116" w:rsidP="001F0116">
      <w:pPr>
        <w:pStyle w:val="ListParagraph"/>
        <w:jc w:val="both"/>
      </w:pPr>
      <w:r>
        <w:t>Rent</w:t>
      </w:r>
      <w:r w:rsidR="009E5867">
        <w:t xml:space="preserve"> or hire fees (if the service is proposed to run off school premises)</w:t>
      </w:r>
      <w:r>
        <w:t>.</w:t>
      </w:r>
    </w:p>
    <w:p w14:paraId="32303CCA" w14:textId="32AC94B8" w:rsidR="00C25CB0" w:rsidRDefault="001F0116" w:rsidP="001D233D">
      <w:pPr>
        <w:pStyle w:val="ListParagraph"/>
        <w:numPr>
          <w:ilvl w:val="0"/>
          <w:numId w:val="11"/>
        </w:numPr>
        <w:jc w:val="both"/>
      </w:pPr>
      <w:r>
        <w:t>T</w:t>
      </w:r>
      <w:r w:rsidR="00C25CB0">
        <w:t>raining and professional development:</w:t>
      </w:r>
    </w:p>
    <w:p w14:paraId="7F98D0C5" w14:textId="209CECD4" w:rsidR="00C25CB0" w:rsidRDefault="00C25CB0" w:rsidP="001D233D">
      <w:pPr>
        <w:pStyle w:val="ListParagraph"/>
        <w:numPr>
          <w:ilvl w:val="1"/>
          <w:numId w:val="11"/>
        </w:numPr>
        <w:jc w:val="both"/>
      </w:pPr>
      <w:r>
        <w:t>supporting educators to obtain required qualifications</w:t>
      </w:r>
    </w:p>
    <w:p w14:paraId="248E0908" w14:textId="3F364DBE" w:rsidR="00C25CB0" w:rsidRDefault="00C25CB0" w:rsidP="001D233D">
      <w:pPr>
        <w:pStyle w:val="ListParagraph"/>
        <w:numPr>
          <w:ilvl w:val="1"/>
          <w:numId w:val="11"/>
        </w:numPr>
        <w:jc w:val="both"/>
      </w:pPr>
      <w:r>
        <w:t>professional development for staff involved in the delivery of services</w:t>
      </w:r>
    </w:p>
    <w:p w14:paraId="77FD4E4C" w14:textId="21514BDD" w:rsidR="00C25CB0" w:rsidRDefault="00C25CB0" w:rsidP="001D233D">
      <w:pPr>
        <w:pStyle w:val="ListParagraph"/>
        <w:numPr>
          <w:ilvl w:val="1"/>
          <w:numId w:val="11"/>
        </w:numPr>
        <w:jc w:val="both"/>
      </w:pPr>
      <w:r>
        <w:t>networking or engaging with other services or professional bodies</w:t>
      </w:r>
    </w:p>
    <w:p w14:paraId="31CABEB8" w14:textId="21D21CE7" w:rsidR="00506584" w:rsidRDefault="00C25CB0" w:rsidP="00506584">
      <w:pPr>
        <w:pStyle w:val="ListParagraph"/>
        <w:numPr>
          <w:ilvl w:val="1"/>
          <w:numId w:val="11"/>
        </w:numPr>
        <w:jc w:val="both"/>
      </w:pPr>
      <w:r>
        <w:t>purchasing training in specific areas relevant to service's needs (i.e. Indigenous children, cultural awareness training)</w:t>
      </w:r>
      <w:r w:rsidR="001F0116">
        <w:t>.</w:t>
      </w:r>
    </w:p>
    <w:p w14:paraId="039BD88F" w14:textId="7867935F" w:rsidR="00506584" w:rsidRDefault="00C25CB0" w:rsidP="00506584">
      <w:pPr>
        <w:pStyle w:val="ListParagraph"/>
        <w:numPr>
          <w:ilvl w:val="0"/>
          <w:numId w:val="30"/>
        </w:numPr>
        <w:jc w:val="both"/>
      </w:pPr>
      <w:r>
        <w:t>Facility upgrades</w:t>
      </w:r>
      <w:r w:rsidR="008E6CFF">
        <w:t xml:space="preserve"> required to deliver </w:t>
      </w:r>
      <w:r w:rsidR="003F03C9">
        <w:t>an OSHC program</w:t>
      </w:r>
      <w:r>
        <w:t xml:space="preserve">, e.g. built-in storage, minor renovations, purchasing appliances such as a washing machine, dryer, refrigerator, fencing or gates, </w:t>
      </w:r>
      <w:r w:rsidR="00D223E7">
        <w:t>gardening,</w:t>
      </w:r>
      <w:r>
        <w:t xml:space="preserve"> or natural environment, play equipment, shade sails.</w:t>
      </w:r>
      <w:r w:rsidR="00A96DC4">
        <w:t xml:space="preserve"> </w:t>
      </w:r>
    </w:p>
    <w:p w14:paraId="52B3A301" w14:textId="7C839A95" w:rsidR="00C25CB0" w:rsidRPr="00EA712F" w:rsidRDefault="00A96DC4" w:rsidP="00506584">
      <w:pPr>
        <w:jc w:val="both"/>
        <w:rPr>
          <w:b/>
          <w:i/>
        </w:rPr>
      </w:pPr>
      <w:r w:rsidRPr="00EA712F">
        <w:rPr>
          <w:b/>
          <w:i/>
        </w:rPr>
        <w:t xml:space="preserve">Note: schools should </w:t>
      </w:r>
      <w:r w:rsidR="00880735" w:rsidRPr="00EA712F">
        <w:rPr>
          <w:b/>
          <w:i/>
        </w:rPr>
        <w:t xml:space="preserve">discuss any proposed upgrades with their contact at the VSBA prior to </w:t>
      </w:r>
      <w:r w:rsidR="00292500" w:rsidRPr="00EA712F">
        <w:rPr>
          <w:b/>
          <w:i/>
        </w:rPr>
        <w:t>applying</w:t>
      </w:r>
      <w:r w:rsidR="00880735" w:rsidRPr="00EA712F">
        <w:rPr>
          <w:b/>
          <w:i/>
        </w:rPr>
        <w:t xml:space="preserve">. </w:t>
      </w:r>
      <w:r w:rsidR="00437598" w:rsidRPr="00EA712F">
        <w:rPr>
          <w:b/>
          <w:i/>
        </w:rPr>
        <w:t>A</w:t>
      </w:r>
      <w:r w:rsidR="00C25CB0" w:rsidRPr="00EA712F">
        <w:rPr>
          <w:b/>
          <w:i/>
        </w:rPr>
        <w:t xml:space="preserve">ny facility upgrades or other one-off costs will only be paid in the first grant payment, so schools are advised to </w:t>
      </w:r>
      <w:r w:rsidR="00596195" w:rsidRPr="00EA712F">
        <w:rPr>
          <w:b/>
          <w:i/>
        </w:rPr>
        <w:t xml:space="preserve">allocate grant money </w:t>
      </w:r>
      <w:r w:rsidR="00121823" w:rsidRPr="00EA712F">
        <w:rPr>
          <w:b/>
          <w:i/>
        </w:rPr>
        <w:t xml:space="preserve">for other purposes </w:t>
      </w:r>
      <w:r w:rsidR="00D85B42" w:rsidRPr="00EA712F">
        <w:rPr>
          <w:b/>
          <w:i/>
        </w:rPr>
        <w:t xml:space="preserve">in </w:t>
      </w:r>
      <w:r w:rsidR="00121823" w:rsidRPr="00EA712F">
        <w:rPr>
          <w:b/>
          <w:i/>
        </w:rPr>
        <w:t>the second year of funding</w:t>
      </w:r>
      <w:r w:rsidR="00C25CB0" w:rsidRPr="00EA712F">
        <w:rPr>
          <w:b/>
          <w:i/>
        </w:rPr>
        <w:t>.</w:t>
      </w:r>
      <w:r w:rsidR="00596195" w:rsidRPr="00EA712F">
        <w:rPr>
          <w:b/>
          <w:i/>
        </w:rPr>
        <w:t xml:space="preserve"> </w:t>
      </w:r>
    </w:p>
    <w:p w14:paraId="508131CF" w14:textId="2A8418BF" w:rsidR="00C25CB0" w:rsidRDefault="00C25CB0" w:rsidP="00C25CB0">
      <w:pPr>
        <w:jc w:val="both"/>
      </w:pPr>
      <w:r>
        <w:t xml:space="preserve">OSHC </w:t>
      </w:r>
      <w:r w:rsidR="001F0116">
        <w:t>services</w:t>
      </w:r>
      <w:r>
        <w:t xml:space="preserve"> established utilising grant funding are expected to charge a fee for service and seek rebates through the Commonwealth Child Care Subsidy (CCS) scheme. Where successful applicants are proposing OSHC programs that are delivered by third party providers, local arrangements can be negotiated to transfer funding. </w:t>
      </w:r>
    </w:p>
    <w:p w14:paraId="42FC44A3" w14:textId="77777777" w:rsidR="00EA712F" w:rsidRDefault="00C25CB0" w:rsidP="00EA712F">
      <w:pPr>
        <w:jc w:val="both"/>
      </w:pPr>
      <w:r w:rsidRPr="00582ABB">
        <w:t xml:space="preserve">Example budgets have been included </w:t>
      </w:r>
      <w:r w:rsidR="001F0116">
        <w:t xml:space="preserve">in </w:t>
      </w:r>
      <w:r w:rsidRPr="00582ABB">
        <w:rPr>
          <w:b/>
          <w:bCs/>
        </w:rPr>
        <w:t>Figure 1</w:t>
      </w:r>
      <w:r w:rsidRPr="00582ABB">
        <w:t xml:space="preserve"> to support you in developing you</w:t>
      </w:r>
      <w:r>
        <w:t>r</w:t>
      </w:r>
      <w:r w:rsidRPr="00582ABB">
        <w:t xml:space="preserve"> application</w:t>
      </w:r>
      <w:bookmarkStart w:id="11" w:name="_Toc509222579"/>
      <w:bookmarkStart w:id="12" w:name="_Toc33534752"/>
      <w:r w:rsidRPr="00582ABB">
        <w:t>. These examples also detail the funding categories and limits.</w:t>
      </w:r>
      <w:bookmarkEnd w:id="11"/>
      <w:bookmarkEnd w:id="12"/>
    </w:p>
    <w:p w14:paraId="5399B991" w14:textId="66D4B742" w:rsidR="001F0116" w:rsidRDefault="001F0116" w:rsidP="00EA712F">
      <w:pPr>
        <w:jc w:val="both"/>
      </w:pPr>
    </w:p>
    <w:tbl>
      <w:tblPr>
        <w:tblStyle w:val="TableGridLight1"/>
        <w:tblW w:w="0" w:type="auto"/>
        <w:tblLook w:val="04A0" w:firstRow="1" w:lastRow="0" w:firstColumn="1" w:lastColumn="0" w:noHBand="0" w:noVBand="1"/>
      </w:tblPr>
      <w:tblGrid>
        <w:gridCol w:w="9622"/>
      </w:tblGrid>
      <w:tr w:rsidR="001F0116" w14:paraId="7885D549" w14:textId="77777777" w:rsidTr="001F0116">
        <w:tc>
          <w:tcPr>
            <w:tcW w:w="9622" w:type="dxa"/>
          </w:tcPr>
          <w:p w14:paraId="51E91A05" w14:textId="77777777" w:rsidR="00EA712F" w:rsidRPr="00D760D4" w:rsidRDefault="00EA712F" w:rsidP="001F0116">
            <w:pPr>
              <w:pStyle w:val="Heading2"/>
              <w:rPr>
                <w:sz w:val="22"/>
                <w:szCs w:val="22"/>
              </w:rPr>
            </w:pPr>
            <w:bookmarkStart w:id="13" w:name="_Toc71026830"/>
            <w:r w:rsidRPr="00EA712F">
              <w:rPr>
                <w:sz w:val="24"/>
                <w:szCs w:val="24"/>
              </w:rPr>
              <w:lastRenderedPageBreak/>
              <w:t>Fig</w:t>
            </w:r>
            <w:r w:rsidRPr="00D760D4">
              <w:rPr>
                <w:sz w:val="22"/>
                <w:szCs w:val="22"/>
              </w:rPr>
              <w:t xml:space="preserve">ure 1- Example Budgets </w:t>
            </w:r>
          </w:p>
          <w:p w14:paraId="2651F2DC" w14:textId="24A10FD5" w:rsidR="001F0116" w:rsidRPr="00D760D4" w:rsidRDefault="001F0116" w:rsidP="001F0116">
            <w:pPr>
              <w:pStyle w:val="Heading2"/>
              <w:rPr>
                <w:sz w:val="22"/>
                <w:szCs w:val="22"/>
              </w:rPr>
            </w:pPr>
            <w:r w:rsidRPr="00D760D4">
              <w:rPr>
                <w:rFonts w:asciiTheme="minorHAnsi" w:hAnsiTheme="minorHAnsi" w:cstheme="minorBidi"/>
                <w:caps/>
                <w:color w:val="E57100" w:themeColor="accent1"/>
                <w:sz w:val="22"/>
                <w:szCs w:val="22"/>
              </w:rPr>
              <w:t>Budget example 1 – single school application</w:t>
            </w:r>
            <w:bookmarkEnd w:id="13"/>
          </w:p>
          <w:p w14:paraId="30DEA2D0" w14:textId="77777777" w:rsidR="001F0116" w:rsidRPr="00D760D4" w:rsidRDefault="001F0116" w:rsidP="001F0116">
            <w:pPr>
              <w:jc w:val="both"/>
              <w:rPr>
                <w:szCs w:val="22"/>
              </w:rPr>
            </w:pPr>
            <w:r w:rsidRPr="00D760D4">
              <w:rPr>
                <w:szCs w:val="22"/>
              </w:rPr>
              <w:t>A single school can apply for up to $75,000. As part of the application process, schools are required to outline how they propose to spend the funding, with the expenditure broken down by category, i.e. the cost of an educator/coordinator would fall into the “Staffing costs” category.</w:t>
            </w:r>
          </w:p>
          <w:p w14:paraId="6818C493" w14:textId="77777777" w:rsidR="001F0116" w:rsidRPr="00D760D4" w:rsidRDefault="001F0116" w:rsidP="001F0116">
            <w:pPr>
              <w:spacing w:after="0"/>
              <w:jc w:val="center"/>
              <w:rPr>
                <w:rFonts w:ascii="Calibri" w:eastAsia="Times New Roman" w:hAnsi="Calibri" w:cs="Calibri"/>
                <w:b/>
                <w:bCs/>
                <w:color w:val="E57100" w:themeColor="accent1"/>
                <w:szCs w:val="22"/>
                <w:lang w:val="en-AU" w:eastAsia="en-GB"/>
              </w:rPr>
            </w:pPr>
          </w:p>
          <w:p w14:paraId="193A3264" w14:textId="77777777" w:rsidR="001F0116" w:rsidRPr="00D760D4" w:rsidRDefault="001F0116" w:rsidP="001F0116">
            <w:pPr>
              <w:spacing w:after="0"/>
              <w:jc w:val="center"/>
              <w:rPr>
                <w:rFonts w:ascii="Calibri" w:eastAsia="Times New Roman" w:hAnsi="Calibri" w:cs="Calibri"/>
                <w:b/>
                <w:bCs/>
                <w:color w:val="E57100" w:themeColor="accent1"/>
                <w:szCs w:val="22"/>
                <w:lang w:val="en-AU" w:eastAsia="en-GB"/>
              </w:rPr>
            </w:pPr>
            <w:r w:rsidRPr="00D760D4">
              <w:rPr>
                <w:rFonts w:ascii="Calibri" w:eastAsia="Times New Roman" w:hAnsi="Calibri" w:cs="Calibri"/>
                <w:b/>
                <w:bCs/>
                <w:color w:val="E57100" w:themeColor="accent1"/>
                <w:szCs w:val="22"/>
                <w:lang w:val="en-AU" w:eastAsia="en-GB"/>
              </w:rPr>
              <w:t>&lt;NAME&gt; PRIMARY SCHOOL OSHC ESTABLISHMENT GRANT BUDGET</w:t>
            </w:r>
            <w:r w:rsidRPr="00D760D4">
              <w:rPr>
                <w:rFonts w:ascii="Calibri" w:eastAsia="Times New Roman" w:hAnsi="Calibri" w:cs="Calibri"/>
                <w:b/>
                <w:bCs/>
                <w:color w:val="E57100" w:themeColor="accent1"/>
                <w:szCs w:val="22"/>
                <w:lang w:val="en-AU" w:eastAsia="en-GB"/>
              </w:rPr>
              <w:br/>
            </w:r>
          </w:p>
          <w:tbl>
            <w:tblPr>
              <w:tblStyle w:val="TableGrid"/>
              <w:tblW w:w="10060" w:type="dxa"/>
              <w:tblLook w:val="04A0" w:firstRow="1" w:lastRow="0" w:firstColumn="1" w:lastColumn="0" w:noHBand="0" w:noVBand="1"/>
            </w:tblPr>
            <w:tblGrid>
              <w:gridCol w:w="3114"/>
              <w:gridCol w:w="5103"/>
              <w:gridCol w:w="1843"/>
            </w:tblGrid>
            <w:tr w:rsidR="001F0116" w:rsidRPr="00D760D4" w14:paraId="4072DADB" w14:textId="77777777" w:rsidTr="00047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8ABEAE3" w14:textId="77777777" w:rsidR="001F0116" w:rsidRPr="00D760D4" w:rsidRDefault="001F0116" w:rsidP="001F0116">
                  <w:pPr>
                    <w:pStyle w:val="TableHead"/>
                    <w:rPr>
                      <w:rFonts w:asciiTheme="majorHAnsi" w:hAnsiTheme="majorHAnsi" w:cstheme="majorHAnsi"/>
                      <w:szCs w:val="22"/>
                    </w:rPr>
                  </w:pPr>
                  <w:r w:rsidRPr="00D760D4">
                    <w:rPr>
                      <w:rFonts w:asciiTheme="majorHAnsi" w:hAnsiTheme="majorHAnsi" w:cstheme="majorHAnsi"/>
                      <w:szCs w:val="22"/>
                    </w:rPr>
                    <w:t>Funding category</w:t>
                  </w:r>
                </w:p>
              </w:tc>
              <w:tc>
                <w:tcPr>
                  <w:tcW w:w="5103" w:type="dxa"/>
                </w:tcPr>
                <w:p w14:paraId="265EE806" w14:textId="77777777" w:rsidR="001F0116" w:rsidRPr="00D760D4" w:rsidRDefault="001F0116" w:rsidP="001F0116">
                  <w:pPr>
                    <w:pStyle w:val="TableHea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760D4">
                    <w:rPr>
                      <w:rFonts w:asciiTheme="majorHAnsi" w:hAnsiTheme="majorHAnsi" w:cstheme="majorHAnsi"/>
                      <w:szCs w:val="22"/>
                    </w:rPr>
                    <w:t>Description</w:t>
                  </w:r>
                </w:p>
              </w:tc>
              <w:tc>
                <w:tcPr>
                  <w:tcW w:w="1843" w:type="dxa"/>
                </w:tcPr>
                <w:p w14:paraId="21F7F4B0" w14:textId="77777777" w:rsidR="001F0116" w:rsidRPr="00D760D4" w:rsidRDefault="001F0116" w:rsidP="001F0116">
                  <w:pPr>
                    <w:pStyle w:val="TableHea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760D4">
                    <w:rPr>
                      <w:rFonts w:asciiTheme="majorHAnsi" w:hAnsiTheme="majorHAnsi" w:cstheme="majorHAnsi"/>
                      <w:szCs w:val="22"/>
                    </w:rPr>
                    <w:t>Cost</w:t>
                  </w:r>
                </w:p>
              </w:tc>
            </w:tr>
            <w:tr w:rsidR="001F0116" w:rsidRPr="00D760D4" w14:paraId="37359FC6" w14:textId="77777777" w:rsidTr="00047A6D">
              <w:tc>
                <w:tcPr>
                  <w:cnfStyle w:val="001000000000" w:firstRow="0" w:lastRow="0" w:firstColumn="1" w:lastColumn="0" w:oddVBand="0" w:evenVBand="0" w:oddHBand="0" w:evenHBand="0" w:firstRowFirstColumn="0" w:firstRowLastColumn="0" w:lastRowFirstColumn="0" w:lastRowLastColumn="0"/>
                  <w:tcW w:w="3114" w:type="dxa"/>
                </w:tcPr>
                <w:p w14:paraId="1142D203" w14:textId="77777777" w:rsidR="001F0116" w:rsidRPr="00D760D4" w:rsidRDefault="001F0116" w:rsidP="001F0116">
                  <w:pPr>
                    <w:pStyle w:val="TableHead"/>
                    <w:rPr>
                      <w:rFonts w:asciiTheme="majorHAnsi" w:hAnsiTheme="majorHAnsi" w:cstheme="majorHAnsi"/>
                      <w:b w:val="0"/>
                      <w:bCs/>
                      <w:color w:val="auto"/>
                      <w:szCs w:val="22"/>
                    </w:rPr>
                  </w:pPr>
                  <w:r w:rsidRPr="00D760D4">
                    <w:rPr>
                      <w:rFonts w:asciiTheme="majorHAnsi" w:eastAsia="Times New Roman" w:hAnsiTheme="majorHAnsi" w:cstheme="majorHAnsi"/>
                      <w:b w:val="0"/>
                      <w:bCs/>
                      <w:color w:val="auto"/>
                      <w:szCs w:val="22"/>
                      <w:lang w:eastAsia="en-GB"/>
                    </w:rPr>
                    <w:t>STAFFING</w:t>
                  </w:r>
                </w:p>
              </w:tc>
              <w:tc>
                <w:tcPr>
                  <w:tcW w:w="5103" w:type="dxa"/>
                </w:tcPr>
                <w:p w14:paraId="4B7F7762" w14:textId="2B31176C"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lang w:val="en-AU"/>
                    </w:rPr>
                  </w:pPr>
                  <w:r w:rsidRPr="00D760D4">
                    <w:rPr>
                      <w:rFonts w:asciiTheme="majorHAnsi" w:eastAsia="Times New Roman" w:hAnsiTheme="majorHAnsi" w:cstheme="majorHAnsi"/>
                      <w:szCs w:val="22"/>
                      <w:lang w:val="en-AU" w:eastAsia="en-GB"/>
                    </w:rPr>
                    <w:t xml:space="preserve">1 </w:t>
                  </w:r>
                  <w:r w:rsidR="00D760D4">
                    <w:rPr>
                      <w:rFonts w:asciiTheme="majorHAnsi" w:eastAsia="Times New Roman" w:hAnsiTheme="majorHAnsi" w:cstheme="majorHAnsi"/>
                      <w:szCs w:val="22"/>
                      <w:lang w:val="en-AU" w:eastAsia="en-GB"/>
                    </w:rPr>
                    <w:t xml:space="preserve">x </w:t>
                  </w:r>
                  <w:r w:rsidRPr="00D760D4">
                    <w:rPr>
                      <w:rFonts w:asciiTheme="majorHAnsi" w:eastAsia="Times New Roman" w:hAnsiTheme="majorHAnsi" w:cstheme="majorHAnsi"/>
                      <w:szCs w:val="22"/>
                      <w:lang w:val="en-AU" w:eastAsia="en-GB"/>
                    </w:rPr>
                    <w:t>staff member as coordinator, incl. salary and on-costs</w:t>
                  </w:r>
                </w:p>
              </w:tc>
              <w:tc>
                <w:tcPr>
                  <w:tcW w:w="1843" w:type="dxa"/>
                </w:tcPr>
                <w:p w14:paraId="7413D093" w14:textId="77777777"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lang w:val="en-AU"/>
                    </w:rPr>
                  </w:pPr>
                  <w:r w:rsidRPr="00D760D4">
                    <w:rPr>
                      <w:rFonts w:asciiTheme="majorHAnsi" w:eastAsia="Times New Roman" w:hAnsiTheme="majorHAnsi" w:cstheme="majorHAnsi"/>
                      <w:szCs w:val="22"/>
                      <w:lang w:val="en-AU" w:eastAsia="en-GB"/>
                    </w:rPr>
                    <w:t>$66,641</w:t>
                  </w:r>
                </w:p>
              </w:tc>
            </w:tr>
            <w:tr w:rsidR="001F0116" w:rsidRPr="00D760D4" w14:paraId="5E702476" w14:textId="77777777" w:rsidTr="00047A6D">
              <w:tc>
                <w:tcPr>
                  <w:cnfStyle w:val="001000000000" w:firstRow="0" w:lastRow="0" w:firstColumn="1" w:lastColumn="0" w:oddVBand="0" w:evenVBand="0" w:oddHBand="0" w:evenHBand="0" w:firstRowFirstColumn="0" w:firstRowLastColumn="0" w:lastRowFirstColumn="0" w:lastRowLastColumn="0"/>
                  <w:tcW w:w="3114" w:type="dxa"/>
                </w:tcPr>
                <w:p w14:paraId="1F3F38E3" w14:textId="77777777" w:rsidR="001F0116" w:rsidRPr="00D760D4" w:rsidRDefault="001F0116" w:rsidP="001F0116">
                  <w:pPr>
                    <w:pStyle w:val="TableHead"/>
                    <w:rPr>
                      <w:rFonts w:asciiTheme="majorHAnsi" w:hAnsiTheme="majorHAnsi" w:cstheme="majorHAnsi"/>
                      <w:b w:val="0"/>
                      <w:bCs/>
                      <w:color w:val="auto"/>
                      <w:szCs w:val="22"/>
                    </w:rPr>
                  </w:pPr>
                  <w:r w:rsidRPr="00D760D4">
                    <w:rPr>
                      <w:rFonts w:asciiTheme="majorHAnsi" w:eastAsia="Times New Roman" w:hAnsiTheme="majorHAnsi" w:cstheme="majorHAnsi"/>
                      <w:b w:val="0"/>
                      <w:bCs/>
                      <w:color w:val="auto"/>
                      <w:szCs w:val="22"/>
                      <w:lang w:eastAsia="en-GB"/>
                    </w:rPr>
                    <w:t>LICENCE FEES</w:t>
                  </w:r>
                </w:p>
              </w:tc>
              <w:tc>
                <w:tcPr>
                  <w:tcW w:w="5103" w:type="dxa"/>
                  <w:vAlign w:val="center"/>
                </w:tcPr>
                <w:p w14:paraId="57761AA7" w14:textId="77777777"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lang w:val="en-AU"/>
                    </w:rPr>
                  </w:pPr>
                  <w:r w:rsidRPr="00D760D4">
                    <w:rPr>
                      <w:rFonts w:asciiTheme="majorHAnsi" w:eastAsia="Times New Roman" w:hAnsiTheme="majorHAnsi" w:cstheme="majorHAnsi"/>
                      <w:szCs w:val="22"/>
                      <w:lang w:val="en-AU" w:eastAsia="en-GB"/>
                    </w:rPr>
                    <w:t>Regulatory authority annual fee</w:t>
                  </w:r>
                </w:p>
              </w:tc>
              <w:tc>
                <w:tcPr>
                  <w:tcW w:w="1843" w:type="dxa"/>
                  <w:vAlign w:val="center"/>
                </w:tcPr>
                <w:p w14:paraId="68E96FBA" w14:textId="77777777"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lang w:val="en-AU"/>
                    </w:rPr>
                  </w:pPr>
                  <w:r w:rsidRPr="00D760D4">
                    <w:rPr>
                      <w:rFonts w:asciiTheme="majorHAnsi" w:eastAsia="Times New Roman" w:hAnsiTheme="majorHAnsi" w:cstheme="majorHAnsi"/>
                      <w:szCs w:val="22"/>
                      <w:lang w:val="en-AU" w:eastAsia="en-GB"/>
                    </w:rPr>
                    <w:t>$211</w:t>
                  </w:r>
                </w:p>
              </w:tc>
            </w:tr>
            <w:tr w:rsidR="001F0116" w:rsidRPr="00D760D4" w14:paraId="381ABCDE" w14:textId="77777777" w:rsidTr="00047A6D">
              <w:tc>
                <w:tcPr>
                  <w:cnfStyle w:val="001000000000" w:firstRow="0" w:lastRow="0" w:firstColumn="1" w:lastColumn="0" w:oddVBand="0" w:evenVBand="0" w:oddHBand="0" w:evenHBand="0" w:firstRowFirstColumn="0" w:firstRowLastColumn="0" w:lastRowFirstColumn="0" w:lastRowLastColumn="0"/>
                  <w:tcW w:w="3114" w:type="dxa"/>
                </w:tcPr>
                <w:p w14:paraId="0F33A04E" w14:textId="77777777" w:rsidR="001F0116" w:rsidRPr="00D760D4" w:rsidRDefault="001F0116" w:rsidP="001F0116">
                  <w:pPr>
                    <w:pStyle w:val="TableHead"/>
                    <w:rPr>
                      <w:rFonts w:asciiTheme="majorHAnsi" w:hAnsiTheme="majorHAnsi" w:cstheme="majorHAnsi"/>
                      <w:b w:val="0"/>
                      <w:bCs/>
                      <w:color w:val="auto"/>
                      <w:szCs w:val="22"/>
                    </w:rPr>
                  </w:pPr>
                  <w:r w:rsidRPr="00D760D4">
                    <w:rPr>
                      <w:rFonts w:asciiTheme="majorHAnsi" w:eastAsia="Times New Roman" w:hAnsiTheme="majorHAnsi" w:cstheme="majorHAnsi"/>
                      <w:b w:val="0"/>
                      <w:bCs/>
                      <w:color w:val="auto"/>
                      <w:szCs w:val="22"/>
                      <w:lang w:eastAsia="en-GB"/>
                    </w:rPr>
                    <w:t>FOOD</w:t>
                  </w:r>
                </w:p>
              </w:tc>
              <w:tc>
                <w:tcPr>
                  <w:tcW w:w="5103" w:type="dxa"/>
                </w:tcPr>
                <w:p w14:paraId="4A999738" w14:textId="77777777"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lang w:val="en-AU"/>
                    </w:rPr>
                  </w:pPr>
                  <w:r w:rsidRPr="00D760D4">
                    <w:rPr>
                      <w:rFonts w:asciiTheme="majorHAnsi" w:eastAsia="Times New Roman" w:hAnsiTheme="majorHAnsi" w:cstheme="majorHAnsi"/>
                      <w:szCs w:val="22"/>
                      <w:lang w:val="en-AU" w:eastAsia="en-GB"/>
                    </w:rPr>
                    <w:t>Groceries for food preparation</w:t>
                  </w:r>
                </w:p>
              </w:tc>
              <w:tc>
                <w:tcPr>
                  <w:tcW w:w="1843" w:type="dxa"/>
                </w:tcPr>
                <w:p w14:paraId="014B12BE" w14:textId="77777777"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lang w:val="en-AU"/>
                    </w:rPr>
                  </w:pPr>
                  <w:r w:rsidRPr="00D760D4">
                    <w:rPr>
                      <w:rFonts w:asciiTheme="majorHAnsi" w:eastAsia="Times New Roman" w:hAnsiTheme="majorHAnsi" w:cstheme="majorHAnsi"/>
                      <w:szCs w:val="22"/>
                      <w:lang w:val="en-AU" w:eastAsia="en-GB"/>
                    </w:rPr>
                    <w:t>$4,399</w:t>
                  </w:r>
                </w:p>
              </w:tc>
            </w:tr>
            <w:tr w:rsidR="001F0116" w:rsidRPr="00D760D4" w14:paraId="591078B4" w14:textId="77777777" w:rsidTr="00047A6D">
              <w:tc>
                <w:tcPr>
                  <w:cnfStyle w:val="001000000000" w:firstRow="0" w:lastRow="0" w:firstColumn="1" w:lastColumn="0" w:oddVBand="0" w:evenVBand="0" w:oddHBand="0" w:evenHBand="0" w:firstRowFirstColumn="0" w:firstRowLastColumn="0" w:lastRowFirstColumn="0" w:lastRowLastColumn="0"/>
                  <w:tcW w:w="3114" w:type="dxa"/>
                </w:tcPr>
                <w:p w14:paraId="74CC732D" w14:textId="77777777" w:rsidR="001F0116" w:rsidRPr="00D760D4" w:rsidRDefault="001F0116" w:rsidP="001F0116">
                  <w:pPr>
                    <w:pStyle w:val="TableHead"/>
                    <w:rPr>
                      <w:rFonts w:asciiTheme="majorHAnsi" w:hAnsiTheme="majorHAnsi" w:cstheme="majorHAnsi"/>
                      <w:b w:val="0"/>
                      <w:bCs/>
                      <w:color w:val="auto"/>
                      <w:szCs w:val="22"/>
                    </w:rPr>
                  </w:pPr>
                  <w:r w:rsidRPr="00D760D4">
                    <w:rPr>
                      <w:rFonts w:asciiTheme="majorHAnsi" w:eastAsia="Times New Roman" w:hAnsiTheme="majorHAnsi" w:cstheme="majorHAnsi"/>
                      <w:b w:val="0"/>
                      <w:bCs/>
                      <w:color w:val="auto"/>
                      <w:szCs w:val="22"/>
                      <w:lang w:eastAsia="en-GB"/>
                    </w:rPr>
                    <w:t xml:space="preserve">PROGRAMS/ACTIVITIES  </w:t>
                  </w:r>
                </w:p>
              </w:tc>
              <w:tc>
                <w:tcPr>
                  <w:tcW w:w="5103" w:type="dxa"/>
                </w:tcPr>
                <w:p w14:paraId="626B8B8B" w14:textId="77777777"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lang w:val="en-AU"/>
                    </w:rPr>
                  </w:pPr>
                  <w:r w:rsidRPr="00D760D4">
                    <w:rPr>
                      <w:rFonts w:asciiTheme="majorHAnsi" w:eastAsia="Times New Roman" w:hAnsiTheme="majorHAnsi" w:cstheme="majorHAnsi"/>
                      <w:szCs w:val="22"/>
                      <w:lang w:val="en-AU" w:eastAsia="en-GB"/>
                    </w:rPr>
                    <w:t>Art/craft equipment</w:t>
                  </w:r>
                </w:p>
              </w:tc>
              <w:tc>
                <w:tcPr>
                  <w:tcW w:w="1843" w:type="dxa"/>
                </w:tcPr>
                <w:p w14:paraId="52D5399F" w14:textId="77777777"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lang w:val="en-AU"/>
                    </w:rPr>
                  </w:pPr>
                  <w:r w:rsidRPr="00D760D4">
                    <w:rPr>
                      <w:rFonts w:asciiTheme="majorHAnsi" w:eastAsia="Times New Roman" w:hAnsiTheme="majorHAnsi" w:cstheme="majorHAnsi"/>
                      <w:szCs w:val="22"/>
                      <w:lang w:val="en-AU" w:eastAsia="en-GB"/>
                    </w:rPr>
                    <w:t>$1,000</w:t>
                  </w:r>
                </w:p>
              </w:tc>
            </w:tr>
            <w:tr w:rsidR="001F0116" w:rsidRPr="00D760D4" w14:paraId="21F8F248" w14:textId="77777777" w:rsidTr="00047A6D">
              <w:tc>
                <w:tcPr>
                  <w:cnfStyle w:val="001000000000" w:firstRow="0" w:lastRow="0" w:firstColumn="1" w:lastColumn="0" w:oddVBand="0" w:evenVBand="0" w:oddHBand="0" w:evenHBand="0" w:firstRowFirstColumn="0" w:firstRowLastColumn="0" w:lastRowFirstColumn="0" w:lastRowLastColumn="0"/>
                  <w:tcW w:w="3114" w:type="dxa"/>
                </w:tcPr>
                <w:p w14:paraId="67F37977" w14:textId="77777777" w:rsidR="001F0116" w:rsidRPr="00D760D4" w:rsidRDefault="001F0116" w:rsidP="001F0116">
                  <w:pPr>
                    <w:pStyle w:val="TableHead"/>
                    <w:rPr>
                      <w:rFonts w:asciiTheme="majorHAnsi" w:hAnsiTheme="majorHAnsi" w:cstheme="majorHAnsi"/>
                      <w:b w:val="0"/>
                      <w:bCs/>
                      <w:color w:val="auto"/>
                      <w:szCs w:val="22"/>
                    </w:rPr>
                  </w:pPr>
                </w:p>
              </w:tc>
              <w:tc>
                <w:tcPr>
                  <w:tcW w:w="5103" w:type="dxa"/>
                </w:tcPr>
                <w:p w14:paraId="0287AF8A" w14:textId="77777777"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lang w:val="en-AU"/>
                    </w:rPr>
                  </w:pPr>
                  <w:r w:rsidRPr="00D760D4">
                    <w:rPr>
                      <w:rFonts w:asciiTheme="majorHAnsi" w:eastAsia="Times New Roman" w:hAnsiTheme="majorHAnsi" w:cstheme="majorHAnsi"/>
                      <w:szCs w:val="22"/>
                      <w:lang w:val="en-AU" w:eastAsia="en-GB"/>
                    </w:rPr>
                    <w:t>Sports equipment</w:t>
                  </w:r>
                </w:p>
              </w:tc>
              <w:tc>
                <w:tcPr>
                  <w:tcW w:w="1843" w:type="dxa"/>
                </w:tcPr>
                <w:p w14:paraId="2A65E46D" w14:textId="77777777"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lang w:val="en-AU"/>
                    </w:rPr>
                  </w:pPr>
                  <w:r w:rsidRPr="00D760D4">
                    <w:rPr>
                      <w:rFonts w:asciiTheme="majorHAnsi" w:eastAsia="Times New Roman" w:hAnsiTheme="majorHAnsi" w:cstheme="majorHAnsi"/>
                      <w:szCs w:val="22"/>
                      <w:lang w:val="en-AU" w:eastAsia="en-GB"/>
                    </w:rPr>
                    <w:t>$1,500</w:t>
                  </w:r>
                </w:p>
              </w:tc>
            </w:tr>
            <w:tr w:rsidR="001F0116" w:rsidRPr="00D760D4" w14:paraId="39A5B409" w14:textId="77777777" w:rsidTr="00047A6D">
              <w:tc>
                <w:tcPr>
                  <w:cnfStyle w:val="001000000000" w:firstRow="0" w:lastRow="0" w:firstColumn="1" w:lastColumn="0" w:oddVBand="0" w:evenVBand="0" w:oddHBand="0" w:evenHBand="0" w:firstRowFirstColumn="0" w:firstRowLastColumn="0" w:lastRowFirstColumn="0" w:lastRowLastColumn="0"/>
                  <w:tcW w:w="3114" w:type="dxa"/>
                </w:tcPr>
                <w:p w14:paraId="667385FA" w14:textId="77777777" w:rsidR="001F0116" w:rsidRPr="00D760D4" w:rsidRDefault="001F0116" w:rsidP="001F0116">
                  <w:pPr>
                    <w:rPr>
                      <w:rFonts w:asciiTheme="majorHAnsi" w:hAnsiTheme="majorHAnsi" w:cstheme="majorHAnsi"/>
                      <w:bCs/>
                      <w:color w:val="auto"/>
                      <w:szCs w:val="22"/>
                      <w:lang w:val="en-AU"/>
                    </w:rPr>
                  </w:pPr>
                  <w:r w:rsidRPr="00D760D4">
                    <w:rPr>
                      <w:rFonts w:asciiTheme="majorHAnsi" w:eastAsia="Times New Roman" w:hAnsiTheme="majorHAnsi" w:cstheme="majorHAnsi"/>
                      <w:bCs/>
                      <w:color w:val="auto"/>
                      <w:szCs w:val="22"/>
                      <w:lang w:val="en-AU" w:eastAsia="en-GB"/>
                    </w:rPr>
                    <w:t>FACILITIES UPGRADE</w:t>
                  </w:r>
                </w:p>
              </w:tc>
              <w:tc>
                <w:tcPr>
                  <w:tcW w:w="5103" w:type="dxa"/>
                </w:tcPr>
                <w:p w14:paraId="78E7AF25" w14:textId="77777777"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lang w:val="en-AU"/>
                    </w:rPr>
                  </w:pPr>
                  <w:r w:rsidRPr="00D760D4">
                    <w:rPr>
                      <w:rFonts w:asciiTheme="majorHAnsi" w:eastAsia="Times New Roman" w:hAnsiTheme="majorHAnsi" w:cstheme="majorHAnsi"/>
                      <w:szCs w:val="22"/>
                      <w:lang w:val="en-AU" w:eastAsia="en-GB"/>
                    </w:rPr>
                    <w:t>Additional maintenance</w:t>
                  </w:r>
                </w:p>
              </w:tc>
              <w:tc>
                <w:tcPr>
                  <w:tcW w:w="1843" w:type="dxa"/>
                </w:tcPr>
                <w:p w14:paraId="6B370AC9" w14:textId="77777777"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lang w:val="en-AU"/>
                    </w:rPr>
                  </w:pPr>
                  <w:r w:rsidRPr="00D760D4">
                    <w:rPr>
                      <w:rFonts w:asciiTheme="majorHAnsi" w:eastAsia="Times New Roman" w:hAnsiTheme="majorHAnsi" w:cstheme="majorHAnsi"/>
                      <w:szCs w:val="22"/>
                      <w:lang w:val="en-AU" w:eastAsia="en-GB"/>
                    </w:rPr>
                    <w:t>$4,000</w:t>
                  </w:r>
                </w:p>
              </w:tc>
            </w:tr>
            <w:tr w:rsidR="001F0116" w:rsidRPr="00D760D4" w14:paraId="0D28CFEC" w14:textId="77777777" w:rsidTr="00047A6D">
              <w:tc>
                <w:tcPr>
                  <w:cnfStyle w:val="001000000000" w:firstRow="0" w:lastRow="0" w:firstColumn="1" w:lastColumn="0" w:oddVBand="0" w:evenVBand="0" w:oddHBand="0" w:evenHBand="0" w:firstRowFirstColumn="0" w:firstRowLastColumn="0" w:lastRowFirstColumn="0" w:lastRowLastColumn="0"/>
                  <w:tcW w:w="8217" w:type="dxa"/>
                  <w:gridSpan w:val="2"/>
                </w:tcPr>
                <w:p w14:paraId="24F89038" w14:textId="77777777" w:rsidR="001F0116" w:rsidRPr="00D760D4" w:rsidRDefault="001F0116" w:rsidP="001F0116">
                  <w:pPr>
                    <w:rPr>
                      <w:rFonts w:asciiTheme="majorHAnsi" w:eastAsia="Times New Roman" w:hAnsiTheme="majorHAnsi" w:cstheme="majorHAnsi"/>
                      <w:color w:val="auto"/>
                      <w:szCs w:val="22"/>
                      <w:lang w:val="en-AU" w:eastAsia="en-GB"/>
                    </w:rPr>
                  </w:pPr>
                  <w:r w:rsidRPr="00D760D4">
                    <w:rPr>
                      <w:rFonts w:asciiTheme="majorHAnsi" w:eastAsia="Times New Roman" w:hAnsiTheme="majorHAnsi" w:cstheme="majorHAnsi"/>
                      <w:b/>
                      <w:bCs/>
                      <w:color w:val="auto"/>
                      <w:szCs w:val="22"/>
                      <w:lang w:val="en-AU" w:eastAsia="en-GB"/>
                    </w:rPr>
                    <w:t>TOTAL</w:t>
                  </w:r>
                </w:p>
              </w:tc>
              <w:tc>
                <w:tcPr>
                  <w:tcW w:w="1843" w:type="dxa"/>
                </w:tcPr>
                <w:p w14:paraId="6EC16ABD" w14:textId="77777777"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lang w:val="en-AU"/>
                    </w:rPr>
                  </w:pPr>
                  <w:r w:rsidRPr="00D760D4">
                    <w:rPr>
                      <w:rFonts w:asciiTheme="majorHAnsi" w:eastAsia="Times New Roman" w:hAnsiTheme="majorHAnsi" w:cstheme="majorHAnsi"/>
                      <w:b/>
                      <w:bCs/>
                      <w:szCs w:val="22"/>
                      <w:lang w:val="en-AU" w:eastAsia="en-GB"/>
                    </w:rPr>
                    <w:t>$75,000</w:t>
                  </w:r>
                </w:p>
              </w:tc>
            </w:tr>
          </w:tbl>
          <w:p w14:paraId="71BD3C91" w14:textId="77777777" w:rsidR="001F0116" w:rsidRPr="00D760D4" w:rsidRDefault="001F0116" w:rsidP="001F0116">
            <w:pPr>
              <w:jc w:val="both"/>
              <w:rPr>
                <w:szCs w:val="22"/>
              </w:rPr>
            </w:pPr>
          </w:p>
          <w:p w14:paraId="03C96A7C" w14:textId="77777777" w:rsidR="001F0116" w:rsidRPr="00D760D4" w:rsidRDefault="001F0116" w:rsidP="001F0116">
            <w:pPr>
              <w:pStyle w:val="Heading2"/>
              <w:rPr>
                <w:sz w:val="22"/>
                <w:szCs w:val="22"/>
              </w:rPr>
            </w:pPr>
            <w:bookmarkStart w:id="14" w:name="_Toc71026831"/>
            <w:r w:rsidRPr="00D760D4">
              <w:rPr>
                <w:rFonts w:asciiTheme="minorHAnsi" w:hAnsiTheme="minorHAnsi" w:cstheme="minorHAnsi"/>
                <w:caps/>
                <w:color w:val="E57100" w:themeColor="accent1"/>
                <w:sz w:val="22"/>
                <w:szCs w:val="22"/>
              </w:rPr>
              <w:t>Budget example 2 – multiple school (cluster) application</w:t>
            </w:r>
            <w:bookmarkEnd w:id="14"/>
          </w:p>
          <w:p w14:paraId="6106C86C" w14:textId="77777777" w:rsidR="001F0116" w:rsidRPr="00D760D4" w:rsidRDefault="001F0116" w:rsidP="001F0116">
            <w:pPr>
              <w:jc w:val="both"/>
              <w:rPr>
                <w:szCs w:val="22"/>
              </w:rPr>
            </w:pPr>
            <w:r w:rsidRPr="00D760D4">
              <w:rPr>
                <w:szCs w:val="22"/>
              </w:rPr>
              <w:t>This is an example budget for a grant application for two eligible government schools applying together in a cluster arrangement, with the higher cap of $150,000. Note that while a school may partner with one or more non-government schools to deliver a service, eligibility for the increased amount of funding requires at least two eligible government schools in the cluster.</w:t>
            </w:r>
          </w:p>
          <w:p w14:paraId="5C43CBF9" w14:textId="77777777" w:rsidR="001F0116" w:rsidRPr="00D760D4" w:rsidRDefault="001F0116" w:rsidP="001F0116">
            <w:pPr>
              <w:spacing w:after="0"/>
              <w:jc w:val="center"/>
              <w:rPr>
                <w:rFonts w:ascii="Calibri" w:eastAsia="Times New Roman" w:hAnsi="Calibri" w:cs="Calibri"/>
                <w:b/>
                <w:bCs/>
                <w:color w:val="E57100" w:themeColor="accent1"/>
                <w:szCs w:val="22"/>
                <w:lang w:val="en-AU" w:eastAsia="en-GB"/>
              </w:rPr>
            </w:pPr>
            <w:r w:rsidRPr="00D760D4">
              <w:rPr>
                <w:rFonts w:ascii="Calibri" w:eastAsia="Times New Roman" w:hAnsi="Calibri" w:cs="Calibri"/>
                <w:b/>
                <w:bCs/>
                <w:color w:val="E57100" w:themeColor="accent1"/>
                <w:szCs w:val="22"/>
                <w:lang w:val="en-AU" w:eastAsia="en-GB"/>
              </w:rPr>
              <w:t>&lt;NAME&gt; PRIMARY SCHOOL OSHC ESTABLISHMENT GRANT BUDGET</w:t>
            </w:r>
            <w:r w:rsidRPr="00D760D4">
              <w:rPr>
                <w:rFonts w:ascii="Calibri" w:eastAsia="Times New Roman" w:hAnsi="Calibri" w:cs="Calibri"/>
                <w:b/>
                <w:bCs/>
                <w:color w:val="E57100" w:themeColor="accent1"/>
                <w:szCs w:val="22"/>
                <w:lang w:val="en-AU" w:eastAsia="en-GB"/>
              </w:rPr>
              <w:br/>
            </w:r>
          </w:p>
          <w:tbl>
            <w:tblPr>
              <w:tblStyle w:val="TableGrid"/>
              <w:tblW w:w="10060" w:type="dxa"/>
              <w:tblLook w:val="04A0" w:firstRow="1" w:lastRow="0" w:firstColumn="1" w:lastColumn="0" w:noHBand="0" w:noVBand="1"/>
            </w:tblPr>
            <w:tblGrid>
              <w:gridCol w:w="3114"/>
              <w:gridCol w:w="5103"/>
              <w:gridCol w:w="1843"/>
            </w:tblGrid>
            <w:tr w:rsidR="001F0116" w:rsidRPr="00D760D4" w14:paraId="6F4489AD" w14:textId="77777777" w:rsidTr="00047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FF4E926" w14:textId="77777777" w:rsidR="001F0116" w:rsidRPr="00D760D4" w:rsidRDefault="001F0116" w:rsidP="001F0116">
                  <w:pPr>
                    <w:pStyle w:val="TableHead"/>
                    <w:rPr>
                      <w:rFonts w:ascii="Arial" w:hAnsi="Arial" w:cs="Arial"/>
                      <w:szCs w:val="22"/>
                    </w:rPr>
                  </w:pPr>
                  <w:r w:rsidRPr="00D760D4">
                    <w:rPr>
                      <w:rFonts w:ascii="Arial" w:hAnsi="Arial" w:cs="Arial"/>
                      <w:szCs w:val="22"/>
                    </w:rPr>
                    <w:t>Funding category</w:t>
                  </w:r>
                </w:p>
              </w:tc>
              <w:tc>
                <w:tcPr>
                  <w:tcW w:w="5103" w:type="dxa"/>
                </w:tcPr>
                <w:p w14:paraId="61A11A8A" w14:textId="77777777" w:rsidR="001F0116" w:rsidRPr="00D760D4" w:rsidRDefault="001F0116" w:rsidP="001F0116">
                  <w:pPr>
                    <w:pStyle w:val="TableHead"/>
                    <w:cnfStyle w:val="100000000000" w:firstRow="1" w:lastRow="0" w:firstColumn="0" w:lastColumn="0" w:oddVBand="0" w:evenVBand="0" w:oddHBand="0" w:evenHBand="0" w:firstRowFirstColumn="0" w:firstRowLastColumn="0" w:lastRowFirstColumn="0" w:lastRowLastColumn="0"/>
                    <w:rPr>
                      <w:rFonts w:ascii="Arial" w:hAnsi="Arial" w:cs="Arial"/>
                      <w:szCs w:val="22"/>
                    </w:rPr>
                  </w:pPr>
                  <w:r w:rsidRPr="00D760D4">
                    <w:rPr>
                      <w:rFonts w:ascii="Arial" w:hAnsi="Arial" w:cs="Arial"/>
                      <w:szCs w:val="22"/>
                    </w:rPr>
                    <w:t>Description</w:t>
                  </w:r>
                </w:p>
              </w:tc>
              <w:tc>
                <w:tcPr>
                  <w:tcW w:w="1843" w:type="dxa"/>
                </w:tcPr>
                <w:p w14:paraId="7C8401C3" w14:textId="77777777" w:rsidR="001F0116" w:rsidRPr="00D760D4" w:rsidRDefault="001F0116" w:rsidP="001F0116">
                  <w:pPr>
                    <w:pStyle w:val="TableHead"/>
                    <w:cnfStyle w:val="100000000000" w:firstRow="1" w:lastRow="0" w:firstColumn="0" w:lastColumn="0" w:oddVBand="0" w:evenVBand="0" w:oddHBand="0" w:evenHBand="0" w:firstRowFirstColumn="0" w:firstRowLastColumn="0" w:lastRowFirstColumn="0" w:lastRowLastColumn="0"/>
                    <w:rPr>
                      <w:rFonts w:ascii="Arial" w:hAnsi="Arial" w:cs="Arial"/>
                      <w:szCs w:val="22"/>
                    </w:rPr>
                  </w:pPr>
                  <w:r w:rsidRPr="00D760D4">
                    <w:rPr>
                      <w:rFonts w:ascii="Arial" w:hAnsi="Arial" w:cs="Arial"/>
                      <w:szCs w:val="22"/>
                    </w:rPr>
                    <w:t>Cost</w:t>
                  </w:r>
                </w:p>
              </w:tc>
            </w:tr>
            <w:tr w:rsidR="001F0116" w:rsidRPr="00D760D4" w14:paraId="0DC5753E" w14:textId="77777777" w:rsidTr="00047A6D">
              <w:tc>
                <w:tcPr>
                  <w:cnfStyle w:val="001000000000" w:firstRow="0" w:lastRow="0" w:firstColumn="1" w:lastColumn="0" w:oddVBand="0" w:evenVBand="0" w:oddHBand="0" w:evenHBand="0" w:firstRowFirstColumn="0" w:firstRowLastColumn="0" w:lastRowFirstColumn="0" w:lastRowLastColumn="0"/>
                  <w:tcW w:w="3114" w:type="dxa"/>
                </w:tcPr>
                <w:p w14:paraId="3362AB28" w14:textId="77777777" w:rsidR="001F0116" w:rsidRPr="00D760D4" w:rsidRDefault="001F0116" w:rsidP="001F0116">
                  <w:pPr>
                    <w:pStyle w:val="TableHead"/>
                    <w:rPr>
                      <w:rFonts w:ascii="Arial" w:hAnsi="Arial" w:cs="Arial"/>
                      <w:b w:val="0"/>
                      <w:bCs/>
                      <w:color w:val="auto"/>
                      <w:szCs w:val="22"/>
                    </w:rPr>
                  </w:pPr>
                  <w:r w:rsidRPr="00D760D4">
                    <w:rPr>
                      <w:rFonts w:ascii="Arial" w:eastAsia="Times New Roman" w:hAnsi="Arial" w:cs="Arial"/>
                      <w:b w:val="0"/>
                      <w:bCs/>
                      <w:color w:val="auto"/>
                      <w:szCs w:val="22"/>
                      <w:lang w:eastAsia="en-GB"/>
                    </w:rPr>
                    <w:t>STAFFING</w:t>
                  </w:r>
                </w:p>
              </w:tc>
              <w:tc>
                <w:tcPr>
                  <w:tcW w:w="5103" w:type="dxa"/>
                </w:tcPr>
                <w:p w14:paraId="6B4CFA5D" w14:textId="77777777"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D760D4">
                    <w:rPr>
                      <w:rFonts w:ascii="Arial" w:eastAsia="Times New Roman" w:hAnsi="Arial" w:cs="Arial"/>
                      <w:szCs w:val="22"/>
                      <w:lang w:val="en-AU" w:eastAsia="en-GB"/>
                    </w:rPr>
                    <w:t>1 staff member as coordinator,</w:t>
                  </w:r>
                  <w:r w:rsidRPr="00D760D4">
                    <w:rPr>
                      <w:rFonts w:asciiTheme="majorHAnsi" w:eastAsia="Times New Roman" w:hAnsiTheme="majorHAnsi" w:cstheme="majorHAnsi"/>
                      <w:szCs w:val="22"/>
                      <w:lang w:val="en-AU" w:eastAsia="en-GB"/>
                    </w:rPr>
                    <w:t xml:space="preserve"> incl. salary and on-costs</w:t>
                  </w:r>
                </w:p>
              </w:tc>
              <w:tc>
                <w:tcPr>
                  <w:tcW w:w="1843" w:type="dxa"/>
                </w:tcPr>
                <w:p w14:paraId="032DC404" w14:textId="77777777"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D760D4">
                    <w:rPr>
                      <w:rFonts w:ascii="Arial" w:eastAsia="Times New Roman" w:hAnsi="Arial" w:cs="Arial"/>
                      <w:szCs w:val="22"/>
                      <w:lang w:val="en-AU" w:eastAsia="en-GB"/>
                    </w:rPr>
                    <w:t>$66,641</w:t>
                  </w:r>
                </w:p>
              </w:tc>
            </w:tr>
            <w:tr w:rsidR="001F0116" w:rsidRPr="00D760D4" w14:paraId="6EA011DF" w14:textId="77777777" w:rsidTr="00047A6D">
              <w:tc>
                <w:tcPr>
                  <w:cnfStyle w:val="001000000000" w:firstRow="0" w:lastRow="0" w:firstColumn="1" w:lastColumn="0" w:oddVBand="0" w:evenVBand="0" w:oddHBand="0" w:evenHBand="0" w:firstRowFirstColumn="0" w:firstRowLastColumn="0" w:lastRowFirstColumn="0" w:lastRowLastColumn="0"/>
                  <w:tcW w:w="3114" w:type="dxa"/>
                </w:tcPr>
                <w:p w14:paraId="6B2F904F" w14:textId="77777777" w:rsidR="001F0116" w:rsidRPr="00D760D4" w:rsidRDefault="001F0116" w:rsidP="001F0116">
                  <w:pPr>
                    <w:pStyle w:val="TableHead"/>
                    <w:rPr>
                      <w:rFonts w:ascii="Arial" w:hAnsi="Arial" w:cs="Arial"/>
                      <w:b w:val="0"/>
                      <w:bCs/>
                      <w:color w:val="auto"/>
                      <w:szCs w:val="22"/>
                    </w:rPr>
                  </w:pPr>
                  <w:r w:rsidRPr="00D760D4">
                    <w:rPr>
                      <w:rFonts w:ascii="Arial" w:eastAsia="Times New Roman" w:hAnsi="Arial" w:cs="Arial"/>
                      <w:b w:val="0"/>
                      <w:bCs/>
                      <w:color w:val="auto"/>
                      <w:szCs w:val="22"/>
                      <w:lang w:eastAsia="en-GB"/>
                    </w:rPr>
                    <w:t>STAFFING</w:t>
                  </w:r>
                </w:p>
              </w:tc>
              <w:tc>
                <w:tcPr>
                  <w:tcW w:w="5103" w:type="dxa"/>
                </w:tcPr>
                <w:p w14:paraId="1AC00DCE" w14:textId="77777777"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D760D4">
                    <w:rPr>
                      <w:rFonts w:ascii="Arial" w:eastAsia="Times New Roman" w:hAnsi="Arial" w:cs="Arial"/>
                      <w:szCs w:val="22"/>
                      <w:lang w:val="en-AU" w:eastAsia="en-GB"/>
                    </w:rPr>
                    <w:t>1 part-time staff member as educator</w:t>
                  </w:r>
                </w:p>
              </w:tc>
              <w:tc>
                <w:tcPr>
                  <w:tcW w:w="1843" w:type="dxa"/>
                </w:tcPr>
                <w:p w14:paraId="54DE48EA" w14:textId="77777777"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D760D4">
                    <w:rPr>
                      <w:rFonts w:ascii="Arial" w:eastAsia="Times New Roman" w:hAnsi="Arial" w:cs="Arial"/>
                      <w:szCs w:val="22"/>
                      <w:lang w:val="en-AU" w:eastAsia="en-GB"/>
                    </w:rPr>
                    <w:t>$33,321</w:t>
                  </w:r>
                </w:p>
              </w:tc>
            </w:tr>
            <w:tr w:rsidR="001F0116" w:rsidRPr="00D760D4" w14:paraId="10547AF4" w14:textId="77777777" w:rsidTr="00047A6D">
              <w:tc>
                <w:tcPr>
                  <w:cnfStyle w:val="001000000000" w:firstRow="0" w:lastRow="0" w:firstColumn="1" w:lastColumn="0" w:oddVBand="0" w:evenVBand="0" w:oddHBand="0" w:evenHBand="0" w:firstRowFirstColumn="0" w:firstRowLastColumn="0" w:lastRowFirstColumn="0" w:lastRowLastColumn="0"/>
                  <w:tcW w:w="3114" w:type="dxa"/>
                </w:tcPr>
                <w:p w14:paraId="0DDA8230" w14:textId="77777777" w:rsidR="001F0116" w:rsidRPr="00D760D4" w:rsidRDefault="001F0116" w:rsidP="001F0116">
                  <w:pPr>
                    <w:pStyle w:val="TableHead"/>
                    <w:rPr>
                      <w:rFonts w:ascii="Arial" w:hAnsi="Arial" w:cs="Arial"/>
                      <w:b w:val="0"/>
                      <w:bCs/>
                      <w:color w:val="auto"/>
                      <w:szCs w:val="22"/>
                    </w:rPr>
                  </w:pPr>
                  <w:r w:rsidRPr="00D760D4">
                    <w:rPr>
                      <w:rFonts w:ascii="Arial" w:eastAsia="Times New Roman" w:hAnsi="Arial" w:cs="Arial"/>
                      <w:b w:val="0"/>
                      <w:bCs/>
                      <w:color w:val="auto"/>
                      <w:szCs w:val="22"/>
                      <w:lang w:eastAsia="en-GB"/>
                    </w:rPr>
                    <w:t>PROF. DEVELOPMENT</w:t>
                  </w:r>
                </w:p>
              </w:tc>
              <w:tc>
                <w:tcPr>
                  <w:tcW w:w="5103" w:type="dxa"/>
                </w:tcPr>
                <w:p w14:paraId="12C12DC1" w14:textId="77777777"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D760D4">
                    <w:rPr>
                      <w:rFonts w:ascii="Arial" w:eastAsia="Times New Roman" w:hAnsi="Arial" w:cs="Arial"/>
                      <w:szCs w:val="22"/>
                      <w:lang w:val="en-AU" w:eastAsia="en-GB"/>
                    </w:rPr>
                    <w:t>Certificate III qualification for 2nd educator</w:t>
                  </w:r>
                </w:p>
              </w:tc>
              <w:tc>
                <w:tcPr>
                  <w:tcW w:w="1843" w:type="dxa"/>
                </w:tcPr>
                <w:p w14:paraId="1804EF13" w14:textId="77777777"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D760D4">
                    <w:rPr>
                      <w:rFonts w:ascii="Arial" w:eastAsia="Times New Roman" w:hAnsi="Arial" w:cs="Arial"/>
                      <w:szCs w:val="22"/>
                      <w:lang w:val="en-AU" w:eastAsia="en-GB"/>
                    </w:rPr>
                    <w:t>$3,480</w:t>
                  </w:r>
                </w:p>
              </w:tc>
            </w:tr>
            <w:tr w:rsidR="001F0116" w:rsidRPr="00D760D4" w14:paraId="236BCBAF" w14:textId="77777777" w:rsidTr="00047A6D">
              <w:tc>
                <w:tcPr>
                  <w:cnfStyle w:val="001000000000" w:firstRow="0" w:lastRow="0" w:firstColumn="1" w:lastColumn="0" w:oddVBand="0" w:evenVBand="0" w:oddHBand="0" w:evenHBand="0" w:firstRowFirstColumn="0" w:firstRowLastColumn="0" w:lastRowFirstColumn="0" w:lastRowLastColumn="0"/>
                  <w:tcW w:w="3114" w:type="dxa"/>
                </w:tcPr>
                <w:p w14:paraId="13FDAE52" w14:textId="77777777" w:rsidR="001F0116" w:rsidRPr="00D760D4" w:rsidRDefault="001F0116" w:rsidP="001F0116">
                  <w:pPr>
                    <w:pStyle w:val="TableHead"/>
                    <w:rPr>
                      <w:rFonts w:ascii="Arial" w:hAnsi="Arial" w:cs="Arial"/>
                      <w:b w:val="0"/>
                      <w:bCs/>
                      <w:color w:val="auto"/>
                      <w:szCs w:val="22"/>
                    </w:rPr>
                  </w:pPr>
                  <w:r w:rsidRPr="00D760D4">
                    <w:rPr>
                      <w:rFonts w:ascii="Arial" w:eastAsia="Times New Roman" w:hAnsi="Arial" w:cs="Arial"/>
                      <w:b w:val="0"/>
                      <w:bCs/>
                      <w:color w:val="auto"/>
                      <w:szCs w:val="22"/>
                      <w:lang w:eastAsia="en-GB"/>
                    </w:rPr>
                    <w:t>LICENCE FEES</w:t>
                  </w:r>
                </w:p>
              </w:tc>
              <w:tc>
                <w:tcPr>
                  <w:tcW w:w="5103" w:type="dxa"/>
                </w:tcPr>
                <w:p w14:paraId="061544CD" w14:textId="77777777"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D760D4">
                    <w:rPr>
                      <w:rFonts w:ascii="Arial" w:eastAsia="Times New Roman" w:hAnsi="Arial" w:cs="Arial"/>
                      <w:szCs w:val="22"/>
                      <w:lang w:val="en-AU" w:eastAsia="en-GB"/>
                    </w:rPr>
                    <w:t>Regulatory authority annual fee</w:t>
                  </w:r>
                </w:p>
              </w:tc>
              <w:tc>
                <w:tcPr>
                  <w:tcW w:w="1843" w:type="dxa"/>
                </w:tcPr>
                <w:p w14:paraId="78FD2B1C" w14:textId="77777777" w:rsidR="001F0116" w:rsidRPr="00D760D4" w:rsidRDefault="001F0116" w:rsidP="001F0116">
                  <w:pPr>
                    <w:tabs>
                      <w:tab w:val="left" w:pos="1019"/>
                    </w:tabs>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D760D4">
                    <w:rPr>
                      <w:rFonts w:ascii="Arial" w:eastAsia="Times New Roman" w:hAnsi="Arial" w:cs="Arial"/>
                      <w:szCs w:val="22"/>
                      <w:lang w:val="en-AU" w:eastAsia="en-GB"/>
                    </w:rPr>
                    <w:t>$318</w:t>
                  </w:r>
                </w:p>
              </w:tc>
            </w:tr>
            <w:tr w:rsidR="001F0116" w:rsidRPr="00D760D4" w14:paraId="5429FDF9" w14:textId="77777777" w:rsidTr="00047A6D">
              <w:tc>
                <w:tcPr>
                  <w:cnfStyle w:val="001000000000" w:firstRow="0" w:lastRow="0" w:firstColumn="1" w:lastColumn="0" w:oddVBand="0" w:evenVBand="0" w:oddHBand="0" w:evenHBand="0" w:firstRowFirstColumn="0" w:firstRowLastColumn="0" w:lastRowFirstColumn="0" w:lastRowLastColumn="0"/>
                  <w:tcW w:w="3114" w:type="dxa"/>
                </w:tcPr>
                <w:p w14:paraId="7971AB73" w14:textId="77777777" w:rsidR="001F0116" w:rsidRPr="00D760D4" w:rsidRDefault="001F0116" w:rsidP="001F0116">
                  <w:pPr>
                    <w:pStyle w:val="TableHead"/>
                    <w:rPr>
                      <w:rFonts w:ascii="Arial" w:hAnsi="Arial" w:cs="Arial"/>
                      <w:b w:val="0"/>
                      <w:bCs/>
                      <w:color w:val="auto"/>
                      <w:szCs w:val="22"/>
                    </w:rPr>
                  </w:pPr>
                  <w:r w:rsidRPr="00D760D4">
                    <w:rPr>
                      <w:rFonts w:ascii="Arial" w:eastAsia="Times New Roman" w:hAnsi="Arial" w:cs="Arial"/>
                      <w:b w:val="0"/>
                      <w:bCs/>
                      <w:color w:val="auto"/>
                      <w:szCs w:val="22"/>
                      <w:lang w:eastAsia="en-GB"/>
                    </w:rPr>
                    <w:t>FOOD</w:t>
                  </w:r>
                </w:p>
              </w:tc>
              <w:tc>
                <w:tcPr>
                  <w:tcW w:w="5103" w:type="dxa"/>
                </w:tcPr>
                <w:p w14:paraId="18CB416F" w14:textId="77777777"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D760D4">
                    <w:rPr>
                      <w:rFonts w:ascii="Arial" w:eastAsia="Times New Roman" w:hAnsi="Arial" w:cs="Arial"/>
                      <w:szCs w:val="22"/>
                      <w:lang w:val="en-AU" w:eastAsia="en-GB"/>
                    </w:rPr>
                    <w:t>Groceries for food preparation</w:t>
                  </w:r>
                </w:p>
              </w:tc>
              <w:tc>
                <w:tcPr>
                  <w:tcW w:w="1843" w:type="dxa"/>
                </w:tcPr>
                <w:p w14:paraId="4899ED1B" w14:textId="77777777"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D760D4">
                    <w:rPr>
                      <w:rFonts w:ascii="Arial" w:eastAsia="Times New Roman" w:hAnsi="Arial" w:cs="Arial"/>
                      <w:szCs w:val="22"/>
                      <w:lang w:val="en-AU" w:eastAsia="en-GB"/>
                    </w:rPr>
                    <w:t>$12,000</w:t>
                  </w:r>
                </w:p>
              </w:tc>
            </w:tr>
            <w:tr w:rsidR="001F0116" w:rsidRPr="00D760D4" w14:paraId="382A6BE7" w14:textId="77777777" w:rsidTr="00047A6D">
              <w:tc>
                <w:tcPr>
                  <w:cnfStyle w:val="001000000000" w:firstRow="0" w:lastRow="0" w:firstColumn="1" w:lastColumn="0" w:oddVBand="0" w:evenVBand="0" w:oddHBand="0" w:evenHBand="0" w:firstRowFirstColumn="0" w:firstRowLastColumn="0" w:lastRowFirstColumn="0" w:lastRowLastColumn="0"/>
                  <w:tcW w:w="3114" w:type="dxa"/>
                </w:tcPr>
                <w:p w14:paraId="6A011923" w14:textId="77777777" w:rsidR="001F0116" w:rsidRPr="00D760D4" w:rsidRDefault="001F0116" w:rsidP="001F0116">
                  <w:pPr>
                    <w:rPr>
                      <w:rFonts w:ascii="Arial" w:hAnsi="Arial" w:cs="Arial"/>
                      <w:bCs/>
                      <w:color w:val="auto"/>
                      <w:szCs w:val="22"/>
                      <w:lang w:val="en-AU"/>
                    </w:rPr>
                  </w:pPr>
                  <w:r w:rsidRPr="00D760D4">
                    <w:rPr>
                      <w:rFonts w:ascii="Arial" w:eastAsia="Times New Roman" w:hAnsi="Arial" w:cs="Arial"/>
                      <w:bCs/>
                      <w:color w:val="auto"/>
                      <w:szCs w:val="22"/>
                      <w:lang w:val="en-AU" w:eastAsia="en-GB"/>
                    </w:rPr>
                    <w:t xml:space="preserve">PROGRAMS/ACTIVITIES  </w:t>
                  </w:r>
                </w:p>
              </w:tc>
              <w:tc>
                <w:tcPr>
                  <w:tcW w:w="5103" w:type="dxa"/>
                </w:tcPr>
                <w:p w14:paraId="472E5232" w14:textId="77777777"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D760D4">
                    <w:rPr>
                      <w:rFonts w:ascii="Arial" w:eastAsia="Times New Roman" w:hAnsi="Arial" w:cs="Arial"/>
                      <w:szCs w:val="22"/>
                      <w:lang w:val="en-AU" w:eastAsia="en-GB"/>
                    </w:rPr>
                    <w:t>Art/craft equipment</w:t>
                  </w:r>
                </w:p>
              </w:tc>
              <w:tc>
                <w:tcPr>
                  <w:tcW w:w="1843" w:type="dxa"/>
                </w:tcPr>
                <w:p w14:paraId="57141304" w14:textId="77777777"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D760D4">
                    <w:rPr>
                      <w:rFonts w:ascii="Arial" w:eastAsia="Times New Roman" w:hAnsi="Arial" w:cs="Arial"/>
                      <w:szCs w:val="22"/>
                      <w:lang w:val="en-AU" w:eastAsia="en-GB"/>
                    </w:rPr>
                    <w:t>$2,000</w:t>
                  </w:r>
                </w:p>
              </w:tc>
            </w:tr>
            <w:tr w:rsidR="001F0116" w:rsidRPr="00D760D4" w14:paraId="11C1E6A5" w14:textId="77777777" w:rsidTr="00047A6D">
              <w:tc>
                <w:tcPr>
                  <w:cnfStyle w:val="001000000000" w:firstRow="0" w:lastRow="0" w:firstColumn="1" w:lastColumn="0" w:oddVBand="0" w:evenVBand="0" w:oddHBand="0" w:evenHBand="0" w:firstRowFirstColumn="0" w:firstRowLastColumn="0" w:lastRowFirstColumn="0" w:lastRowLastColumn="0"/>
                  <w:tcW w:w="3114" w:type="dxa"/>
                </w:tcPr>
                <w:p w14:paraId="4E7A4287" w14:textId="77777777" w:rsidR="001F0116" w:rsidRPr="00D760D4" w:rsidRDefault="001F0116" w:rsidP="001F0116">
                  <w:pPr>
                    <w:rPr>
                      <w:rFonts w:ascii="Arial" w:eastAsia="Times New Roman" w:hAnsi="Arial" w:cs="Arial"/>
                      <w:bCs/>
                      <w:color w:val="auto"/>
                      <w:szCs w:val="22"/>
                      <w:lang w:val="en-AU" w:eastAsia="en-GB"/>
                    </w:rPr>
                  </w:pPr>
                </w:p>
              </w:tc>
              <w:tc>
                <w:tcPr>
                  <w:tcW w:w="5103" w:type="dxa"/>
                </w:tcPr>
                <w:p w14:paraId="43570511" w14:textId="77777777"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GB"/>
                    </w:rPr>
                  </w:pPr>
                  <w:r w:rsidRPr="00D760D4">
                    <w:rPr>
                      <w:rFonts w:ascii="Arial" w:eastAsia="Times New Roman" w:hAnsi="Arial" w:cs="Arial"/>
                      <w:szCs w:val="22"/>
                      <w:lang w:val="en-AU" w:eastAsia="en-GB"/>
                    </w:rPr>
                    <w:t>Sports equipment</w:t>
                  </w:r>
                </w:p>
              </w:tc>
              <w:tc>
                <w:tcPr>
                  <w:tcW w:w="1843" w:type="dxa"/>
                </w:tcPr>
                <w:p w14:paraId="7C6A36B6" w14:textId="77777777"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GB"/>
                    </w:rPr>
                  </w:pPr>
                  <w:r w:rsidRPr="00D760D4">
                    <w:rPr>
                      <w:rFonts w:ascii="Arial" w:eastAsia="Times New Roman" w:hAnsi="Arial" w:cs="Arial"/>
                      <w:szCs w:val="22"/>
                      <w:lang w:val="en-AU" w:eastAsia="en-GB"/>
                    </w:rPr>
                    <w:t>$2,000</w:t>
                  </w:r>
                </w:p>
              </w:tc>
            </w:tr>
            <w:tr w:rsidR="001F0116" w:rsidRPr="00D760D4" w14:paraId="59CF687C" w14:textId="77777777" w:rsidTr="00047A6D">
              <w:tc>
                <w:tcPr>
                  <w:cnfStyle w:val="001000000000" w:firstRow="0" w:lastRow="0" w:firstColumn="1" w:lastColumn="0" w:oddVBand="0" w:evenVBand="0" w:oddHBand="0" w:evenHBand="0" w:firstRowFirstColumn="0" w:firstRowLastColumn="0" w:lastRowFirstColumn="0" w:lastRowLastColumn="0"/>
                  <w:tcW w:w="3114" w:type="dxa"/>
                </w:tcPr>
                <w:p w14:paraId="56BA0B9A" w14:textId="77777777" w:rsidR="001F0116" w:rsidRPr="00D760D4" w:rsidRDefault="001F0116" w:rsidP="001F0116">
                  <w:pPr>
                    <w:rPr>
                      <w:rFonts w:ascii="Arial" w:eastAsia="Times New Roman" w:hAnsi="Arial" w:cs="Arial"/>
                      <w:bCs/>
                      <w:color w:val="auto"/>
                      <w:szCs w:val="22"/>
                      <w:lang w:val="en-AU" w:eastAsia="en-GB"/>
                    </w:rPr>
                  </w:pPr>
                  <w:r w:rsidRPr="00D760D4">
                    <w:rPr>
                      <w:rFonts w:ascii="Arial" w:eastAsia="Times New Roman" w:hAnsi="Arial" w:cs="Arial"/>
                      <w:bCs/>
                      <w:color w:val="auto"/>
                      <w:szCs w:val="22"/>
                      <w:lang w:val="en-AU" w:eastAsia="en-GB"/>
                    </w:rPr>
                    <w:t>FACILITIES UPGRADE</w:t>
                  </w:r>
                </w:p>
              </w:tc>
              <w:tc>
                <w:tcPr>
                  <w:tcW w:w="5103" w:type="dxa"/>
                </w:tcPr>
                <w:p w14:paraId="3A5BED9C" w14:textId="77777777"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GB"/>
                    </w:rPr>
                  </w:pPr>
                  <w:r w:rsidRPr="00D760D4">
                    <w:rPr>
                      <w:rFonts w:ascii="Arial" w:eastAsia="Times New Roman" w:hAnsi="Arial" w:cs="Arial"/>
                      <w:szCs w:val="22"/>
                      <w:lang w:val="en-AU" w:eastAsia="en-GB"/>
                    </w:rPr>
                    <w:t>Purchase of storage</w:t>
                  </w:r>
                </w:p>
              </w:tc>
              <w:tc>
                <w:tcPr>
                  <w:tcW w:w="1843" w:type="dxa"/>
                </w:tcPr>
                <w:p w14:paraId="73B74B44" w14:textId="77777777"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GB"/>
                    </w:rPr>
                  </w:pPr>
                  <w:r w:rsidRPr="00D760D4">
                    <w:rPr>
                      <w:rFonts w:ascii="Arial" w:eastAsia="Times New Roman" w:hAnsi="Arial" w:cs="Arial"/>
                      <w:szCs w:val="22"/>
                      <w:lang w:val="en-AU" w:eastAsia="en-GB"/>
                    </w:rPr>
                    <w:t>$4,000</w:t>
                  </w:r>
                </w:p>
              </w:tc>
            </w:tr>
            <w:tr w:rsidR="001F0116" w:rsidRPr="00D760D4" w14:paraId="0981B994" w14:textId="77777777" w:rsidTr="00047A6D">
              <w:tc>
                <w:tcPr>
                  <w:cnfStyle w:val="001000000000" w:firstRow="0" w:lastRow="0" w:firstColumn="1" w:lastColumn="0" w:oddVBand="0" w:evenVBand="0" w:oddHBand="0" w:evenHBand="0" w:firstRowFirstColumn="0" w:firstRowLastColumn="0" w:lastRowFirstColumn="0" w:lastRowLastColumn="0"/>
                  <w:tcW w:w="3114" w:type="dxa"/>
                </w:tcPr>
                <w:p w14:paraId="04E855C3" w14:textId="77777777" w:rsidR="001F0116" w:rsidRPr="00D760D4" w:rsidRDefault="001F0116" w:rsidP="001F0116">
                  <w:pPr>
                    <w:rPr>
                      <w:rFonts w:ascii="Arial" w:eastAsia="Times New Roman" w:hAnsi="Arial" w:cs="Arial"/>
                      <w:bCs/>
                      <w:color w:val="auto"/>
                      <w:szCs w:val="22"/>
                      <w:lang w:val="en-AU" w:eastAsia="en-GB"/>
                    </w:rPr>
                  </w:pPr>
                </w:p>
              </w:tc>
              <w:tc>
                <w:tcPr>
                  <w:tcW w:w="5103" w:type="dxa"/>
                </w:tcPr>
                <w:p w14:paraId="602EBEDA" w14:textId="7C57C644"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GB"/>
                    </w:rPr>
                  </w:pPr>
                  <w:r w:rsidRPr="00D760D4">
                    <w:rPr>
                      <w:rFonts w:ascii="Arial" w:eastAsia="Times New Roman" w:hAnsi="Arial" w:cs="Arial"/>
                      <w:szCs w:val="22"/>
                      <w:lang w:val="en-AU" w:eastAsia="en-GB"/>
                    </w:rPr>
                    <w:t>Maintenance cost, (</w:t>
                  </w:r>
                  <w:r w:rsidR="00D760D4" w:rsidRPr="00D760D4">
                    <w:rPr>
                      <w:rFonts w:ascii="Arial" w:eastAsia="Times New Roman" w:hAnsi="Arial" w:cs="Arial"/>
                      <w:szCs w:val="22"/>
                      <w:lang w:val="en-AU" w:eastAsia="en-GB"/>
                    </w:rPr>
                    <w:t>e.g.,</w:t>
                  </w:r>
                  <w:r w:rsidRPr="00D760D4">
                    <w:rPr>
                      <w:rFonts w:ascii="Arial" w:eastAsia="Times New Roman" w:hAnsi="Arial" w:cs="Arial"/>
                      <w:szCs w:val="22"/>
                      <w:lang w:val="en-AU" w:eastAsia="en-GB"/>
                    </w:rPr>
                    <w:t xml:space="preserve"> re-flooring a classroom)</w:t>
                  </w:r>
                </w:p>
              </w:tc>
              <w:tc>
                <w:tcPr>
                  <w:tcW w:w="1843" w:type="dxa"/>
                </w:tcPr>
                <w:p w14:paraId="7C5CA70E" w14:textId="77777777"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GB"/>
                    </w:rPr>
                  </w:pPr>
                  <w:r w:rsidRPr="00D760D4">
                    <w:rPr>
                      <w:rFonts w:ascii="Arial" w:eastAsia="Times New Roman" w:hAnsi="Arial" w:cs="Arial"/>
                      <w:szCs w:val="22"/>
                      <w:lang w:val="en-AU" w:eastAsia="en-GB"/>
                    </w:rPr>
                    <w:t>$3,000</w:t>
                  </w:r>
                </w:p>
              </w:tc>
            </w:tr>
            <w:tr w:rsidR="001F0116" w:rsidRPr="00D760D4" w14:paraId="03A70759" w14:textId="77777777" w:rsidTr="00047A6D">
              <w:tc>
                <w:tcPr>
                  <w:cnfStyle w:val="001000000000" w:firstRow="0" w:lastRow="0" w:firstColumn="1" w:lastColumn="0" w:oddVBand="0" w:evenVBand="0" w:oddHBand="0" w:evenHBand="0" w:firstRowFirstColumn="0" w:firstRowLastColumn="0" w:lastRowFirstColumn="0" w:lastRowLastColumn="0"/>
                  <w:tcW w:w="3114" w:type="dxa"/>
                </w:tcPr>
                <w:p w14:paraId="50B90F0C" w14:textId="77777777" w:rsidR="001F0116" w:rsidRPr="00D760D4" w:rsidRDefault="001F0116" w:rsidP="001F0116">
                  <w:pPr>
                    <w:rPr>
                      <w:rFonts w:ascii="Arial" w:eastAsia="Times New Roman" w:hAnsi="Arial" w:cs="Arial"/>
                      <w:bCs/>
                      <w:color w:val="auto"/>
                      <w:szCs w:val="22"/>
                      <w:lang w:val="en-AU" w:eastAsia="en-GB"/>
                    </w:rPr>
                  </w:pPr>
                  <w:r w:rsidRPr="00D760D4">
                    <w:rPr>
                      <w:rFonts w:ascii="Arial" w:eastAsia="Times New Roman" w:hAnsi="Arial" w:cs="Arial"/>
                      <w:bCs/>
                      <w:color w:val="auto"/>
                      <w:szCs w:val="22"/>
                      <w:lang w:val="en-AU" w:eastAsia="en-GB"/>
                    </w:rPr>
                    <w:t>TRANSPORT</w:t>
                  </w:r>
                </w:p>
              </w:tc>
              <w:tc>
                <w:tcPr>
                  <w:tcW w:w="5103" w:type="dxa"/>
                </w:tcPr>
                <w:p w14:paraId="6683269C" w14:textId="77777777"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GB"/>
                    </w:rPr>
                  </w:pPr>
                  <w:r w:rsidRPr="00D760D4">
                    <w:rPr>
                      <w:rFonts w:ascii="Arial" w:eastAsia="Times New Roman" w:hAnsi="Arial" w:cs="Arial"/>
                      <w:szCs w:val="22"/>
                      <w:lang w:val="en-AU" w:eastAsia="en-GB"/>
                    </w:rPr>
                    <w:t>Bus hire to transport children</w:t>
                  </w:r>
                </w:p>
              </w:tc>
              <w:tc>
                <w:tcPr>
                  <w:tcW w:w="1843" w:type="dxa"/>
                </w:tcPr>
                <w:p w14:paraId="506D140D" w14:textId="77777777"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GB"/>
                    </w:rPr>
                  </w:pPr>
                  <w:r w:rsidRPr="00D760D4">
                    <w:rPr>
                      <w:rFonts w:ascii="Arial" w:eastAsia="Times New Roman" w:hAnsi="Arial" w:cs="Arial"/>
                      <w:szCs w:val="22"/>
                      <w:lang w:val="en-AU" w:eastAsia="en-GB"/>
                    </w:rPr>
                    <w:t>$20,000</w:t>
                  </w:r>
                </w:p>
              </w:tc>
            </w:tr>
            <w:tr w:rsidR="001F0116" w:rsidRPr="00D760D4" w14:paraId="7E1B49DF" w14:textId="77777777" w:rsidTr="00047A6D">
              <w:tc>
                <w:tcPr>
                  <w:cnfStyle w:val="001000000000" w:firstRow="0" w:lastRow="0" w:firstColumn="1" w:lastColumn="0" w:oddVBand="0" w:evenVBand="0" w:oddHBand="0" w:evenHBand="0" w:firstRowFirstColumn="0" w:firstRowLastColumn="0" w:lastRowFirstColumn="0" w:lastRowLastColumn="0"/>
                  <w:tcW w:w="3114" w:type="dxa"/>
                </w:tcPr>
                <w:p w14:paraId="39D1A5E4" w14:textId="77777777" w:rsidR="001F0116" w:rsidRPr="00D760D4" w:rsidRDefault="001F0116" w:rsidP="001F0116">
                  <w:pPr>
                    <w:rPr>
                      <w:rFonts w:ascii="Arial" w:eastAsia="Times New Roman" w:hAnsi="Arial" w:cs="Arial"/>
                      <w:bCs/>
                      <w:color w:val="auto"/>
                      <w:szCs w:val="22"/>
                      <w:lang w:val="en-AU" w:eastAsia="en-GB"/>
                    </w:rPr>
                  </w:pPr>
                  <w:r w:rsidRPr="00D760D4">
                    <w:rPr>
                      <w:rFonts w:ascii="Arial" w:eastAsia="Times New Roman" w:hAnsi="Arial" w:cs="Arial"/>
                      <w:bCs/>
                      <w:color w:val="auto"/>
                      <w:szCs w:val="22"/>
                      <w:lang w:val="en-AU" w:eastAsia="en-GB"/>
                    </w:rPr>
                    <w:t>ADMIN/EQUIPMENT COSTS</w:t>
                  </w:r>
                </w:p>
              </w:tc>
              <w:tc>
                <w:tcPr>
                  <w:tcW w:w="5103" w:type="dxa"/>
                </w:tcPr>
                <w:p w14:paraId="3AD5FD63" w14:textId="77777777"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GB"/>
                    </w:rPr>
                  </w:pPr>
                  <w:r w:rsidRPr="00D760D4">
                    <w:rPr>
                      <w:rFonts w:ascii="Arial" w:eastAsia="Times New Roman" w:hAnsi="Arial" w:cs="Arial"/>
                      <w:szCs w:val="22"/>
                      <w:lang w:val="en-AU" w:eastAsia="en-GB"/>
                    </w:rPr>
                    <w:t>Phone for coordinator</w:t>
                  </w:r>
                </w:p>
              </w:tc>
              <w:tc>
                <w:tcPr>
                  <w:tcW w:w="1843" w:type="dxa"/>
                </w:tcPr>
                <w:p w14:paraId="3E668579" w14:textId="77777777"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GB"/>
                    </w:rPr>
                  </w:pPr>
                  <w:r w:rsidRPr="00D760D4">
                    <w:rPr>
                      <w:rFonts w:ascii="Arial" w:eastAsia="Times New Roman" w:hAnsi="Arial" w:cs="Arial"/>
                      <w:szCs w:val="22"/>
                      <w:lang w:val="en-AU" w:eastAsia="en-GB"/>
                    </w:rPr>
                    <w:t>$1,200</w:t>
                  </w:r>
                </w:p>
              </w:tc>
            </w:tr>
            <w:tr w:rsidR="001F0116" w:rsidRPr="00D760D4" w14:paraId="1BCC8FB1" w14:textId="77777777" w:rsidTr="00047A6D">
              <w:tc>
                <w:tcPr>
                  <w:cnfStyle w:val="001000000000" w:firstRow="0" w:lastRow="0" w:firstColumn="1" w:lastColumn="0" w:oddVBand="0" w:evenVBand="0" w:oddHBand="0" w:evenHBand="0" w:firstRowFirstColumn="0" w:firstRowLastColumn="0" w:lastRowFirstColumn="0" w:lastRowLastColumn="0"/>
                  <w:tcW w:w="3114" w:type="dxa"/>
                </w:tcPr>
                <w:p w14:paraId="77EDE4D2" w14:textId="77777777" w:rsidR="001F0116" w:rsidRPr="00D760D4" w:rsidRDefault="001F0116" w:rsidP="001F0116">
                  <w:pPr>
                    <w:rPr>
                      <w:rFonts w:ascii="Arial" w:eastAsia="Times New Roman" w:hAnsi="Arial" w:cs="Arial"/>
                      <w:color w:val="auto"/>
                      <w:szCs w:val="22"/>
                      <w:lang w:val="en-AU" w:eastAsia="en-GB"/>
                    </w:rPr>
                  </w:pPr>
                </w:p>
              </w:tc>
              <w:tc>
                <w:tcPr>
                  <w:tcW w:w="5103" w:type="dxa"/>
                </w:tcPr>
                <w:p w14:paraId="7C705362" w14:textId="77777777"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GB"/>
                    </w:rPr>
                  </w:pPr>
                  <w:r w:rsidRPr="00D760D4">
                    <w:rPr>
                      <w:rFonts w:ascii="Arial" w:eastAsia="Times New Roman" w:hAnsi="Arial" w:cs="Arial"/>
                      <w:szCs w:val="22"/>
                      <w:lang w:val="en-AU" w:eastAsia="en-GB"/>
                    </w:rPr>
                    <w:t>Laptop computer for coordinator</w:t>
                  </w:r>
                </w:p>
              </w:tc>
              <w:tc>
                <w:tcPr>
                  <w:tcW w:w="1843" w:type="dxa"/>
                </w:tcPr>
                <w:p w14:paraId="7C3BC39E" w14:textId="77777777"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D760D4">
                    <w:rPr>
                      <w:rFonts w:ascii="Arial" w:eastAsia="Times New Roman" w:hAnsi="Arial" w:cs="Arial"/>
                      <w:szCs w:val="22"/>
                      <w:lang w:val="en-AU" w:eastAsia="en-GB"/>
                    </w:rPr>
                    <w:t>$1,400</w:t>
                  </w:r>
                </w:p>
              </w:tc>
            </w:tr>
            <w:tr w:rsidR="001F0116" w:rsidRPr="00D760D4" w14:paraId="442F593D" w14:textId="77777777" w:rsidTr="00047A6D">
              <w:tc>
                <w:tcPr>
                  <w:cnfStyle w:val="001000000000" w:firstRow="0" w:lastRow="0" w:firstColumn="1" w:lastColumn="0" w:oddVBand="0" w:evenVBand="0" w:oddHBand="0" w:evenHBand="0" w:firstRowFirstColumn="0" w:firstRowLastColumn="0" w:lastRowFirstColumn="0" w:lastRowLastColumn="0"/>
                  <w:tcW w:w="3114" w:type="dxa"/>
                </w:tcPr>
                <w:p w14:paraId="11B1468E" w14:textId="77777777" w:rsidR="001F0116" w:rsidRPr="00D760D4" w:rsidRDefault="001F0116" w:rsidP="001F0116">
                  <w:pPr>
                    <w:rPr>
                      <w:rFonts w:ascii="Arial" w:eastAsia="Times New Roman" w:hAnsi="Arial" w:cs="Arial"/>
                      <w:color w:val="auto"/>
                      <w:szCs w:val="22"/>
                      <w:lang w:val="en-AU" w:eastAsia="en-GB"/>
                    </w:rPr>
                  </w:pPr>
                </w:p>
              </w:tc>
              <w:tc>
                <w:tcPr>
                  <w:tcW w:w="5103" w:type="dxa"/>
                </w:tcPr>
                <w:p w14:paraId="58EC737A" w14:textId="77777777"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GB"/>
                    </w:rPr>
                  </w:pPr>
                  <w:r w:rsidRPr="00D760D4">
                    <w:rPr>
                      <w:rFonts w:ascii="Arial" w:eastAsia="Times New Roman" w:hAnsi="Arial" w:cs="Arial"/>
                      <w:szCs w:val="22"/>
                      <w:lang w:val="en-AU" w:eastAsia="en-GB"/>
                    </w:rPr>
                    <w:t>Phone bill/plan for coordinator</w:t>
                  </w:r>
                </w:p>
              </w:tc>
              <w:tc>
                <w:tcPr>
                  <w:tcW w:w="1843" w:type="dxa"/>
                </w:tcPr>
                <w:p w14:paraId="0216EA83" w14:textId="77777777"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GB"/>
                    </w:rPr>
                  </w:pPr>
                  <w:r w:rsidRPr="00D760D4">
                    <w:rPr>
                      <w:rFonts w:ascii="Arial" w:eastAsia="Times New Roman" w:hAnsi="Arial" w:cs="Arial"/>
                      <w:szCs w:val="22"/>
                      <w:lang w:val="en-AU" w:eastAsia="en-GB"/>
                    </w:rPr>
                    <w:t>$640</w:t>
                  </w:r>
                </w:p>
              </w:tc>
            </w:tr>
            <w:tr w:rsidR="001F0116" w:rsidRPr="00D760D4" w14:paraId="1939C51D" w14:textId="77777777" w:rsidTr="00047A6D">
              <w:tc>
                <w:tcPr>
                  <w:cnfStyle w:val="001000000000" w:firstRow="0" w:lastRow="0" w:firstColumn="1" w:lastColumn="0" w:oddVBand="0" w:evenVBand="0" w:oddHBand="0" w:evenHBand="0" w:firstRowFirstColumn="0" w:firstRowLastColumn="0" w:lastRowFirstColumn="0" w:lastRowLastColumn="0"/>
                  <w:tcW w:w="8217" w:type="dxa"/>
                  <w:gridSpan w:val="2"/>
                </w:tcPr>
                <w:p w14:paraId="677F5519" w14:textId="77777777" w:rsidR="001F0116" w:rsidRPr="00D760D4" w:rsidRDefault="001F0116" w:rsidP="001F0116">
                  <w:pPr>
                    <w:rPr>
                      <w:rFonts w:ascii="Arial" w:eastAsia="Times New Roman" w:hAnsi="Arial" w:cs="Arial"/>
                      <w:color w:val="000000" w:themeColor="text1"/>
                      <w:szCs w:val="22"/>
                      <w:lang w:val="en-AU" w:eastAsia="en-GB"/>
                    </w:rPr>
                  </w:pPr>
                  <w:r w:rsidRPr="00D760D4">
                    <w:rPr>
                      <w:rFonts w:ascii="Arial" w:eastAsia="Times New Roman" w:hAnsi="Arial" w:cs="Arial"/>
                      <w:b/>
                      <w:bCs/>
                      <w:szCs w:val="22"/>
                      <w:lang w:val="en-AU" w:eastAsia="en-GB"/>
                    </w:rPr>
                    <w:t>TOTAL</w:t>
                  </w:r>
                </w:p>
              </w:tc>
              <w:tc>
                <w:tcPr>
                  <w:tcW w:w="1843" w:type="dxa"/>
                </w:tcPr>
                <w:p w14:paraId="1AF08C0E" w14:textId="77777777" w:rsidR="001F0116" w:rsidRPr="00D760D4" w:rsidRDefault="001F0116" w:rsidP="001F0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Cs w:val="22"/>
                      <w:lang w:val="en-AU" w:eastAsia="en-GB"/>
                    </w:rPr>
                  </w:pPr>
                  <w:r w:rsidRPr="00D760D4">
                    <w:rPr>
                      <w:rFonts w:ascii="Arial" w:eastAsia="Times New Roman" w:hAnsi="Arial" w:cs="Arial"/>
                      <w:b/>
                      <w:bCs/>
                      <w:color w:val="000000" w:themeColor="text1"/>
                      <w:szCs w:val="22"/>
                      <w:lang w:val="en-AU" w:eastAsia="en-GB"/>
                    </w:rPr>
                    <w:t>$150,000</w:t>
                  </w:r>
                </w:p>
              </w:tc>
            </w:tr>
          </w:tbl>
          <w:p w14:paraId="7E2BD7B0" w14:textId="77777777" w:rsidR="001F0116" w:rsidRPr="00D760D4" w:rsidRDefault="001F0116" w:rsidP="00C25CB0">
            <w:pPr>
              <w:pStyle w:val="Figuretitle"/>
              <w:rPr>
                <w:sz w:val="22"/>
                <w:szCs w:val="22"/>
              </w:rPr>
            </w:pPr>
          </w:p>
          <w:p w14:paraId="270EEE1B" w14:textId="77777777" w:rsidR="001F0116" w:rsidRDefault="001F0116" w:rsidP="00C25CB0">
            <w:pPr>
              <w:pStyle w:val="Figuretitle"/>
            </w:pPr>
          </w:p>
          <w:p w14:paraId="76CB83A2" w14:textId="72FE7657" w:rsidR="001F0116" w:rsidRDefault="001F0116" w:rsidP="00C25CB0">
            <w:pPr>
              <w:pStyle w:val="Figuretitle"/>
            </w:pPr>
          </w:p>
        </w:tc>
      </w:tr>
    </w:tbl>
    <w:p w14:paraId="4D21F471" w14:textId="77777777" w:rsidR="00C25CB0" w:rsidRPr="009B50C7" w:rsidRDefault="00C25CB0" w:rsidP="00C25CB0">
      <w:pPr>
        <w:jc w:val="both"/>
      </w:pPr>
    </w:p>
    <w:p w14:paraId="2AAB6134" w14:textId="77777777" w:rsidR="00C25CB0" w:rsidRPr="00497043" w:rsidRDefault="00C25CB0" w:rsidP="00C25CB0">
      <w:pPr>
        <w:pStyle w:val="Heading2"/>
        <w:spacing w:before="120"/>
      </w:pPr>
      <w:bookmarkStart w:id="15" w:name="_Toc69373403"/>
      <w:bookmarkStart w:id="16" w:name="_Toc71026832"/>
      <w:bookmarkStart w:id="17" w:name="_Toc509222577"/>
      <w:bookmarkStart w:id="18" w:name="_Toc524092975"/>
      <w:bookmarkStart w:id="19" w:name="_Toc33534749"/>
      <w:r w:rsidRPr="00497043">
        <w:t>Funding exclusions</w:t>
      </w:r>
      <w:bookmarkEnd w:id="15"/>
      <w:bookmarkEnd w:id="16"/>
    </w:p>
    <w:p w14:paraId="0BBCD824" w14:textId="77777777" w:rsidR="00C25CB0" w:rsidRDefault="00C25CB0" w:rsidP="00C25CB0">
      <w:pPr>
        <w:jc w:val="both"/>
      </w:pPr>
      <w:r>
        <w:t xml:space="preserve">OSHC Establishment Grants cannot be used to fund any of the following: </w:t>
      </w:r>
    </w:p>
    <w:p w14:paraId="6E18E5B1" w14:textId="7E40D7BD" w:rsidR="00C25CB0" w:rsidRDefault="00C25CB0" w:rsidP="001D233D">
      <w:pPr>
        <w:pStyle w:val="ListParagraph"/>
        <w:numPr>
          <w:ilvl w:val="0"/>
          <w:numId w:val="11"/>
        </w:numPr>
        <w:jc w:val="both"/>
      </w:pPr>
      <w:r>
        <w:t>Activities not related to the delivery of OSHC services</w:t>
      </w:r>
      <w:r w:rsidR="00437598">
        <w:t>.</w:t>
      </w:r>
      <w:r>
        <w:t xml:space="preserve"> </w:t>
      </w:r>
    </w:p>
    <w:p w14:paraId="4C30A24C" w14:textId="18A1719D" w:rsidR="00C25CB0" w:rsidRDefault="0033464D" w:rsidP="001D233D">
      <w:pPr>
        <w:pStyle w:val="ListParagraph"/>
        <w:numPr>
          <w:ilvl w:val="0"/>
          <w:numId w:val="11"/>
        </w:numPr>
        <w:jc w:val="both"/>
      </w:pPr>
      <w:r>
        <w:t>Major c</w:t>
      </w:r>
      <w:r w:rsidR="00C25CB0">
        <w:t>apital expenses</w:t>
      </w:r>
      <w:r w:rsidR="00437598">
        <w:t>.</w:t>
      </w:r>
      <w:r w:rsidR="00C25CB0">
        <w:t xml:space="preserve"> </w:t>
      </w:r>
    </w:p>
    <w:p w14:paraId="00CF2623" w14:textId="0AEBCD0A" w:rsidR="00C25CB0" w:rsidRDefault="00C25CB0" w:rsidP="001D233D">
      <w:pPr>
        <w:pStyle w:val="ListParagraph"/>
        <w:numPr>
          <w:ilvl w:val="0"/>
          <w:numId w:val="11"/>
        </w:numPr>
        <w:jc w:val="both"/>
      </w:pPr>
      <w:r>
        <w:t>Activities that have already occurred</w:t>
      </w:r>
      <w:r w:rsidR="003E1F55">
        <w:t>, such as a service that has already been established, or expansion to provide sessions of care that are already offered</w:t>
      </w:r>
    </w:p>
    <w:p w14:paraId="60BB550D" w14:textId="34840A10" w:rsidR="00241075" w:rsidRPr="00C564E6" w:rsidRDefault="00241075" w:rsidP="001D233D">
      <w:pPr>
        <w:pStyle w:val="ListParagraph"/>
        <w:numPr>
          <w:ilvl w:val="0"/>
          <w:numId w:val="11"/>
        </w:numPr>
        <w:jc w:val="both"/>
      </w:pPr>
      <w:r>
        <w:t>Transport other than from a school to an OSHC service, or for the purpose of an activity or excursion conducted by an OSHC service.</w:t>
      </w:r>
      <w:r w:rsidR="000804EE">
        <w:t xml:space="preserve"> That is, the funding cannot be used to transport children from home to OSHC or school.</w:t>
      </w:r>
    </w:p>
    <w:p w14:paraId="25F6CF1A" w14:textId="77777777" w:rsidR="00C25CB0" w:rsidRDefault="00C25CB0" w:rsidP="00C25CB0">
      <w:pPr>
        <w:spacing w:after="0"/>
        <w:rPr>
          <w:rFonts w:asciiTheme="majorHAnsi" w:eastAsiaTheme="majorEastAsia" w:hAnsiTheme="majorHAnsi" w:cstheme="majorBidi"/>
          <w:b/>
          <w:caps/>
          <w:color w:val="E57100" w:themeColor="accent1"/>
          <w:sz w:val="44"/>
          <w:szCs w:val="32"/>
        </w:rPr>
      </w:pPr>
      <w:r>
        <w:br w:type="page"/>
      </w:r>
    </w:p>
    <w:p w14:paraId="0873EFBE" w14:textId="1D81FF60" w:rsidR="00C25CB0" w:rsidRPr="00497043" w:rsidRDefault="00C25CB0" w:rsidP="00C25CB0">
      <w:pPr>
        <w:pStyle w:val="Heading1"/>
        <w:spacing w:before="0"/>
      </w:pPr>
      <w:bookmarkStart w:id="20" w:name="_Toc69373404"/>
      <w:bookmarkStart w:id="21" w:name="_Toc71026833"/>
      <w:r w:rsidRPr="005F1539">
        <w:lastRenderedPageBreak/>
        <w:t>3.</w:t>
      </w:r>
      <w:r w:rsidRPr="005F1539">
        <w:tab/>
        <w:t>Funding criteria</w:t>
      </w:r>
      <w:bookmarkEnd w:id="17"/>
      <w:bookmarkEnd w:id="18"/>
      <w:bookmarkEnd w:id="19"/>
      <w:bookmarkEnd w:id="20"/>
      <w:bookmarkEnd w:id="21"/>
    </w:p>
    <w:p w14:paraId="62C0FC17" w14:textId="2D5175BC" w:rsidR="00C25CB0" w:rsidRPr="00497043" w:rsidRDefault="00C25CB0" w:rsidP="00C25CB0">
      <w:pPr>
        <w:pStyle w:val="Heading2"/>
      </w:pPr>
      <w:bookmarkStart w:id="22" w:name="_Toc509222578"/>
      <w:bookmarkStart w:id="23" w:name="_Toc524092976"/>
      <w:bookmarkStart w:id="24" w:name="_Toc33534750"/>
      <w:bookmarkStart w:id="25" w:name="_Toc69373405"/>
      <w:bookmarkStart w:id="26" w:name="_Toc71026834"/>
      <w:r w:rsidRPr="00497043">
        <w:t>Eligibility</w:t>
      </w:r>
      <w:bookmarkEnd w:id="22"/>
      <w:bookmarkEnd w:id="23"/>
      <w:bookmarkEnd w:id="24"/>
      <w:bookmarkEnd w:id="25"/>
      <w:bookmarkEnd w:id="26"/>
    </w:p>
    <w:p w14:paraId="2093D90F" w14:textId="77777777" w:rsidR="00C25CB0" w:rsidRPr="00497043" w:rsidRDefault="00C25CB0" w:rsidP="00C25CB0">
      <w:r w:rsidRPr="00497043">
        <w:t>Applicants must:</w:t>
      </w:r>
    </w:p>
    <w:p w14:paraId="62FAD662" w14:textId="63EE2D28" w:rsidR="00C25CB0" w:rsidRDefault="00D760D4" w:rsidP="001D233D">
      <w:pPr>
        <w:pStyle w:val="ListParagraph"/>
        <w:numPr>
          <w:ilvl w:val="0"/>
          <w:numId w:val="6"/>
        </w:numPr>
        <w:ind w:left="709"/>
        <w:jc w:val="both"/>
      </w:pPr>
      <w:r>
        <w:t>B</w:t>
      </w:r>
      <w:r w:rsidR="00C25CB0">
        <w:t>e a Victorian government school</w:t>
      </w:r>
      <w:r>
        <w:t>.</w:t>
      </w:r>
    </w:p>
    <w:p w14:paraId="4BFF67CF" w14:textId="43474CB8" w:rsidR="00C25CB0" w:rsidRDefault="00D760D4" w:rsidP="001D233D">
      <w:pPr>
        <w:pStyle w:val="ListParagraph"/>
        <w:numPr>
          <w:ilvl w:val="0"/>
          <w:numId w:val="6"/>
        </w:numPr>
        <w:ind w:left="709"/>
        <w:jc w:val="both"/>
      </w:pPr>
      <w:r>
        <w:t>B</w:t>
      </w:r>
      <w:r w:rsidR="00C25CB0" w:rsidRPr="005F1539">
        <w:t xml:space="preserve">e </w:t>
      </w:r>
      <w:r w:rsidR="00C25CB0">
        <w:t xml:space="preserve">delivering primary aged </w:t>
      </w:r>
      <w:r w:rsidR="0016755E">
        <w:t xml:space="preserve">or special </w:t>
      </w:r>
      <w:r w:rsidR="00C25CB0">
        <w:t>education (including primary schools, P-12 schools, specialist schools)</w:t>
      </w:r>
      <w:r>
        <w:t>.</w:t>
      </w:r>
    </w:p>
    <w:p w14:paraId="44C8EB0E" w14:textId="1E3EC478" w:rsidR="00C93D4E" w:rsidRDefault="00D760D4" w:rsidP="001D233D">
      <w:pPr>
        <w:pStyle w:val="ListParagraph"/>
        <w:numPr>
          <w:ilvl w:val="0"/>
          <w:numId w:val="6"/>
        </w:numPr>
        <w:ind w:left="709"/>
        <w:jc w:val="both"/>
      </w:pPr>
      <w:r>
        <w:t>H</w:t>
      </w:r>
      <w:r w:rsidR="00C93D4E">
        <w:t>ave permanent</w:t>
      </w:r>
      <w:r w:rsidR="00500C44">
        <w:t xml:space="preserve"> student</w:t>
      </w:r>
      <w:r w:rsidR="00C93D4E">
        <w:t xml:space="preserve"> enrolments</w:t>
      </w:r>
      <w:r>
        <w:t>.</w:t>
      </w:r>
      <w:r w:rsidR="00C93D4E">
        <w:t xml:space="preserve"> </w:t>
      </w:r>
    </w:p>
    <w:p w14:paraId="406059B1" w14:textId="55E5D2CE" w:rsidR="007D44A8" w:rsidRDefault="00D760D4" w:rsidP="001D233D">
      <w:pPr>
        <w:pStyle w:val="ListParagraph"/>
        <w:numPr>
          <w:ilvl w:val="0"/>
          <w:numId w:val="6"/>
        </w:numPr>
        <w:ind w:left="709"/>
        <w:jc w:val="both"/>
      </w:pPr>
      <w:r>
        <w:t>N</w:t>
      </w:r>
      <w:r w:rsidR="007D44A8">
        <w:t>ot have been awarded a grant under a previous round of this initiative, including as a school involved in a cluster arrangement</w:t>
      </w:r>
      <w:r w:rsidR="00854940">
        <w:t>, unless the cluster arrangement is being dissolved.</w:t>
      </w:r>
    </w:p>
    <w:p w14:paraId="3AF51B54" w14:textId="42DD1822" w:rsidR="001B3D89" w:rsidRDefault="00D760D4" w:rsidP="001D233D">
      <w:pPr>
        <w:pStyle w:val="ListParagraph"/>
        <w:numPr>
          <w:ilvl w:val="0"/>
          <w:numId w:val="6"/>
        </w:numPr>
        <w:ind w:left="709"/>
        <w:jc w:val="both"/>
      </w:pPr>
      <w:r>
        <w:t>F</w:t>
      </w:r>
      <w:r w:rsidR="001341E4">
        <w:t>it one of the following categories:</w:t>
      </w:r>
    </w:p>
    <w:p w14:paraId="18FB8EAE" w14:textId="3D2CF802" w:rsidR="001341E4" w:rsidRDefault="001341E4" w:rsidP="001341E4">
      <w:pPr>
        <w:pStyle w:val="ListParagraph"/>
        <w:numPr>
          <w:ilvl w:val="1"/>
          <w:numId w:val="6"/>
        </w:numPr>
        <w:jc w:val="both"/>
      </w:pPr>
      <w:r>
        <w:t>the school does not currently have an OSHC service currently operating on any part of the school premises used for curriculum delivery</w:t>
      </w:r>
    </w:p>
    <w:p w14:paraId="6ABABD42" w14:textId="36F39D74" w:rsidR="001341E4" w:rsidRDefault="001341E4" w:rsidP="00621130">
      <w:pPr>
        <w:pStyle w:val="ListParagraph"/>
        <w:numPr>
          <w:ilvl w:val="1"/>
          <w:numId w:val="6"/>
        </w:numPr>
        <w:jc w:val="both"/>
      </w:pPr>
      <w:r>
        <w:t>the school has an on-site OSHC service, but it does not offer each of before school care, after school care and vacation care</w:t>
      </w:r>
      <w:r w:rsidR="007D433B">
        <w:t xml:space="preserve"> (the school will need to demonstrate that existing provision is not sufficient to meet the school community’s needs)</w:t>
      </w:r>
      <w:r w:rsidR="000861B3">
        <w:t xml:space="preserve"> and wishes to do so</w:t>
      </w:r>
      <w:r w:rsidR="00D760D4">
        <w:t>.</w:t>
      </w:r>
    </w:p>
    <w:p w14:paraId="1223C25E" w14:textId="33D29EE3" w:rsidR="00C25CB0" w:rsidRDefault="00C25CB0" w:rsidP="00C25CB0">
      <w:bookmarkStart w:id="27" w:name="_Toc33534751"/>
      <w:r>
        <w:t xml:space="preserve">In applying, schools will need to demonstrate the </w:t>
      </w:r>
      <w:r w:rsidR="00D760D4">
        <w:t>one</w:t>
      </w:r>
      <w:r>
        <w:t xml:space="preserve"> or all of the following: </w:t>
      </w:r>
    </w:p>
    <w:p w14:paraId="00E44068" w14:textId="149808F0" w:rsidR="00C25CB0" w:rsidRDefault="00D760D4" w:rsidP="001D233D">
      <w:pPr>
        <w:pStyle w:val="ListParagraph"/>
        <w:numPr>
          <w:ilvl w:val="0"/>
          <w:numId w:val="12"/>
        </w:numPr>
      </w:pPr>
      <w:r>
        <w:t>T</w:t>
      </w:r>
      <w:r w:rsidR="00C25CB0">
        <w:t>here is demand for OSHC services amongst their school population and/or from neighbouring cluster schools (including the nature of that demand, e.g. before and after school care, holiday programs or both)</w:t>
      </w:r>
    </w:p>
    <w:p w14:paraId="4F87885B" w14:textId="3F93DCC6" w:rsidR="00C25CB0" w:rsidRDefault="00D760D4" w:rsidP="001D233D">
      <w:pPr>
        <w:pStyle w:val="ListParagraph"/>
        <w:numPr>
          <w:ilvl w:val="0"/>
          <w:numId w:val="12"/>
        </w:numPr>
      </w:pPr>
      <w:r>
        <w:t>T</w:t>
      </w:r>
      <w:r w:rsidR="00C25CB0">
        <w:t>hat an OSHC service at their school would be unlikely to be viable without this grant funding</w:t>
      </w:r>
      <w:r>
        <w:t>.</w:t>
      </w:r>
    </w:p>
    <w:p w14:paraId="1D86FC34" w14:textId="3E0ABDC8" w:rsidR="00C25CB0" w:rsidRDefault="00D760D4" w:rsidP="001D233D">
      <w:pPr>
        <w:pStyle w:val="ListParagraph"/>
        <w:numPr>
          <w:ilvl w:val="0"/>
          <w:numId w:val="12"/>
        </w:numPr>
      </w:pPr>
      <w:r>
        <w:t>T</w:t>
      </w:r>
      <w:r w:rsidR="00C25CB0">
        <w:t>here is limited existing availability of OSHC services in their local area</w:t>
      </w:r>
      <w:r>
        <w:t>.</w:t>
      </w:r>
    </w:p>
    <w:p w14:paraId="5E862078" w14:textId="35FFDAEE" w:rsidR="00C25CB0" w:rsidRDefault="00D760D4" w:rsidP="001D233D">
      <w:pPr>
        <w:pStyle w:val="ListParagraph"/>
        <w:numPr>
          <w:ilvl w:val="0"/>
          <w:numId w:val="12"/>
        </w:numPr>
      </w:pPr>
      <w:r>
        <w:t>T</w:t>
      </w:r>
      <w:r w:rsidR="00C25CB0">
        <w:t>he school is ready to commence delivery of an OSHC program by Term 1</w:t>
      </w:r>
      <w:r w:rsidR="00BC056E">
        <w:t>,</w:t>
      </w:r>
      <w:r w:rsidR="00C25CB0">
        <w:t xml:space="preserve"> 202</w:t>
      </w:r>
      <w:r w:rsidR="00351937">
        <w:t>3</w:t>
      </w:r>
      <w:r w:rsidR="00C25CB0">
        <w:t xml:space="preserve">. </w:t>
      </w:r>
    </w:p>
    <w:p w14:paraId="5A9883AB" w14:textId="0809432B" w:rsidR="00C25CB0" w:rsidRDefault="00D760D4" w:rsidP="001D233D">
      <w:pPr>
        <w:pStyle w:val="ListParagraph"/>
        <w:numPr>
          <w:ilvl w:val="0"/>
          <w:numId w:val="12"/>
        </w:numPr>
      </w:pPr>
      <w:r>
        <w:t>T</w:t>
      </w:r>
      <w:r w:rsidR="00C25CB0">
        <w:t xml:space="preserve">he school is partnering with local government and/or non-government schools to increase the accessibility of their program. </w:t>
      </w:r>
    </w:p>
    <w:p w14:paraId="28001C6D" w14:textId="003C5869" w:rsidR="00C25CB0" w:rsidRPr="00497043" w:rsidRDefault="00C25CB0" w:rsidP="00C25CB0">
      <w:pPr>
        <w:pStyle w:val="Heading2"/>
      </w:pPr>
      <w:bookmarkStart w:id="28" w:name="_Toc509222580"/>
      <w:bookmarkStart w:id="29" w:name="_Toc524092978"/>
      <w:bookmarkStart w:id="30" w:name="_Toc33534753"/>
      <w:bookmarkStart w:id="31" w:name="_Toc69373406"/>
      <w:bookmarkStart w:id="32" w:name="_Toc71026835"/>
      <w:bookmarkEnd w:id="27"/>
      <w:r w:rsidRPr="00497043">
        <w:t xml:space="preserve">Assessment </w:t>
      </w:r>
      <w:bookmarkEnd w:id="28"/>
      <w:r w:rsidRPr="00497043">
        <w:t>priorities</w:t>
      </w:r>
      <w:bookmarkEnd w:id="29"/>
      <w:bookmarkEnd w:id="30"/>
      <w:bookmarkEnd w:id="31"/>
      <w:bookmarkEnd w:id="32"/>
    </w:p>
    <w:p w14:paraId="274F4B41" w14:textId="0F512BED" w:rsidR="00C25CB0" w:rsidRDefault="00C25CB0" w:rsidP="00C25CB0">
      <w:pPr>
        <w:jc w:val="both"/>
      </w:pPr>
      <w:r>
        <w:t xml:space="preserve">Applications </w:t>
      </w:r>
      <w:r w:rsidR="00D760D4">
        <w:t>will be assessed</w:t>
      </w:r>
      <w:r>
        <w:t xml:space="preserve"> against detailed assessment criteria. </w:t>
      </w:r>
      <w:r w:rsidRPr="007E250E">
        <w:t>Applications will be prioritised based on the initiative’s objectives</w:t>
      </w:r>
      <w:r>
        <w:t>, which include:</w:t>
      </w:r>
    </w:p>
    <w:p w14:paraId="2806C54C" w14:textId="2D2ACCFD" w:rsidR="00C25CB0" w:rsidRDefault="00D760D4" w:rsidP="001D233D">
      <w:pPr>
        <w:pStyle w:val="ListParagraph"/>
        <w:numPr>
          <w:ilvl w:val="0"/>
          <w:numId w:val="7"/>
        </w:numPr>
        <w:jc w:val="both"/>
      </w:pPr>
      <w:r>
        <w:t>I</w:t>
      </w:r>
      <w:r w:rsidR="00C25CB0">
        <w:t>mproving the availability of OSHC services across Victoria</w:t>
      </w:r>
    </w:p>
    <w:p w14:paraId="26CBAF6E" w14:textId="4683B449" w:rsidR="00C25CB0" w:rsidRPr="00E67B5C" w:rsidRDefault="00D760D4" w:rsidP="001D233D">
      <w:pPr>
        <w:pStyle w:val="ListParagraph"/>
        <w:numPr>
          <w:ilvl w:val="0"/>
          <w:numId w:val="7"/>
        </w:numPr>
        <w:spacing w:after="240"/>
        <w:jc w:val="both"/>
      </w:pPr>
      <w:r>
        <w:t>S</w:t>
      </w:r>
      <w:r w:rsidR="00C25CB0">
        <w:t xml:space="preserve">upporting parents/carers, particularly women, to participate in the workforce. </w:t>
      </w:r>
    </w:p>
    <w:tbl>
      <w:tblPr>
        <w:tblStyle w:val="GridTable1Light-Accent1"/>
        <w:tblW w:w="9634" w:type="dxa"/>
        <w:tblLook w:val="04A0" w:firstRow="1" w:lastRow="0" w:firstColumn="1" w:lastColumn="0" w:noHBand="0" w:noVBand="1"/>
        <w:tblCaption w:val="Scholarship assessment priorities"/>
        <w:tblDescription w:val="Priority 1 - teachers in mainstream Victorian government schools in which no staff member has received an Inclusive Education Scholarship in previous rounds&#10;Priority 2 - Teachers in specialist Victorian government schools in which no staff member has received an Inclusive Education Scholarship in previous rounds&#10;Priority 3 - Teachers in mainstream or specialist Victorian government schools in which a staff member has received an Inclusive Education Scholarship in previous rounds and regional or school-based staff who work directly with students with disabilities or additional learning needs"/>
      </w:tblPr>
      <w:tblGrid>
        <w:gridCol w:w="1241"/>
        <w:gridCol w:w="8393"/>
      </w:tblGrid>
      <w:tr w:rsidR="00C25CB0" w14:paraId="08D167FB" w14:textId="77777777" w:rsidTr="006027E5">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241" w:type="dxa"/>
            <w:shd w:val="clear" w:color="auto" w:fill="FFC58E" w:themeFill="accent1" w:themeFillTint="66"/>
          </w:tcPr>
          <w:p w14:paraId="6F15D8FD" w14:textId="77777777" w:rsidR="00C25CB0" w:rsidRPr="005F1539" w:rsidRDefault="00C25CB0" w:rsidP="00F625AC">
            <w:pPr>
              <w:rPr>
                <w:sz w:val="20"/>
                <w:szCs w:val="22"/>
              </w:rPr>
            </w:pPr>
            <w:bookmarkStart w:id="33" w:name="_Toc33534754"/>
          </w:p>
        </w:tc>
        <w:tc>
          <w:tcPr>
            <w:tcW w:w="8393" w:type="dxa"/>
            <w:shd w:val="clear" w:color="auto" w:fill="FFC58E" w:themeFill="accent1" w:themeFillTint="66"/>
          </w:tcPr>
          <w:p w14:paraId="34324D6F" w14:textId="77777777" w:rsidR="00C25CB0" w:rsidRPr="005F1539" w:rsidRDefault="00C25CB0" w:rsidP="00F625AC">
            <w:pPr>
              <w:spacing w:after="0"/>
              <w:ind w:firstLine="323"/>
              <w:cnfStyle w:val="100000000000" w:firstRow="1" w:lastRow="0" w:firstColumn="0" w:lastColumn="0" w:oddVBand="0" w:evenVBand="0" w:oddHBand="0" w:evenHBand="0" w:firstRowFirstColumn="0" w:firstRowLastColumn="0" w:lastRowFirstColumn="0" w:lastRowLastColumn="0"/>
              <w:rPr>
                <w:sz w:val="20"/>
                <w:szCs w:val="22"/>
              </w:rPr>
            </w:pPr>
            <w:r w:rsidRPr="005A7F06">
              <w:t>Eligible group</w:t>
            </w:r>
          </w:p>
        </w:tc>
      </w:tr>
      <w:tr w:rsidR="00C25CB0" w:rsidRPr="00E52F90" w14:paraId="6AF431BB" w14:textId="77777777" w:rsidTr="006027E5">
        <w:tc>
          <w:tcPr>
            <w:cnfStyle w:val="001000000000" w:firstRow="0" w:lastRow="0" w:firstColumn="1" w:lastColumn="0" w:oddVBand="0" w:evenVBand="0" w:oddHBand="0" w:evenHBand="0" w:firstRowFirstColumn="0" w:firstRowLastColumn="0" w:lastRowFirstColumn="0" w:lastRowLastColumn="0"/>
            <w:tcW w:w="1241" w:type="dxa"/>
          </w:tcPr>
          <w:p w14:paraId="648EB4B0" w14:textId="77777777" w:rsidR="00C25CB0" w:rsidRPr="005F1539" w:rsidRDefault="00C25CB0" w:rsidP="00F625AC">
            <w:pPr>
              <w:rPr>
                <w:sz w:val="20"/>
                <w:szCs w:val="22"/>
              </w:rPr>
            </w:pPr>
            <w:r w:rsidRPr="005F1539">
              <w:rPr>
                <w:i/>
                <w:sz w:val="20"/>
                <w:szCs w:val="22"/>
              </w:rPr>
              <w:t>Priority 1</w:t>
            </w:r>
          </w:p>
        </w:tc>
        <w:tc>
          <w:tcPr>
            <w:tcW w:w="8393" w:type="dxa"/>
          </w:tcPr>
          <w:p w14:paraId="51B6C018" w14:textId="5E53F49B" w:rsidR="00C25CB0" w:rsidRPr="005F1539" w:rsidRDefault="00C25CB0" w:rsidP="001D233D">
            <w:pPr>
              <w:pStyle w:val="ListParagraph"/>
              <w:numPr>
                <w:ilvl w:val="0"/>
                <w:numId w:val="9"/>
              </w:numPr>
              <w:spacing w:after="40"/>
              <w:ind w:left="357" w:hanging="357"/>
              <w:contextualSpacing w:val="0"/>
              <w:cnfStyle w:val="000000000000" w:firstRow="0" w:lastRow="0" w:firstColumn="0" w:lastColumn="0" w:oddVBand="0" w:evenVBand="0" w:oddHBand="0" w:evenHBand="0" w:firstRowFirstColumn="0" w:firstRowLastColumn="0" w:lastRowFirstColumn="0" w:lastRowLastColumn="0"/>
              <w:rPr>
                <w:bCs/>
              </w:rPr>
            </w:pPr>
            <w:r>
              <w:t xml:space="preserve">Schools in areas with limited or no OSHC services </w:t>
            </w:r>
          </w:p>
        </w:tc>
      </w:tr>
      <w:tr w:rsidR="00C25CB0" w14:paraId="700A5E08" w14:textId="77777777" w:rsidTr="006027E5">
        <w:tc>
          <w:tcPr>
            <w:cnfStyle w:val="001000000000" w:firstRow="0" w:lastRow="0" w:firstColumn="1" w:lastColumn="0" w:oddVBand="0" w:evenVBand="0" w:oddHBand="0" w:evenHBand="0" w:firstRowFirstColumn="0" w:firstRowLastColumn="0" w:lastRowFirstColumn="0" w:lastRowLastColumn="0"/>
            <w:tcW w:w="1241" w:type="dxa"/>
          </w:tcPr>
          <w:p w14:paraId="3524CB0B" w14:textId="77777777" w:rsidR="00C25CB0" w:rsidRPr="005F1539" w:rsidRDefault="00C25CB0" w:rsidP="00F625AC">
            <w:pPr>
              <w:rPr>
                <w:sz w:val="20"/>
                <w:szCs w:val="22"/>
              </w:rPr>
            </w:pPr>
            <w:r w:rsidRPr="005F1539">
              <w:rPr>
                <w:i/>
                <w:sz w:val="20"/>
                <w:szCs w:val="22"/>
              </w:rPr>
              <w:t>Priority 2</w:t>
            </w:r>
          </w:p>
        </w:tc>
        <w:tc>
          <w:tcPr>
            <w:tcW w:w="8393" w:type="dxa"/>
          </w:tcPr>
          <w:p w14:paraId="5F8E456D" w14:textId="55DBD658" w:rsidR="00C25CB0" w:rsidRPr="00A6472E" w:rsidRDefault="00C25CB0" w:rsidP="001D233D">
            <w:pPr>
              <w:pStyle w:val="ListParagraph"/>
              <w:numPr>
                <w:ilvl w:val="0"/>
                <w:numId w:val="9"/>
              </w:numPr>
              <w:spacing w:after="40"/>
              <w:ind w:left="357" w:hanging="357"/>
              <w:contextualSpacing w:val="0"/>
              <w:cnfStyle w:val="000000000000" w:firstRow="0" w:lastRow="0" w:firstColumn="0" w:lastColumn="0" w:oddVBand="0" w:evenVBand="0" w:oddHBand="0" w:evenHBand="0" w:firstRowFirstColumn="0" w:firstRowLastColumn="0" w:lastRowFirstColumn="0" w:lastRowLastColumn="0"/>
              <w:rPr>
                <w:bCs/>
              </w:rPr>
            </w:pPr>
            <w:r>
              <w:rPr>
                <w:bCs/>
              </w:rPr>
              <w:t xml:space="preserve">Schools where services are unlikely to be viable without grant funding </w:t>
            </w:r>
          </w:p>
        </w:tc>
      </w:tr>
      <w:tr w:rsidR="00C25CB0" w14:paraId="2712B2C8" w14:textId="77777777" w:rsidTr="006027E5">
        <w:tc>
          <w:tcPr>
            <w:cnfStyle w:val="001000000000" w:firstRow="0" w:lastRow="0" w:firstColumn="1" w:lastColumn="0" w:oddVBand="0" w:evenVBand="0" w:oddHBand="0" w:evenHBand="0" w:firstRowFirstColumn="0" w:firstRowLastColumn="0" w:lastRowFirstColumn="0" w:lastRowLastColumn="0"/>
            <w:tcW w:w="1241" w:type="dxa"/>
          </w:tcPr>
          <w:p w14:paraId="58C64746" w14:textId="77777777" w:rsidR="00C25CB0" w:rsidRPr="005F1539" w:rsidRDefault="00C25CB0" w:rsidP="00F625AC">
            <w:pPr>
              <w:rPr>
                <w:sz w:val="20"/>
                <w:szCs w:val="22"/>
              </w:rPr>
            </w:pPr>
            <w:r w:rsidRPr="005F1539">
              <w:rPr>
                <w:i/>
                <w:sz w:val="20"/>
                <w:szCs w:val="22"/>
              </w:rPr>
              <w:t>Priority 3</w:t>
            </w:r>
          </w:p>
        </w:tc>
        <w:tc>
          <w:tcPr>
            <w:tcW w:w="8393" w:type="dxa"/>
          </w:tcPr>
          <w:p w14:paraId="49A937B3" w14:textId="2012E1C6" w:rsidR="00C25CB0" w:rsidRPr="00A6472E" w:rsidRDefault="00C25CB0" w:rsidP="001D233D">
            <w:pPr>
              <w:pStyle w:val="ListParagraph"/>
              <w:numPr>
                <w:ilvl w:val="0"/>
                <w:numId w:val="8"/>
              </w:numPr>
              <w:spacing w:after="0" w:line="259" w:lineRule="auto"/>
              <w:ind w:left="360"/>
              <w:contextualSpacing w:val="0"/>
              <w:cnfStyle w:val="000000000000" w:firstRow="0" w:lastRow="0" w:firstColumn="0" w:lastColumn="0" w:oddVBand="0" w:evenVBand="0" w:oddHBand="0" w:evenHBand="0" w:firstRowFirstColumn="0" w:firstRowLastColumn="0" w:lastRowFirstColumn="0" w:lastRowLastColumn="0"/>
              <w:rPr>
                <w:bCs/>
              </w:rPr>
            </w:pPr>
            <w:r>
              <w:t>Schools with demonstrated readiness to commence services by Term 1, 202</w:t>
            </w:r>
            <w:r w:rsidR="00423F59">
              <w:t>3</w:t>
            </w:r>
            <w:r>
              <w:t xml:space="preserve">. </w:t>
            </w:r>
          </w:p>
          <w:p w14:paraId="7BCA9DBF" w14:textId="6DBAC75B" w:rsidR="00C25CB0" w:rsidRPr="00702168" w:rsidRDefault="00C25CB0" w:rsidP="001D233D">
            <w:pPr>
              <w:pStyle w:val="ListParagraph"/>
              <w:numPr>
                <w:ilvl w:val="0"/>
                <w:numId w:val="8"/>
              </w:numPr>
              <w:spacing w:after="0" w:line="259" w:lineRule="auto"/>
              <w:ind w:left="360"/>
              <w:contextualSpacing w:val="0"/>
              <w:cnfStyle w:val="000000000000" w:firstRow="0" w:lastRow="0" w:firstColumn="0" w:lastColumn="0" w:oddVBand="0" w:evenVBand="0" w:oddHBand="0" w:evenHBand="0" w:firstRowFirstColumn="0" w:firstRowLastColumn="0" w:lastRowFirstColumn="0" w:lastRowLastColumn="0"/>
              <w:rPr>
                <w:bCs/>
              </w:rPr>
            </w:pPr>
            <w:r>
              <w:t>Schools with disadvantaged student cohorts</w:t>
            </w:r>
          </w:p>
        </w:tc>
      </w:tr>
      <w:tr w:rsidR="00FD6AA3" w14:paraId="61FD6BB7" w14:textId="77777777" w:rsidTr="006027E5">
        <w:tc>
          <w:tcPr>
            <w:cnfStyle w:val="001000000000" w:firstRow="0" w:lastRow="0" w:firstColumn="1" w:lastColumn="0" w:oddVBand="0" w:evenVBand="0" w:oddHBand="0" w:evenHBand="0" w:firstRowFirstColumn="0" w:firstRowLastColumn="0" w:lastRowFirstColumn="0" w:lastRowLastColumn="0"/>
            <w:tcW w:w="1241" w:type="dxa"/>
          </w:tcPr>
          <w:p w14:paraId="7E151BF5" w14:textId="4D523AD2" w:rsidR="00DE575D" w:rsidRPr="005F1539" w:rsidRDefault="00DE575D" w:rsidP="00F625AC">
            <w:pPr>
              <w:rPr>
                <w:i/>
                <w:sz w:val="20"/>
                <w:szCs w:val="22"/>
              </w:rPr>
            </w:pPr>
            <w:r>
              <w:rPr>
                <w:i/>
                <w:sz w:val="20"/>
                <w:szCs w:val="22"/>
              </w:rPr>
              <w:t>Priority 4</w:t>
            </w:r>
          </w:p>
        </w:tc>
        <w:tc>
          <w:tcPr>
            <w:tcW w:w="8393" w:type="dxa"/>
          </w:tcPr>
          <w:p w14:paraId="0ADE87A2" w14:textId="7752A539" w:rsidR="00DE575D" w:rsidRDefault="00DE575D" w:rsidP="001D233D">
            <w:pPr>
              <w:pStyle w:val="ListParagraph"/>
              <w:numPr>
                <w:ilvl w:val="0"/>
                <w:numId w:val="8"/>
              </w:numPr>
              <w:spacing w:after="0" w:line="259" w:lineRule="auto"/>
              <w:ind w:left="360"/>
              <w:contextualSpacing w:val="0"/>
              <w:cnfStyle w:val="000000000000" w:firstRow="0" w:lastRow="0" w:firstColumn="0" w:lastColumn="0" w:oddVBand="0" w:evenVBand="0" w:oddHBand="0" w:evenHBand="0" w:firstRowFirstColumn="0" w:firstRowLastColumn="0" w:lastRowFirstColumn="0" w:lastRowLastColumn="0"/>
            </w:pPr>
            <w:r>
              <w:t>Schools seeking to extend existing OSHC delivery</w:t>
            </w:r>
          </w:p>
        </w:tc>
      </w:tr>
    </w:tbl>
    <w:p w14:paraId="13616904" w14:textId="1F216F14" w:rsidR="00C25CB0" w:rsidRDefault="00C25CB0" w:rsidP="00C25CB0">
      <w:pPr>
        <w:pStyle w:val="Heading2"/>
        <w:spacing w:before="240"/>
        <w:rPr>
          <w:rStyle w:val="Hyperlink"/>
          <w:color w:val="auto"/>
        </w:rPr>
      </w:pPr>
      <w:bookmarkStart w:id="34" w:name="_Toc33534755"/>
      <w:bookmarkEnd w:id="33"/>
    </w:p>
    <w:p w14:paraId="64868404" w14:textId="77777777" w:rsidR="00C25CB0" w:rsidRDefault="00C25CB0" w:rsidP="00C25CB0">
      <w:pPr>
        <w:jc w:val="both"/>
        <w:rPr>
          <w:rStyle w:val="Hyperlink"/>
          <w:color w:val="auto"/>
        </w:rPr>
      </w:pPr>
    </w:p>
    <w:p w14:paraId="28074F72" w14:textId="77777777" w:rsidR="00C25CB0" w:rsidRDefault="00C25CB0" w:rsidP="00C25CB0">
      <w:pPr>
        <w:jc w:val="both"/>
      </w:pPr>
    </w:p>
    <w:p w14:paraId="2667387E" w14:textId="44FB345C" w:rsidR="00C25CB0" w:rsidRPr="00497043" w:rsidRDefault="00C25CB0" w:rsidP="00C25CB0">
      <w:pPr>
        <w:pStyle w:val="Heading1"/>
        <w:rPr>
          <w:b w:val="0"/>
          <w:szCs w:val="44"/>
        </w:rPr>
      </w:pPr>
      <w:bookmarkStart w:id="35" w:name="_Toc69373407"/>
      <w:bookmarkStart w:id="36" w:name="_Toc71026836"/>
      <w:r w:rsidRPr="00F240A8">
        <w:lastRenderedPageBreak/>
        <w:t>4.</w:t>
      </w:r>
      <w:r w:rsidRPr="00F240A8">
        <w:rPr>
          <w:szCs w:val="44"/>
        </w:rPr>
        <w:tab/>
      </w:r>
      <w:r>
        <w:rPr>
          <w:szCs w:val="44"/>
        </w:rPr>
        <w:t>C</w:t>
      </w:r>
      <w:r w:rsidRPr="00F240A8">
        <w:t>onsiderations before applying</w:t>
      </w:r>
      <w:bookmarkEnd w:id="34"/>
      <w:bookmarkEnd w:id="35"/>
      <w:bookmarkEnd w:id="36"/>
    </w:p>
    <w:p w14:paraId="60EEF4D1" w14:textId="77777777" w:rsidR="00C25CB0" w:rsidRDefault="00C25CB0" w:rsidP="00C25CB0">
      <w:pPr>
        <w:jc w:val="both"/>
      </w:pPr>
      <w:r>
        <w:t xml:space="preserve">Applicants are encouraged to access the detailed information regarding establishing an OSHC service available in the </w:t>
      </w:r>
      <w:hyperlink r:id="rId17" w:history="1">
        <w:r w:rsidRPr="00340680">
          <w:rPr>
            <w:rStyle w:val="Hyperlink"/>
          </w:rPr>
          <w:t>Policy and Advisory Library</w:t>
        </w:r>
      </w:hyperlink>
      <w:r>
        <w:t xml:space="preserve">.  </w:t>
      </w:r>
    </w:p>
    <w:p w14:paraId="4A32D4DC" w14:textId="77777777" w:rsidR="00C25CB0" w:rsidRDefault="00C25CB0" w:rsidP="00C25CB0">
      <w:pPr>
        <w:jc w:val="both"/>
      </w:pPr>
      <w:r w:rsidRPr="00497043">
        <w:t>Applicants should consider the follow</w:t>
      </w:r>
      <w:r>
        <w:t xml:space="preserve">ing before applying. </w:t>
      </w:r>
    </w:p>
    <w:p w14:paraId="1B1CDB15" w14:textId="64D701E6" w:rsidR="00C25CB0" w:rsidRPr="00F1734B" w:rsidRDefault="00C25CB0" w:rsidP="00C25CB0">
      <w:pPr>
        <w:pStyle w:val="Heading2"/>
        <w:spacing w:before="240"/>
      </w:pPr>
      <w:bookmarkStart w:id="37" w:name="_Toc69373408"/>
      <w:bookmarkStart w:id="38" w:name="_Toc71026837"/>
      <w:r>
        <w:t>Demand for services</w:t>
      </w:r>
      <w:bookmarkEnd w:id="37"/>
      <w:bookmarkEnd w:id="38"/>
    </w:p>
    <w:p w14:paraId="3D0D8254" w14:textId="77777777" w:rsidR="00C25CB0" w:rsidRDefault="00C25CB0" w:rsidP="00C25CB0">
      <w:pPr>
        <w:spacing w:before="120" w:after="0"/>
        <w:jc w:val="both"/>
      </w:pPr>
      <w:r>
        <w:t>Applicants will be asked to demonstrate demand for OSHC services in their school and where applicable in neighbouring schools that are forming part of a cluster. It is recommended that schools undertake a brief survey of parents/carers seeking information regarding their OSHC preferences and likely usage, including:</w:t>
      </w:r>
    </w:p>
    <w:p w14:paraId="4A4DB837" w14:textId="77777777" w:rsidR="00C25CB0" w:rsidRDefault="00C25CB0" w:rsidP="001D233D">
      <w:pPr>
        <w:pStyle w:val="ListParagraph"/>
        <w:numPr>
          <w:ilvl w:val="0"/>
          <w:numId w:val="13"/>
        </w:numPr>
        <w:spacing w:before="120" w:after="0"/>
        <w:jc w:val="both"/>
      </w:pPr>
      <w:r>
        <w:t>interest in before and after school care and/or school holiday programs</w:t>
      </w:r>
    </w:p>
    <w:p w14:paraId="22A0FECF" w14:textId="5E69102B" w:rsidR="00C25CB0" w:rsidRDefault="00C25CB0" w:rsidP="001D233D">
      <w:pPr>
        <w:pStyle w:val="ListParagraph"/>
        <w:numPr>
          <w:ilvl w:val="0"/>
          <w:numId w:val="13"/>
        </w:numPr>
        <w:spacing w:before="120" w:after="0"/>
        <w:jc w:val="both"/>
      </w:pPr>
      <w:r>
        <w:t>number of days utilising services</w:t>
      </w:r>
    </w:p>
    <w:p w14:paraId="155C0319" w14:textId="4590BF62" w:rsidR="00C25CB0" w:rsidRDefault="00C25CB0" w:rsidP="00C25CB0">
      <w:pPr>
        <w:spacing w:before="120" w:after="0"/>
        <w:jc w:val="both"/>
      </w:pPr>
      <w:r>
        <w:t xml:space="preserve">This information can be used to inform the design of the OSHC program and identify costs, as well as to support the application. </w:t>
      </w:r>
    </w:p>
    <w:p w14:paraId="5D0AE41F" w14:textId="1152BA5C" w:rsidR="00BE410B" w:rsidRDefault="00BE410B" w:rsidP="00C25CB0">
      <w:pPr>
        <w:spacing w:before="120" w:after="0"/>
        <w:jc w:val="both"/>
      </w:pPr>
      <w:r>
        <w:t xml:space="preserve">Your school may wish to adapt the </w:t>
      </w:r>
      <w:r w:rsidRPr="00BE410B">
        <w:rPr>
          <w:u w:val="single"/>
        </w:rPr>
        <w:t>Template OSHC School Survey</w:t>
      </w:r>
      <w:r>
        <w:t xml:space="preserve"> to gauge the need for OSHC in your school’s community. </w:t>
      </w:r>
    </w:p>
    <w:p w14:paraId="2DC41EEF" w14:textId="49F2637F" w:rsidR="008D01A0" w:rsidRDefault="008D01A0" w:rsidP="00C25CB0">
      <w:pPr>
        <w:spacing w:before="120" w:after="0"/>
        <w:jc w:val="both"/>
      </w:pPr>
      <w:r>
        <w:t xml:space="preserve">Schools seeking to expand existing OSHC provision will </w:t>
      </w:r>
      <w:r w:rsidR="006A5316">
        <w:t xml:space="preserve">also </w:t>
      </w:r>
      <w:r>
        <w:t xml:space="preserve">need to demonstrate that the existing program does not meet the school community’s needs. </w:t>
      </w:r>
      <w:r w:rsidR="006A5316">
        <w:t>For instance, a school applying to add vacation care to the service operating on their premises would need to demonstrate that no other vacation care services in the area are able to meet demand from students at their school.</w:t>
      </w:r>
    </w:p>
    <w:p w14:paraId="05EF9CE5" w14:textId="597C9F0A" w:rsidR="00C25CB0" w:rsidRDefault="00C25CB0" w:rsidP="00C25CB0">
      <w:pPr>
        <w:pStyle w:val="Heading2"/>
        <w:spacing w:before="240"/>
      </w:pPr>
      <w:bookmarkStart w:id="39" w:name="_Toc69373409"/>
      <w:bookmarkStart w:id="40" w:name="_Toc71026838"/>
      <w:r>
        <w:t>Model of service delivery</w:t>
      </w:r>
      <w:bookmarkEnd w:id="39"/>
      <w:bookmarkEnd w:id="40"/>
    </w:p>
    <w:p w14:paraId="1AF9A7C6" w14:textId="77777777" w:rsidR="00437598" w:rsidRDefault="00C25CB0" w:rsidP="00C25CB0">
      <w:r>
        <w:t xml:space="preserve">Applicants should consider whether a </w:t>
      </w:r>
      <w:r w:rsidRPr="00977985">
        <w:rPr>
          <w:b/>
          <w:bCs/>
        </w:rPr>
        <w:t>school council</w:t>
      </w:r>
      <w:r>
        <w:t xml:space="preserve"> or </w:t>
      </w:r>
      <w:r w:rsidRPr="00977985">
        <w:rPr>
          <w:b/>
          <w:bCs/>
        </w:rPr>
        <w:t>third-party provided OSHC</w:t>
      </w:r>
      <w:r>
        <w:t xml:space="preserve"> service will best meet the needs of the school/s and the participating children and their families. There are a range of costs and benefits of each model of service delivery. </w:t>
      </w:r>
    </w:p>
    <w:p w14:paraId="5462A341" w14:textId="0AB5FE0B" w:rsidR="00C25CB0" w:rsidRDefault="00C25CB0" w:rsidP="00C25CB0">
      <w:r>
        <w:t xml:space="preserve">Schools are encouraged to commence conversations with key stakeholders, including school councils, potential OSHC providers, parents/carers, potential cluster schools to determine the most appropriate approach. </w:t>
      </w:r>
    </w:p>
    <w:p w14:paraId="62C2035E" w14:textId="5D882043" w:rsidR="001361F5" w:rsidRPr="00D42B4D" w:rsidRDefault="00CA16D5" w:rsidP="00D42B4D">
      <w:pPr>
        <w:jc w:val="both"/>
        <w:rPr>
          <w:lang w:val="en-AU"/>
        </w:rPr>
      </w:pPr>
      <w:r w:rsidRPr="17DA34F5">
        <w:rPr>
          <w:lang w:val="en-AU"/>
        </w:rPr>
        <w:t xml:space="preserve">A training module for school councils which outlines the steps to be taken for both school council-delivered and third party-delivered services is available at </w:t>
      </w:r>
      <w:hyperlink r:id="rId18" w:history="1">
        <w:r w:rsidR="001361F5" w:rsidRPr="004045C4">
          <w:rPr>
            <w:rStyle w:val="Hyperlink"/>
            <w:lang w:val="en-AU"/>
          </w:rPr>
          <w:t>https://lms.learneyo.com/DETSC/</w:t>
        </w:r>
      </w:hyperlink>
      <w:r w:rsidR="00D42B4D">
        <w:rPr>
          <w:rStyle w:val="Hyperlink"/>
          <w:lang w:val="en-AU"/>
        </w:rPr>
        <w:t>.</w:t>
      </w:r>
    </w:p>
    <w:p w14:paraId="671DD8F1" w14:textId="56A4BBEC" w:rsidR="00C25CB0" w:rsidRDefault="00C25CB0" w:rsidP="00C25CB0">
      <w:r>
        <w:t xml:space="preserve">More information about </w:t>
      </w:r>
      <w:r w:rsidRPr="00E00DC8">
        <w:rPr>
          <w:b/>
          <w:bCs/>
        </w:rPr>
        <w:t>third-party providers</w:t>
      </w:r>
      <w:r>
        <w:t xml:space="preserve"> operating in your local area is available at: </w:t>
      </w:r>
    </w:p>
    <w:p w14:paraId="7F1877B4" w14:textId="591CF8EF" w:rsidR="00C25CB0" w:rsidRDefault="00EC726E" w:rsidP="001D233D">
      <w:pPr>
        <w:pStyle w:val="ListParagraph"/>
        <w:numPr>
          <w:ilvl w:val="0"/>
          <w:numId w:val="16"/>
        </w:numPr>
      </w:pPr>
      <w:hyperlink r:id="rId19" w:history="1">
        <w:r w:rsidR="00C25CB0">
          <w:rPr>
            <w:rStyle w:val="Hyperlink"/>
          </w:rPr>
          <w:t>Australian Children’s Education and Care Quality Authority (ACECQA) National Register</w:t>
        </w:r>
      </w:hyperlink>
    </w:p>
    <w:p w14:paraId="68B532A5" w14:textId="77777777" w:rsidR="00C25CB0" w:rsidRDefault="00EC726E" w:rsidP="001D233D">
      <w:pPr>
        <w:pStyle w:val="ListParagraph"/>
        <w:numPr>
          <w:ilvl w:val="0"/>
          <w:numId w:val="16"/>
        </w:numPr>
      </w:pPr>
      <w:hyperlink r:id="rId20" w:history="1">
        <w:r w:rsidR="00C25CB0">
          <w:rPr>
            <w:rStyle w:val="Hyperlink"/>
          </w:rPr>
          <w:t>Starting Blocks</w:t>
        </w:r>
      </w:hyperlink>
    </w:p>
    <w:p w14:paraId="0A64C055" w14:textId="77777777" w:rsidR="00C25CB0" w:rsidRPr="00A560B7" w:rsidRDefault="00EC726E" w:rsidP="001D233D">
      <w:pPr>
        <w:pStyle w:val="ListParagraph"/>
        <w:numPr>
          <w:ilvl w:val="0"/>
          <w:numId w:val="16"/>
        </w:numPr>
        <w:rPr>
          <w:rStyle w:val="Hyperlink"/>
          <w:color w:val="auto"/>
        </w:rPr>
      </w:pPr>
      <w:hyperlink r:id="rId21" w:history="1">
        <w:r w:rsidR="00C25CB0">
          <w:rPr>
            <w:rStyle w:val="Hyperlink"/>
          </w:rPr>
          <w:t>Child Care Finder</w:t>
        </w:r>
      </w:hyperlink>
    </w:p>
    <w:p w14:paraId="56332EEE" w14:textId="716A9A33" w:rsidR="00C25CB0" w:rsidRPr="001C6F9E" w:rsidRDefault="00C25CB0" w:rsidP="00C25CB0">
      <w:r>
        <w:t xml:space="preserve">You can also contact </w:t>
      </w:r>
      <w:hyperlink r:id="rId22" w:history="1">
        <w:r w:rsidRPr="00C603E6">
          <w:rPr>
            <w:rStyle w:val="Hyperlink"/>
          </w:rPr>
          <w:t>oshc.central@education.vic.gov.au</w:t>
        </w:r>
      </w:hyperlink>
      <w:r>
        <w:t xml:space="preserve"> for assistance in finding providers in your area</w:t>
      </w:r>
      <w:r w:rsidR="00E5534A">
        <w:t>, although this team is not able to assist in the process to appoint one.</w:t>
      </w:r>
    </w:p>
    <w:p w14:paraId="049C4731" w14:textId="61607F62" w:rsidR="00C25CB0" w:rsidRPr="00D43ABC" w:rsidRDefault="00C25CB0" w:rsidP="00C25CB0">
      <w:pPr>
        <w:pStyle w:val="Heading2"/>
        <w:spacing w:before="240"/>
      </w:pPr>
      <w:bookmarkStart w:id="41" w:name="_Toc69373410"/>
      <w:bookmarkStart w:id="42" w:name="_Toc71026839"/>
      <w:r w:rsidRPr="00D43ABC">
        <w:t>Readiness to deliver</w:t>
      </w:r>
      <w:bookmarkEnd w:id="41"/>
      <w:bookmarkEnd w:id="42"/>
    </w:p>
    <w:p w14:paraId="7A63D766" w14:textId="242C864F" w:rsidR="00C25CB0" w:rsidRPr="00D43ABC" w:rsidRDefault="00C25CB0" w:rsidP="00C25CB0">
      <w:pPr>
        <w:jc w:val="both"/>
      </w:pPr>
      <w:r w:rsidRPr="00D43ABC">
        <w:t xml:space="preserve">Applicants will be asked to demonstrate their readiness to commence OSHC delivery by Term </w:t>
      </w:r>
      <w:r>
        <w:t>1</w:t>
      </w:r>
      <w:r w:rsidRPr="00D43ABC">
        <w:t xml:space="preserve">, </w:t>
      </w:r>
      <w:r w:rsidR="00CA28F2" w:rsidRPr="00D43ABC">
        <w:t>202</w:t>
      </w:r>
      <w:r w:rsidR="00CA28F2">
        <w:t>3</w:t>
      </w:r>
      <w:r w:rsidRPr="00D43ABC">
        <w:t xml:space="preserve">. It is recommended that as part of conversations with key stakeholders, including school councils and potential OSHC providers, schools discuss possible timeframes for delivery. It is important to consider a range of factors that may delay service delivery including: </w:t>
      </w:r>
    </w:p>
    <w:p w14:paraId="634B5186" w14:textId="28812197" w:rsidR="00C25CB0" w:rsidRPr="00D43ABC" w:rsidRDefault="00C25CB0" w:rsidP="001D233D">
      <w:pPr>
        <w:pStyle w:val="ListParagraph"/>
        <w:numPr>
          <w:ilvl w:val="0"/>
          <w:numId w:val="14"/>
        </w:numPr>
        <w:jc w:val="both"/>
      </w:pPr>
      <w:r w:rsidRPr="00D43ABC">
        <w:lastRenderedPageBreak/>
        <w:t>Approval of a new provider (school council) and/or service with Q</w:t>
      </w:r>
      <w:r w:rsidR="00437598">
        <w:t>uality Assessment and Regulations Division, Department of Education and Training (Q</w:t>
      </w:r>
      <w:r w:rsidRPr="00D43ABC">
        <w:t>ARD</w:t>
      </w:r>
      <w:r w:rsidR="00437598">
        <w:t>)</w:t>
      </w:r>
      <w:r w:rsidR="00D42B4D">
        <w:t>.</w:t>
      </w:r>
    </w:p>
    <w:p w14:paraId="5B836A0E" w14:textId="71D1EF57" w:rsidR="00C25CB0" w:rsidRPr="00D43ABC" w:rsidRDefault="00C25CB0" w:rsidP="001D233D">
      <w:pPr>
        <w:pStyle w:val="ListParagraph"/>
        <w:numPr>
          <w:ilvl w:val="0"/>
          <w:numId w:val="14"/>
        </w:numPr>
        <w:jc w:val="both"/>
      </w:pPr>
      <w:r w:rsidRPr="00D43ABC">
        <w:t>Procurement of a third-party provider to deliver OSHC services</w:t>
      </w:r>
      <w:r w:rsidR="00D42B4D">
        <w:t>.</w:t>
      </w:r>
    </w:p>
    <w:p w14:paraId="5B8875E6" w14:textId="0332BE55" w:rsidR="00C25CB0" w:rsidRPr="00D43ABC" w:rsidRDefault="00C25CB0" w:rsidP="001D233D">
      <w:pPr>
        <w:pStyle w:val="ListParagraph"/>
        <w:numPr>
          <w:ilvl w:val="0"/>
          <w:numId w:val="14"/>
        </w:numPr>
        <w:jc w:val="both"/>
      </w:pPr>
      <w:r w:rsidRPr="00D43ABC">
        <w:t>Recruitment of staff</w:t>
      </w:r>
      <w:r w:rsidR="00D42B4D">
        <w:t>.</w:t>
      </w:r>
    </w:p>
    <w:p w14:paraId="1D1FD817" w14:textId="77777777" w:rsidR="00C25CB0" w:rsidRPr="00D43ABC" w:rsidRDefault="00C25CB0" w:rsidP="001D233D">
      <w:pPr>
        <w:pStyle w:val="ListParagraph"/>
        <w:numPr>
          <w:ilvl w:val="0"/>
          <w:numId w:val="14"/>
        </w:numPr>
        <w:jc w:val="both"/>
      </w:pPr>
      <w:r w:rsidRPr="00D43ABC">
        <w:t xml:space="preserve">Development of appropriate cluster arrangements (for example, hiring a transport company to provide bus services). </w:t>
      </w:r>
    </w:p>
    <w:p w14:paraId="69B1B488" w14:textId="5B294DAE" w:rsidR="00C25CB0" w:rsidRDefault="00C25CB0" w:rsidP="00C25CB0">
      <w:pPr>
        <w:jc w:val="both"/>
      </w:pPr>
      <w:r w:rsidRPr="00D43ABC">
        <w:t xml:space="preserve">Schools may consider developing a project plan, outlining timelines for key milestones to demonstrate preparedness to deliver services as soon as possible following the receipt of approved grant funding in Term </w:t>
      </w:r>
      <w:r>
        <w:t>1</w:t>
      </w:r>
      <w:r w:rsidRPr="00D43ABC">
        <w:t>, 202</w:t>
      </w:r>
      <w:r w:rsidR="00C33079">
        <w:t>3</w:t>
      </w:r>
      <w:r w:rsidRPr="00D43ABC">
        <w:t xml:space="preserve">.  </w:t>
      </w:r>
    </w:p>
    <w:p w14:paraId="6C2CDA46" w14:textId="5CB391B7" w:rsidR="00F2576E" w:rsidRPr="00D43ABC" w:rsidRDefault="00F2576E" w:rsidP="00C25CB0">
      <w:pPr>
        <w:jc w:val="both"/>
      </w:pPr>
      <w:r w:rsidRPr="00F2576E">
        <w:t xml:space="preserve">There may be some exceptions </w:t>
      </w:r>
      <w:r>
        <w:t xml:space="preserve">to this timeframe </w:t>
      </w:r>
      <w:r w:rsidRPr="00F2576E">
        <w:t xml:space="preserve">where schools have a special case, </w:t>
      </w:r>
      <w:r>
        <w:t xml:space="preserve">i.e. if a school demonstrates a need to commence delivery earlier to meet existing need, or to commence later due to </w:t>
      </w:r>
      <w:r w:rsidR="00167404">
        <w:t>issues such as building works at the school.</w:t>
      </w:r>
    </w:p>
    <w:p w14:paraId="6167BEDD" w14:textId="5EC08CEC" w:rsidR="00C25CB0" w:rsidRPr="00EB3924" w:rsidRDefault="00C25CB0" w:rsidP="00C25CB0">
      <w:pPr>
        <w:pStyle w:val="Heading2"/>
        <w:spacing w:before="240"/>
      </w:pPr>
      <w:bookmarkStart w:id="43" w:name="_Toc69373411"/>
      <w:bookmarkStart w:id="44" w:name="_Toc71026840"/>
      <w:r w:rsidRPr="00EB3924">
        <w:t>Possible cluster arrangements</w:t>
      </w:r>
      <w:bookmarkEnd w:id="43"/>
      <w:bookmarkEnd w:id="44"/>
    </w:p>
    <w:p w14:paraId="64120EFB" w14:textId="77777777" w:rsidR="00C25CB0" w:rsidRDefault="00C25CB0" w:rsidP="00C25CB0">
      <w:pPr>
        <w:jc w:val="both"/>
      </w:pPr>
      <w:r>
        <w:t xml:space="preserve">Applicants should consider whether a cluster arrangement with neighbouring schools is appropriate and commence discussions with possible cluster schools. Clusters may be appropriate where: </w:t>
      </w:r>
    </w:p>
    <w:p w14:paraId="23D5A633" w14:textId="2E7CC9CA" w:rsidR="00C25CB0" w:rsidRDefault="00C25CB0" w:rsidP="001D233D">
      <w:pPr>
        <w:pStyle w:val="ListParagraph"/>
        <w:numPr>
          <w:ilvl w:val="0"/>
          <w:numId w:val="15"/>
        </w:numPr>
        <w:jc w:val="both"/>
      </w:pPr>
      <w:r>
        <w:t xml:space="preserve">there are </w:t>
      </w:r>
      <w:r w:rsidR="00612CEA">
        <w:t>several</w:t>
      </w:r>
      <w:r>
        <w:t xml:space="preserve"> schools located close together, making it feasible to transport students to access OSHC services</w:t>
      </w:r>
    </w:p>
    <w:p w14:paraId="5655C566" w14:textId="77777777" w:rsidR="00C25CB0" w:rsidRDefault="00C25CB0" w:rsidP="001D233D">
      <w:pPr>
        <w:pStyle w:val="ListParagraph"/>
        <w:numPr>
          <w:ilvl w:val="0"/>
          <w:numId w:val="15"/>
        </w:numPr>
        <w:jc w:val="both"/>
      </w:pPr>
      <w:r>
        <w:t xml:space="preserve">there is insufficient demand for services at each school to make individual services viable </w:t>
      </w:r>
    </w:p>
    <w:p w14:paraId="3382AFD9" w14:textId="20397D60" w:rsidR="00C25CB0" w:rsidRPr="00497043" w:rsidRDefault="00C25CB0" w:rsidP="001D233D">
      <w:pPr>
        <w:pStyle w:val="ListParagraph"/>
        <w:numPr>
          <w:ilvl w:val="0"/>
          <w:numId w:val="15"/>
        </w:numPr>
        <w:jc w:val="both"/>
      </w:pPr>
      <w:r>
        <w:t>there are pre-existing relationships between neighbouring schools</w:t>
      </w:r>
      <w:r w:rsidR="005E7819">
        <w:t>.</w:t>
      </w:r>
      <w:r>
        <w:t xml:space="preserve"> </w:t>
      </w:r>
    </w:p>
    <w:p w14:paraId="7092CF24" w14:textId="2AFF6DDC" w:rsidR="00B37CDB" w:rsidRDefault="00C25CB0" w:rsidP="00621130">
      <w:pPr>
        <w:jc w:val="both"/>
      </w:pPr>
      <w:r>
        <w:t xml:space="preserve">Schools are encouraged to partner with both government and non-government schools to deliver OSHC programs. Please note that </w:t>
      </w:r>
      <w:r w:rsidR="009E6403">
        <w:t xml:space="preserve">additional funding only applies where </w:t>
      </w:r>
      <w:r>
        <w:t xml:space="preserve">at least two eligible government schools </w:t>
      </w:r>
      <w:r w:rsidR="009E6403">
        <w:t>are</w:t>
      </w:r>
      <w:r>
        <w:t xml:space="preserve"> involved in the cluster.</w:t>
      </w:r>
      <w:r w:rsidR="00C8265F">
        <w:t xml:space="preserve"> The lead school </w:t>
      </w:r>
      <w:r w:rsidR="00612CEA">
        <w:t>applying</w:t>
      </w:r>
      <w:r w:rsidR="00C8265F">
        <w:t xml:space="preserve"> for the grant should provide evidence that any cluster schools agree to be part of the cluster</w:t>
      </w:r>
      <w:r w:rsidR="00E92F70">
        <w:t>, such as a signed letter on school letterhead.</w:t>
      </w:r>
      <w:r>
        <w:t xml:space="preserve"> </w:t>
      </w:r>
      <w:bookmarkStart w:id="45" w:name="_Toc509222581"/>
      <w:bookmarkStart w:id="46" w:name="_Toc524092979"/>
      <w:bookmarkStart w:id="47" w:name="_Toc33534758"/>
      <w:r w:rsidR="00BD21C5">
        <w:t>S</w:t>
      </w:r>
      <w:r>
        <w:t>chools are encouraged to discuss community needs with non-government schools. While a partnership with a non-government school does not increase the grant cap amount, it may increase the chance of establishing a viable service</w:t>
      </w:r>
      <w:r w:rsidR="005E7819">
        <w:t xml:space="preserve"> that will be sustainable following the conclusion of grant funding</w:t>
      </w:r>
      <w:r>
        <w:t>.</w:t>
      </w:r>
      <w:r w:rsidR="008A4991">
        <w:t xml:space="preserve"> </w:t>
      </w:r>
      <w:r>
        <w:t>In a cluster arrangement, children from the partner schools will have access to the service on an equal basis to the lead school, and each will be expected to promote the service. Any</w:t>
      </w:r>
      <w:r w:rsidR="00B37CDB">
        <w:t xml:space="preserve"> agreed</w:t>
      </w:r>
      <w:r>
        <w:t xml:space="preserve"> expenses incurred by a partner school will be reimbursed by the lead school.</w:t>
      </w:r>
    </w:p>
    <w:p w14:paraId="046B13AF" w14:textId="62165C75" w:rsidR="000610A6" w:rsidRPr="00612CEA" w:rsidRDefault="000610A6" w:rsidP="007444C4">
      <w:pPr>
        <w:jc w:val="both"/>
        <w:rPr>
          <w:i/>
        </w:rPr>
      </w:pPr>
      <w:r w:rsidRPr="00612CEA">
        <w:rPr>
          <w:i/>
        </w:rPr>
        <w:t>Note</w:t>
      </w:r>
      <w:r w:rsidR="00612CEA">
        <w:rPr>
          <w:i/>
          <w:iCs/>
        </w:rPr>
        <w:t>:</w:t>
      </w:r>
      <w:r>
        <w:rPr>
          <w:i/>
        </w:rPr>
        <w:t xml:space="preserve"> w</w:t>
      </w:r>
      <w:r w:rsidRPr="00612CEA">
        <w:rPr>
          <w:i/>
        </w:rPr>
        <w:t>here an OSHC service will operate from one campus of a school but provide the service to another campus of the same school, this school may also apply as a cluster and be eligible for $</w:t>
      </w:r>
      <w:r w:rsidR="00254184" w:rsidRPr="00612CEA">
        <w:rPr>
          <w:i/>
        </w:rPr>
        <w:t>75,</w:t>
      </w:r>
      <w:r w:rsidRPr="00612CEA">
        <w:rPr>
          <w:i/>
        </w:rPr>
        <w:t>000</w:t>
      </w:r>
      <w:r w:rsidR="00254184" w:rsidRPr="00612CEA">
        <w:rPr>
          <w:i/>
        </w:rPr>
        <w:t xml:space="preserve"> per campus</w:t>
      </w:r>
      <w:r w:rsidRPr="00612CEA">
        <w:rPr>
          <w:i/>
        </w:rPr>
        <w:t xml:space="preserve"> to cover both the costs of the service and transport.</w:t>
      </w:r>
      <w:r w:rsidR="000B1B60" w:rsidRPr="00612CEA">
        <w:rPr>
          <w:i/>
        </w:rPr>
        <w:t xml:space="preserve"> The school could also </w:t>
      </w:r>
      <w:r w:rsidR="00254184" w:rsidRPr="00612CEA">
        <w:rPr>
          <w:i/>
        </w:rPr>
        <w:t>submit a single application to</w:t>
      </w:r>
      <w:r w:rsidR="000B1B60" w:rsidRPr="00612CEA">
        <w:rPr>
          <w:i/>
        </w:rPr>
        <w:t xml:space="preserve"> fund separate services at each campus.</w:t>
      </w:r>
    </w:p>
    <w:p w14:paraId="1F78FDA4" w14:textId="2B157AF9" w:rsidR="00254184" w:rsidRDefault="00254184" w:rsidP="007444C4">
      <w:pPr>
        <w:jc w:val="both"/>
      </w:pPr>
      <w:r>
        <w:t>A cluster could also include a combination of multiple schools and multiple campuses.</w:t>
      </w:r>
    </w:p>
    <w:p w14:paraId="459CE1BB" w14:textId="77777777" w:rsidR="00C25CB0" w:rsidRDefault="00C25CB0" w:rsidP="00C25CB0">
      <w:pPr>
        <w:spacing w:after="0"/>
        <w:rPr>
          <w:rFonts w:asciiTheme="majorHAnsi" w:eastAsiaTheme="majorEastAsia" w:hAnsiTheme="majorHAnsi" w:cstheme="majorBidi"/>
          <w:b/>
          <w:caps/>
          <w:color w:val="E57100" w:themeColor="accent1"/>
          <w:sz w:val="44"/>
          <w:szCs w:val="32"/>
        </w:rPr>
      </w:pPr>
      <w:r>
        <w:br w:type="page"/>
      </w:r>
    </w:p>
    <w:p w14:paraId="2E8C8F10" w14:textId="43A70764" w:rsidR="00C25CB0" w:rsidRPr="00CA64AD" w:rsidRDefault="00C25CB0" w:rsidP="00C25CB0">
      <w:pPr>
        <w:pStyle w:val="Heading1"/>
      </w:pPr>
      <w:bookmarkStart w:id="48" w:name="_Toc69373412"/>
      <w:bookmarkStart w:id="49" w:name="_Toc71026841"/>
      <w:r w:rsidRPr="00F240A8">
        <w:lastRenderedPageBreak/>
        <w:t>5.</w:t>
      </w:r>
      <w:r w:rsidRPr="00F240A8">
        <w:tab/>
        <w:t>How to apply</w:t>
      </w:r>
      <w:bookmarkEnd w:id="45"/>
      <w:bookmarkEnd w:id="46"/>
      <w:bookmarkEnd w:id="47"/>
      <w:bookmarkEnd w:id="48"/>
      <w:bookmarkEnd w:id="49"/>
    </w:p>
    <w:p w14:paraId="61592144" w14:textId="14371141" w:rsidR="00C25CB0" w:rsidRDefault="00C25CB0" w:rsidP="00C25CB0">
      <w:pPr>
        <w:spacing w:after="60"/>
        <w:rPr>
          <w:rStyle w:val="Hyperlink"/>
          <w:color w:val="auto"/>
        </w:rPr>
      </w:pPr>
      <w:r w:rsidRPr="002D24BC">
        <w:rPr>
          <w:rStyle w:val="Hyperlink"/>
          <w:color w:val="auto"/>
          <w:u w:val="none"/>
        </w:rPr>
        <w:t xml:space="preserve">SmartyGrants is an online grants administration program that the Department uses to facilitate the OSHC </w:t>
      </w:r>
      <w:r w:rsidR="007F02BA">
        <w:rPr>
          <w:rStyle w:val="Hyperlink"/>
          <w:color w:val="auto"/>
          <w:u w:val="none"/>
        </w:rPr>
        <w:t xml:space="preserve">Establishment Grant </w:t>
      </w:r>
      <w:r w:rsidR="009C4CCD">
        <w:rPr>
          <w:rStyle w:val="Hyperlink"/>
          <w:color w:val="auto"/>
          <w:u w:val="none"/>
        </w:rPr>
        <w:t>i</w:t>
      </w:r>
      <w:r w:rsidR="007F02BA">
        <w:rPr>
          <w:rStyle w:val="Hyperlink"/>
          <w:color w:val="auto"/>
          <w:u w:val="none"/>
        </w:rPr>
        <w:t>nitiative</w:t>
      </w:r>
      <w:r w:rsidRPr="002D24BC">
        <w:rPr>
          <w:rStyle w:val="Hyperlink"/>
          <w:color w:val="auto"/>
          <w:u w:val="none"/>
        </w:rPr>
        <w:t>.</w:t>
      </w:r>
      <w:r w:rsidRPr="002D24BC">
        <w:t xml:space="preserve"> </w:t>
      </w:r>
      <w:r w:rsidRPr="002D24BC">
        <w:rPr>
          <w:rStyle w:val="Hyperlink"/>
          <w:color w:val="auto"/>
          <w:u w:val="none"/>
        </w:rPr>
        <w:t xml:space="preserve">Grant applications can only </w:t>
      </w:r>
      <w:r w:rsidR="00612CEA">
        <w:rPr>
          <w:rStyle w:val="Hyperlink"/>
          <w:color w:val="auto"/>
          <w:u w:val="none"/>
        </w:rPr>
        <w:t xml:space="preserve">be </w:t>
      </w:r>
      <w:r w:rsidRPr="002D24BC">
        <w:rPr>
          <w:rStyle w:val="Hyperlink"/>
          <w:color w:val="auto"/>
          <w:u w:val="none"/>
        </w:rPr>
        <w:t xml:space="preserve">submitted online via </w:t>
      </w:r>
      <w:hyperlink r:id="rId23" w:history="1">
        <w:r w:rsidRPr="00BC1684">
          <w:rPr>
            <w:rStyle w:val="Hyperlink"/>
          </w:rPr>
          <w:t>SmartyGrants</w:t>
        </w:r>
      </w:hyperlink>
      <w:r w:rsidRPr="00BC1684">
        <w:rPr>
          <w:rStyle w:val="Hyperlink"/>
          <w:color w:val="auto"/>
        </w:rPr>
        <w:t>.</w:t>
      </w:r>
      <w:r w:rsidRPr="00D3333B">
        <w:rPr>
          <w:rStyle w:val="Hyperlink"/>
          <w:color w:val="auto"/>
        </w:rPr>
        <w:t xml:space="preserve"> </w:t>
      </w:r>
    </w:p>
    <w:p w14:paraId="00899EB5" w14:textId="77777777" w:rsidR="00612CEA" w:rsidRDefault="00612CEA" w:rsidP="7AB616D9">
      <w:pPr>
        <w:spacing w:after="60"/>
      </w:pPr>
    </w:p>
    <w:p w14:paraId="335E2058" w14:textId="3A9A394E" w:rsidR="00C25CB0" w:rsidRDefault="00C25CB0" w:rsidP="7AB616D9">
      <w:pPr>
        <w:spacing w:after="60"/>
        <w:rPr>
          <w:b/>
          <w:bCs/>
        </w:rPr>
      </w:pPr>
      <w:r>
        <w:t>The application</w:t>
      </w:r>
      <w:r w:rsidR="00BD21C5">
        <w:t>s for R</w:t>
      </w:r>
      <w:r>
        <w:t xml:space="preserve">ound </w:t>
      </w:r>
      <w:r w:rsidR="2AADFE80">
        <w:t>3</w:t>
      </w:r>
      <w:r w:rsidR="00BD21C5">
        <w:t xml:space="preserve"> </w:t>
      </w:r>
      <w:r>
        <w:t>will be open from</w:t>
      </w:r>
      <w:r w:rsidRPr="7AB616D9">
        <w:rPr>
          <w:b/>
          <w:bCs/>
        </w:rPr>
        <w:t xml:space="preserve"> 9am, Monday, </w:t>
      </w:r>
      <w:r w:rsidR="0098668A">
        <w:rPr>
          <w:b/>
          <w:bCs/>
        </w:rPr>
        <w:t>6</w:t>
      </w:r>
      <w:r w:rsidR="00E159F5">
        <w:rPr>
          <w:b/>
          <w:bCs/>
        </w:rPr>
        <w:t xml:space="preserve"> </w:t>
      </w:r>
      <w:r w:rsidR="0098668A">
        <w:rPr>
          <w:b/>
          <w:bCs/>
        </w:rPr>
        <w:t>June</w:t>
      </w:r>
      <w:r w:rsidRPr="7AB616D9">
        <w:rPr>
          <w:b/>
          <w:bCs/>
        </w:rPr>
        <w:t xml:space="preserve"> 202</w:t>
      </w:r>
      <w:r w:rsidR="00BC1CB6" w:rsidRPr="7AB616D9">
        <w:rPr>
          <w:b/>
          <w:bCs/>
        </w:rPr>
        <w:t>2</w:t>
      </w:r>
      <w:r>
        <w:t xml:space="preserve"> </w:t>
      </w:r>
      <w:r w:rsidR="00BD21C5">
        <w:t>and</w:t>
      </w:r>
      <w:r>
        <w:t xml:space="preserve"> close at </w:t>
      </w:r>
      <w:r w:rsidRPr="7AB616D9">
        <w:rPr>
          <w:b/>
          <w:bCs/>
        </w:rPr>
        <w:t>midnight (</w:t>
      </w:r>
      <w:r w:rsidR="009C72F4">
        <w:rPr>
          <w:b/>
          <w:bCs/>
        </w:rPr>
        <w:t xml:space="preserve">after </w:t>
      </w:r>
      <w:r w:rsidRPr="7AB616D9">
        <w:rPr>
          <w:b/>
          <w:bCs/>
        </w:rPr>
        <w:t>1</w:t>
      </w:r>
      <w:r w:rsidR="009C72F4">
        <w:rPr>
          <w:b/>
          <w:bCs/>
        </w:rPr>
        <w:t>1</w:t>
      </w:r>
      <w:r w:rsidRPr="7AB616D9">
        <w:rPr>
          <w:b/>
          <w:bCs/>
        </w:rPr>
        <w:t>:</w:t>
      </w:r>
      <w:r w:rsidR="009C72F4">
        <w:rPr>
          <w:b/>
          <w:bCs/>
        </w:rPr>
        <w:t>59pm</w:t>
      </w:r>
      <w:r w:rsidRPr="7AB616D9">
        <w:rPr>
          <w:b/>
          <w:bCs/>
        </w:rPr>
        <w:t>)</w:t>
      </w:r>
      <w:r>
        <w:t xml:space="preserve"> </w:t>
      </w:r>
      <w:r w:rsidR="009C72F4">
        <w:rPr>
          <w:b/>
          <w:bCs/>
        </w:rPr>
        <w:t>Sunday</w:t>
      </w:r>
      <w:r w:rsidRPr="7AB616D9">
        <w:rPr>
          <w:b/>
          <w:bCs/>
        </w:rPr>
        <w:t xml:space="preserve">, </w:t>
      </w:r>
      <w:r w:rsidR="009C72F4">
        <w:rPr>
          <w:b/>
          <w:bCs/>
        </w:rPr>
        <w:t>24 July 2022</w:t>
      </w:r>
      <w:r w:rsidRPr="7AB616D9">
        <w:rPr>
          <w:b/>
          <w:bCs/>
        </w:rPr>
        <w:t xml:space="preserve">. </w:t>
      </w:r>
    </w:p>
    <w:p w14:paraId="49953DFA" w14:textId="77777777" w:rsidR="00612CEA" w:rsidRDefault="00612CEA" w:rsidP="7AB616D9">
      <w:pPr>
        <w:spacing w:after="60"/>
        <w:rPr>
          <w:b/>
          <w:bCs/>
        </w:rPr>
      </w:pPr>
    </w:p>
    <w:p w14:paraId="585E026A" w14:textId="77777777" w:rsidR="005C1701" w:rsidRDefault="005C1701" w:rsidP="005C1701">
      <w:pPr>
        <w:jc w:val="both"/>
        <w:rPr>
          <w:rFonts w:cstheme="minorHAnsi"/>
          <w:color w:val="000000"/>
          <w:szCs w:val="22"/>
        </w:rPr>
      </w:pPr>
      <w:r w:rsidRPr="00497043">
        <w:t>Applications must address each of the criteria. Incomplete applications will not be considered.</w:t>
      </w:r>
      <w:r w:rsidRPr="20544897">
        <w:rPr>
          <w:rFonts w:eastAsiaTheme="minorEastAsia"/>
          <w:color w:val="000000"/>
        </w:rPr>
        <w:t xml:space="preserve"> Once you have submitted your online application through SmartyGrants, you will not be able to change it or submit any additional documentation through the online form.</w:t>
      </w:r>
      <w:r>
        <w:rPr>
          <w:rFonts w:eastAsiaTheme="minorEastAsia"/>
          <w:color w:val="000000"/>
        </w:rPr>
        <w:t xml:space="preserve"> If you wish to submit additional information or change a response, you can email </w:t>
      </w:r>
      <w:hyperlink r:id="rId24" w:history="1">
        <w:r w:rsidRPr="009F3B82">
          <w:rPr>
            <w:rStyle w:val="Hyperlink"/>
            <w:rFonts w:eastAsiaTheme="minorEastAsia"/>
          </w:rPr>
          <w:t>oshc.central@education.vic.gov.au</w:t>
        </w:r>
      </w:hyperlink>
      <w:r>
        <w:rPr>
          <w:rFonts w:eastAsiaTheme="minorEastAsia"/>
          <w:color w:val="000000"/>
        </w:rPr>
        <w:t xml:space="preserve"> and request that the form be reopened.</w:t>
      </w:r>
    </w:p>
    <w:p w14:paraId="76CD8BC8" w14:textId="6ECF3997" w:rsidR="008053CA" w:rsidRDefault="004152B9" w:rsidP="008053CA">
      <w:pPr>
        <w:jc w:val="both"/>
        <w:rPr>
          <w:rFonts w:eastAsiaTheme="minorEastAsia"/>
          <w:color w:val="000000"/>
        </w:rPr>
      </w:pPr>
      <w:r>
        <w:t>Applications will be assessed</w:t>
      </w:r>
      <w:r w:rsidR="00612CEA">
        <w:t>,</w:t>
      </w:r>
      <w:r>
        <w:t xml:space="preserve"> and applicants notified as soon as practicable. Further advice will be provided </w:t>
      </w:r>
      <w:r w:rsidR="005C1701">
        <w:t>during</w:t>
      </w:r>
      <w:r>
        <w:t xml:space="preserve"> the application process.</w:t>
      </w:r>
      <w:r w:rsidR="00C25CB0" w:rsidRPr="00E80EF1">
        <w:rPr>
          <w:szCs w:val="22"/>
        </w:rPr>
        <w:t xml:space="preserve"> </w:t>
      </w:r>
      <w:r w:rsidR="00C25CB0" w:rsidRPr="00E80EF1">
        <w:rPr>
          <w:rFonts w:eastAsiaTheme="minorEastAsia"/>
          <w:color w:val="000000"/>
        </w:rPr>
        <w:t xml:space="preserve">As part of the assessment process applicants </w:t>
      </w:r>
      <w:r w:rsidR="00612CEA">
        <w:rPr>
          <w:rFonts w:eastAsiaTheme="minorEastAsia"/>
          <w:color w:val="000000"/>
        </w:rPr>
        <w:t>may be</w:t>
      </w:r>
      <w:r w:rsidR="00C25CB0" w:rsidRPr="00E80EF1">
        <w:rPr>
          <w:rFonts w:eastAsiaTheme="minorEastAsia"/>
          <w:color w:val="000000"/>
        </w:rPr>
        <w:t xml:space="preserve"> contact</w:t>
      </w:r>
      <w:r w:rsidR="00612CEA">
        <w:rPr>
          <w:rFonts w:eastAsiaTheme="minorEastAsia"/>
          <w:color w:val="000000"/>
        </w:rPr>
        <w:t xml:space="preserve">ed </w:t>
      </w:r>
      <w:r w:rsidR="00C25CB0" w:rsidRPr="00E80EF1">
        <w:rPr>
          <w:rFonts w:eastAsiaTheme="minorEastAsia"/>
          <w:color w:val="000000"/>
        </w:rPr>
        <w:t>by phone to discuss their application.</w:t>
      </w:r>
      <w:bookmarkStart w:id="50" w:name="_Toc509222583"/>
      <w:bookmarkStart w:id="51" w:name="_Toc524092981"/>
      <w:bookmarkStart w:id="52" w:name="_Toc33534761"/>
    </w:p>
    <w:p w14:paraId="6E3A36E6" w14:textId="22C82963" w:rsidR="008053CA" w:rsidRPr="00497043" w:rsidRDefault="008053CA" w:rsidP="008053CA">
      <w:pPr>
        <w:pStyle w:val="Heading2"/>
        <w:spacing w:before="360"/>
        <w:jc w:val="both"/>
      </w:pPr>
      <w:r>
        <w:t>S</w:t>
      </w:r>
      <w:r w:rsidRPr="00497043">
        <w:t>uccessful applications</w:t>
      </w:r>
    </w:p>
    <w:p w14:paraId="51274D74" w14:textId="3A269FCF" w:rsidR="008053CA" w:rsidRDefault="008053CA" w:rsidP="008053CA">
      <w:pPr>
        <w:jc w:val="both"/>
      </w:pPr>
      <w:r>
        <w:t xml:space="preserve">Approved grant funding will be allocated to schools through the Student Resource Package (SRP) via a cash payment in Term 2, 2023. </w:t>
      </w:r>
    </w:p>
    <w:p w14:paraId="6BD33966" w14:textId="77777777" w:rsidR="008053CA" w:rsidRDefault="008053CA" w:rsidP="008053CA">
      <w:pPr>
        <w:spacing w:after="160"/>
        <w:jc w:val="both"/>
      </w:pPr>
      <w:r>
        <w:t xml:space="preserve">Successful applicants will also receive information regarding reporting and financial attestation requirements. </w:t>
      </w:r>
    </w:p>
    <w:p w14:paraId="214DEB3A" w14:textId="77777777" w:rsidR="008053CA" w:rsidRPr="00497043" w:rsidRDefault="008053CA" w:rsidP="008053CA">
      <w:pPr>
        <w:pStyle w:val="Heading2"/>
        <w:spacing w:before="360"/>
        <w:jc w:val="both"/>
      </w:pPr>
      <w:bookmarkStart w:id="53" w:name="_Toc509222585"/>
      <w:bookmarkStart w:id="54" w:name="_Toc524092983"/>
      <w:bookmarkStart w:id="55" w:name="_Toc33534764"/>
      <w:bookmarkStart w:id="56" w:name="_Toc69373415"/>
      <w:bookmarkStart w:id="57" w:name="_Toc71026844"/>
      <w:r w:rsidRPr="00497043">
        <w:t>Unsuccessful applications</w:t>
      </w:r>
      <w:bookmarkEnd w:id="53"/>
      <w:bookmarkEnd w:id="54"/>
      <w:bookmarkEnd w:id="55"/>
      <w:bookmarkEnd w:id="56"/>
      <w:bookmarkEnd w:id="57"/>
    </w:p>
    <w:p w14:paraId="4545DC92" w14:textId="77777777" w:rsidR="008053CA" w:rsidRPr="00085C60" w:rsidRDefault="008053CA" w:rsidP="008053CA">
      <w:pPr>
        <w:spacing w:after="0"/>
        <w:jc w:val="both"/>
        <w:rPr>
          <w:rFonts w:asciiTheme="majorHAnsi" w:eastAsiaTheme="majorEastAsia" w:hAnsiTheme="majorHAnsi" w:cstheme="majorBidi"/>
          <w:b/>
          <w:caps/>
          <w:color w:val="E57100" w:themeColor="accent1"/>
          <w:sz w:val="44"/>
          <w:szCs w:val="32"/>
        </w:rPr>
        <w:sectPr w:rsidR="008053CA" w:rsidRPr="00085C60" w:rsidSect="00C25CB0">
          <w:headerReference w:type="default" r:id="rId25"/>
          <w:footerReference w:type="default" r:id="rId26"/>
          <w:pgSz w:w="11900" w:h="16840"/>
          <w:pgMar w:top="1985" w:right="1134" w:bottom="1701" w:left="1134" w:header="709" w:footer="709" w:gutter="0"/>
          <w:pgNumType w:start="1"/>
          <w:cols w:space="708"/>
          <w:docGrid w:linePitch="360"/>
        </w:sectPr>
      </w:pPr>
      <w:r w:rsidRPr="00497043">
        <w:t xml:space="preserve">Following the conclusion of the assessment process, unsuccessful applicants </w:t>
      </w:r>
      <w:r>
        <w:t xml:space="preserve">will be notified </w:t>
      </w:r>
      <w:r w:rsidRPr="00497043">
        <w:t>of the outcome of their application</w:t>
      </w:r>
      <w:r>
        <w:t>s</w:t>
      </w:r>
      <w:r w:rsidRPr="00497043">
        <w:t xml:space="preserve">. </w:t>
      </w:r>
      <w:r>
        <w:t xml:space="preserve">All unsuccessful applications which meet the eligibility criteria will be automatically considered for funding in Round 4 of the grant application process. </w:t>
      </w:r>
    </w:p>
    <w:p w14:paraId="23F60154" w14:textId="487C99DF" w:rsidR="00C25CB0" w:rsidRPr="00497043" w:rsidRDefault="00C25CB0" w:rsidP="00C25CB0">
      <w:pPr>
        <w:pStyle w:val="Heading1"/>
      </w:pPr>
      <w:bookmarkStart w:id="58" w:name="_Toc509222587"/>
      <w:bookmarkStart w:id="59" w:name="_Toc524092988"/>
      <w:bookmarkStart w:id="60" w:name="_Toc33534766"/>
      <w:bookmarkStart w:id="61" w:name="_Toc69373416"/>
      <w:bookmarkStart w:id="62" w:name="_Toc71026845"/>
      <w:bookmarkEnd w:id="50"/>
      <w:bookmarkEnd w:id="51"/>
      <w:bookmarkEnd w:id="52"/>
      <w:r>
        <w:lastRenderedPageBreak/>
        <w:t>7</w:t>
      </w:r>
      <w:r w:rsidRPr="00B20994">
        <w:t>.</w:t>
      </w:r>
      <w:r w:rsidRPr="00B20994">
        <w:tab/>
        <w:t>Contact information</w:t>
      </w:r>
      <w:bookmarkEnd w:id="58"/>
      <w:bookmarkEnd w:id="59"/>
      <w:bookmarkEnd w:id="60"/>
      <w:bookmarkEnd w:id="61"/>
      <w:bookmarkEnd w:id="62"/>
    </w:p>
    <w:p w14:paraId="2F9DB41B" w14:textId="77777777" w:rsidR="00C25CB0" w:rsidRDefault="00C25CB0" w:rsidP="00C25CB0">
      <w:pPr>
        <w:spacing w:after="60"/>
        <w:jc w:val="both"/>
      </w:pPr>
      <w:bookmarkStart w:id="63" w:name="_Toc33534767"/>
    </w:p>
    <w:p w14:paraId="50133950" w14:textId="2D707C16" w:rsidR="00C25CB0" w:rsidRDefault="00C25CB0" w:rsidP="001D233D">
      <w:pPr>
        <w:pStyle w:val="ListParagraph"/>
        <w:numPr>
          <w:ilvl w:val="0"/>
          <w:numId w:val="10"/>
        </w:numPr>
        <w:spacing w:after="60"/>
        <w:jc w:val="both"/>
      </w:pPr>
      <w:r>
        <w:t>For OSHC Establishment Grants enquiries and application support, please contact the OSHC Establishment Grants team, Youth Participation Unit:</w:t>
      </w:r>
    </w:p>
    <w:p w14:paraId="3B3CC20C" w14:textId="1F92AA1D" w:rsidR="00C25CB0" w:rsidRPr="00B20994" w:rsidRDefault="00C25CB0" w:rsidP="00C25CB0">
      <w:pPr>
        <w:pStyle w:val="ListParagraph"/>
        <w:spacing w:after="60"/>
        <w:jc w:val="both"/>
        <w:rPr>
          <w:rStyle w:val="Hyperlink"/>
          <w:color w:val="auto"/>
        </w:rPr>
      </w:pPr>
      <w:r>
        <w:t xml:space="preserve">Email: </w:t>
      </w:r>
      <w:hyperlink r:id="rId27" w:history="1">
        <w:r w:rsidR="00784022" w:rsidRPr="00D85275">
          <w:rPr>
            <w:rStyle w:val="Hyperlink"/>
          </w:rPr>
          <w:t>oshc.central@education.vic.gov.au</w:t>
        </w:r>
      </w:hyperlink>
    </w:p>
    <w:p w14:paraId="24ED0FA4" w14:textId="77777777" w:rsidR="00C25CB0" w:rsidRDefault="00C25CB0" w:rsidP="00C25CB0">
      <w:pPr>
        <w:pStyle w:val="ListParagraph"/>
        <w:spacing w:after="60"/>
        <w:jc w:val="both"/>
      </w:pPr>
    </w:p>
    <w:p w14:paraId="357DD2C8" w14:textId="77777777" w:rsidR="00C25CB0" w:rsidRPr="00AF6D8C" w:rsidRDefault="00C25CB0" w:rsidP="001D233D">
      <w:pPr>
        <w:pStyle w:val="ListParagraph"/>
        <w:numPr>
          <w:ilvl w:val="0"/>
          <w:numId w:val="10"/>
        </w:numPr>
        <w:spacing w:after="60"/>
        <w:jc w:val="both"/>
      </w:pPr>
      <w:r w:rsidRPr="00AF6D8C">
        <w:t xml:space="preserve">For advice on the process for procuring a third party OSHC provider, please contact </w:t>
      </w:r>
      <w:r w:rsidRPr="00AF6D8C">
        <w:rPr>
          <w:b/>
          <w:bCs/>
        </w:rPr>
        <w:t>Schools Procurement</w:t>
      </w:r>
      <w:r w:rsidRPr="00AF6D8C">
        <w:t>:</w:t>
      </w:r>
    </w:p>
    <w:p w14:paraId="370C1215" w14:textId="77777777" w:rsidR="00C25CB0" w:rsidRDefault="00C25CB0" w:rsidP="00C25CB0">
      <w:pPr>
        <w:pStyle w:val="ListParagraph"/>
        <w:spacing w:before="240"/>
        <w:jc w:val="both"/>
      </w:pPr>
      <w:r w:rsidRPr="00693DA5">
        <w:t>Email:</w:t>
      </w:r>
      <w:r w:rsidRPr="00E67B5C">
        <w:t xml:space="preserve"> </w:t>
      </w:r>
      <w:hyperlink r:id="rId28" w:history="1">
        <w:r w:rsidRPr="00C603E6">
          <w:rPr>
            <w:rStyle w:val="Hyperlink"/>
          </w:rPr>
          <w:t>schools.procurement@education.vic.gov.au</w:t>
        </w:r>
      </w:hyperlink>
    </w:p>
    <w:p w14:paraId="651E77C8" w14:textId="77777777" w:rsidR="00C25CB0" w:rsidRDefault="00C25CB0" w:rsidP="00C25CB0">
      <w:pPr>
        <w:pStyle w:val="ListParagraph"/>
        <w:spacing w:before="240"/>
        <w:jc w:val="both"/>
      </w:pPr>
    </w:p>
    <w:p w14:paraId="5CE630C9" w14:textId="17A6C337" w:rsidR="00C25CB0" w:rsidRPr="00A560B7" w:rsidRDefault="00C25CB0" w:rsidP="001D233D">
      <w:pPr>
        <w:pStyle w:val="ListParagraph"/>
        <w:numPr>
          <w:ilvl w:val="0"/>
          <w:numId w:val="10"/>
        </w:numPr>
        <w:spacing w:before="240"/>
        <w:jc w:val="both"/>
      </w:pPr>
      <w:r>
        <w:t xml:space="preserve">For advice regarding licensing agreements between your school and a </w:t>
      </w:r>
      <w:r w:rsidR="00D223E7">
        <w:t>third-party</w:t>
      </w:r>
      <w:r>
        <w:t xml:space="preserve"> provider, please contact </w:t>
      </w:r>
      <w:r>
        <w:rPr>
          <w:b/>
          <w:bCs/>
        </w:rPr>
        <w:t>Legal Services.</w:t>
      </w:r>
    </w:p>
    <w:p w14:paraId="05EA75E6" w14:textId="29F5345A" w:rsidR="00C25CB0" w:rsidRPr="004E5800" w:rsidRDefault="00C25CB0" w:rsidP="00C25CB0">
      <w:pPr>
        <w:pStyle w:val="ListParagraph"/>
        <w:spacing w:before="240"/>
        <w:jc w:val="both"/>
      </w:pPr>
      <w:r w:rsidRPr="00A560B7">
        <w:t xml:space="preserve">Email: </w:t>
      </w:r>
      <w:hyperlink r:id="rId29" w:history="1">
        <w:r w:rsidR="002464D5" w:rsidRPr="00C54BAF">
          <w:rPr>
            <w:rStyle w:val="Hyperlink"/>
          </w:rPr>
          <w:t>legal.services@education.vic.giv.au</w:t>
        </w:r>
      </w:hyperlink>
      <w:r w:rsidR="002464D5">
        <w:t xml:space="preserve"> </w:t>
      </w:r>
    </w:p>
    <w:p w14:paraId="0EB9BB18" w14:textId="77777777" w:rsidR="00C25CB0" w:rsidRDefault="00C25CB0" w:rsidP="00C25CB0">
      <w:pPr>
        <w:pStyle w:val="ListParagraph"/>
        <w:spacing w:before="240"/>
        <w:jc w:val="both"/>
      </w:pPr>
    </w:p>
    <w:p w14:paraId="064B4696" w14:textId="4E8C36F3" w:rsidR="00C25CB0" w:rsidRPr="006A7DA5" w:rsidRDefault="00C25CB0" w:rsidP="001D233D">
      <w:pPr>
        <w:pStyle w:val="ListParagraph"/>
        <w:numPr>
          <w:ilvl w:val="0"/>
          <w:numId w:val="10"/>
        </w:numPr>
        <w:spacing w:before="240"/>
        <w:jc w:val="both"/>
      </w:pPr>
      <w:r>
        <w:t xml:space="preserve">For information about provider/service approval requirements, please contact the </w:t>
      </w:r>
      <w:r w:rsidRPr="009F3B17">
        <w:rPr>
          <w:b/>
          <w:bCs/>
        </w:rPr>
        <w:t xml:space="preserve">Quality Assurance and </w:t>
      </w:r>
      <w:r w:rsidRPr="006A7DA5">
        <w:rPr>
          <w:b/>
          <w:bCs/>
        </w:rPr>
        <w:t>Regulation Division</w:t>
      </w:r>
      <w:r w:rsidR="00ED198B">
        <w:rPr>
          <w:b/>
          <w:bCs/>
        </w:rPr>
        <w:t xml:space="preserve"> (QARD)</w:t>
      </w:r>
      <w:r w:rsidRPr="006A7DA5">
        <w:rPr>
          <w:b/>
          <w:bCs/>
        </w:rPr>
        <w:t xml:space="preserve">: </w:t>
      </w:r>
    </w:p>
    <w:p w14:paraId="10DFAB2E" w14:textId="77777777" w:rsidR="00C25CB0" w:rsidRDefault="00C25CB0" w:rsidP="00C25CB0">
      <w:pPr>
        <w:pStyle w:val="ListParagraph"/>
        <w:spacing w:after="60"/>
        <w:jc w:val="both"/>
        <w:rPr>
          <w:color w:val="000000"/>
        </w:rPr>
      </w:pPr>
      <w:r w:rsidRPr="006A7DA5">
        <w:t>Ph:</w:t>
      </w:r>
      <w:r w:rsidRPr="006A7DA5">
        <w:rPr>
          <w:color w:val="000000"/>
        </w:rPr>
        <w:t xml:space="preserve"> </w:t>
      </w:r>
      <w:r>
        <w:rPr>
          <w:color w:val="000000"/>
        </w:rPr>
        <w:t>1300 307 415</w:t>
      </w:r>
    </w:p>
    <w:p w14:paraId="6FB6D083" w14:textId="77777777" w:rsidR="00C25CB0" w:rsidRDefault="00C25CB0" w:rsidP="00C25CB0">
      <w:pPr>
        <w:pStyle w:val="ListParagraph"/>
        <w:spacing w:after="60"/>
        <w:jc w:val="both"/>
      </w:pPr>
      <w:r>
        <w:t xml:space="preserve">Email: </w:t>
      </w:r>
      <w:hyperlink r:id="rId30" w:history="1">
        <w:r w:rsidRPr="00CE15D5">
          <w:rPr>
            <w:rStyle w:val="Hyperlink"/>
          </w:rPr>
          <w:t>licensed.childrens.services@education.vic.gov.au</w:t>
        </w:r>
      </w:hyperlink>
    </w:p>
    <w:p w14:paraId="536A1265" w14:textId="77777777" w:rsidR="00C25CB0" w:rsidRDefault="00C25CB0" w:rsidP="00C25CB0">
      <w:pPr>
        <w:pStyle w:val="ListParagraph"/>
        <w:spacing w:after="60"/>
        <w:jc w:val="both"/>
        <w:rPr>
          <w:highlight w:val="yellow"/>
        </w:rPr>
      </w:pPr>
    </w:p>
    <w:p w14:paraId="2750A09B" w14:textId="7E852EF8" w:rsidR="00C25CB0" w:rsidRPr="00887D12" w:rsidRDefault="00C25CB0" w:rsidP="001D233D">
      <w:pPr>
        <w:pStyle w:val="ListParagraph"/>
        <w:numPr>
          <w:ilvl w:val="0"/>
          <w:numId w:val="10"/>
        </w:numPr>
        <w:spacing w:before="240"/>
        <w:jc w:val="both"/>
      </w:pPr>
      <w:r w:rsidRPr="00951D95">
        <w:t>For information about Child Care Subsidy (CCS)</w:t>
      </w:r>
      <w:r>
        <w:t xml:space="preserve"> or the PRODA portal</w:t>
      </w:r>
      <w:r w:rsidRPr="00887D12">
        <w:t xml:space="preserve">, please contact the </w:t>
      </w:r>
      <w:r w:rsidRPr="00887D12">
        <w:rPr>
          <w:b/>
          <w:bCs/>
        </w:rPr>
        <w:t>Department of Education, Skills and Employment</w:t>
      </w:r>
      <w:r w:rsidR="00ED198B">
        <w:rPr>
          <w:b/>
          <w:bCs/>
        </w:rPr>
        <w:t xml:space="preserve"> (DESE)</w:t>
      </w:r>
      <w:r w:rsidRPr="00887D12">
        <w:t>.</w:t>
      </w:r>
    </w:p>
    <w:p w14:paraId="5B2E3412" w14:textId="77777777" w:rsidR="00C25CB0" w:rsidRDefault="00C25CB0" w:rsidP="00C25CB0">
      <w:pPr>
        <w:pStyle w:val="ListParagraph"/>
        <w:spacing w:before="240"/>
      </w:pPr>
      <w:r>
        <w:t xml:space="preserve">Email: </w:t>
      </w:r>
      <w:hyperlink r:id="rId31" w:history="1">
        <w:r w:rsidRPr="00CE15D5">
          <w:rPr>
            <w:rStyle w:val="Hyperlink"/>
          </w:rPr>
          <w:t>ccs.assessment@dese.gov.au</w:t>
        </w:r>
      </w:hyperlink>
    </w:p>
    <w:p w14:paraId="1690879C" w14:textId="77777777" w:rsidR="00C25CB0" w:rsidRDefault="00C25CB0" w:rsidP="00C25CB0">
      <w:pPr>
        <w:pStyle w:val="ListParagraph"/>
        <w:spacing w:before="240"/>
      </w:pPr>
      <w:r>
        <w:t xml:space="preserve">Website: </w:t>
      </w:r>
      <w:hyperlink r:id="rId32" w:history="1">
        <w:r w:rsidRPr="00CE15D5">
          <w:rPr>
            <w:rStyle w:val="Hyperlink"/>
          </w:rPr>
          <w:t>https://www.dese.gov.au/child-care-package/child-care-subsidy</w:t>
        </w:r>
      </w:hyperlink>
    </w:p>
    <w:p w14:paraId="41AF22D2" w14:textId="77777777" w:rsidR="00C25CB0" w:rsidRDefault="00C25CB0" w:rsidP="00C25CB0">
      <w:pPr>
        <w:pStyle w:val="ListParagraph"/>
        <w:spacing w:before="240"/>
      </w:pPr>
    </w:p>
    <w:p w14:paraId="76D7A023" w14:textId="77777777" w:rsidR="00C25CB0" w:rsidRDefault="00C25CB0" w:rsidP="00C25CB0">
      <w:pPr>
        <w:pStyle w:val="ListParagraph"/>
        <w:spacing w:before="240"/>
      </w:pPr>
    </w:p>
    <w:p w14:paraId="4927545A" w14:textId="77777777" w:rsidR="00C25CB0" w:rsidRPr="005C635B" w:rsidRDefault="00C25CB0" w:rsidP="00C25CB0">
      <w:pPr>
        <w:pStyle w:val="ListParagraph"/>
        <w:spacing w:before="240"/>
        <w:jc w:val="both"/>
        <w:rPr>
          <w:highlight w:val="yellow"/>
        </w:rPr>
      </w:pPr>
    </w:p>
    <w:p w14:paraId="04DBE16F" w14:textId="77777777" w:rsidR="00C25CB0" w:rsidRPr="009F3B17" w:rsidRDefault="00C25CB0" w:rsidP="00C25CB0">
      <w:pPr>
        <w:pStyle w:val="ListParagraph"/>
        <w:spacing w:before="240"/>
        <w:jc w:val="both"/>
      </w:pPr>
    </w:p>
    <w:p w14:paraId="0263FF8C" w14:textId="77777777" w:rsidR="00C25CB0" w:rsidRPr="00E67B5C" w:rsidRDefault="00C25CB0" w:rsidP="00C25CB0">
      <w:pPr>
        <w:pStyle w:val="ListParagraph"/>
        <w:spacing w:before="240"/>
        <w:jc w:val="both"/>
      </w:pPr>
    </w:p>
    <w:p w14:paraId="514F5561" w14:textId="77777777" w:rsidR="00C25CB0" w:rsidRDefault="00C25CB0" w:rsidP="00C25CB0">
      <w:pPr>
        <w:rPr>
          <w:highlight w:val="cyan"/>
        </w:rPr>
      </w:pPr>
      <w:bookmarkStart w:id="64" w:name="_Toc524092993"/>
      <w:bookmarkStart w:id="65" w:name="_Toc33534771"/>
      <w:bookmarkEnd w:id="63"/>
    </w:p>
    <w:p w14:paraId="6B8B5AEE" w14:textId="77777777" w:rsidR="00C25CB0" w:rsidRDefault="00C25CB0" w:rsidP="00C25CB0">
      <w:pPr>
        <w:rPr>
          <w:highlight w:val="cyan"/>
        </w:rPr>
      </w:pPr>
    </w:p>
    <w:p w14:paraId="5C2C547F" w14:textId="77777777" w:rsidR="00C25CB0" w:rsidRDefault="00C25CB0" w:rsidP="00C25CB0">
      <w:pPr>
        <w:rPr>
          <w:highlight w:val="cyan"/>
        </w:rPr>
      </w:pPr>
    </w:p>
    <w:p w14:paraId="2BB265AD" w14:textId="77777777" w:rsidR="00C25CB0" w:rsidRDefault="00C25CB0" w:rsidP="00C25CB0">
      <w:pPr>
        <w:rPr>
          <w:highlight w:val="cyan"/>
        </w:rPr>
      </w:pPr>
    </w:p>
    <w:p w14:paraId="75F37A02" w14:textId="77777777" w:rsidR="00C25CB0" w:rsidRDefault="00C25CB0" w:rsidP="00C25CB0">
      <w:pPr>
        <w:rPr>
          <w:highlight w:val="cyan"/>
        </w:rPr>
      </w:pPr>
    </w:p>
    <w:p w14:paraId="189C889A" w14:textId="77777777" w:rsidR="00C25CB0" w:rsidRDefault="00C25CB0" w:rsidP="00C25CB0">
      <w:pPr>
        <w:rPr>
          <w:highlight w:val="cyan"/>
        </w:rPr>
      </w:pPr>
    </w:p>
    <w:p w14:paraId="483148BF" w14:textId="77777777" w:rsidR="00C25CB0" w:rsidRDefault="00C25CB0" w:rsidP="00C25CB0">
      <w:pPr>
        <w:rPr>
          <w:highlight w:val="cyan"/>
        </w:rPr>
      </w:pPr>
    </w:p>
    <w:p w14:paraId="25C0A832" w14:textId="77777777" w:rsidR="00C25CB0" w:rsidRDefault="00C25CB0" w:rsidP="00C25CB0">
      <w:pPr>
        <w:rPr>
          <w:highlight w:val="cyan"/>
        </w:rPr>
      </w:pPr>
    </w:p>
    <w:p w14:paraId="6B0153B6" w14:textId="77777777" w:rsidR="00C25CB0" w:rsidRDefault="00C25CB0" w:rsidP="00C25CB0">
      <w:pPr>
        <w:rPr>
          <w:highlight w:val="cyan"/>
        </w:rPr>
      </w:pPr>
    </w:p>
    <w:p w14:paraId="2CF56D3F" w14:textId="77777777" w:rsidR="00C25CB0" w:rsidRDefault="00C25CB0" w:rsidP="00C25CB0">
      <w:pPr>
        <w:rPr>
          <w:highlight w:val="cyan"/>
        </w:rPr>
      </w:pPr>
    </w:p>
    <w:p w14:paraId="5E6CD4BD" w14:textId="77777777" w:rsidR="00C25CB0" w:rsidRDefault="00C25CB0" w:rsidP="00C25CB0">
      <w:pPr>
        <w:rPr>
          <w:highlight w:val="cyan"/>
        </w:rPr>
      </w:pPr>
    </w:p>
    <w:p w14:paraId="102A421C" w14:textId="77777777" w:rsidR="00C25CB0" w:rsidRDefault="00C25CB0" w:rsidP="00C25CB0">
      <w:pPr>
        <w:rPr>
          <w:highlight w:val="cyan"/>
        </w:rPr>
      </w:pPr>
    </w:p>
    <w:p w14:paraId="4036F1C8" w14:textId="77777777" w:rsidR="00C25CB0" w:rsidRDefault="00C25CB0" w:rsidP="00C25CB0">
      <w:pPr>
        <w:rPr>
          <w:highlight w:val="cyan"/>
        </w:rPr>
      </w:pPr>
    </w:p>
    <w:p w14:paraId="16E655AF" w14:textId="0D9E27C7" w:rsidR="00C25CB0" w:rsidRPr="00497043" w:rsidRDefault="00C25CB0" w:rsidP="00C25CB0">
      <w:pPr>
        <w:pStyle w:val="Heading1"/>
        <w:spacing w:before="720"/>
      </w:pPr>
      <w:bookmarkStart w:id="66" w:name="_Toc69373417"/>
      <w:bookmarkStart w:id="67" w:name="_Toc71026846"/>
      <w:r w:rsidRPr="00B20994">
        <w:lastRenderedPageBreak/>
        <w:t>Appendix A – Frequently Asked Questions</w:t>
      </w:r>
      <w:bookmarkEnd w:id="64"/>
      <w:bookmarkEnd w:id="65"/>
      <w:bookmarkEnd w:id="66"/>
      <w:bookmarkEnd w:id="67"/>
    </w:p>
    <w:p w14:paraId="06252CDE" w14:textId="075B24AC" w:rsidR="002D24BC" w:rsidRPr="002D24BC" w:rsidRDefault="00C25CB0" w:rsidP="002D24BC">
      <w:pPr>
        <w:pStyle w:val="Heading2"/>
        <w:spacing w:before="360"/>
        <w:jc w:val="both"/>
        <w:rPr>
          <w:lang w:val="en-AU"/>
        </w:rPr>
      </w:pPr>
      <w:bookmarkStart w:id="68" w:name="_Toc524092994"/>
      <w:bookmarkStart w:id="69" w:name="_Toc33534772"/>
      <w:bookmarkStart w:id="70" w:name="_Toc69373418"/>
      <w:bookmarkStart w:id="71" w:name="_Toc71026847"/>
      <w:r w:rsidRPr="00AA1102">
        <w:rPr>
          <w:lang w:val="en-AU"/>
        </w:rPr>
        <w:t>Eligibility</w:t>
      </w:r>
      <w:bookmarkEnd w:id="68"/>
      <w:bookmarkEnd w:id="69"/>
      <w:bookmarkEnd w:id="70"/>
      <w:bookmarkEnd w:id="71"/>
    </w:p>
    <w:p w14:paraId="278C1691" w14:textId="56305DF7" w:rsidR="002D24BC" w:rsidRPr="002D24BC" w:rsidRDefault="002D24BC" w:rsidP="002D24BC">
      <w:pPr>
        <w:jc w:val="both"/>
        <w:rPr>
          <w:rFonts w:eastAsiaTheme="majorEastAsia" w:cstheme="minorHAnsi"/>
          <w:b/>
          <w:caps/>
          <w:color w:val="E57100" w:themeColor="accent1"/>
          <w:sz w:val="26"/>
          <w:szCs w:val="26"/>
        </w:rPr>
      </w:pPr>
      <w:r>
        <w:rPr>
          <w:rFonts w:eastAsiaTheme="majorEastAsia" w:cstheme="minorHAnsi"/>
          <w:b/>
          <w:color w:val="E57100" w:themeColor="accent1"/>
          <w:sz w:val="26"/>
          <w:szCs w:val="26"/>
        </w:rPr>
        <w:t>C</w:t>
      </w:r>
      <w:r w:rsidRPr="002D24BC">
        <w:rPr>
          <w:rFonts w:eastAsiaTheme="majorEastAsia" w:cstheme="minorHAnsi"/>
          <w:b/>
          <w:color w:val="E57100" w:themeColor="accent1"/>
          <w:sz w:val="26"/>
          <w:szCs w:val="26"/>
        </w:rPr>
        <w:t xml:space="preserve">an my school apply if we have previously had an </w:t>
      </w:r>
      <w:r>
        <w:rPr>
          <w:rFonts w:eastAsiaTheme="majorEastAsia" w:cstheme="minorHAnsi"/>
          <w:b/>
          <w:color w:val="E57100" w:themeColor="accent1"/>
          <w:sz w:val="26"/>
          <w:szCs w:val="26"/>
        </w:rPr>
        <w:t>OSHC</w:t>
      </w:r>
      <w:r w:rsidRPr="002D24BC">
        <w:rPr>
          <w:rFonts w:eastAsiaTheme="majorEastAsia" w:cstheme="minorHAnsi"/>
          <w:b/>
          <w:color w:val="E57100" w:themeColor="accent1"/>
          <w:sz w:val="26"/>
          <w:szCs w:val="26"/>
        </w:rPr>
        <w:t xml:space="preserve"> program that is no longer operating?</w:t>
      </w:r>
    </w:p>
    <w:p w14:paraId="3F925FD9" w14:textId="1F0E344C" w:rsidR="00621130" w:rsidRDefault="00C25CB0" w:rsidP="00C25CB0">
      <w:pPr>
        <w:jc w:val="both"/>
        <w:rPr>
          <w:lang w:val="en-AU"/>
        </w:rPr>
      </w:pPr>
      <w:r>
        <w:rPr>
          <w:lang w:val="en-AU"/>
        </w:rPr>
        <w:t>Yes.</w:t>
      </w:r>
      <w:r w:rsidR="00AB19C3">
        <w:rPr>
          <w:lang w:val="en-AU"/>
        </w:rPr>
        <w:t xml:space="preserve"> If the service operated in the preceding two terms, information as to why it ceased operatin</w:t>
      </w:r>
      <w:r w:rsidR="00CD7C02">
        <w:rPr>
          <w:lang w:val="en-AU"/>
        </w:rPr>
        <w:t>g</w:t>
      </w:r>
      <w:r w:rsidR="00612CEA">
        <w:rPr>
          <w:lang w:val="en-AU"/>
        </w:rPr>
        <w:t xml:space="preserve"> will be required</w:t>
      </w:r>
      <w:r w:rsidR="00CD7C02">
        <w:rPr>
          <w:lang w:val="en-AU"/>
        </w:rPr>
        <w:t>.</w:t>
      </w:r>
      <w:r>
        <w:rPr>
          <w:lang w:val="en-AU"/>
        </w:rPr>
        <w:t xml:space="preserve"> </w:t>
      </w:r>
    </w:p>
    <w:p w14:paraId="2C3EF84B" w14:textId="77777777" w:rsidR="00621130" w:rsidRPr="00621130" w:rsidRDefault="00621130" w:rsidP="00C25CB0">
      <w:pPr>
        <w:jc w:val="both"/>
        <w:rPr>
          <w:rFonts w:eastAsiaTheme="majorEastAsia" w:cstheme="minorHAnsi"/>
          <w:b/>
          <w:color w:val="E57100" w:themeColor="accent1"/>
          <w:sz w:val="26"/>
          <w:szCs w:val="26"/>
        </w:rPr>
      </w:pPr>
      <w:r w:rsidRPr="00621130">
        <w:rPr>
          <w:rFonts w:eastAsiaTheme="majorEastAsia" w:cstheme="minorHAnsi"/>
          <w:b/>
          <w:color w:val="E57100" w:themeColor="accent1"/>
          <w:sz w:val="26"/>
          <w:szCs w:val="26"/>
        </w:rPr>
        <w:t>Can my school apply if we have already started the process to establish an OSHC?</w:t>
      </w:r>
    </w:p>
    <w:p w14:paraId="3CE84685" w14:textId="77C99654" w:rsidR="00C25CB0" w:rsidRDefault="00621130" w:rsidP="00C25CB0">
      <w:pPr>
        <w:jc w:val="both"/>
        <w:rPr>
          <w:lang w:val="en-AU"/>
        </w:rPr>
      </w:pPr>
      <w:r>
        <w:rPr>
          <w:lang w:val="en-AU"/>
        </w:rPr>
        <w:t xml:space="preserve">Yes. If you have taken steps such as an Expression of Interest to find a provider, or your school council has applied for approval, </w:t>
      </w:r>
      <w:r w:rsidR="00C25CB0">
        <w:rPr>
          <w:lang w:val="en-AU"/>
        </w:rPr>
        <w:t xml:space="preserve">you are eligible to apply until the service commences operation. </w:t>
      </w:r>
    </w:p>
    <w:p w14:paraId="35E6290B" w14:textId="6843E068" w:rsidR="00C25CB0" w:rsidRPr="002D24BC" w:rsidRDefault="00C25CB0" w:rsidP="002D24BC">
      <w:pPr>
        <w:jc w:val="both"/>
        <w:rPr>
          <w:rFonts w:eastAsiaTheme="majorEastAsia" w:cstheme="minorHAnsi"/>
          <w:b/>
          <w:color w:val="E57100" w:themeColor="accent1"/>
          <w:sz w:val="26"/>
          <w:szCs w:val="26"/>
        </w:rPr>
      </w:pPr>
      <w:r w:rsidRPr="002D24BC">
        <w:rPr>
          <w:rFonts w:eastAsiaTheme="majorEastAsia" w:cstheme="minorHAnsi"/>
          <w:b/>
          <w:color w:val="E57100" w:themeColor="accent1"/>
          <w:sz w:val="26"/>
          <w:szCs w:val="26"/>
        </w:rPr>
        <w:t>A</w:t>
      </w:r>
      <w:r w:rsidR="00784022" w:rsidRPr="002D24BC">
        <w:rPr>
          <w:rFonts w:eastAsiaTheme="majorEastAsia" w:cstheme="minorHAnsi"/>
          <w:b/>
          <w:color w:val="E57100" w:themeColor="accent1"/>
          <w:sz w:val="26"/>
          <w:szCs w:val="26"/>
        </w:rPr>
        <w:t xml:space="preserve">re schools with multiple campuses eligible? </w:t>
      </w:r>
    </w:p>
    <w:p w14:paraId="59C164D5" w14:textId="1DBD9C09" w:rsidR="00C25CB0" w:rsidRPr="00AA1102" w:rsidRDefault="00C25CB0" w:rsidP="00C25CB0">
      <w:pPr>
        <w:jc w:val="both"/>
      </w:pPr>
      <w:r>
        <w:rPr>
          <w:lang w:val="en-AU"/>
        </w:rPr>
        <w:t>Yes. Separate campuses will be treated as distinct schools for the purposes of the grant. For instance, you c</w:t>
      </w:r>
      <w:r w:rsidR="00822319">
        <w:rPr>
          <w:lang w:val="en-AU"/>
        </w:rPr>
        <w:t>an</w:t>
      </w:r>
      <w:r>
        <w:rPr>
          <w:lang w:val="en-AU"/>
        </w:rPr>
        <w:t xml:space="preserve"> apply for the grant to establish an OSHC at a campus that does not already provide OSHC, or for costs to transport children from one campus to another to attend OSHC.</w:t>
      </w:r>
    </w:p>
    <w:p w14:paraId="6B463769" w14:textId="6353FC9B" w:rsidR="00C25CB0" w:rsidRPr="002D24BC" w:rsidRDefault="00C25CB0" w:rsidP="002D24BC">
      <w:pPr>
        <w:jc w:val="both"/>
        <w:rPr>
          <w:rFonts w:eastAsiaTheme="majorEastAsia" w:cstheme="minorHAnsi"/>
          <w:b/>
          <w:color w:val="E57100" w:themeColor="accent1"/>
          <w:sz w:val="26"/>
          <w:szCs w:val="26"/>
        </w:rPr>
      </w:pPr>
      <w:r w:rsidRPr="002D24BC">
        <w:rPr>
          <w:rFonts w:eastAsiaTheme="majorEastAsia" w:cstheme="minorHAnsi"/>
          <w:b/>
          <w:color w:val="E57100" w:themeColor="accent1"/>
          <w:sz w:val="26"/>
          <w:szCs w:val="26"/>
        </w:rPr>
        <w:t>Can I form a cluster with neighbouring non-government schools?</w:t>
      </w:r>
    </w:p>
    <w:p w14:paraId="7FC8B6E5" w14:textId="1C231884" w:rsidR="00C25CB0" w:rsidRDefault="00C25CB0" w:rsidP="00C25CB0">
      <w:pPr>
        <w:jc w:val="both"/>
        <w:rPr>
          <w:lang w:val="en-AU"/>
        </w:rPr>
      </w:pPr>
      <w:r w:rsidRPr="00E531DB">
        <w:rPr>
          <w:lang w:val="en-AU"/>
        </w:rPr>
        <w:t xml:space="preserve">Non-government schools can form part of cluster arrangements. </w:t>
      </w:r>
      <w:r w:rsidR="00672C15">
        <w:rPr>
          <w:lang w:val="en-AU"/>
        </w:rPr>
        <w:t xml:space="preserve">However, </w:t>
      </w:r>
      <w:r w:rsidR="00CD7C02">
        <w:rPr>
          <w:lang w:val="en-AU"/>
        </w:rPr>
        <w:t>only eligible government schools</w:t>
      </w:r>
      <w:r w:rsidR="00672C15">
        <w:rPr>
          <w:lang w:val="en-AU"/>
        </w:rPr>
        <w:t xml:space="preserve"> are considered when calculating the maximum amount of funding available.</w:t>
      </w:r>
    </w:p>
    <w:p w14:paraId="521D63DB" w14:textId="749EC42D" w:rsidR="00C25CB0" w:rsidRPr="002D24BC" w:rsidRDefault="00C25CB0" w:rsidP="002D24BC">
      <w:pPr>
        <w:jc w:val="both"/>
        <w:rPr>
          <w:rFonts w:eastAsiaTheme="majorEastAsia" w:cstheme="minorHAnsi"/>
          <w:b/>
          <w:color w:val="E57100" w:themeColor="accent1"/>
          <w:sz w:val="26"/>
          <w:szCs w:val="26"/>
        </w:rPr>
      </w:pPr>
      <w:r w:rsidRPr="002D24BC">
        <w:rPr>
          <w:rFonts w:eastAsiaTheme="majorEastAsia" w:cstheme="minorHAnsi"/>
          <w:b/>
          <w:color w:val="E57100" w:themeColor="accent1"/>
          <w:sz w:val="26"/>
          <w:szCs w:val="26"/>
        </w:rPr>
        <w:t>C</w:t>
      </w:r>
      <w:r w:rsidR="00784022" w:rsidRPr="002D24BC">
        <w:rPr>
          <w:rFonts w:eastAsiaTheme="majorEastAsia" w:cstheme="minorHAnsi"/>
          <w:b/>
          <w:color w:val="E57100" w:themeColor="accent1"/>
          <w:sz w:val="26"/>
          <w:szCs w:val="26"/>
        </w:rPr>
        <w:t xml:space="preserve">an I partner or cluster with a long day care service or kindergarten? </w:t>
      </w:r>
    </w:p>
    <w:p w14:paraId="4C8C9B5B" w14:textId="438C75B7" w:rsidR="00C25CB0" w:rsidRPr="00632877" w:rsidRDefault="00C25CB0" w:rsidP="00C25CB0">
      <w:pPr>
        <w:jc w:val="both"/>
        <w:rPr>
          <w:lang w:val="en-AU"/>
        </w:rPr>
      </w:pPr>
      <w:r>
        <w:rPr>
          <w:lang w:val="en-AU"/>
        </w:rPr>
        <w:t>A long day care service would not count as an eligible school to form part of a cluster. However, you can apply for a grant to enable the school to access that service if it provides, or will provide, outside school hours care. For instance, the funding could be used to provide transport to a local long day care service or kindergarten which also provides OSHC.</w:t>
      </w:r>
      <w:r w:rsidR="00787C9F">
        <w:rPr>
          <w:lang w:val="en-AU"/>
        </w:rPr>
        <w:t xml:space="preserve"> The funding can also be used to subsidise the provider of the l</w:t>
      </w:r>
      <w:r w:rsidR="00B9477D">
        <w:rPr>
          <w:lang w:val="en-AU"/>
        </w:rPr>
        <w:t>ong day care service or kindergarten for additional costs they have, such as staffing</w:t>
      </w:r>
      <w:r w:rsidR="00DB023F">
        <w:rPr>
          <w:lang w:val="en-AU"/>
        </w:rPr>
        <w:t xml:space="preserve"> for additional hours and additional child</w:t>
      </w:r>
      <w:r w:rsidR="00867BA9">
        <w:rPr>
          <w:lang w:val="en-AU"/>
        </w:rPr>
        <w:t>ren attending.</w:t>
      </w:r>
    </w:p>
    <w:p w14:paraId="4930C0E2" w14:textId="54A9F790" w:rsidR="00C25CB0" w:rsidRPr="00C20805" w:rsidRDefault="00C25CB0" w:rsidP="00C25CB0">
      <w:pPr>
        <w:pStyle w:val="Heading2"/>
        <w:spacing w:before="360"/>
        <w:jc w:val="both"/>
        <w:rPr>
          <w:lang w:val="en-AU"/>
        </w:rPr>
      </w:pPr>
      <w:bookmarkStart w:id="72" w:name="_Toc524092995"/>
      <w:bookmarkStart w:id="73" w:name="_Toc33534773"/>
      <w:bookmarkStart w:id="74" w:name="_Toc69373419"/>
      <w:bookmarkStart w:id="75" w:name="_Toc71026848"/>
      <w:r w:rsidRPr="00C20805">
        <w:rPr>
          <w:lang w:val="en-AU"/>
        </w:rPr>
        <w:t xml:space="preserve">Applying for a </w:t>
      </w:r>
      <w:bookmarkEnd w:id="72"/>
      <w:bookmarkEnd w:id="73"/>
      <w:r w:rsidRPr="00C20805">
        <w:rPr>
          <w:lang w:val="en-AU"/>
        </w:rPr>
        <w:t>grant</w:t>
      </w:r>
      <w:bookmarkEnd w:id="74"/>
      <w:bookmarkEnd w:id="75"/>
    </w:p>
    <w:p w14:paraId="6E647B3C" w14:textId="7A840941" w:rsidR="00C25CB0" w:rsidRPr="002D24BC" w:rsidRDefault="00784022" w:rsidP="002D24BC">
      <w:pPr>
        <w:jc w:val="both"/>
        <w:rPr>
          <w:rFonts w:eastAsiaTheme="majorEastAsia" w:cstheme="minorHAnsi"/>
          <w:b/>
          <w:color w:val="E57100" w:themeColor="accent1"/>
          <w:sz w:val="26"/>
          <w:szCs w:val="26"/>
        </w:rPr>
      </w:pPr>
      <w:r w:rsidRPr="002D24BC">
        <w:rPr>
          <w:rFonts w:eastAsiaTheme="majorEastAsia" w:cstheme="minorHAnsi"/>
          <w:b/>
          <w:color w:val="E57100" w:themeColor="accent1"/>
          <w:sz w:val="26"/>
          <w:szCs w:val="26"/>
        </w:rPr>
        <w:t>W</w:t>
      </w:r>
      <w:r w:rsidR="00C25CB0" w:rsidRPr="002D24BC">
        <w:rPr>
          <w:rFonts w:eastAsiaTheme="majorEastAsia" w:cstheme="minorHAnsi"/>
          <w:b/>
          <w:color w:val="E57100" w:themeColor="accent1"/>
          <w:sz w:val="26"/>
          <w:szCs w:val="26"/>
        </w:rPr>
        <w:t>ho should complete the application on behalf of a cluster?</w:t>
      </w:r>
    </w:p>
    <w:p w14:paraId="1FD8A489" w14:textId="007C1B65" w:rsidR="00C25CB0" w:rsidRDefault="00C25CB0" w:rsidP="00C25CB0">
      <w:pPr>
        <w:jc w:val="both"/>
        <w:rPr>
          <w:rFonts w:cstheme="minorHAnsi"/>
          <w:szCs w:val="22"/>
          <w:lang w:val="en-AU"/>
        </w:rPr>
      </w:pPr>
      <w:r w:rsidRPr="00AC1323">
        <w:rPr>
          <w:rFonts w:cstheme="minorHAnsi"/>
          <w:szCs w:val="22"/>
          <w:lang w:val="en-AU"/>
        </w:rPr>
        <w:t xml:space="preserve">The lead school – the school that will be delivering the OSHC service on-site – should complete the application process. During the process of preparing the application, the lead school should seek relevant information from cluster schools, including information about demand for services, proposed transport options etc. </w:t>
      </w:r>
      <w:r w:rsidR="00E92F70">
        <w:rPr>
          <w:rFonts w:cstheme="minorHAnsi"/>
          <w:szCs w:val="22"/>
          <w:lang w:val="en-AU"/>
        </w:rPr>
        <w:t xml:space="preserve">The lead school should also provide evidence that the cluster schools have agreed to be part of </w:t>
      </w:r>
      <w:r w:rsidR="00544AB7">
        <w:rPr>
          <w:rFonts w:cstheme="minorHAnsi"/>
          <w:szCs w:val="22"/>
          <w:lang w:val="en-AU"/>
        </w:rPr>
        <w:t>the cluster</w:t>
      </w:r>
      <w:r w:rsidR="00E92F70">
        <w:rPr>
          <w:rFonts w:cstheme="minorHAnsi"/>
          <w:szCs w:val="22"/>
          <w:lang w:val="en-AU"/>
        </w:rPr>
        <w:t>, such as a signed letter on school letterhead outlining the agreement</w:t>
      </w:r>
      <w:r w:rsidR="00544AB7">
        <w:rPr>
          <w:rFonts w:cstheme="minorHAnsi"/>
          <w:szCs w:val="22"/>
          <w:lang w:val="en-AU"/>
        </w:rPr>
        <w:t xml:space="preserve"> between the schools</w:t>
      </w:r>
      <w:r w:rsidR="00E92F70">
        <w:rPr>
          <w:rFonts w:cstheme="minorHAnsi"/>
          <w:szCs w:val="22"/>
          <w:lang w:val="en-AU"/>
        </w:rPr>
        <w:t>.</w:t>
      </w:r>
    </w:p>
    <w:p w14:paraId="552CD96F" w14:textId="033CEE3A" w:rsidR="00C25CB0" w:rsidRPr="002D24BC" w:rsidRDefault="00C25CB0" w:rsidP="002D24BC">
      <w:pPr>
        <w:jc w:val="both"/>
        <w:rPr>
          <w:rFonts w:eastAsiaTheme="majorEastAsia" w:cstheme="minorHAnsi"/>
          <w:b/>
          <w:color w:val="E57100" w:themeColor="accent1"/>
          <w:sz w:val="26"/>
          <w:szCs w:val="26"/>
        </w:rPr>
      </w:pPr>
      <w:r w:rsidRPr="002D24BC">
        <w:rPr>
          <w:rFonts w:eastAsiaTheme="majorEastAsia" w:cstheme="minorHAnsi"/>
          <w:b/>
          <w:color w:val="E57100" w:themeColor="accent1"/>
          <w:sz w:val="26"/>
          <w:szCs w:val="26"/>
        </w:rPr>
        <w:t>What information needs to be supplied in the Funding Request section</w:t>
      </w:r>
      <w:r w:rsidR="00DA3A07">
        <w:rPr>
          <w:rFonts w:eastAsiaTheme="majorEastAsia" w:cstheme="minorHAnsi"/>
          <w:b/>
          <w:color w:val="E57100" w:themeColor="accent1"/>
          <w:sz w:val="26"/>
          <w:szCs w:val="26"/>
        </w:rPr>
        <w:t xml:space="preserve"> of the application</w:t>
      </w:r>
      <w:r w:rsidRPr="002D24BC">
        <w:rPr>
          <w:rFonts w:eastAsiaTheme="majorEastAsia" w:cstheme="minorHAnsi"/>
          <w:b/>
          <w:color w:val="E57100" w:themeColor="accent1"/>
          <w:sz w:val="26"/>
          <w:szCs w:val="26"/>
        </w:rPr>
        <w:t>?</w:t>
      </w:r>
    </w:p>
    <w:p w14:paraId="526579FE" w14:textId="4EF189FA" w:rsidR="00186B93" w:rsidRDefault="00C25CB0" w:rsidP="00C25CB0">
      <w:pPr>
        <w:jc w:val="both"/>
        <w:rPr>
          <w:rFonts w:cstheme="minorHAnsi"/>
          <w:szCs w:val="22"/>
          <w:lang w:val="en-AU"/>
        </w:rPr>
      </w:pPr>
      <w:r w:rsidRPr="008C4565">
        <w:rPr>
          <w:rFonts w:cstheme="minorHAnsi"/>
          <w:szCs w:val="22"/>
          <w:lang w:val="en-AU"/>
        </w:rPr>
        <w:t xml:space="preserve">The information in this section is intended to show the cost of a full year of delivery of an OSHC program, up to $75,000 </w:t>
      </w:r>
      <w:r w:rsidR="00F568CD">
        <w:rPr>
          <w:rFonts w:cstheme="minorHAnsi"/>
          <w:szCs w:val="22"/>
          <w:lang w:val="en-AU"/>
        </w:rPr>
        <w:t xml:space="preserve">per eligible school, plus any additional funds available to special or remote </w:t>
      </w:r>
      <w:r w:rsidR="00F568CD">
        <w:rPr>
          <w:rFonts w:cstheme="minorHAnsi"/>
          <w:szCs w:val="22"/>
          <w:lang w:val="en-AU"/>
        </w:rPr>
        <w:lastRenderedPageBreak/>
        <w:t xml:space="preserve">schools. </w:t>
      </w:r>
      <w:r w:rsidRPr="008C4565">
        <w:rPr>
          <w:rFonts w:cstheme="minorHAnsi"/>
          <w:szCs w:val="22"/>
          <w:lang w:val="en-AU"/>
        </w:rPr>
        <w:t xml:space="preserve">You </w:t>
      </w:r>
      <w:r>
        <w:rPr>
          <w:rFonts w:cstheme="minorHAnsi"/>
          <w:szCs w:val="22"/>
          <w:lang w:val="en-AU"/>
        </w:rPr>
        <w:t>must</w:t>
      </w:r>
      <w:r w:rsidRPr="008C4565">
        <w:rPr>
          <w:rFonts w:cstheme="minorHAnsi"/>
          <w:szCs w:val="22"/>
          <w:lang w:val="en-AU"/>
        </w:rPr>
        <w:t xml:space="preserve"> break the funding down by category or use. </w:t>
      </w:r>
      <w:r w:rsidR="00186B93">
        <w:rPr>
          <w:rFonts w:cstheme="minorHAnsi"/>
          <w:szCs w:val="22"/>
          <w:lang w:val="en-AU"/>
        </w:rPr>
        <w:t>It is acceptable to have a single line item for staffing if no other expenditure is required to support the service.</w:t>
      </w:r>
      <w:r w:rsidR="009E15EF">
        <w:rPr>
          <w:rFonts w:cstheme="minorHAnsi"/>
          <w:szCs w:val="22"/>
          <w:lang w:val="en-AU"/>
        </w:rPr>
        <w:t xml:space="preserve"> However, you cannot simply allocate the funding by who will receive it, i.e</w:t>
      </w:r>
      <w:r w:rsidR="00822319">
        <w:rPr>
          <w:rFonts w:cstheme="minorHAnsi"/>
          <w:szCs w:val="22"/>
          <w:lang w:val="en-AU"/>
        </w:rPr>
        <w:t>.,</w:t>
      </w:r>
      <w:r w:rsidR="009E15EF">
        <w:rPr>
          <w:rFonts w:cstheme="minorHAnsi"/>
          <w:szCs w:val="22"/>
          <w:lang w:val="en-AU"/>
        </w:rPr>
        <w:t xml:space="preserve"> you cannot allocate an amount just for the use of the provider</w:t>
      </w:r>
      <w:r w:rsidR="00196566">
        <w:rPr>
          <w:rFonts w:cstheme="minorHAnsi"/>
          <w:szCs w:val="22"/>
          <w:lang w:val="en-AU"/>
        </w:rPr>
        <w:t xml:space="preserve"> with no description</w:t>
      </w:r>
      <w:r w:rsidR="009E15EF">
        <w:rPr>
          <w:rFonts w:cstheme="minorHAnsi"/>
          <w:szCs w:val="22"/>
          <w:lang w:val="en-AU"/>
        </w:rPr>
        <w:t>, as you must specify what it is intended to be used by the provider</w:t>
      </w:r>
      <w:r w:rsidR="00196566">
        <w:rPr>
          <w:rFonts w:cstheme="minorHAnsi"/>
          <w:szCs w:val="22"/>
          <w:lang w:val="en-AU"/>
        </w:rPr>
        <w:t xml:space="preserve"> for.</w:t>
      </w:r>
    </w:p>
    <w:p w14:paraId="349E63F9" w14:textId="7EA7B12C" w:rsidR="00C25CB0" w:rsidRPr="008C4565" w:rsidRDefault="00C25CB0" w:rsidP="00C25CB0">
      <w:pPr>
        <w:jc w:val="both"/>
        <w:rPr>
          <w:rFonts w:cstheme="minorHAnsi"/>
          <w:szCs w:val="22"/>
          <w:lang w:val="en-AU"/>
        </w:rPr>
      </w:pPr>
      <w:r w:rsidRPr="008C4565">
        <w:rPr>
          <w:rFonts w:cstheme="minorHAnsi"/>
          <w:szCs w:val="22"/>
          <w:lang w:val="en-AU"/>
        </w:rPr>
        <w:t>If seeking to use a third party provider, they should be able to provide an itemised quote for your school.</w:t>
      </w:r>
      <w:r w:rsidR="00873D5C">
        <w:rPr>
          <w:rFonts w:cstheme="minorHAnsi"/>
          <w:szCs w:val="22"/>
          <w:lang w:val="en-AU"/>
        </w:rPr>
        <w:t xml:space="preserve"> </w:t>
      </w:r>
    </w:p>
    <w:p w14:paraId="076E1B69" w14:textId="7C3BA1DA" w:rsidR="00C25CB0" w:rsidRPr="008C4565" w:rsidRDefault="00C25CB0" w:rsidP="00C25CB0">
      <w:pPr>
        <w:jc w:val="both"/>
        <w:rPr>
          <w:rFonts w:cstheme="minorHAnsi"/>
          <w:szCs w:val="22"/>
          <w:lang w:val="en-AU"/>
        </w:rPr>
      </w:pPr>
      <w:r w:rsidRPr="008C4565">
        <w:rPr>
          <w:rFonts w:cstheme="minorHAnsi"/>
          <w:szCs w:val="22"/>
          <w:lang w:val="en-AU"/>
        </w:rPr>
        <w:t>SmartyGrants calculates the total amount of funding automatically by adding each line item entered</w:t>
      </w:r>
      <w:r w:rsidR="00822319" w:rsidRPr="008C4565">
        <w:rPr>
          <w:rFonts w:cstheme="minorHAnsi"/>
          <w:szCs w:val="22"/>
          <w:lang w:val="en-AU"/>
        </w:rPr>
        <w:t>.</w:t>
      </w:r>
      <w:r w:rsidRPr="008C4565">
        <w:rPr>
          <w:rFonts w:cstheme="minorHAnsi"/>
          <w:szCs w:val="22"/>
          <w:lang w:val="en-AU"/>
        </w:rPr>
        <w:t xml:space="preserve"> Any costs above </w:t>
      </w:r>
      <w:r w:rsidR="00F568CD">
        <w:rPr>
          <w:rFonts w:cstheme="minorHAnsi"/>
          <w:szCs w:val="22"/>
          <w:lang w:val="en-AU"/>
        </w:rPr>
        <w:t>the grant amount</w:t>
      </w:r>
      <w:r w:rsidR="00F568CD" w:rsidRPr="008C4565">
        <w:rPr>
          <w:rFonts w:cstheme="minorHAnsi"/>
          <w:szCs w:val="22"/>
          <w:lang w:val="en-AU"/>
        </w:rPr>
        <w:t xml:space="preserve"> </w:t>
      </w:r>
      <w:r w:rsidRPr="008C4565">
        <w:rPr>
          <w:rFonts w:cstheme="minorHAnsi"/>
          <w:szCs w:val="22"/>
          <w:lang w:val="en-AU"/>
        </w:rPr>
        <w:t xml:space="preserve">are expected to be met through fees or other sources of income, with the </w:t>
      </w:r>
      <w:r w:rsidR="00103F12">
        <w:rPr>
          <w:rFonts w:cstheme="minorHAnsi"/>
          <w:szCs w:val="22"/>
          <w:lang w:val="en-AU"/>
        </w:rPr>
        <w:t xml:space="preserve">grant </w:t>
      </w:r>
      <w:r w:rsidRPr="008C4565">
        <w:rPr>
          <w:rFonts w:cstheme="minorHAnsi"/>
          <w:szCs w:val="22"/>
          <w:lang w:val="en-AU"/>
        </w:rPr>
        <w:t>funding only helping towards the cost rather than covering the total</w:t>
      </w:r>
      <w:r w:rsidR="00103F12">
        <w:rPr>
          <w:rFonts w:cstheme="minorHAnsi"/>
          <w:szCs w:val="22"/>
          <w:lang w:val="en-AU"/>
        </w:rPr>
        <w:t xml:space="preserve"> expenditure</w:t>
      </w:r>
      <w:r w:rsidRPr="008C4565">
        <w:rPr>
          <w:rFonts w:cstheme="minorHAnsi"/>
          <w:szCs w:val="22"/>
          <w:lang w:val="en-AU"/>
        </w:rPr>
        <w:t>.</w:t>
      </w:r>
    </w:p>
    <w:p w14:paraId="261E4451" w14:textId="78702669" w:rsidR="00C25CB0" w:rsidRDefault="00C25CB0" w:rsidP="00C25CB0">
      <w:pPr>
        <w:jc w:val="both"/>
        <w:rPr>
          <w:rFonts w:cstheme="minorHAnsi"/>
          <w:szCs w:val="22"/>
          <w:lang w:val="en-AU"/>
        </w:rPr>
      </w:pPr>
      <w:r>
        <w:rPr>
          <w:rFonts w:cstheme="minorHAnsi"/>
          <w:szCs w:val="22"/>
          <w:lang w:val="en-AU"/>
        </w:rPr>
        <w:t xml:space="preserve">If it is expected that establishing the service may cost more than the relevant cap, you may supply a full costing as an </w:t>
      </w:r>
      <w:r w:rsidRPr="008C4565">
        <w:rPr>
          <w:rFonts w:cstheme="minorHAnsi"/>
          <w:szCs w:val="22"/>
          <w:lang w:val="en-AU"/>
        </w:rPr>
        <w:t>attachment to your application in SmartyGrants</w:t>
      </w:r>
      <w:r>
        <w:rPr>
          <w:rFonts w:cstheme="minorHAnsi"/>
          <w:szCs w:val="22"/>
          <w:lang w:val="en-AU"/>
        </w:rPr>
        <w:t>, but this is not required.</w:t>
      </w:r>
    </w:p>
    <w:p w14:paraId="722FA19A" w14:textId="0094DA8B" w:rsidR="00C25CB0" w:rsidRPr="002D24BC" w:rsidRDefault="00C25CB0" w:rsidP="002D24BC">
      <w:pPr>
        <w:jc w:val="both"/>
        <w:rPr>
          <w:rFonts w:eastAsiaTheme="majorEastAsia" w:cstheme="minorHAnsi"/>
          <w:b/>
          <w:color w:val="E57100" w:themeColor="accent1"/>
          <w:sz w:val="26"/>
          <w:szCs w:val="26"/>
        </w:rPr>
      </w:pPr>
      <w:r w:rsidRPr="002D24BC">
        <w:rPr>
          <w:rFonts w:eastAsiaTheme="majorEastAsia" w:cstheme="minorHAnsi"/>
          <w:b/>
          <w:color w:val="E57100" w:themeColor="accent1"/>
          <w:sz w:val="26"/>
          <w:szCs w:val="26"/>
        </w:rPr>
        <w:t>How will I know if my application has been received?</w:t>
      </w:r>
    </w:p>
    <w:p w14:paraId="28578A68" w14:textId="1302355F" w:rsidR="00C25CB0" w:rsidRDefault="00C25CB0" w:rsidP="00C25CB0">
      <w:pPr>
        <w:jc w:val="both"/>
        <w:rPr>
          <w:lang w:val="en-AU"/>
        </w:rPr>
      </w:pPr>
      <w:r w:rsidRPr="00AC1323">
        <w:rPr>
          <w:lang w:val="en-AU"/>
        </w:rPr>
        <w:t xml:space="preserve">All applicants will receive a confirmation email when their application has been received. This will be sent to the primary email address given by the applicant during the application process. If you have </w:t>
      </w:r>
      <w:r w:rsidR="00EC726E" w:rsidRPr="00AC1323">
        <w:rPr>
          <w:lang w:val="en-AU"/>
        </w:rPr>
        <w:t>applied</w:t>
      </w:r>
      <w:r w:rsidRPr="00AC1323">
        <w:rPr>
          <w:lang w:val="en-AU"/>
        </w:rPr>
        <w:t xml:space="preserve">, but have not received confirmation, please email </w:t>
      </w:r>
      <w:hyperlink r:id="rId33" w:history="1">
        <w:r>
          <w:rPr>
            <w:rStyle w:val="Hyperlink"/>
            <w:lang w:val="en-AU"/>
          </w:rPr>
          <w:t>oshc.central@education.vic.gov.au</w:t>
        </w:r>
      </w:hyperlink>
      <w:r w:rsidRPr="00AC1323">
        <w:rPr>
          <w:lang w:val="en-AU"/>
        </w:rPr>
        <w:t xml:space="preserve"> to check if your application has been received.</w:t>
      </w:r>
    </w:p>
    <w:p w14:paraId="41657C31" w14:textId="7E3BDAB7" w:rsidR="00C25CB0" w:rsidRPr="002D24BC" w:rsidRDefault="00C25CB0" w:rsidP="002D24BC">
      <w:pPr>
        <w:jc w:val="both"/>
        <w:rPr>
          <w:rFonts w:eastAsiaTheme="majorEastAsia" w:cstheme="minorHAnsi"/>
          <w:b/>
          <w:color w:val="E57100" w:themeColor="accent1"/>
          <w:sz w:val="26"/>
          <w:szCs w:val="26"/>
        </w:rPr>
      </w:pPr>
      <w:r w:rsidRPr="002D24BC">
        <w:rPr>
          <w:rFonts w:eastAsiaTheme="majorEastAsia" w:cstheme="minorHAnsi"/>
          <w:b/>
          <w:color w:val="E57100" w:themeColor="accent1"/>
          <w:sz w:val="26"/>
          <w:szCs w:val="26"/>
        </w:rPr>
        <w:t xml:space="preserve">Will </w:t>
      </w:r>
      <w:r w:rsidR="00784022" w:rsidRPr="002D24BC">
        <w:rPr>
          <w:rFonts w:eastAsiaTheme="majorEastAsia" w:cstheme="minorHAnsi"/>
          <w:b/>
          <w:color w:val="E57100" w:themeColor="accent1"/>
          <w:sz w:val="26"/>
          <w:szCs w:val="26"/>
        </w:rPr>
        <w:t>I</w:t>
      </w:r>
      <w:r w:rsidRPr="002D24BC">
        <w:rPr>
          <w:rFonts w:eastAsiaTheme="majorEastAsia" w:cstheme="minorHAnsi"/>
          <w:b/>
          <w:color w:val="E57100" w:themeColor="accent1"/>
          <w:sz w:val="26"/>
          <w:szCs w:val="26"/>
        </w:rPr>
        <w:t xml:space="preserve"> have to re-apply for grant funding if my application </w:t>
      </w:r>
      <w:r w:rsidR="00784022" w:rsidRPr="002D24BC">
        <w:rPr>
          <w:rFonts w:eastAsiaTheme="majorEastAsia" w:cstheme="minorHAnsi"/>
          <w:b/>
          <w:color w:val="E57100" w:themeColor="accent1"/>
          <w:sz w:val="26"/>
          <w:szCs w:val="26"/>
        </w:rPr>
        <w:t>was</w:t>
      </w:r>
      <w:r w:rsidRPr="002D24BC">
        <w:rPr>
          <w:rFonts w:eastAsiaTheme="majorEastAsia" w:cstheme="minorHAnsi"/>
          <w:b/>
          <w:color w:val="E57100" w:themeColor="accent1"/>
          <w:sz w:val="26"/>
          <w:szCs w:val="26"/>
        </w:rPr>
        <w:t xml:space="preserve"> unsuccessful in the first </w:t>
      </w:r>
      <w:r w:rsidR="00867BA9">
        <w:rPr>
          <w:rFonts w:eastAsiaTheme="majorEastAsia" w:cstheme="minorHAnsi"/>
          <w:b/>
          <w:color w:val="E57100" w:themeColor="accent1"/>
          <w:sz w:val="26"/>
          <w:szCs w:val="26"/>
        </w:rPr>
        <w:t xml:space="preserve">or second </w:t>
      </w:r>
      <w:r w:rsidRPr="002D24BC">
        <w:rPr>
          <w:rFonts w:eastAsiaTheme="majorEastAsia" w:cstheme="minorHAnsi"/>
          <w:b/>
          <w:color w:val="E57100" w:themeColor="accent1"/>
          <w:sz w:val="26"/>
          <w:szCs w:val="26"/>
        </w:rPr>
        <w:t xml:space="preserve">round? </w:t>
      </w:r>
    </w:p>
    <w:p w14:paraId="6D5A376B" w14:textId="28A26BDD" w:rsidR="00C25CB0" w:rsidRPr="00EF423C" w:rsidRDefault="00C25CB0" w:rsidP="00C25CB0">
      <w:pPr>
        <w:jc w:val="both"/>
        <w:rPr>
          <w:lang w:val="en-AU"/>
        </w:rPr>
      </w:pPr>
      <w:r>
        <w:rPr>
          <w:lang w:val="en-AU"/>
        </w:rPr>
        <w:t>All applications that were unsuccessful in Round</w:t>
      </w:r>
      <w:r w:rsidR="0043561D">
        <w:rPr>
          <w:lang w:val="en-AU"/>
        </w:rPr>
        <w:t>s 1 and 2</w:t>
      </w:r>
      <w:r>
        <w:rPr>
          <w:lang w:val="en-AU"/>
        </w:rPr>
        <w:t xml:space="preserve"> will automatically be considered in the </w:t>
      </w:r>
      <w:r w:rsidR="007219D7">
        <w:rPr>
          <w:lang w:val="en-AU"/>
        </w:rPr>
        <w:t>third</w:t>
      </w:r>
      <w:r>
        <w:rPr>
          <w:lang w:val="en-AU"/>
        </w:rPr>
        <w:t xml:space="preserve"> round of funding</w:t>
      </w:r>
      <w:r w:rsidR="00A428CD">
        <w:rPr>
          <w:lang w:val="en-AU"/>
        </w:rPr>
        <w:t xml:space="preserve"> if they are eligible to apply under the current criteria</w:t>
      </w:r>
      <w:r>
        <w:rPr>
          <w:lang w:val="en-AU"/>
        </w:rPr>
        <w:t>. There is no need to re-apply. If you would like to withdraw your application</w:t>
      </w:r>
      <w:r w:rsidR="00822319">
        <w:rPr>
          <w:lang w:val="en-AU"/>
        </w:rPr>
        <w:t>,</w:t>
      </w:r>
      <w:r>
        <w:rPr>
          <w:lang w:val="en-AU"/>
        </w:rPr>
        <w:t xml:space="preserve"> please email </w:t>
      </w:r>
      <w:hyperlink r:id="rId34" w:history="1">
        <w:r>
          <w:rPr>
            <w:rStyle w:val="Hyperlink"/>
            <w:lang w:val="en-AU"/>
          </w:rPr>
          <w:t>oshc.central@education.vic.gov.au</w:t>
        </w:r>
      </w:hyperlink>
      <w:r>
        <w:rPr>
          <w:lang w:val="en-AU"/>
        </w:rPr>
        <w:t xml:space="preserve">. </w:t>
      </w:r>
    </w:p>
    <w:p w14:paraId="390CF8FC" w14:textId="7D3C2B58" w:rsidR="00C25CB0" w:rsidRPr="00BF103A" w:rsidRDefault="00C25CB0" w:rsidP="00C25CB0">
      <w:pPr>
        <w:pStyle w:val="Heading2"/>
        <w:spacing w:before="360"/>
        <w:jc w:val="both"/>
        <w:rPr>
          <w:lang w:val="en-AU"/>
        </w:rPr>
      </w:pPr>
      <w:bookmarkStart w:id="76" w:name="_Toc69373420"/>
      <w:bookmarkStart w:id="77" w:name="_Toc71026849"/>
      <w:r w:rsidRPr="00BF103A">
        <w:rPr>
          <w:lang w:val="en-AU"/>
        </w:rPr>
        <w:t>Funding</w:t>
      </w:r>
      <w:bookmarkEnd w:id="76"/>
      <w:bookmarkEnd w:id="77"/>
    </w:p>
    <w:p w14:paraId="41B8B1CA" w14:textId="623B35C4" w:rsidR="00C25CB0" w:rsidRPr="002D24BC" w:rsidRDefault="00C25CB0" w:rsidP="002D24BC">
      <w:pPr>
        <w:jc w:val="both"/>
        <w:rPr>
          <w:rFonts w:eastAsiaTheme="majorEastAsia" w:cstheme="minorHAnsi"/>
          <w:b/>
          <w:color w:val="E57100" w:themeColor="accent1"/>
          <w:sz w:val="26"/>
          <w:szCs w:val="26"/>
        </w:rPr>
      </w:pPr>
      <w:r w:rsidRPr="002D24BC">
        <w:rPr>
          <w:rFonts w:eastAsiaTheme="majorEastAsia" w:cstheme="minorHAnsi"/>
          <w:b/>
          <w:color w:val="E57100" w:themeColor="accent1"/>
          <w:sz w:val="26"/>
          <w:szCs w:val="26"/>
        </w:rPr>
        <w:t>How will the grant funding be paid out in cluster school arrangements?</w:t>
      </w:r>
    </w:p>
    <w:p w14:paraId="65896ED8" w14:textId="5A41348D" w:rsidR="00C25CB0" w:rsidRPr="00BF103A" w:rsidRDefault="00C25CB0" w:rsidP="00C25CB0">
      <w:pPr>
        <w:jc w:val="both"/>
        <w:rPr>
          <w:lang w:val="en-AU"/>
        </w:rPr>
      </w:pPr>
      <w:r w:rsidRPr="00BF103A">
        <w:rPr>
          <w:lang w:val="en-AU"/>
        </w:rPr>
        <w:t xml:space="preserve">The lead school will receive the approved grant funding in Term </w:t>
      </w:r>
      <w:r>
        <w:rPr>
          <w:lang w:val="en-AU"/>
        </w:rPr>
        <w:t>1</w:t>
      </w:r>
      <w:r w:rsidRPr="00BF103A">
        <w:rPr>
          <w:lang w:val="en-AU"/>
        </w:rPr>
        <w:t>, 202</w:t>
      </w:r>
      <w:r w:rsidR="004E4D95">
        <w:rPr>
          <w:lang w:val="en-AU"/>
        </w:rPr>
        <w:t>3</w:t>
      </w:r>
      <w:r w:rsidRPr="00BF103A">
        <w:rPr>
          <w:lang w:val="en-AU"/>
        </w:rPr>
        <w:t xml:space="preserve"> through an offline SRP cash payment. If there are costs incurred by cluster schools in the delivery of the OSHC program (for example the cost of transporting students), the cluster school should invoice the lead school for the amount. </w:t>
      </w:r>
    </w:p>
    <w:p w14:paraId="646E33DA" w14:textId="7EB65D18" w:rsidR="00C25CB0" w:rsidRPr="002D24BC" w:rsidRDefault="00C25CB0" w:rsidP="002D24BC">
      <w:pPr>
        <w:jc w:val="both"/>
        <w:rPr>
          <w:rFonts w:eastAsiaTheme="majorEastAsia" w:cstheme="minorHAnsi"/>
          <w:b/>
          <w:color w:val="E57100" w:themeColor="accent1"/>
          <w:sz w:val="26"/>
          <w:szCs w:val="26"/>
        </w:rPr>
      </w:pPr>
      <w:r w:rsidRPr="002D24BC">
        <w:rPr>
          <w:rFonts w:eastAsiaTheme="majorEastAsia" w:cstheme="minorHAnsi"/>
          <w:b/>
          <w:color w:val="E57100" w:themeColor="accent1"/>
          <w:sz w:val="26"/>
          <w:szCs w:val="26"/>
        </w:rPr>
        <w:t>Can approved grant funding be paid directly to third-party providers?</w:t>
      </w:r>
    </w:p>
    <w:p w14:paraId="16B666EA" w14:textId="18612C06" w:rsidR="009D19D3" w:rsidRDefault="00C25CB0" w:rsidP="00C25CB0">
      <w:pPr>
        <w:jc w:val="both"/>
        <w:rPr>
          <w:lang w:val="en-AU"/>
        </w:rPr>
      </w:pPr>
      <w:r w:rsidRPr="00BF103A">
        <w:rPr>
          <w:lang w:val="en-AU"/>
        </w:rPr>
        <w:t xml:space="preserve">All approved grant funding will be paid to lead schools. The Department will not directly transfer funds to third-party OSHC providers. </w:t>
      </w:r>
      <w:r w:rsidR="0084767F">
        <w:rPr>
          <w:lang w:val="en-AU"/>
        </w:rPr>
        <w:t xml:space="preserve"> Where a Licence Agreement is entered into by the school and the provider, a specialised version of the</w:t>
      </w:r>
      <w:r w:rsidR="00BF1925">
        <w:rPr>
          <w:lang w:val="en-AU"/>
        </w:rPr>
        <w:t xml:space="preserve"> template is available for grant schools which includes funding details and conditions.</w:t>
      </w:r>
      <w:r w:rsidRPr="00BF103A">
        <w:rPr>
          <w:lang w:val="en-AU"/>
        </w:rPr>
        <w:t xml:space="preserve"> </w:t>
      </w:r>
    </w:p>
    <w:p w14:paraId="0ED3AC85" w14:textId="77777777" w:rsidR="00EF537D" w:rsidRDefault="00EF537D" w:rsidP="00EF537D">
      <w:pPr>
        <w:jc w:val="both"/>
        <w:rPr>
          <w:rFonts w:eastAsiaTheme="majorEastAsia" w:cstheme="minorHAnsi"/>
          <w:b/>
          <w:color w:val="E57100" w:themeColor="accent1"/>
          <w:sz w:val="26"/>
          <w:szCs w:val="26"/>
        </w:rPr>
      </w:pPr>
      <w:r>
        <w:rPr>
          <w:rFonts w:eastAsiaTheme="majorEastAsia" w:cstheme="minorHAnsi"/>
          <w:b/>
          <w:color w:val="E57100" w:themeColor="accent1"/>
          <w:sz w:val="26"/>
          <w:szCs w:val="26"/>
        </w:rPr>
        <w:t>Can I spend funding on upgrades to the school?</w:t>
      </w:r>
    </w:p>
    <w:p w14:paraId="698E2B94" w14:textId="62E2B114" w:rsidR="00EF537D" w:rsidRDefault="00EF537D" w:rsidP="00EF537D">
      <w:pPr>
        <w:jc w:val="both"/>
        <w:rPr>
          <w:lang w:val="en-AU"/>
        </w:rPr>
      </w:pPr>
      <w:r>
        <w:rPr>
          <w:lang w:val="en-AU"/>
        </w:rPr>
        <w:t>The OSHC Establishment Grant Initiative is not intended for this purpose, but it is possible that some works may be required to improve a room or part of the school to an acceptable standard for OSHC. However, as the grants in this initiative provide payment over multiple years, any amount allocated for one-off, up-front expenses can only be claimed in the first year. We recommend that funding be spent on ongoing or operating expenses wherever possible</w:t>
      </w:r>
      <w:r w:rsidR="00A66161">
        <w:rPr>
          <w:lang w:val="en-AU"/>
        </w:rPr>
        <w:t xml:space="preserve">. If your budget includes one-off expenses, we may request that you advise what this amount of funding will be allocated to in the </w:t>
      </w:r>
      <w:r w:rsidR="00A66161">
        <w:rPr>
          <w:lang w:val="en-AU"/>
        </w:rPr>
        <w:lastRenderedPageBreak/>
        <w:t>second year of grant funding. For instance, if you spend $10,000 on refurbishments, you could allocate an additional $10,000 to purchasing resources in the second year.</w:t>
      </w:r>
    </w:p>
    <w:p w14:paraId="0E2AAEA0" w14:textId="33BA1542" w:rsidR="00EF537D" w:rsidRDefault="00EF537D" w:rsidP="00EF537D">
      <w:pPr>
        <w:jc w:val="both"/>
        <w:rPr>
          <w:lang w:val="en-AU"/>
        </w:rPr>
      </w:pPr>
      <w:r>
        <w:rPr>
          <w:lang w:val="en-AU"/>
        </w:rPr>
        <w:t xml:space="preserve">Prior to </w:t>
      </w:r>
      <w:r w:rsidR="00822319">
        <w:rPr>
          <w:lang w:val="en-AU"/>
        </w:rPr>
        <w:t>applying</w:t>
      </w:r>
      <w:r>
        <w:rPr>
          <w:lang w:val="en-AU"/>
        </w:rPr>
        <w:t xml:space="preserve"> schools should contact the Victorian School Building Authority at </w:t>
      </w:r>
      <w:hyperlink r:id="rId35" w:history="1">
        <w:r w:rsidRPr="00486D13">
          <w:rPr>
            <w:rStyle w:val="Hyperlink"/>
            <w:lang w:val="en-AU"/>
          </w:rPr>
          <w:t>vsba.school.funded@education.vic.gov.au</w:t>
        </w:r>
      </w:hyperlink>
      <w:r>
        <w:rPr>
          <w:lang w:val="en-AU"/>
        </w:rPr>
        <w:t xml:space="preserve"> to discuss the proposed upgrades, and ensure they are following all relevant VSBA procedures. </w:t>
      </w:r>
    </w:p>
    <w:p w14:paraId="00D2D7D0" w14:textId="44BF15FA" w:rsidR="00C25CB0" w:rsidRPr="002D24BC" w:rsidRDefault="00C25CB0" w:rsidP="002D24BC">
      <w:pPr>
        <w:jc w:val="both"/>
        <w:rPr>
          <w:rFonts w:eastAsiaTheme="majorEastAsia" w:cstheme="minorHAnsi"/>
          <w:b/>
          <w:color w:val="E57100" w:themeColor="accent1"/>
          <w:sz w:val="26"/>
          <w:szCs w:val="26"/>
        </w:rPr>
      </w:pPr>
      <w:r w:rsidRPr="002D24BC">
        <w:rPr>
          <w:rFonts w:eastAsiaTheme="majorEastAsia" w:cstheme="minorHAnsi"/>
          <w:b/>
          <w:color w:val="E57100" w:themeColor="accent1"/>
          <w:sz w:val="26"/>
          <w:szCs w:val="26"/>
        </w:rPr>
        <w:t xml:space="preserve">Can </w:t>
      </w:r>
      <w:r w:rsidR="00426AB3" w:rsidRPr="002D24BC">
        <w:rPr>
          <w:rFonts w:eastAsiaTheme="majorEastAsia" w:cstheme="minorHAnsi"/>
          <w:b/>
          <w:color w:val="E57100" w:themeColor="accent1"/>
          <w:sz w:val="26"/>
          <w:szCs w:val="26"/>
        </w:rPr>
        <w:t>g</w:t>
      </w:r>
      <w:r w:rsidRPr="002D24BC">
        <w:rPr>
          <w:rFonts w:eastAsiaTheme="majorEastAsia" w:cstheme="minorHAnsi"/>
          <w:b/>
          <w:color w:val="E57100" w:themeColor="accent1"/>
          <w:sz w:val="26"/>
          <w:szCs w:val="26"/>
        </w:rPr>
        <w:t>rant funding be used to pay the salary of a school council employed staff member?</w:t>
      </w:r>
    </w:p>
    <w:p w14:paraId="33AE0A39" w14:textId="216B9213" w:rsidR="00C25CB0" w:rsidRDefault="00C25CB0" w:rsidP="00C25CB0">
      <w:pPr>
        <w:jc w:val="both"/>
        <w:rPr>
          <w:lang w:val="en-AU"/>
        </w:rPr>
      </w:pPr>
      <w:r>
        <w:rPr>
          <w:lang w:val="en-AU"/>
        </w:rPr>
        <w:t xml:space="preserve">Yes. Grant funding can be used to cover the cost of an educator/s to deliver the OSHC service, including locally employed staff. It would be expected that any salary costs related to work undertaken to deliver the OSHC program. For example, if a staff member was employed for 20 hours a week in the OSHC program and undertook other duties for the school for another 20 hours per week, grant funding could be used to cover fifty per cent of their salary. </w:t>
      </w:r>
    </w:p>
    <w:p w14:paraId="36CF94CF" w14:textId="4110BFE9" w:rsidR="005B00F7" w:rsidRDefault="005B00F7" w:rsidP="00C25CB0">
      <w:pPr>
        <w:jc w:val="both"/>
        <w:rPr>
          <w:lang w:val="en-AU"/>
        </w:rPr>
      </w:pPr>
      <w:r>
        <w:rPr>
          <w:lang w:val="en-AU"/>
        </w:rPr>
        <w:t xml:space="preserve">The funding could also be used to cover </w:t>
      </w:r>
      <w:r w:rsidR="002164D4">
        <w:rPr>
          <w:lang w:val="en-AU"/>
        </w:rPr>
        <w:t xml:space="preserve">the cost of school employees who perform administrative work in supporting the service, such as a Business Manager who assists with </w:t>
      </w:r>
      <w:r w:rsidR="007374E4">
        <w:rPr>
          <w:lang w:val="en-AU"/>
        </w:rPr>
        <w:t>processing invoices.</w:t>
      </w:r>
    </w:p>
    <w:p w14:paraId="36CB075F" w14:textId="63B15DAB" w:rsidR="00C25CB0" w:rsidRDefault="00C25CB0" w:rsidP="002D24BC">
      <w:pPr>
        <w:jc w:val="both"/>
      </w:pPr>
      <w:r w:rsidRPr="002D24BC">
        <w:rPr>
          <w:rFonts w:eastAsiaTheme="majorEastAsia" w:cstheme="minorHAnsi"/>
          <w:b/>
          <w:color w:val="E57100" w:themeColor="accent1"/>
          <w:sz w:val="26"/>
          <w:szCs w:val="26"/>
        </w:rPr>
        <w:t>H</w:t>
      </w:r>
      <w:r w:rsidR="00426AB3" w:rsidRPr="002D24BC">
        <w:rPr>
          <w:rFonts w:eastAsiaTheme="majorEastAsia" w:cstheme="minorHAnsi"/>
          <w:b/>
          <w:color w:val="E57100" w:themeColor="accent1"/>
          <w:sz w:val="26"/>
          <w:szCs w:val="26"/>
        </w:rPr>
        <w:t xml:space="preserve">ow should I calculate the cost of a staff member to run an OSHC service? </w:t>
      </w:r>
    </w:p>
    <w:p w14:paraId="25E6A49D" w14:textId="19CAA918" w:rsidR="00C25CB0" w:rsidRDefault="00C25CB0" w:rsidP="00C25CB0">
      <w:pPr>
        <w:jc w:val="both"/>
        <w:rPr>
          <w:lang w:val="en-AU"/>
        </w:rPr>
      </w:pPr>
      <w:r>
        <w:rPr>
          <w:lang w:val="en-AU"/>
        </w:rPr>
        <w:t xml:space="preserve">When considering the salary, you should </w:t>
      </w:r>
      <w:r w:rsidR="00822319">
        <w:rPr>
          <w:lang w:val="en-AU"/>
        </w:rPr>
        <w:t>consider</w:t>
      </w:r>
      <w:r>
        <w:rPr>
          <w:lang w:val="en-AU"/>
        </w:rPr>
        <w:t xml:space="preserve"> the following:</w:t>
      </w:r>
    </w:p>
    <w:p w14:paraId="1C45D5C8" w14:textId="0EC5C56E" w:rsidR="00C25CB0" w:rsidRDefault="00C25CB0" w:rsidP="001D233D">
      <w:pPr>
        <w:pStyle w:val="ListParagraph"/>
        <w:numPr>
          <w:ilvl w:val="0"/>
          <w:numId w:val="29"/>
        </w:numPr>
        <w:jc w:val="both"/>
        <w:rPr>
          <w:lang w:val="en-AU"/>
        </w:rPr>
      </w:pPr>
      <w:r>
        <w:rPr>
          <w:lang w:val="en-AU"/>
        </w:rPr>
        <w:t>The anticipated size of the service</w:t>
      </w:r>
      <w:r w:rsidR="00822319">
        <w:rPr>
          <w:lang w:val="en-AU"/>
        </w:rPr>
        <w:t>.</w:t>
      </w:r>
    </w:p>
    <w:p w14:paraId="3E271CB8" w14:textId="5433B9EB" w:rsidR="00C25CB0" w:rsidRDefault="00C25CB0" w:rsidP="001D233D">
      <w:pPr>
        <w:pStyle w:val="ListParagraph"/>
        <w:numPr>
          <w:ilvl w:val="0"/>
          <w:numId w:val="29"/>
        </w:numPr>
        <w:jc w:val="both"/>
        <w:rPr>
          <w:lang w:val="en-AU"/>
        </w:rPr>
      </w:pPr>
      <w:r>
        <w:rPr>
          <w:lang w:val="en-AU"/>
        </w:rPr>
        <w:t>Whether the staff member will have managerial responsibility or budgetary oversight</w:t>
      </w:r>
      <w:r w:rsidR="00822319">
        <w:rPr>
          <w:lang w:val="en-AU"/>
        </w:rPr>
        <w:t>.</w:t>
      </w:r>
    </w:p>
    <w:p w14:paraId="7D85881F" w14:textId="5F70459C" w:rsidR="00C25CB0" w:rsidRDefault="00C25CB0" w:rsidP="001D233D">
      <w:pPr>
        <w:pStyle w:val="ListParagraph"/>
        <w:numPr>
          <w:ilvl w:val="0"/>
          <w:numId w:val="29"/>
        </w:numPr>
        <w:jc w:val="both"/>
        <w:rPr>
          <w:lang w:val="en-AU"/>
        </w:rPr>
      </w:pPr>
      <w:r>
        <w:rPr>
          <w:lang w:val="en-AU"/>
        </w:rPr>
        <w:t>The qualifications held by the staff member</w:t>
      </w:r>
      <w:r w:rsidR="00822319">
        <w:rPr>
          <w:lang w:val="en-AU"/>
        </w:rPr>
        <w:t>.</w:t>
      </w:r>
    </w:p>
    <w:p w14:paraId="06C3FFD5" w14:textId="75FD6826" w:rsidR="00C25CB0" w:rsidRDefault="00C25CB0" w:rsidP="00C25CB0">
      <w:pPr>
        <w:jc w:val="both"/>
        <w:rPr>
          <w:lang w:val="en-AU"/>
        </w:rPr>
      </w:pPr>
      <w:r>
        <w:rPr>
          <w:lang w:val="en-AU"/>
        </w:rPr>
        <w:t xml:space="preserve">When </w:t>
      </w:r>
      <w:r w:rsidR="00822319">
        <w:rPr>
          <w:lang w:val="en-AU"/>
        </w:rPr>
        <w:t>deciding</w:t>
      </w:r>
      <w:r>
        <w:rPr>
          <w:lang w:val="en-AU"/>
        </w:rPr>
        <w:t xml:space="preserve"> whether the role is 1.0 FTE or part time, </w:t>
      </w:r>
      <w:r w:rsidR="0013705C">
        <w:rPr>
          <w:lang w:val="en-AU"/>
        </w:rPr>
        <w:t>consider</w:t>
      </w:r>
      <w:r>
        <w:rPr>
          <w:lang w:val="en-AU"/>
        </w:rPr>
        <w:t xml:space="preserve"> which session type</w:t>
      </w:r>
      <w:r w:rsidR="00205568">
        <w:rPr>
          <w:lang w:val="en-AU"/>
        </w:rPr>
        <w:t>s</w:t>
      </w:r>
      <w:r>
        <w:rPr>
          <w:lang w:val="en-AU"/>
        </w:rPr>
        <w:t xml:space="preserve"> (before school care, after school care, vacation care) will be offered, and what non-contact hours the staff member will require for preparation, programming</w:t>
      </w:r>
      <w:r w:rsidR="00031F83">
        <w:rPr>
          <w:lang w:val="en-AU"/>
        </w:rPr>
        <w:t>,</w:t>
      </w:r>
      <w:r>
        <w:rPr>
          <w:lang w:val="en-AU"/>
        </w:rPr>
        <w:t xml:space="preserve"> critical reflection</w:t>
      </w:r>
      <w:r w:rsidR="00031F83">
        <w:rPr>
          <w:lang w:val="en-AU"/>
        </w:rPr>
        <w:t>, or supporting and supervising other staff, if multiple are required</w:t>
      </w:r>
    </w:p>
    <w:p w14:paraId="283A3784" w14:textId="057EDE30" w:rsidR="00C25CB0" w:rsidRDefault="004C03B6" w:rsidP="00C25CB0">
      <w:pPr>
        <w:jc w:val="both"/>
        <w:rPr>
          <w:lang w:val="en-AU"/>
        </w:rPr>
      </w:pPr>
      <w:r>
        <w:rPr>
          <w:lang w:val="en-AU"/>
        </w:rPr>
        <w:t>We recommend that staff members be engaged at a 0.8 FTE</w:t>
      </w:r>
      <w:r w:rsidR="00031F83">
        <w:rPr>
          <w:lang w:val="en-AU"/>
        </w:rPr>
        <w:t xml:space="preserve"> unless only after school care is offered, in which case 0.6 could be considered. If all of before school, after school and holiday care are provided, the role should be 1.0 FTE. </w:t>
      </w:r>
    </w:p>
    <w:p w14:paraId="5C709213" w14:textId="7FD16120" w:rsidR="00C25CB0" w:rsidRDefault="00C25CB0" w:rsidP="00C25CB0">
      <w:pPr>
        <w:jc w:val="both"/>
        <w:rPr>
          <w:lang w:val="en-AU"/>
        </w:rPr>
      </w:pPr>
      <w:r>
        <w:rPr>
          <w:lang w:val="en-AU"/>
        </w:rPr>
        <w:t xml:space="preserve">Based on the duties, a </w:t>
      </w:r>
      <w:r w:rsidR="00822319">
        <w:rPr>
          <w:lang w:val="en-AU"/>
        </w:rPr>
        <w:t>d</w:t>
      </w:r>
      <w:r>
        <w:rPr>
          <w:lang w:val="en-AU"/>
        </w:rPr>
        <w:t xml:space="preserve">iploma-qualified staff member running a service would be generally recommended at ES Level 1, Range </w:t>
      </w:r>
      <w:r w:rsidR="001C48F8">
        <w:rPr>
          <w:lang w:val="en-AU"/>
        </w:rPr>
        <w:t>2 or 3</w:t>
      </w:r>
      <w:r>
        <w:rPr>
          <w:lang w:val="en-AU"/>
        </w:rPr>
        <w:t>.</w:t>
      </w:r>
    </w:p>
    <w:p w14:paraId="65A0DBE9" w14:textId="2EB1DC21" w:rsidR="00C25CB0" w:rsidRPr="002D24BC" w:rsidRDefault="00C25CB0" w:rsidP="002D24BC">
      <w:pPr>
        <w:jc w:val="both"/>
        <w:rPr>
          <w:rFonts w:eastAsiaTheme="majorEastAsia" w:cstheme="minorHAnsi"/>
          <w:b/>
          <w:color w:val="E57100" w:themeColor="accent1"/>
          <w:sz w:val="26"/>
          <w:szCs w:val="26"/>
        </w:rPr>
      </w:pPr>
      <w:r w:rsidRPr="002D24BC">
        <w:rPr>
          <w:rFonts w:eastAsiaTheme="majorEastAsia" w:cstheme="minorHAnsi"/>
          <w:b/>
          <w:color w:val="E57100" w:themeColor="accent1"/>
          <w:sz w:val="26"/>
          <w:szCs w:val="26"/>
        </w:rPr>
        <w:t>W</w:t>
      </w:r>
      <w:r w:rsidR="00426AB3" w:rsidRPr="002D24BC">
        <w:rPr>
          <w:rFonts w:eastAsiaTheme="majorEastAsia" w:cstheme="minorHAnsi"/>
          <w:b/>
          <w:color w:val="E57100" w:themeColor="accent1"/>
          <w:sz w:val="26"/>
          <w:szCs w:val="26"/>
        </w:rPr>
        <w:t xml:space="preserve">hat are the financial acquittal requirements for a school receiving a grant? </w:t>
      </w:r>
    </w:p>
    <w:p w14:paraId="672160E5" w14:textId="55CC9E88" w:rsidR="00C25CB0" w:rsidRDefault="00C25CB0" w:rsidP="00C25CB0">
      <w:pPr>
        <w:jc w:val="both"/>
        <w:rPr>
          <w:lang w:val="en-AU"/>
        </w:rPr>
      </w:pPr>
      <w:r>
        <w:rPr>
          <w:lang w:val="en-AU"/>
        </w:rPr>
        <w:t xml:space="preserve">Schools are required to acquit their grant expenditure yearly for the full term of the grant funding. </w:t>
      </w:r>
      <w:r w:rsidR="002F2977">
        <w:rPr>
          <w:lang w:val="en-AU"/>
        </w:rPr>
        <w:t>For</w:t>
      </w:r>
      <w:r>
        <w:rPr>
          <w:lang w:val="en-AU"/>
        </w:rPr>
        <w:t xml:space="preserve"> Round </w:t>
      </w:r>
      <w:r w:rsidR="002F2977">
        <w:rPr>
          <w:lang w:val="en-AU"/>
        </w:rPr>
        <w:t>3, schools</w:t>
      </w:r>
      <w:r>
        <w:rPr>
          <w:lang w:val="en-AU"/>
        </w:rPr>
        <w:t xml:space="preserve"> will be required to acquit </w:t>
      </w:r>
      <w:r w:rsidR="002F2977">
        <w:rPr>
          <w:lang w:val="en-AU"/>
        </w:rPr>
        <w:t>twice</w:t>
      </w:r>
      <w:r>
        <w:rPr>
          <w:lang w:val="en-AU"/>
        </w:rPr>
        <w:t>, once for each year</w:t>
      </w:r>
      <w:r w:rsidR="002F2977">
        <w:rPr>
          <w:lang w:val="en-AU"/>
        </w:rPr>
        <w:t xml:space="preserve"> (2023 and 2024)</w:t>
      </w:r>
      <w:r>
        <w:rPr>
          <w:lang w:val="en-AU"/>
        </w:rPr>
        <w:t>. This will be required prior to receiving subsequent rounds of funding, i.e</w:t>
      </w:r>
      <w:r w:rsidR="00822319">
        <w:rPr>
          <w:lang w:val="en-AU"/>
        </w:rPr>
        <w:t>.,</w:t>
      </w:r>
      <w:r>
        <w:rPr>
          <w:lang w:val="en-AU"/>
        </w:rPr>
        <w:t xml:space="preserve"> the first payment will be acquitted in </w:t>
      </w:r>
      <w:r w:rsidR="00DD39E3">
        <w:rPr>
          <w:lang w:val="en-AU"/>
        </w:rPr>
        <w:t xml:space="preserve">Term 1, </w:t>
      </w:r>
      <w:r>
        <w:rPr>
          <w:lang w:val="en-AU"/>
        </w:rPr>
        <w:t>202</w:t>
      </w:r>
      <w:r w:rsidR="00D870FD">
        <w:rPr>
          <w:lang w:val="en-AU"/>
        </w:rPr>
        <w:t>4</w:t>
      </w:r>
      <w:r>
        <w:rPr>
          <w:lang w:val="en-AU"/>
        </w:rPr>
        <w:t>, prior to the second payment occurring in March 202</w:t>
      </w:r>
      <w:r w:rsidR="00D870FD">
        <w:rPr>
          <w:lang w:val="en-AU"/>
        </w:rPr>
        <w:t>4</w:t>
      </w:r>
      <w:r>
        <w:rPr>
          <w:lang w:val="en-AU"/>
        </w:rPr>
        <w:t>.</w:t>
      </w:r>
      <w:r w:rsidR="00DD39E3">
        <w:rPr>
          <w:lang w:val="en-AU"/>
        </w:rPr>
        <w:t xml:space="preserve"> The second year of funding would then be acquitted in Term 1, 2025.</w:t>
      </w:r>
    </w:p>
    <w:p w14:paraId="34307BDC" w14:textId="11E91559" w:rsidR="002F0232" w:rsidRDefault="00C25CB0" w:rsidP="00C25CB0">
      <w:pPr>
        <w:jc w:val="both"/>
        <w:rPr>
          <w:lang w:val="en-AU"/>
        </w:rPr>
      </w:pPr>
      <w:r>
        <w:rPr>
          <w:lang w:val="en-AU"/>
        </w:rPr>
        <w:t>Funding must be spent on the categories that are identified in the application. A small variation in allocation of funding, e.g</w:t>
      </w:r>
      <w:r w:rsidR="00822319">
        <w:rPr>
          <w:lang w:val="en-AU"/>
        </w:rPr>
        <w:t>.,</w:t>
      </w:r>
      <w:r>
        <w:rPr>
          <w:lang w:val="en-AU"/>
        </w:rPr>
        <w:t xml:space="preserve"> less than 10% change from the application is acceptable. Any variation greater than this requires approval from the OSHC Establishment Grants team and </w:t>
      </w:r>
      <w:r w:rsidR="008A4649">
        <w:rPr>
          <w:lang w:val="en-AU"/>
        </w:rPr>
        <w:t xml:space="preserve">may </w:t>
      </w:r>
      <w:r>
        <w:rPr>
          <w:lang w:val="en-AU"/>
        </w:rPr>
        <w:t xml:space="preserve">require additional acquittal or justification. </w:t>
      </w:r>
    </w:p>
    <w:p w14:paraId="068F1693" w14:textId="54BEBB9E" w:rsidR="00C25CB0" w:rsidRDefault="00C25CB0" w:rsidP="00C25CB0">
      <w:pPr>
        <w:jc w:val="both"/>
        <w:rPr>
          <w:lang w:val="en-AU"/>
        </w:rPr>
      </w:pPr>
      <w:r>
        <w:rPr>
          <w:lang w:val="en-AU"/>
        </w:rPr>
        <w:t>For instance, if it was proposed to spe</w:t>
      </w:r>
      <w:r w:rsidR="005E2C2E">
        <w:rPr>
          <w:lang w:val="en-AU"/>
        </w:rPr>
        <w:t>nd</w:t>
      </w:r>
      <w:r>
        <w:rPr>
          <w:lang w:val="en-AU"/>
        </w:rPr>
        <w:t xml:space="preserve"> $5,000 on resources, but when establishing the service, you identify that you need to spend $12,000, you would be required to a) send an email to the grants team to receive approval, and b) </w:t>
      </w:r>
      <w:r w:rsidR="008A4649">
        <w:rPr>
          <w:lang w:val="en-AU"/>
        </w:rPr>
        <w:t xml:space="preserve">if the service has already commenced, </w:t>
      </w:r>
      <w:r>
        <w:rPr>
          <w:lang w:val="en-AU"/>
        </w:rPr>
        <w:t>provide justification in the acquittal form. If you needed to spend $5,500, then this would be within 10% and no approval would be required.</w:t>
      </w:r>
    </w:p>
    <w:p w14:paraId="3A61AFAA" w14:textId="77777777" w:rsidR="00C25CB0" w:rsidRDefault="00C25CB0" w:rsidP="00C25CB0">
      <w:pPr>
        <w:jc w:val="both"/>
        <w:rPr>
          <w:lang w:val="en-AU"/>
        </w:rPr>
      </w:pPr>
      <w:r>
        <w:rPr>
          <w:lang w:val="en-AU"/>
        </w:rPr>
        <w:lastRenderedPageBreak/>
        <w:t>A reporting template which should be used to guide the capture of information relating to both output and outcomes will be provided to successful schools.</w:t>
      </w:r>
    </w:p>
    <w:p w14:paraId="509CD151" w14:textId="104D1EFE" w:rsidR="00C25CB0" w:rsidRPr="002D24BC" w:rsidRDefault="00C25CB0" w:rsidP="002D24BC">
      <w:pPr>
        <w:jc w:val="both"/>
        <w:rPr>
          <w:rFonts w:eastAsiaTheme="majorEastAsia" w:cstheme="minorHAnsi"/>
          <w:b/>
          <w:color w:val="E57100" w:themeColor="accent1"/>
          <w:sz w:val="26"/>
          <w:szCs w:val="26"/>
        </w:rPr>
      </w:pPr>
      <w:r w:rsidRPr="002D24BC">
        <w:rPr>
          <w:rFonts w:eastAsiaTheme="majorEastAsia" w:cstheme="minorHAnsi"/>
          <w:b/>
          <w:color w:val="E57100" w:themeColor="accent1"/>
          <w:sz w:val="26"/>
          <w:szCs w:val="26"/>
        </w:rPr>
        <w:t>H</w:t>
      </w:r>
      <w:r w:rsidR="00426AB3" w:rsidRPr="002D24BC">
        <w:rPr>
          <w:rFonts w:eastAsiaTheme="majorEastAsia" w:cstheme="minorHAnsi"/>
          <w:b/>
          <w:color w:val="E57100" w:themeColor="accent1"/>
          <w:sz w:val="26"/>
          <w:szCs w:val="26"/>
        </w:rPr>
        <w:t xml:space="preserve">ow do I arrange payments to a </w:t>
      </w:r>
      <w:r w:rsidR="00592C38" w:rsidRPr="002D24BC">
        <w:rPr>
          <w:rFonts w:eastAsiaTheme="majorEastAsia" w:cstheme="minorHAnsi"/>
          <w:b/>
          <w:color w:val="E57100" w:themeColor="accent1"/>
          <w:sz w:val="26"/>
          <w:szCs w:val="26"/>
        </w:rPr>
        <w:t>third-party</w:t>
      </w:r>
      <w:r w:rsidR="00426AB3" w:rsidRPr="002D24BC">
        <w:rPr>
          <w:rFonts w:eastAsiaTheme="majorEastAsia" w:cstheme="minorHAnsi"/>
          <w:b/>
          <w:color w:val="E57100" w:themeColor="accent1"/>
          <w:sz w:val="26"/>
          <w:szCs w:val="26"/>
        </w:rPr>
        <w:t xml:space="preserve"> provider</w:t>
      </w:r>
      <w:r w:rsidR="002D24BC">
        <w:rPr>
          <w:rFonts w:eastAsiaTheme="majorEastAsia" w:cstheme="minorHAnsi"/>
          <w:b/>
          <w:color w:val="E57100" w:themeColor="accent1"/>
          <w:sz w:val="26"/>
          <w:szCs w:val="26"/>
        </w:rPr>
        <w:t>?</w:t>
      </w:r>
      <w:r w:rsidR="00426AB3" w:rsidRPr="002D24BC">
        <w:rPr>
          <w:rFonts w:eastAsiaTheme="majorEastAsia" w:cstheme="minorHAnsi"/>
          <w:b/>
          <w:color w:val="E57100" w:themeColor="accent1"/>
          <w:sz w:val="26"/>
          <w:szCs w:val="26"/>
        </w:rPr>
        <w:t xml:space="preserve"> </w:t>
      </w:r>
    </w:p>
    <w:p w14:paraId="2B16F1FC" w14:textId="77777777" w:rsidR="00C25CB0" w:rsidRDefault="00C25CB0" w:rsidP="00C25CB0">
      <w:pPr>
        <w:jc w:val="both"/>
        <w:rPr>
          <w:lang w:val="en-AU"/>
        </w:rPr>
      </w:pPr>
      <w:r>
        <w:rPr>
          <w:lang w:val="en-AU"/>
        </w:rPr>
        <w:t>All grant funding will be distributed to lead schools, and it is the responsibility of the recipient school to transfer funding to the service’s provider.</w:t>
      </w:r>
    </w:p>
    <w:p w14:paraId="2A4E170E" w14:textId="561C0B5F" w:rsidR="00C25CB0" w:rsidRDefault="00C25CB0" w:rsidP="00C25CB0">
      <w:pPr>
        <w:jc w:val="both"/>
        <w:rPr>
          <w:lang w:val="en-AU"/>
        </w:rPr>
      </w:pPr>
      <w:r>
        <w:rPr>
          <w:lang w:val="en-AU"/>
        </w:rPr>
        <w:t>A detailed accounting of the financial arrangement must be included in the Licence Agreement.</w:t>
      </w:r>
      <w:r w:rsidR="00426AB3">
        <w:rPr>
          <w:lang w:val="en-AU"/>
        </w:rPr>
        <w:t xml:space="preserve"> A </w:t>
      </w:r>
      <w:hyperlink r:id="rId36" w:history="1">
        <w:r w:rsidR="00426AB3" w:rsidRPr="00BE410B">
          <w:rPr>
            <w:rStyle w:val="Hyperlink"/>
            <w:lang w:val="en-AU"/>
          </w:rPr>
          <w:t>customised version of the Department’s recommended</w:t>
        </w:r>
        <w:r w:rsidR="00BE410B" w:rsidRPr="00BE410B">
          <w:rPr>
            <w:rStyle w:val="Hyperlink"/>
            <w:lang w:val="en-AU"/>
          </w:rPr>
          <w:t xml:space="preserve"> Licence Agreement</w:t>
        </w:r>
      </w:hyperlink>
      <w:r w:rsidR="00426AB3">
        <w:rPr>
          <w:lang w:val="en-AU"/>
        </w:rPr>
        <w:t xml:space="preserve"> template</w:t>
      </w:r>
      <w:r w:rsidR="00BE410B">
        <w:rPr>
          <w:lang w:val="en-AU"/>
        </w:rPr>
        <w:t xml:space="preserve"> with an additional section (Schedule 5) is to be used by successful schools. This customised version should not be used by schools who are not receiving grants as part of this program.</w:t>
      </w:r>
    </w:p>
    <w:p w14:paraId="10D74B02" w14:textId="2934C522" w:rsidR="00C25CB0" w:rsidRDefault="00C25CB0" w:rsidP="00C25CB0">
      <w:pPr>
        <w:jc w:val="both"/>
        <w:rPr>
          <w:lang w:val="en-AU"/>
        </w:rPr>
      </w:pPr>
      <w:r>
        <w:rPr>
          <w:lang w:val="en-AU"/>
        </w:rPr>
        <w:t>I</w:t>
      </w:r>
      <w:r w:rsidR="005E2C2E">
        <w:rPr>
          <w:lang w:val="en-AU"/>
        </w:rPr>
        <w:t>t i</w:t>
      </w:r>
      <w:r>
        <w:rPr>
          <w:lang w:val="en-AU"/>
        </w:rPr>
        <w:t>s expected that providers will keep receipts, payslips etc that relate to any claims that they are making to the school for reimbursement. The provider should invoice the school for agreed costs incurred and provide evidence of this expenditure along with the invoice</w:t>
      </w:r>
      <w:r w:rsidR="007B1C24">
        <w:rPr>
          <w:lang w:val="en-AU"/>
        </w:rPr>
        <w:t xml:space="preserve"> in arrears.</w:t>
      </w:r>
    </w:p>
    <w:p w14:paraId="2E6533D1" w14:textId="693362AF" w:rsidR="00C25CB0" w:rsidRDefault="00C25CB0" w:rsidP="00C25CB0">
      <w:pPr>
        <w:jc w:val="both"/>
        <w:rPr>
          <w:lang w:val="en-AU"/>
        </w:rPr>
      </w:pPr>
      <w:r>
        <w:rPr>
          <w:lang w:val="en-AU"/>
        </w:rPr>
        <w:t>As part of the yearly acquittals process, the school is responsible for acquitting both its and the provider’s expenditure.</w:t>
      </w:r>
    </w:p>
    <w:p w14:paraId="7B819337" w14:textId="075654D6" w:rsidR="00C25CB0" w:rsidRDefault="00C25CB0" w:rsidP="00C25CB0">
      <w:pPr>
        <w:pStyle w:val="Heading2"/>
        <w:spacing w:before="360"/>
        <w:jc w:val="both"/>
        <w:rPr>
          <w:lang w:val="en-AU"/>
        </w:rPr>
      </w:pPr>
      <w:bookmarkStart w:id="78" w:name="_Toc69373421"/>
      <w:bookmarkStart w:id="79" w:name="_Toc71026850"/>
      <w:r>
        <w:rPr>
          <w:lang w:val="en-AU"/>
        </w:rPr>
        <w:t>Establishing a service</w:t>
      </w:r>
      <w:bookmarkEnd w:id="78"/>
      <w:bookmarkEnd w:id="79"/>
    </w:p>
    <w:p w14:paraId="34F9B152" w14:textId="51BF7C89" w:rsidR="00C25CB0" w:rsidRPr="002D24BC" w:rsidRDefault="00C25CB0" w:rsidP="002D24BC">
      <w:pPr>
        <w:jc w:val="both"/>
        <w:rPr>
          <w:rFonts w:eastAsiaTheme="majorEastAsia" w:cstheme="minorHAnsi"/>
          <w:b/>
          <w:color w:val="E57100" w:themeColor="accent1"/>
          <w:sz w:val="26"/>
          <w:szCs w:val="26"/>
        </w:rPr>
      </w:pPr>
      <w:r w:rsidRPr="002D24BC">
        <w:rPr>
          <w:rFonts w:eastAsiaTheme="majorEastAsia" w:cstheme="minorHAnsi"/>
          <w:b/>
          <w:color w:val="E57100" w:themeColor="accent1"/>
          <w:sz w:val="26"/>
          <w:szCs w:val="26"/>
        </w:rPr>
        <w:t>W</w:t>
      </w:r>
      <w:r w:rsidR="00426AB3" w:rsidRPr="002D24BC">
        <w:rPr>
          <w:rFonts w:eastAsiaTheme="majorEastAsia" w:cstheme="minorHAnsi"/>
          <w:b/>
          <w:color w:val="E57100" w:themeColor="accent1"/>
          <w:sz w:val="26"/>
          <w:szCs w:val="26"/>
        </w:rPr>
        <w:t xml:space="preserve">hat information is available for schools intending to operate the service through their school council? </w:t>
      </w:r>
    </w:p>
    <w:p w14:paraId="6A1478DE" w14:textId="07E11DDE" w:rsidR="00C25CB0" w:rsidRDefault="00C25CB0" w:rsidP="00C25CB0">
      <w:pPr>
        <w:jc w:val="both"/>
        <w:rPr>
          <w:lang w:val="en-AU"/>
        </w:rPr>
      </w:pPr>
      <w:r>
        <w:rPr>
          <w:lang w:val="en-AU"/>
        </w:rPr>
        <w:t xml:space="preserve">The Department has published guidance for schools on the Policy and Advisory Library (PAL). A direct link to the advice on PAL can be found </w:t>
      </w:r>
      <w:hyperlink r:id="rId37" w:history="1">
        <w:r w:rsidRPr="00D26F3A">
          <w:rPr>
            <w:rStyle w:val="Hyperlink"/>
            <w:lang w:val="en-AU"/>
          </w:rPr>
          <w:t>here</w:t>
        </w:r>
      </w:hyperlink>
      <w:r>
        <w:rPr>
          <w:lang w:val="en-AU"/>
        </w:rPr>
        <w:t xml:space="preserve">. </w:t>
      </w:r>
    </w:p>
    <w:p w14:paraId="34C89F4B" w14:textId="5CF378CA" w:rsidR="00DD3D9C" w:rsidRDefault="00C25CB0" w:rsidP="00C25CB0">
      <w:pPr>
        <w:jc w:val="both"/>
        <w:rPr>
          <w:rStyle w:val="Hyperlink"/>
        </w:rPr>
      </w:pPr>
      <w:r w:rsidRPr="00663CC6">
        <w:t>Successful schools will also be supported by the OSHC Establishment Grants team with written guidance, template documents, post-approval briefings and access to staff in regional offices who can support service establishment and delivery.</w:t>
      </w:r>
      <w:r w:rsidR="000F6118">
        <w:t xml:space="preserve"> </w:t>
      </w:r>
      <w:r w:rsidR="00DD3D9C">
        <w:t xml:space="preserve">These documents will be available in </w:t>
      </w:r>
      <w:hyperlink r:id="rId38" w:history="1">
        <w:r w:rsidR="00DD3D9C" w:rsidRPr="00DD3D9C">
          <w:rPr>
            <w:rStyle w:val="Hyperlink"/>
          </w:rPr>
          <w:t>a separate section of the Resources tab on the PAL advice for OSHC</w:t>
        </w:r>
      </w:hyperlink>
      <w:r w:rsidR="00EB1124">
        <w:rPr>
          <w:rStyle w:val="Hyperlink"/>
        </w:rPr>
        <w:t>.</w:t>
      </w:r>
    </w:p>
    <w:p w14:paraId="4F593169" w14:textId="2BC95A98" w:rsidR="006F3FC5" w:rsidRDefault="006F3FC5" w:rsidP="00C25CB0">
      <w:pPr>
        <w:jc w:val="both"/>
        <w:rPr>
          <w:rStyle w:val="Hyperlink"/>
        </w:rPr>
      </w:pPr>
    </w:p>
    <w:p w14:paraId="205E93D1" w14:textId="4C0B150E" w:rsidR="000C6EA4" w:rsidRPr="002D24BC" w:rsidRDefault="000C6EA4" w:rsidP="000C6EA4">
      <w:pPr>
        <w:jc w:val="both"/>
        <w:rPr>
          <w:rFonts w:eastAsiaTheme="majorEastAsia" w:cstheme="minorHAnsi"/>
          <w:b/>
          <w:color w:val="E57100" w:themeColor="accent1"/>
          <w:sz w:val="26"/>
          <w:szCs w:val="26"/>
        </w:rPr>
      </w:pPr>
      <w:r>
        <w:rPr>
          <w:rFonts w:eastAsiaTheme="majorEastAsia" w:cstheme="minorHAnsi"/>
          <w:b/>
          <w:color w:val="E57100" w:themeColor="accent1"/>
          <w:sz w:val="26"/>
          <w:szCs w:val="26"/>
        </w:rPr>
        <w:t>What should a school consider when deciding whether to engage a third</w:t>
      </w:r>
      <w:r w:rsidR="00822319">
        <w:rPr>
          <w:rFonts w:eastAsiaTheme="majorEastAsia" w:cstheme="minorHAnsi"/>
          <w:b/>
          <w:color w:val="E57100" w:themeColor="accent1"/>
          <w:sz w:val="26"/>
          <w:szCs w:val="26"/>
        </w:rPr>
        <w:t>-</w:t>
      </w:r>
      <w:r>
        <w:rPr>
          <w:rFonts w:eastAsiaTheme="majorEastAsia" w:cstheme="minorHAnsi"/>
          <w:b/>
          <w:color w:val="E57100" w:themeColor="accent1"/>
          <w:sz w:val="26"/>
          <w:szCs w:val="26"/>
        </w:rPr>
        <w:t xml:space="preserve">party provider or operate through school council? </w:t>
      </w:r>
    </w:p>
    <w:p w14:paraId="66A53DB4" w14:textId="23C3D2FB" w:rsidR="006F3FC5" w:rsidRDefault="008F575A" w:rsidP="00C25CB0">
      <w:pPr>
        <w:jc w:val="both"/>
      </w:pPr>
      <w:r>
        <w:t xml:space="preserve">The school should </w:t>
      </w:r>
      <w:r w:rsidR="00822319">
        <w:t>consider</w:t>
      </w:r>
      <w:r>
        <w:t xml:space="preserve"> the following:</w:t>
      </w:r>
    </w:p>
    <w:p w14:paraId="4D8D5723" w14:textId="343AAE3B" w:rsidR="008F575A" w:rsidRDefault="008F575A" w:rsidP="008F575A">
      <w:pPr>
        <w:pStyle w:val="ListParagraph"/>
        <w:numPr>
          <w:ilvl w:val="0"/>
          <w:numId w:val="33"/>
        </w:numPr>
        <w:jc w:val="both"/>
      </w:pPr>
      <w:r>
        <w:t xml:space="preserve">The school size and the number of likely enrolments. Very small schools </w:t>
      </w:r>
      <w:r w:rsidR="002C3D10">
        <w:t>will likely</w:t>
      </w:r>
      <w:r>
        <w:t xml:space="preserve"> find it harder to engage a third</w:t>
      </w:r>
      <w:r w:rsidR="00822319">
        <w:t>-</w:t>
      </w:r>
      <w:r>
        <w:t>party provider.</w:t>
      </w:r>
    </w:p>
    <w:p w14:paraId="457414A9" w14:textId="57E6AB0B" w:rsidR="008F575A" w:rsidRDefault="008F575A" w:rsidP="008F575A">
      <w:pPr>
        <w:pStyle w:val="ListParagraph"/>
        <w:numPr>
          <w:ilvl w:val="0"/>
          <w:numId w:val="33"/>
        </w:numPr>
        <w:jc w:val="both"/>
      </w:pPr>
      <w:r>
        <w:t>The ability of the school council to fulfil responsibilities such as hiring staff, monitoring</w:t>
      </w:r>
      <w:r w:rsidR="00582642">
        <w:t xml:space="preserve"> service operation</w:t>
      </w:r>
      <w:r w:rsidR="00822319">
        <w:t>,</w:t>
      </w:r>
      <w:r w:rsidR="00582642">
        <w:t xml:space="preserve"> and meeting regulatory requirements, budget and finance, and general service governance</w:t>
      </w:r>
      <w:r w:rsidR="00822319">
        <w:t>.</w:t>
      </w:r>
    </w:p>
    <w:p w14:paraId="672A02E9" w14:textId="473CB58A" w:rsidR="00582642" w:rsidRDefault="00582642" w:rsidP="008F575A">
      <w:pPr>
        <w:pStyle w:val="ListParagraph"/>
        <w:numPr>
          <w:ilvl w:val="0"/>
          <w:numId w:val="33"/>
        </w:numPr>
        <w:jc w:val="both"/>
      </w:pPr>
      <w:r>
        <w:t xml:space="preserve">The ability of the school </w:t>
      </w:r>
      <w:r w:rsidR="00D5603B">
        <w:t xml:space="preserve">council </w:t>
      </w:r>
      <w:r>
        <w:t xml:space="preserve">to successfully apply </w:t>
      </w:r>
      <w:r w:rsidR="00F632D3">
        <w:t xml:space="preserve">and administer </w:t>
      </w:r>
      <w:r>
        <w:t>Child Care Subsidy</w:t>
      </w:r>
      <w:r w:rsidR="00822319">
        <w:t>.</w:t>
      </w:r>
    </w:p>
    <w:p w14:paraId="66C4BC09" w14:textId="09B78868" w:rsidR="005832E0" w:rsidRDefault="005832E0" w:rsidP="00621130">
      <w:pPr>
        <w:pStyle w:val="ListParagraph"/>
        <w:numPr>
          <w:ilvl w:val="0"/>
          <w:numId w:val="33"/>
        </w:numPr>
        <w:jc w:val="both"/>
      </w:pPr>
      <w:r>
        <w:t xml:space="preserve">Whether any providers </w:t>
      </w:r>
      <w:r w:rsidR="0013705C">
        <w:t>can</w:t>
      </w:r>
      <w:r>
        <w:t xml:space="preserve"> meet any specific service needs</w:t>
      </w:r>
      <w:r w:rsidR="008B174D">
        <w:t xml:space="preserve"> that the school population might have, or if providers’ philosophy or policies are compatible with the school’s expectations</w:t>
      </w:r>
    </w:p>
    <w:p w14:paraId="36DD2742" w14:textId="33EF2F91" w:rsidR="00DD3D9C" w:rsidRDefault="00DD3D9C">
      <w:pPr>
        <w:spacing w:after="0"/>
      </w:pPr>
    </w:p>
    <w:p w14:paraId="46685842" w14:textId="5C6FCBD8" w:rsidR="00C25CB0" w:rsidRPr="002D24BC" w:rsidRDefault="00C25CB0" w:rsidP="002D24BC">
      <w:pPr>
        <w:jc w:val="both"/>
        <w:rPr>
          <w:rFonts w:eastAsiaTheme="majorEastAsia" w:cstheme="minorHAnsi"/>
          <w:b/>
          <w:color w:val="E57100" w:themeColor="accent1"/>
          <w:sz w:val="26"/>
          <w:szCs w:val="26"/>
        </w:rPr>
      </w:pPr>
      <w:r w:rsidRPr="002D24BC">
        <w:rPr>
          <w:rFonts w:eastAsiaTheme="majorEastAsia" w:cstheme="minorHAnsi"/>
          <w:b/>
          <w:color w:val="E57100" w:themeColor="accent1"/>
          <w:sz w:val="26"/>
          <w:szCs w:val="26"/>
        </w:rPr>
        <w:t xml:space="preserve">Should our service charge a parent fee? </w:t>
      </w:r>
    </w:p>
    <w:p w14:paraId="2C0EAD0D" w14:textId="3B1526F9" w:rsidR="00C25CB0" w:rsidRPr="00A72CD2" w:rsidRDefault="00C25CB0" w:rsidP="00C25CB0">
      <w:pPr>
        <w:jc w:val="both"/>
      </w:pPr>
      <w:r>
        <w:rPr>
          <w:lang w:val="en-AU"/>
        </w:rPr>
        <w:t>Yes.</w:t>
      </w:r>
      <w:r w:rsidR="004E0246">
        <w:rPr>
          <w:lang w:val="en-AU"/>
        </w:rPr>
        <w:t xml:space="preserve"> </w:t>
      </w:r>
      <w:r>
        <w:rPr>
          <w:lang w:val="en-AU"/>
        </w:rPr>
        <w:t xml:space="preserve">For the service to be eligible for Child Care Subsidy (CCS), the service must charge a parent fee. For a school council delivered service, the school council will determine the fee structure. Where the service is to be delivered by a third-party provider, they will determine the fee structure. </w:t>
      </w:r>
      <w:r w:rsidR="004E0246">
        <w:rPr>
          <w:lang w:val="en-AU"/>
        </w:rPr>
        <w:t>Without charging a fee, the service would not become financially viable at the end of the funding arrangement.</w:t>
      </w:r>
    </w:p>
    <w:p w14:paraId="4A1193BA" w14:textId="65FA0ED7" w:rsidR="00C25CB0" w:rsidRPr="002D24BC" w:rsidRDefault="00C25CB0" w:rsidP="002D24BC">
      <w:pPr>
        <w:jc w:val="both"/>
        <w:rPr>
          <w:rFonts w:eastAsiaTheme="majorEastAsia" w:cstheme="minorHAnsi"/>
          <w:b/>
          <w:color w:val="E57100" w:themeColor="accent1"/>
          <w:sz w:val="26"/>
          <w:szCs w:val="26"/>
        </w:rPr>
      </w:pPr>
      <w:r w:rsidRPr="002D24BC">
        <w:rPr>
          <w:rFonts w:eastAsiaTheme="majorEastAsia" w:cstheme="minorHAnsi"/>
          <w:b/>
          <w:color w:val="E57100" w:themeColor="accent1"/>
          <w:sz w:val="26"/>
          <w:szCs w:val="26"/>
        </w:rPr>
        <w:lastRenderedPageBreak/>
        <w:t>C</w:t>
      </w:r>
      <w:r w:rsidR="00426AB3" w:rsidRPr="002D24BC">
        <w:rPr>
          <w:rFonts w:eastAsiaTheme="majorEastAsia" w:cstheme="minorHAnsi"/>
          <w:b/>
          <w:color w:val="E57100" w:themeColor="accent1"/>
          <w:sz w:val="26"/>
          <w:szCs w:val="26"/>
        </w:rPr>
        <w:t xml:space="preserve">an Year 7 or Year 8 students also attend the program? </w:t>
      </w:r>
    </w:p>
    <w:p w14:paraId="1F5D35C4" w14:textId="7B961074" w:rsidR="00C25CB0" w:rsidRDefault="00C25CB0" w:rsidP="00C25CB0">
      <w:pPr>
        <w:jc w:val="both"/>
        <w:rPr>
          <w:lang w:val="en-AU"/>
        </w:rPr>
      </w:pPr>
      <w:r>
        <w:rPr>
          <w:lang w:val="en-AU"/>
        </w:rPr>
        <w:t xml:space="preserve">Regulated children’s services are considered to provide care for children up to the age of 13 years old. However, there may be reasons your service needed to support young people above that age, for example including older students with complex disabilities. Child Care Subsidy is not generally payable for children older than this, although there are possible exemptions in some circumstances, so parents/carers may be unable to claim the subsidy and therefore afford the service. </w:t>
      </w:r>
      <w:r w:rsidR="0088741E">
        <w:rPr>
          <w:lang w:val="en-AU"/>
        </w:rPr>
        <w:t xml:space="preserve">Questions about these exemptions should be sent to DESE at </w:t>
      </w:r>
      <w:hyperlink r:id="rId39" w:history="1">
        <w:r w:rsidR="0088741E" w:rsidRPr="00CE15D5">
          <w:rPr>
            <w:rStyle w:val="Hyperlink"/>
          </w:rPr>
          <w:t>ccs.assessment@dese.gov.au</w:t>
        </w:r>
      </w:hyperlink>
      <w:r w:rsidR="00FF024D">
        <w:rPr>
          <w:lang w:val="en-AU"/>
        </w:rPr>
        <w:t>.</w:t>
      </w:r>
    </w:p>
    <w:p w14:paraId="34DEB0FE" w14:textId="3AB295C5" w:rsidR="00B53323" w:rsidRDefault="00943BD8" w:rsidP="00B53323">
      <w:pPr>
        <w:jc w:val="both"/>
        <w:rPr>
          <w:rFonts w:eastAsiaTheme="majorEastAsia" w:cstheme="minorHAnsi"/>
          <w:b/>
          <w:color w:val="E57100" w:themeColor="accent1"/>
          <w:sz w:val="26"/>
          <w:szCs w:val="26"/>
        </w:rPr>
      </w:pPr>
      <w:r>
        <w:rPr>
          <w:rFonts w:eastAsiaTheme="majorEastAsia" w:cstheme="minorHAnsi"/>
          <w:b/>
          <w:color w:val="E57100" w:themeColor="accent1"/>
          <w:sz w:val="26"/>
          <w:szCs w:val="26"/>
        </w:rPr>
        <w:t xml:space="preserve">Do I have to go through the Expression of Interest </w:t>
      </w:r>
      <w:r w:rsidR="00714692">
        <w:rPr>
          <w:rFonts w:eastAsiaTheme="majorEastAsia" w:cstheme="minorHAnsi"/>
          <w:b/>
          <w:color w:val="E57100" w:themeColor="accent1"/>
          <w:sz w:val="26"/>
          <w:szCs w:val="26"/>
        </w:rPr>
        <w:t xml:space="preserve">(EOI) </w:t>
      </w:r>
      <w:r>
        <w:rPr>
          <w:rFonts w:eastAsiaTheme="majorEastAsia" w:cstheme="minorHAnsi"/>
          <w:b/>
          <w:color w:val="E57100" w:themeColor="accent1"/>
          <w:sz w:val="26"/>
          <w:szCs w:val="26"/>
        </w:rPr>
        <w:t>process to engage a third</w:t>
      </w:r>
      <w:r w:rsidR="00822319">
        <w:rPr>
          <w:rFonts w:eastAsiaTheme="majorEastAsia" w:cstheme="minorHAnsi"/>
          <w:b/>
          <w:color w:val="E57100" w:themeColor="accent1"/>
          <w:sz w:val="26"/>
          <w:szCs w:val="26"/>
        </w:rPr>
        <w:t>-</w:t>
      </w:r>
      <w:r>
        <w:rPr>
          <w:rFonts w:eastAsiaTheme="majorEastAsia" w:cstheme="minorHAnsi"/>
          <w:b/>
          <w:color w:val="E57100" w:themeColor="accent1"/>
          <w:sz w:val="26"/>
          <w:szCs w:val="26"/>
        </w:rPr>
        <w:t>party provider?</w:t>
      </w:r>
    </w:p>
    <w:p w14:paraId="6F5BEEA2" w14:textId="03D58EE6" w:rsidR="00B53323" w:rsidRDefault="00943BD8" w:rsidP="002D24BC">
      <w:pPr>
        <w:jc w:val="both"/>
        <w:rPr>
          <w:lang w:val="en-AU"/>
        </w:rPr>
      </w:pPr>
      <w:r>
        <w:rPr>
          <w:lang w:val="en-AU"/>
        </w:rPr>
        <w:t>Ye</w:t>
      </w:r>
      <w:r w:rsidRPr="00621130">
        <w:rPr>
          <w:lang w:val="en-AU"/>
        </w:rPr>
        <w:t>s.</w:t>
      </w:r>
      <w:r w:rsidR="00053DC0">
        <w:rPr>
          <w:lang w:val="en-AU"/>
        </w:rPr>
        <w:t xml:space="preserve"> You must undertake a thorough and transparent process to appoint a provider and have this decision ratified by your school council.</w:t>
      </w:r>
      <w:r w:rsidR="00C32282">
        <w:rPr>
          <w:lang w:val="en-AU"/>
        </w:rPr>
        <w:t xml:space="preserve"> </w:t>
      </w:r>
      <w:r w:rsidR="00B927D4">
        <w:rPr>
          <w:lang w:val="en-AU"/>
        </w:rPr>
        <w:t xml:space="preserve">The Department has published guidance for engaging a provider on PAL, which can be found </w:t>
      </w:r>
      <w:hyperlink r:id="rId40" w:history="1">
        <w:r w:rsidR="00B927D4" w:rsidRPr="00AD2986">
          <w:rPr>
            <w:rStyle w:val="Hyperlink"/>
            <w:lang w:val="en-AU"/>
          </w:rPr>
          <w:t>here</w:t>
        </w:r>
      </w:hyperlink>
      <w:r w:rsidR="00B927D4">
        <w:rPr>
          <w:lang w:val="en-AU"/>
        </w:rPr>
        <w:t xml:space="preserve">. </w:t>
      </w:r>
    </w:p>
    <w:p w14:paraId="5326BE95" w14:textId="43DF47C1" w:rsidR="006F3FC5" w:rsidRPr="00621130" w:rsidRDefault="006F3FC5" w:rsidP="002D24BC">
      <w:pPr>
        <w:jc w:val="both"/>
        <w:rPr>
          <w:lang w:val="en-AU"/>
        </w:rPr>
      </w:pPr>
      <w:r>
        <w:rPr>
          <w:lang w:val="en-AU"/>
        </w:rPr>
        <w:t xml:space="preserve">You need to </w:t>
      </w:r>
      <w:r w:rsidR="00714692">
        <w:rPr>
          <w:lang w:val="en-AU"/>
        </w:rPr>
        <w:t>complete a transparent EOI</w:t>
      </w:r>
      <w:r>
        <w:rPr>
          <w:lang w:val="en-AU"/>
        </w:rPr>
        <w:t xml:space="preserve"> </w:t>
      </w:r>
      <w:r w:rsidR="00714692">
        <w:rPr>
          <w:lang w:val="en-AU"/>
        </w:rPr>
        <w:t xml:space="preserve">process </w:t>
      </w:r>
      <w:r>
        <w:rPr>
          <w:lang w:val="en-AU"/>
        </w:rPr>
        <w:t>even if the OSHC will be established off-site, as the establishment will be making use of grant funding, also requiring a transparent process.</w:t>
      </w:r>
    </w:p>
    <w:p w14:paraId="55E468F5" w14:textId="3B6A12B1" w:rsidR="00C25CB0" w:rsidRPr="002D24BC" w:rsidRDefault="00C25CB0" w:rsidP="002D24BC">
      <w:pPr>
        <w:jc w:val="both"/>
        <w:rPr>
          <w:rFonts w:eastAsiaTheme="majorEastAsia" w:cstheme="minorHAnsi"/>
          <w:b/>
          <w:color w:val="E57100" w:themeColor="accent1"/>
          <w:sz w:val="26"/>
          <w:szCs w:val="26"/>
        </w:rPr>
      </w:pPr>
      <w:r w:rsidRPr="002D24BC">
        <w:rPr>
          <w:rFonts w:eastAsiaTheme="majorEastAsia" w:cstheme="minorHAnsi"/>
          <w:b/>
          <w:color w:val="E57100" w:themeColor="accent1"/>
          <w:sz w:val="26"/>
          <w:szCs w:val="26"/>
        </w:rPr>
        <w:t>H</w:t>
      </w:r>
      <w:r w:rsidR="008F4426" w:rsidRPr="002D24BC">
        <w:rPr>
          <w:rFonts w:eastAsiaTheme="majorEastAsia" w:cstheme="minorHAnsi"/>
          <w:b/>
          <w:color w:val="E57100" w:themeColor="accent1"/>
          <w:sz w:val="26"/>
          <w:szCs w:val="26"/>
        </w:rPr>
        <w:t xml:space="preserve">ow can I find an existing provider in my area, or a service close to my school? </w:t>
      </w:r>
    </w:p>
    <w:p w14:paraId="369B6728" w14:textId="77777777" w:rsidR="00C25CB0" w:rsidRDefault="00C25CB0" w:rsidP="00C25CB0">
      <w:pPr>
        <w:jc w:val="both"/>
        <w:rPr>
          <w:lang w:val="en-AU"/>
        </w:rPr>
      </w:pPr>
      <w:r>
        <w:rPr>
          <w:lang w:val="en-AU"/>
        </w:rPr>
        <w:t xml:space="preserve">Approved </w:t>
      </w:r>
      <w:r w:rsidRPr="00A84996">
        <w:rPr>
          <w:lang w:val="en-AU"/>
        </w:rPr>
        <w:t>OSHC services</w:t>
      </w:r>
      <w:r>
        <w:rPr>
          <w:lang w:val="en-AU"/>
        </w:rPr>
        <w:t xml:space="preserve">, and their providers, can be searched on the National Register which is located on ACECQA’s website: </w:t>
      </w:r>
      <w:hyperlink r:id="rId41" w:history="1">
        <w:r w:rsidRPr="00CE15D5">
          <w:rPr>
            <w:rStyle w:val="Hyperlink"/>
            <w:lang w:val="en-AU"/>
          </w:rPr>
          <w:t>https://www.acecqa.gov.au/resources/national-registers</w:t>
        </w:r>
      </w:hyperlink>
    </w:p>
    <w:p w14:paraId="02D12F72" w14:textId="77777777" w:rsidR="00C25CB0" w:rsidRPr="00A84996" w:rsidRDefault="00C25CB0" w:rsidP="00C25CB0">
      <w:pPr>
        <w:jc w:val="both"/>
        <w:rPr>
          <w:lang w:val="en-AU"/>
        </w:rPr>
      </w:pPr>
      <w:r w:rsidRPr="00A84996">
        <w:rPr>
          <w:lang w:val="en-AU"/>
        </w:rPr>
        <w:t>However, for more targeted searches, there are government-created and third</w:t>
      </w:r>
      <w:r>
        <w:rPr>
          <w:lang w:val="en-AU"/>
        </w:rPr>
        <w:t>-</w:t>
      </w:r>
      <w:r w:rsidRPr="00A84996">
        <w:rPr>
          <w:lang w:val="en-AU"/>
        </w:rPr>
        <w:t>party websites which may be more user friendly, such as:</w:t>
      </w:r>
    </w:p>
    <w:p w14:paraId="2E15C796" w14:textId="77777777" w:rsidR="00C25CB0" w:rsidRDefault="00C25CB0" w:rsidP="00822319">
      <w:pPr>
        <w:pStyle w:val="ListParagraph"/>
        <w:numPr>
          <w:ilvl w:val="0"/>
          <w:numId w:val="36"/>
        </w:numPr>
        <w:jc w:val="both"/>
        <w:rPr>
          <w:lang w:val="en-AU"/>
        </w:rPr>
      </w:pPr>
      <w:r>
        <w:rPr>
          <w:lang w:val="en-AU"/>
        </w:rPr>
        <w:t xml:space="preserve">Child Care Finder: </w:t>
      </w:r>
      <w:hyperlink r:id="rId42" w:history="1">
        <w:r w:rsidRPr="00CE15D5">
          <w:rPr>
            <w:rStyle w:val="Hyperlink"/>
            <w:lang w:val="en-AU"/>
          </w:rPr>
          <w:t>https://www.childcarefinder.gov.au/</w:t>
        </w:r>
      </w:hyperlink>
    </w:p>
    <w:p w14:paraId="14968E8D" w14:textId="77777777" w:rsidR="00C25CB0" w:rsidRDefault="00C25CB0" w:rsidP="00822319">
      <w:pPr>
        <w:pStyle w:val="ListParagraph"/>
        <w:numPr>
          <w:ilvl w:val="0"/>
          <w:numId w:val="36"/>
        </w:numPr>
        <w:jc w:val="both"/>
        <w:rPr>
          <w:rStyle w:val="Hyperlink"/>
          <w:lang w:val="en-AU"/>
        </w:rPr>
      </w:pPr>
      <w:r>
        <w:rPr>
          <w:lang w:val="en-AU"/>
        </w:rPr>
        <w:t xml:space="preserve">Starting Blocks: </w:t>
      </w:r>
      <w:hyperlink r:id="rId43" w:history="1">
        <w:r w:rsidRPr="00CE15D5">
          <w:rPr>
            <w:rStyle w:val="Hyperlink"/>
            <w:lang w:val="en-AU"/>
          </w:rPr>
          <w:t>https://www.startingblocks.gov.au/</w:t>
        </w:r>
      </w:hyperlink>
    </w:p>
    <w:p w14:paraId="6EE78585" w14:textId="67D0A076" w:rsidR="00C25CB0" w:rsidRPr="00A560B7" w:rsidRDefault="00C25CB0" w:rsidP="00C25CB0">
      <w:pPr>
        <w:jc w:val="both"/>
      </w:pPr>
      <w:r w:rsidRPr="00A560B7">
        <w:t xml:space="preserve">You can also email </w:t>
      </w:r>
      <w:hyperlink r:id="rId44" w:history="1">
        <w:r w:rsidRPr="00A560B7">
          <w:rPr>
            <w:rStyle w:val="Hyperlink"/>
            <w:lang w:val="en-AU"/>
          </w:rPr>
          <w:t>oshc.central@education.vic.gov.au</w:t>
        </w:r>
      </w:hyperlink>
      <w:r>
        <w:t xml:space="preserve"> </w:t>
      </w:r>
      <w:r w:rsidRPr="00A560B7">
        <w:t xml:space="preserve">for assistance with connecting with providers operating in your area, or who </w:t>
      </w:r>
      <w:r w:rsidR="00AB4145">
        <w:t>may be</w:t>
      </w:r>
      <w:r w:rsidRPr="00A560B7">
        <w:t xml:space="preserve"> willing to</w:t>
      </w:r>
      <w:r w:rsidR="00AB4145">
        <w:t xml:space="preserve"> expand operations into your area</w:t>
      </w:r>
      <w:r w:rsidRPr="00A560B7">
        <w:t>.</w:t>
      </w:r>
    </w:p>
    <w:p w14:paraId="42FA3867" w14:textId="77777777" w:rsidR="00C25CB0" w:rsidRDefault="00C25CB0" w:rsidP="00C25CB0">
      <w:pPr>
        <w:jc w:val="both"/>
        <w:rPr>
          <w:lang w:val="en-AU"/>
        </w:rPr>
      </w:pPr>
      <w:r>
        <w:rPr>
          <w:lang w:val="en-AU"/>
        </w:rPr>
        <w:t xml:space="preserve">After identifying potential providers, you may contact </w:t>
      </w:r>
      <w:hyperlink r:id="rId45" w:history="1">
        <w:r w:rsidRPr="00CE15D5">
          <w:rPr>
            <w:rStyle w:val="Hyperlink"/>
          </w:rPr>
          <w:t>schools.procurement@education.vic.gov.au</w:t>
        </w:r>
      </w:hyperlink>
      <w:r>
        <w:t xml:space="preserve"> for advice on the procurement process. You may also wish to contact other schools that have a third-party provider delivering OSHC at their school to seek their feedback. </w:t>
      </w:r>
    </w:p>
    <w:p w14:paraId="14528F47" w14:textId="51F44B72" w:rsidR="00C25CB0" w:rsidRPr="002D24BC" w:rsidRDefault="00C25CB0" w:rsidP="002D24BC">
      <w:pPr>
        <w:jc w:val="both"/>
        <w:rPr>
          <w:rFonts w:eastAsiaTheme="majorEastAsia" w:cstheme="minorHAnsi"/>
          <w:b/>
          <w:color w:val="E57100" w:themeColor="accent1"/>
          <w:sz w:val="26"/>
          <w:szCs w:val="26"/>
        </w:rPr>
      </w:pPr>
      <w:r w:rsidRPr="002D24BC">
        <w:rPr>
          <w:rFonts w:eastAsiaTheme="majorEastAsia" w:cstheme="minorHAnsi"/>
          <w:b/>
          <w:color w:val="E57100" w:themeColor="accent1"/>
          <w:sz w:val="26"/>
          <w:szCs w:val="26"/>
        </w:rPr>
        <w:t>W</w:t>
      </w:r>
      <w:r w:rsidR="008F4426" w:rsidRPr="002D24BC">
        <w:rPr>
          <w:rFonts w:eastAsiaTheme="majorEastAsia" w:cstheme="minorHAnsi"/>
          <w:b/>
          <w:color w:val="E57100" w:themeColor="accent1"/>
          <w:sz w:val="26"/>
          <w:szCs w:val="26"/>
        </w:rPr>
        <w:t>hat approvals will I need</w:t>
      </w:r>
      <w:r w:rsidR="007901E9">
        <w:rPr>
          <w:rFonts w:eastAsiaTheme="majorEastAsia" w:cstheme="minorHAnsi"/>
          <w:b/>
          <w:color w:val="E57100" w:themeColor="accent1"/>
          <w:sz w:val="26"/>
          <w:szCs w:val="26"/>
        </w:rPr>
        <w:t xml:space="preserve"> to deliver OSHC through my school council</w:t>
      </w:r>
      <w:r w:rsidR="008F4426" w:rsidRPr="002D24BC">
        <w:rPr>
          <w:rFonts w:eastAsiaTheme="majorEastAsia" w:cstheme="minorHAnsi"/>
          <w:b/>
          <w:color w:val="E57100" w:themeColor="accent1"/>
          <w:sz w:val="26"/>
          <w:szCs w:val="26"/>
        </w:rPr>
        <w:t xml:space="preserve">, and who from? </w:t>
      </w:r>
    </w:p>
    <w:p w14:paraId="3E4F51B0" w14:textId="06D26AD4" w:rsidR="00C25CB0" w:rsidRDefault="00C25CB0" w:rsidP="00C25CB0">
      <w:pPr>
        <w:jc w:val="both"/>
        <w:rPr>
          <w:lang w:val="en-AU"/>
        </w:rPr>
      </w:pPr>
      <w:r>
        <w:rPr>
          <w:lang w:val="en-AU"/>
        </w:rPr>
        <w:t xml:space="preserve">If the school council intends to operate the service, the </w:t>
      </w:r>
      <w:r w:rsidR="0013705C">
        <w:rPr>
          <w:lang w:val="en-AU"/>
        </w:rPr>
        <w:t xml:space="preserve">school </w:t>
      </w:r>
      <w:r>
        <w:rPr>
          <w:lang w:val="en-AU"/>
        </w:rPr>
        <w:t xml:space="preserve">council will need to apply for provider approval under the </w:t>
      </w:r>
      <w:r>
        <w:rPr>
          <w:i/>
          <w:iCs/>
          <w:lang w:val="en-AU"/>
        </w:rPr>
        <w:t>Education and Care Services National Law Act</w:t>
      </w:r>
      <w:r>
        <w:rPr>
          <w:lang w:val="en-AU"/>
        </w:rPr>
        <w:t xml:space="preserve">. If you are outsourcing to an external provider, they will </w:t>
      </w:r>
      <w:r w:rsidR="005013C4">
        <w:rPr>
          <w:lang w:val="en-AU"/>
        </w:rPr>
        <w:t xml:space="preserve">likely </w:t>
      </w:r>
      <w:r>
        <w:rPr>
          <w:lang w:val="en-AU"/>
        </w:rPr>
        <w:t>already hold this approval. Whoever is operating the service will need to apply for service approval.</w:t>
      </w:r>
    </w:p>
    <w:p w14:paraId="03FD9DF0" w14:textId="77777777" w:rsidR="00C25CB0" w:rsidRDefault="00C25CB0" w:rsidP="00C25CB0">
      <w:pPr>
        <w:jc w:val="both"/>
        <w:rPr>
          <w:lang w:val="en-AU"/>
        </w:rPr>
      </w:pPr>
      <w:r>
        <w:rPr>
          <w:lang w:val="en-AU"/>
        </w:rPr>
        <w:t xml:space="preserve">These applications are submitted to Quality Assessment and Regulation Division, as the state Regulatory Authority, through the NQA ITS portal: </w:t>
      </w:r>
      <w:hyperlink r:id="rId46" w:history="1">
        <w:r w:rsidRPr="00CE15D5">
          <w:rPr>
            <w:rStyle w:val="Hyperlink"/>
            <w:lang w:val="en-AU"/>
          </w:rPr>
          <w:t>https://www.acecqa.gov.au/resources/national-quality-agenda-it-system</w:t>
        </w:r>
      </w:hyperlink>
      <w:r>
        <w:rPr>
          <w:lang w:val="en-AU"/>
        </w:rPr>
        <w:t xml:space="preserve">. </w:t>
      </w:r>
    </w:p>
    <w:p w14:paraId="33A0C13A" w14:textId="18EE4B82" w:rsidR="00C25CB0" w:rsidRDefault="00C25CB0" w:rsidP="00C25CB0">
      <w:pPr>
        <w:jc w:val="both"/>
        <w:rPr>
          <w:lang w:val="en-AU"/>
        </w:rPr>
      </w:pPr>
      <w:r>
        <w:rPr>
          <w:lang w:val="en-AU"/>
        </w:rPr>
        <w:t xml:space="preserve">Fees are payable for these applications, and yearly for approved services. These can be claimed as expenses as part of a grant application. A list of fees can be found here: </w:t>
      </w:r>
      <w:hyperlink r:id="rId47" w:history="1">
        <w:r w:rsidRPr="00CE15D5">
          <w:rPr>
            <w:rStyle w:val="Hyperlink"/>
            <w:lang w:val="en-AU"/>
          </w:rPr>
          <w:t>https://www.acecqa.gov.au/resources/applications/indexation-of-fees</w:t>
        </w:r>
      </w:hyperlink>
      <w:r w:rsidR="000D24A3">
        <w:rPr>
          <w:lang w:val="en-AU"/>
        </w:rPr>
        <w:t>.</w:t>
      </w:r>
    </w:p>
    <w:p w14:paraId="39219B06" w14:textId="0982D00D" w:rsidR="00C25CB0" w:rsidRDefault="00C25CB0" w:rsidP="00C25CB0">
      <w:pPr>
        <w:jc w:val="both"/>
        <w:rPr>
          <w:lang w:val="en-AU"/>
        </w:rPr>
      </w:pPr>
      <w:r>
        <w:rPr>
          <w:lang w:val="en-AU"/>
        </w:rPr>
        <w:t xml:space="preserve">The service will also require approval to </w:t>
      </w:r>
      <w:r w:rsidR="00414BF7">
        <w:rPr>
          <w:lang w:val="en-AU"/>
        </w:rPr>
        <w:t>administer</w:t>
      </w:r>
      <w:r>
        <w:rPr>
          <w:lang w:val="en-AU"/>
        </w:rPr>
        <w:t xml:space="preserve"> Child Care Subsidy (CCS). </w:t>
      </w:r>
      <w:r w:rsidR="00414BF7">
        <w:rPr>
          <w:lang w:val="en-AU"/>
        </w:rPr>
        <w:t xml:space="preserve">This </w:t>
      </w:r>
      <w:r>
        <w:rPr>
          <w:lang w:val="en-AU"/>
        </w:rPr>
        <w:t>subsid</w:t>
      </w:r>
      <w:r w:rsidR="00414BF7">
        <w:rPr>
          <w:lang w:val="en-AU"/>
        </w:rPr>
        <w:t>y</w:t>
      </w:r>
      <w:r>
        <w:rPr>
          <w:lang w:val="en-AU"/>
        </w:rPr>
        <w:t xml:space="preserve"> </w:t>
      </w:r>
      <w:r w:rsidR="00414BF7">
        <w:rPr>
          <w:lang w:val="en-AU"/>
        </w:rPr>
        <w:t>is</w:t>
      </w:r>
      <w:r>
        <w:rPr>
          <w:lang w:val="en-AU"/>
        </w:rPr>
        <w:t xml:space="preserve"> administered by the Commonwealth Government through the Department of Education, Skills and Employment</w:t>
      </w:r>
      <w:r w:rsidR="00FF024D">
        <w:rPr>
          <w:lang w:val="en-AU"/>
        </w:rPr>
        <w:t xml:space="preserve"> (DESE)</w:t>
      </w:r>
      <w:r>
        <w:rPr>
          <w:lang w:val="en-AU"/>
        </w:rPr>
        <w:t xml:space="preserve">. An OSHC service is eligible for CCS </w:t>
      </w:r>
      <w:r w:rsidR="00D223E7">
        <w:rPr>
          <w:lang w:val="en-AU"/>
        </w:rPr>
        <w:t>if</w:t>
      </w:r>
      <w:r>
        <w:rPr>
          <w:lang w:val="en-AU"/>
        </w:rPr>
        <w:t xml:space="preserve"> it operates within seven separate weeks per calendar year.</w:t>
      </w:r>
      <w:r w:rsidR="00A354FA">
        <w:rPr>
          <w:lang w:val="en-AU"/>
        </w:rPr>
        <w:t xml:space="preserve"> If the service is delivered by the school’s council, then the school must apply for this approval.</w:t>
      </w:r>
    </w:p>
    <w:p w14:paraId="5944FD8F" w14:textId="77DC74AA" w:rsidR="00C25CB0" w:rsidRDefault="00C25CB0" w:rsidP="00C25CB0">
      <w:pPr>
        <w:jc w:val="both"/>
      </w:pPr>
      <w:r>
        <w:rPr>
          <w:lang w:val="en-AU"/>
        </w:rPr>
        <w:lastRenderedPageBreak/>
        <w:t xml:space="preserve">Information on applying for this subsidy can be found here: </w:t>
      </w:r>
      <w:hyperlink r:id="rId48" w:history="1">
        <w:r w:rsidRPr="00CE15D5">
          <w:rPr>
            <w:rStyle w:val="Hyperlink"/>
          </w:rPr>
          <w:t>https://www.dese.gov.au/child-care-package/child-care-subsidy/applying-child-care-subsidy-approval</w:t>
        </w:r>
      </w:hyperlink>
      <w:r w:rsidR="007C16F9">
        <w:rPr>
          <w:lang w:val="en-AU"/>
        </w:rPr>
        <w:t>.</w:t>
      </w:r>
    </w:p>
    <w:p w14:paraId="22BDE996" w14:textId="77777777" w:rsidR="004E0246" w:rsidRDefault="004E0246" w:rsidP="00621130">
      <w:pPr>
        <w:spacing w:after="0"/>
        <w:jc w:val="both"/>
        <w:rPr>
          <w:rFonts w:eastAsiaTheme="majorEastAsia"/>
          <w:b/>
          <w:bCs/>
          <w:color w:val="E57100" w:themeColor="accent1"/>
          <w:sz w:val="26"/>
          <w:szCs w:val="26"/>
        </w:rPr>
      </w:pPr>
    </w:p>
    <w:p w14:paraId="46C0429F" w14:textId="31C9B8A9" w:rsidR="00C25CB0" w:rsidRPr="002D24BC" w:rsidRDefault="00C25CB0" w:rsidP="00621130">
      <w:pPr>
        <w:spacing w:after="0"/>
        <w:jc w:val="both"/>
        <w:rPr>
          <w:rFonts w:eastAsiaTheme="majorEastAsia"/>
          <w:b/>
          <w:bCs/>
          <w:color w:val="E57100" w:themeColor="accent1"/>
          <w:sz w:val="26"/>
          <w:szCs w:val="26"/>
        </w:rPr>
      </w:pPr>
      <w:r w:rsidRPr="17DA34F5">
        <w:rPr>
          <w:rFonts w:eastAsiaTheme="majorEastAsia"/>
          <w:b/>
          <w:bCs/>
          <w:color w:val="E57100" w:themeColor="accent1"/>
          <w:sz w:val="26"/>
          <w:szCs w:val="26"/>
        </w:rPr>
        <w:t>D</w:t>
      </w:r>
      <w:r w:rsidR="008F4426" w:rsidRPr="17DA34F5">
        <w:rPr>
          <w:rFonts w:eastAsiaTheme="majorEastAsia"/>
          <w:b/>
          <w:bCs/>
          <w:color w:val="E57100" w:themeColor="accent1"/>
          <w:sz w:val="26"/>
          <w:szCs w:val="26"/>
        </w:rPr>
        <w:t xml:space="preserve">oes the service have to offer before school, after school and vacation care? </w:t>
      </w:r>
    </w:p>
    <w:p w14:paraId="58C8A846" w14:textId="3A0A5DD2" w:rsidR="00C25CB0" w:rsidRDefault="00C25CB0" w:rsidP="00C25CB0">
      <w:pPr>
        <w:jc w:val="both"/>
        <w:rPr>
          <w:lang w:val="en-AU"/>
        </w:rPr>
      </w:pPr>
      <w:r>
        <w:rPr>
          <w:lang w:val="en-AU"/>
        </w:rPr>
        <w:t>A service may operate any combination of hours and days per week to meet local needs. For instance, if the local need is only for after school care, or for 3 days per week, it is acceptable to operate a service which only operates during these hours.</w:t>
      </w:r>
      <w:r w:rsidR="00523B15">
        <w:rPr>
          <w:lang w:val="en-AU"/>
        </w:rPr>
        <w:t xml:space="preserve"> The only requirement is that the service operate for seven separate weeks per year to enable eligibility for CCS.</w:t>
      </w:r>
    </w:p>
    <w:p w14:paraId="3C860BF3" w14:textId="207D8A64" w:rsidR="00032EC3" w:rsidRDefault="00032EC3" w:rsidP="00621130">
      <w:pPr>
        <w:spacing w:after="0"/>
        <w:jc w:val="both"/>
        <w:rPr>
          <w:rFonts w:eastAsiaTheme="majorEastAsia"/>
          <w:b/>
          <w:bCs/>
          <w:color w:val="E57100" w:themeColor="accent1"/>
          <w:sz w:val="26"/>
          <w:szCs w:val="26"/>
        </w:rPr>
      </w:pPr>
    </w:p>
    <w:p w14:paraId="24EC6F75" w14:textId="51B58A43" w:rsidR="00C25CB0" w:rsidRPr="002D24BC" w:rsidRDefault="00C25CB0" w:rsidP="002D24BC">
      <w:pPr>
        <w:jc w:val="both"/>
        <w:rPr>
          <w:rFonts w:eastAsiaTheme="majorEastAsia" w:cstheme="minorHAnsi"/>
          <w:b/>
          <w:color w:val="E57100" w:themeColor="accent1"/>
          <w:sz w:val="26"/>
          <w:szCs w:val="26"/>
        </w:rPr>
      </w:pPr>
      <w:r w:rsidRPr="002D24BC">
        <w:rPr>
          <w:rFonts w:eastAsiaTheme="majorEastAsia" w:cstheme="minorHAnsi"/>
          <w:b/>
          <w:color w:val="E57100" w:themeColor="accent1"/>
          <w:sz w:val="26"/>
          <w:szCs w:val="26"/>
        </w:rPr>
        <w:t>Is it acceptable to change the way the service operates after the funding is approved?</w:t>
      </w:r>
    </w:p>
    <w:p w14:paraId="1D7C8FCE" w14:textId="77777777" w:rsidR="00C25CB0" w:rsidRDefault="00C25CB0" w:rsidP="00C25CB0">
      <w:pPr>
        <w:jc w:val="both"/>
      </w:pPr>
      <w:r>
        <w:t>Yes. You can make changes to the operation of the service. Changes that you may wish to make could include:</w:t>
      </w:r>
    </w:p>
    <w:p w14:paraId="4EA5A36F" w14:textId="046F1524" w:rsidR="00C25CB0" w:rsidRDefault="00C25CB0" w:rsidP="001D233D">
      <w:pPr>
        <w:pStyle w:val="ListParagraph"/>
        <w:numPr>
          <w:ilvl w:val="0"/>
          <w:numId w:val="28"/>
        </w:numPr>
        <w:jc w:val="both"/>
      </w:pPr>
      <w:r>
        <w:t>Changing the days of the week, length of care provided, or sessions (before school, after school, vacation care) offered from what was proposed</w:t>
      </w:r>
      <w:r w:rsidR="003713C3">
        <w:t>.</w:t>
      </w:r>
    </w:p>
    <w:p w14:paraId="437BABBF" w14:textId="348AC5B1" w:rsidR="00C25CB0" w:rsidRDefault="00C25CB0" w:rsidP="001D233D">
      <w:pPr>
        <w:pStyle w:val="ListParagraph"/>
        <w:numPr>
          <w:ilvl w:val="0"/>
          <w:numId w:val="28"/>
        </w:numPr>
        <w:jc w:val="both"/>
      </w:pPr>
      <w:r>
        <w:t>Transferring the service from one third party provider to another, or from a third party to a school council, or vice versa</w:t>
      </w:r>
      <w:r w:rsidR="003713C3">
        <w:t>.</w:t>
      </w:r>
    </w:p>
    <w:p w14:paraId="7A7890BB" w14:textId="4ACEF94F" w:rsidR="00C25CB0" w:rsidRDefault="00C25CB0" w:rsidP="001D233D">
      <w:pPr>
        <w:pStyle w:val="ListParagraph"/>
        <w:numPr>
          <w:ilvl w:val="0"/>
          <w:numId w:val="28"/>
        </w:numPr>
        <w:jc w:val="both"/>
      </w:pPr>
      <w:r>
        <w:t>Moving the service to a different part of your school grounds if it is more suitable</w:t>
      </w:r>
      <w:r w:rsidR="003713C3">
        <w:t>.</w:t>
      </w:r>
    </w:p>
    <w:p w14:paraId="7E5547AC" w14:textId="5FC1EC19" w:rsidR="00C25CB0" w:rsidRDefault="00C25CB0" w:rsidP="001D233D">
      <w:pPr>
        <w:pStyle w:val="ListParagraph"/>
        <w:numPr>
          <w:ilvl w:val="0"/>
          <w:numId w:val="28"/>
        </w:numPr>
        <w:jc w:val="both"/>
      </w:pPr>
      <w:r>
        <w:t xml:space="preserve">Entering a cluster arrangement with other schools after funding is approved, if the costs can be met with the funding awarded. </w:t>
      </w:r>
      <w:r w:rsidR="00EA1871">
        <w:t xml:space="preserve">Contact </w:t>
      </w:r>
      <w:hyperlink r:id="rId49" w:history="1">
        <w:r w:rsidR="00EA1871" w:rsidRPr="00016D30">
          <w:rPr>
            <w:rStyle w:val="Hyperlink"/>
          </w:rPr>
          <w:t>oshc.central@education.vic.gov.au</w:t>
        </w:r>
      </w:hyperlink>
      <w:r w:rsidR="00EA1871">
        <w:t xml:space="preserve"> if you would like to do this.</w:t>
      </w:r>
      <w:r>
        <w:t xml:space="preserve"> </w:t>
      </w:r>
    </w:p>
    <w:p w14:paraId="5779F045" w14:textId="27D4D8CD" w:rsidR="00C25CB0" w:rsidRDefault="00C25CB0" w:rsidP="00C25CB0">
      <w:pPr>
        <w:jc w:val="both"/>
      </w:pPr>
      <w:r>
        <w:t>In some cases</w:t>
      </w:r>
      <w:r w:rsidR="00D43889">
        <w:t>,</w:t>
      </w:r>
      <w:r>
        <w:t xml:space="preserve"> changes to the service may need to be notified to Quality Assessment and Regulation Division</w:t>
      </w:r>
      <w:r w:rsidR="004671AD">
        <w:t xml:space="preserve"> (QARD)</w:t>
      </w:r>
      <w:r>
        <w:t xml:space="preserve">, using the NQA ITS portal. </w:t>
      </w:r>
      <w:r w:rsidR="004671AD">
        <w:t>If you are unsure whether this is required, e</w:t>
      </w:r>
      <w:r>
        <w:t>mail</w:t>
      </w:r>
      <w:r w:rsidR="004671AD">
        <w:t xml:space="preserve"> QARD at</w:t>
      </w:r>
      <w:r>
        <w:t xml:space="preserve"> </w:t>
      </w:r>
      <w:hyperlink r:id="rId50" w:history="1">
        <w:r w:rsidRPr="008C4565">
          <w:rPr>
            <w:rStyle w:val="Hyperlink"/>
          </w:rPr>
          <w:t>licensed.childrens.services@education.vic.gov.au</w:t>
        </w:r>
      </w:hyperlink>
      <w:r>
        <w:t xml:space="preserve"> </w:t>
      </w:r>
      <w:r w:rsidR="004671AD">
        <w:t>or call 1300 307 415.</w:t>
      </w:r>
    </w:p>
    <w:p w14:paraId="59D0A067" w14:textId="77777777" w:rsidR="0013783E" w:rsidRDefault="0013783E" w:rsidP="00621130">
      <w:pPr>
        <w:spacing w:after="0"/>
        <w:jc w:val="both"/>
      </w:pPr>
    </w:p>
    <w:p w14:paraId="33A66E6E" w14:textId="6198F3ED" w:rsidR="0013783E" w:rsidRDefault="000B5637" w:rsidP="0013783E">
      <w:pPr>
        <w:jc w:val="both"/>
        <w:rPr>
          <w:rFonts w:eastAsiaTheme="majorEastAsia" w:cstheme="minorHAnsi"/>
          <w:b/>
          <w:color w:val="E57100" w:themeColor="accent1"/>
          <w:sz w:val="26"/>
          <w:szCs w:val="26"/>
        </w:rPr>
      </w:pPr>
      <w:r>
        <w:rPr>
          <w:rFonts w:eastAsiaTheme="majorEastAsia" w:cstheme="minorHAnsi"/>
          <w:b/>
          <w:color w:val="E57100" w:themeColor="accent1"/>
          <w:sz w:val="26"/>
          <w:szCs w:val="26"/>
        </w:rPr>
        <w:t>What do I need to know about staffing</w:t>
      </w:r>
      <w:r w:rsidR="009E7A90">
        <w:rPr>
          <w:rFonts w:eastAsiaTheme="majorEastAsia" w:cstheme="minorHAnsi"/>
          <w:b/>
          <w:color w:val="E57100" w:themeColor="accent1"/>
          <w:sz w:val="26"/>
          <w:szCs w:val="26"/>
        </w:rPr>
        <w:t xml:space="preserve"> a service at my school?</w:t>
      </w:r>
    </w:p>
    <w:p w14:paraId="084BAC40" w14:textId="54E3F7CD" w:rsidR="003636ED" w:rsidRPr="00621130" w:rsidRDefault="009E7A90" w:rsidP="0013783E">
      <w:pPr>
        <w:jc w:val="both"/>
      </w:pPr>
      <w:r w:rsidRPr="00621130">
        <w:t xml:space="preserve">If the service is </w:t>
      </w:r>
      <w:r w:rsidR="00A029AF">
        <w:t>delivered</w:t>
      </w:r>
      <w:r w:rsidRPr="00621130">
        <w:t xml:space="preserve"> </w:t>
      </w:r>
      <w:r w:rsidR="00A029AF">
        <w:t>by</w:t>
      </w:r>
      <w:r w:rsidRPr="00621130">
        <w:t xml:space="preserve"> your school council, you and your council will have the responsibility of hiring qualified staff. If you </w:t>
      </w:r>
      <w:r w:rsidR="00F56607" w:rsidRPr="00621130">
        <w:t>outsource to a third</w:t>
      </w:r>
      <w:r w:rsidR="0013705C" w:rsidRPr="00621130">
        <w:t>-</w:t>
      </w:r>
      <w:r w:rsidR="00F56607" w:rsidRPr="00621130">
        <w:t>party provider, that provider has this responsibility</w:t>
      </w:r>
      <w:r w:rsidR="002628D9">
        <w:t>.</w:t>
      </w:r>
    </w:p>
    <w:p w14:paraId="151F7E2A" w14:textId="329F9D51" w:rsidR="003636ED" w:rsidRPr="00621130" w:rsidRDefault="00EB6385" w:rsidP="0013783E">
      <w:pPr>
        <w:jc w:val="both"/>
      </w:pPr>
      <w:r>
        <w:t xml:space="preserve">The service </w:t>
      </w:r>
      <w:r w:rsidR="001600B0" w:rsidRPr="00621130">
        <w:t xml:space="preserve">are required to have one educator present for every 15 children in attendance, or part thereof. </w:t>
      </w:r>
      <w:r w:rsidR="00CB6B11" w:rsidRPr="00621130">
        <w:t>One half the required educators needs to hold or be working towards a Diploma</w:t>
      </w:r>
      <w:r w:rsidR="00782470">
        <w:t xml:space="preserve"> or </w:t>
      </w:r>
      <w:r w:rsidR="00CB6B11" w:rsidRPr="00621130">
        <w:t>equivalent qualification, with the remainder required to hold or be working towards a</w:t>
      </w:r>
      <w:r w:rsidR="00815A48">
        <w:t>t least a</w:t>
      </w:r>
      <w:r w:rsidR="00CB6B11" w:rsidRPr="00621130">
        <w:t xml:space="preserve"> Certificate III</w:t>
      </w:r>
      <w:r w:rsidR="00782470">
        <w:t xml:space="preserve"> or </w:t>
      </w:r>
      <w:r w:rsidR="00CB6B11" w:rsidRPr="00621130">
        <w:t>equivalent qualification. A</w:t>
      </w:r>
      <w:r w:rsidR="002626B6">
        <w:t xml:space="preserve"> complete</w:t>
      </w:r>
      <w:r w:rsidR="00CB6B11" w:rsidRPr="00621130">
        <w:t xml:space="preserve"> list of these equivalent qualifications is published by </w:t>
      </w:r>
      <w:hyperlink r:id="rId51" w:history="1">
        <w:r w:rsidR="00CB6B11" w:rsidRPr="00621130">
          <w:rPr>
            <w:rStyle w:val="Hyperlink"/>
          </w:rPr>
          <w:t>ACECQA</w:t>
        </w:r>
      </w:hyperlink>
      <w:r w:rsidR="003D7103">
        <w:t xml:space="preserve">, and includes </w:t>
      </w:r>
      <w:r w:rsidR="0013705C">
        <w:t>several</w:t>
      </w:r>
      <w:r w:rsidR="003D7103">
        <w:t xml:space="preserve"> vocational and university qualifications.</w:t>
      </w:r>
      <w:r w:rsidR="001B4141">
        <w:t xml:space="preserve"> </w:t>
      </w:r>
    </w:p>
    <w:p w14:paraId="238297A2" w14:textId="5F7E0161" w:rsidR="00F56607" w:rsidRDefault="003636ED" w:rsidP="0013783E">
      <w:pPr>
        <w:jc w:val="both"/>
      </w:pPr>
      <w:r w:rsidRPr="00621130">
        <w:t>I</w:t>
      </w:r>
      <w:r w:rsidR="00F56607" w:rsidRPr="00621130">
        <w:t xml:space="preserve">f your school is in regional Victoria, </w:t>
      </w:r>
      <w:r w:rsidR="00A029AF">
        <w:t>there may be fewer qualified staff available</w:t>
      </w:r>
      <w:r w:rsidR="00FF35D8">
        <w:t xml:space="preserve">. </w:t>
      </w:r>
      <w:r w:rsidR="0031708C">
        <w:t>I</w:t>
      </w:r>
      <w:r w:rsidR="00F56607" w:rsidRPr="00621130">
        <w:t xml:space="preserve">t is worth </w:t>
      </w:r>
      <w:r w:rsidR="007A62D4" w:rsidRPr="007A62D4">
        <w:t>planning</w:t>
      </w:r>
      <w:r w:rsidR="0031708C">
        <w:t xml:space="preserve"> </w:t>
      </w:r>
      <w:r w:rsidR="00F56607" w:rsidRPr="00621130">
        <w:t xml:space="preserve">and </w:t>
      </w:r>
      <w:r w:rsidR="007A62D4">
        <w:t>consulting members of</w:t>
      </w:r>
      <w:r w:rsidR="00F56607" w:rsidRPr="00621130">
        <w:t xml:space="preserve"> your local community to find out if anyone</w:t>
      </w:r>
      <w:r w:rsidR="008B0C5A" w:rsidRPr="00621130">
        <w:t xml:space="preserve"> has the required qualifications or is willing to obtain them. The Government’s </w:t>
      </w:r>
      <w:hyperlink r:id="rId52" w:history="1">
        <w:r w:rsidR="008B0C5A" w:rsidRPr="00621130">
          <w:rPr>
            <w:rStyle w:val="Hyperlink"/>
          </w:rPr>
          <w:t>Free TAFE</w:t>
        </w:r>
      </w:hyperlink>
      <w:r w:rsidR="008B0C5A" w:rsidRPr="00621130">
        <w:t xml:space="preserve"> initiative includes </w:t>
      </w:r>
      <w:r w:rsidR="002626B6">
        <w:t>several</w:t>
      </w:r>
      <w:r w:rsidR="00FF35D8">
        <w:t xml:space="preserve"> courses that </w:t>
      </w:r>
      <w:r w:rsidR="00010F71">
        <w:t>are suitable for OSHC educators:</w:t>
      </w:r>
    </w:p>
    <w:p w14:paraId="0D15BAF9" w14:textId="4AE76C6A" w:rsidR="004929AB" w:rsidRDefault="004929AB" w:rsidP="00010F71">
      <w:pPr>
        <w:pStyle w:val="ListParagraph"/>
        <w:numPr>
          <w:ilvl w:val="0"/>
          <w:numId w:val="31"/>
        </w:numPr>
        <w:jc w:val="both"/>
      </w:pPr>
      <w:r>
        <w:t xml:space="preserve">Diploma </w:t>
      </w:r>
      <w:r w:rsidR="00782470">
        <w:t xml:space="preserve">or </w:t>
      </w:r>
      <w:r>
        <w:t>equivalent qualifications:</w:t>
      </w:r>
    </w:p>
    <w:p w14:paraId="13CEFED5" w14:textId="0B9CA561" w:rsidR="00010F71" w:rsidRDefault="00EC726E" w:rsidP="00621130">
      <w:pPr>
        <w:pStyle w:val="ListParagraph"/>
        <w:numPr>
          <w:ilvl w:val="1"/>
          <w:numId w:val="31"/>
        </w:numPr>
        <w:jc w:val="both"/>
      </w:pPr>
      <w:hyperlink r:id="rId53" w:history="1">
        <w:r w:rsidR="00010F71" w:rsidRPr="17DA34F5">
          <w:rPr>
            <w:rStyle w:val="Hyperlink"/>
          </w:rPr>
          <w:t>Diploma of Early Childhood Education and Care</w:t>
        </w:r>
      </w:hyperlink>
      <w:r w:rsidR="00010F71">
        <w:t xml:space="preserve"> </w:t>
      </w:r>
      <w:r w:rsidR="00815A48">
        <w:t>(recommended)</w:t>
      </w:r>
    </w:p>
    <w:p w14:paraId="5B8CB8B4" w14:textId="33342768" w:rsidR="00010F71" w:rsidRDefault="00EC726E" w:rsidP="00621130">
      <w:pPr>
        <w:pStyle w:val="ListParagraph"/>
        <w:numPr>
          <w:ilvl w:val="1"/>
          <w:numId w:val="31"/>
        </w:numPr>
        <w:jc w:val="both"/>
      </w:pPr>
      <w:hyperlink r:id="rId54" w:history="1">
        <w:r w:rsidR="00010F71" w:rsidRPr="17DA34F5">
          <w:rPr>
            <w:rStyle w:val="Hyperlink"/>
          </w:rPr>
          <w:t>Diploma of Community Services</w:t>
        </w:r>
      </w:hyperlink>
      <w:r w:rsidR="00010F71">
        <w:t xml:space="preserve"> </w:t>
      </w:r>
    </w:p>
    <w:p w14:paraId="72D89A78" w14:textId="4C82340B" w:rsidR="004929AB" w:rsidRDefault="004929AB" w:rsidP="00010F71">
      <w:pPr>
        <w:pStyle w:val="ListParagraph"/>
        <w:numPr>
          <w:ilvl w:val="0"/>
          <w:numId w:val="31"/>
        </w:numPr>
        <w:jc w:val="both"/>
      </w:pPr>
      <w:r>
        <w:t>Certificate III</w:t>
      </w:r>
      <w:r w:rsidR="00782470">
        <w:t xml:space="preserve"> or</w:t>
      </w:r>
      <w:r>
        <w:t xml:space="preserve"> equivalent qualifications:</w:t>
      </w:r>
    </w:p>
    <w:p w14:paraId="42CB62A6" w14:textId="58BD2281" w:rsidR="00010F71" w:rsidRDefault="00EC726E" w:rsidP="00621130">
      <w:pPr>
        <w:pStyle w:val="ListParagraph"/>
        <w:numPr>
          <w:ilvl w:val="1"/>
          <w:numId w:val="31"/>
        </w:numPr>
        <w:jc w:val="both"/>
      </w:pPr>
      <w:hyperlink r:id="rId55" w:history="1">
        <w:r w:rsidR="00010F71" w:rsidRPr="17DA34F5">
          <w:rPr>
            <w:rStyle w:val="Hyperlink"/>
          </w:rPr>
          <w:t>Certificate III in Early Childhood Education and Care</w:t>
        </w:r>
      </w:hyperlink>
      <w:r w:rsidR="00010F71">
        <w:t xml:space="preserve"> </w:t>
      </w:r>
    </w:p>
    <w:p w14:paraId="3B9B0D34" w14:textId="1263449F" w:rsidR="00E255C3" w:rsidRDefault="00EC726E" w:rsidP="00E255C3">
      <w:pPr>
        <w:pStyle w:val="ListParagraph"/>
        <w:numPr>
          <w:ilvl w:val="1"/>
          <w:numId w:val="31"/>
        </w:numPr>
        <w:jc w:val="both"/>
      </w:pPr>
      <w:hyperlink r:id="rId56" w:history="1">
        <w:r w:rsidR="00E255C3" w:rsidRPr="00575F17">
          <w:rPr>
            <w:rStyle w:val="Hyperlink"/>
          </w:rPr>
          <w:t>Certificate IV</w:t>
        </w:r>
        <w:r w:rsidR="00373ECA" w:rsidRPr="00575F17">
          <w:rPr>
            <w:rStyle w:val="Hyperlink"/>
          </w:rPr>
          <w:t xml:space="preserve"> in Community Services</w:t>
        </w:r>
      </w:hyperlink>
    </w:p>
    <w:p w14:paraId="1DACF15C" w14:textId="7150E909" w:rsidR="00A51E21" w:rsidRDefault="00EC726E" w:rsidP="00E255C3">
      <w:pPr>
        <w:pStyle w:val="ListParagraph"/>
        <w:numPr>
          <w:ilvl w:val="1"/>
          <w:numId w:val="31"/>
        </w:numPr>
        <w:jc w:val="both"/>
      </w:pPr>
      <w:hyperlink r:id="rId57" w:history="1">
        <w:r w:rsidR="00A51E21" w:rsidRPr="00454ADA">
          <w:rPr>
            <w:rStyle w:val="Hyperlink"/>
          </w:rPr>
          <w:t>Certificate IV in Youth Work</w:t>
        </w:r>
      </w:hyperlink>
    </w:p>
    <w:p w14:paraId="402BE041" w14:textId="3CE8C9D2" w:rsidR="00224148" w:rsidRDefault="00EC726E" w:rsidP="002628D9">
      <w:pPr>
        <w:pStyle w:val="ListParagraph"/>
        <w:numPr>
          <w:ilvl w:val="1"/>
          <w:numId w:val="31"/>
        </w:numPr>
        <w:jc w:val="both"/>
      </w:pPr>
      <w:hyperlink r:id="rId58" w:history="1">
        <w:r w:rsidR="00373ECA" w:rsidRPr="00454ADA">
          <w:rPr>
            <w:rStyle w:val="Hyperlink"/>
          </w:rPr>
          <w:t>Certifi</w:t>
        </w:r>
        <w:r w:rsidR="00454ADA" w:rsidRPr="00454ADA">
          <w:rPr>
            <w:rStyle w:val="Hyperlink"/>
          </w:rPr>
          <w:t>c</w:t>
        </w:r>
        <w:r w:rsidR="00373ECA" w:rsidRPr="00454ADA">
          <w:rPr>
            <w:rStyle w:val="Hyperlink"/>
          </w:rPr>
          <w:t>ate III</w:t>
        </w:r>
      </w:hyperlink>
      <w:r w:rsidR="00373ECA">
        <w:t xml:space="preserve"> or </w:t>
      </w:r>
      <w:hyperlink r:id="rId59" w:history="1">
        <w:r w:rsidR="00373ECA" w:rsidRPr="00454ADA">
          <w:rPr>
            <w:rStyle w:val="Hyperlink"/>
          </w:rPr>
          <w:t>Certificate IV in Education Support</w:t>
        </w:r>
      </w:hyperlink>
    </w:p>
    <w:p w14:paraId="2C903D80" w14:textId="3E91EC11" w:rsidR="002628D9" w:rsidRDefault="002628D9" w:rsidP="002628D9">
      <w:pPr>
        <w:jc w:val="both"/>
      </w:pPr>
      <w:r>
        <w:lastRenderedPageBreak/>
        <w:t>You may also be able to find local training providers</w:t>
      </w:r>
      <w:r w:rsidR="00221E88">
        <w:t xml:space="preserve"> who offer one of the ACECQA-approved qualifications</w:t>
      </w:r>
      <w:r>
        <w:t xml:space="preserve"> by </w:t>
      </w:r>
      <w:r w:rsidR="008A2167">
        <w:t>searching</w:t>
      </w:r>
      <w:r w:rsidR="003D57D2">
        <w:t xml:space="preserve"> for</w:t>
      </w:r>
      <w:r w:rsidR="008A2167">
        <w:t xml:space="preserve"> the qualification code</w:t>
      </w:r>
      <w:r w:rsidR="00221E88">
        <w:t xml:space="preserve"> or name</w:t>
      </w:r>
      <w:r w:rsidR="008A2167">
        <w:t xml:space="preserve"> </w:t>
      </w:r>
      <w:r w:rsidR="00221E88">
        <w:t xml:space="preserve">at </w:t>
      </w:r>
      <w:hyperlink r:id="rId60" w:history="1">
        <w:r w:rsidR="00221E88" w:rsidRPr="17DA34F5">
          <w:rPr>
            <w:rStyle w:val="Hyperlink"/>
          </w:rPr>
          <w:t>http://www.training.gov.au</w:t>
        </w:r>
      </w:hyperlink>
      <w:r w:rsidR="00221E88">
        <w:t>.</w:t>
      </w:r>
    </w:p>
    <w:p w14:paraId="7F1A16C6" w14:textId="6873CF59" w:rsidR="00525CCE" w:rsidRDefault="00525CCE" w:rsidP="002628D9">
      <w:pPr>
        <w:jc w:val="both"/>
      </w:pPr>
      <w:r>
        <w:t xml:space="preserve">You can find more information about the Free TAFE initiative at </w:t>
      </w:r>
      <w:hyperlink r:id="rId61" w:history="1">
        <w:r w:rsidRPr="00525CCE">
          <w:rPr>
            <w:rStyle w:val="Hyperlink"/>
          </w:rPr>
          <w:t>http://www.vic.gov.au/freetafe/</w:t>
        </w:r>
      </w:hyperlink>
      <w:r>
        <w:t>.</w:t>
      </w:r>
    </w:p>
    <w:p w14:paraId="7C59B84E" w14:textId="50CD267E" w:rsidR="00437BF4" w:rsidRDefault="00437BF4" w:rsidP="00437BF4">
      <w:pPr>
        <w:pStyle w:val="Heading2"/>
        <w:spacing w:before="360"/>
        <w:jc w:val="both"/>
        <w:rPr>
          <w:lang w:val="en-AU"/>
        </w:rPr>
      </w:pPr>
      <w:r>
        <w:rPr>
          <w:lang w:val="en-AU"/>
        </w:rPr>
        <w:t>Providing transport</w:t>
      </w:r>
    </w:p>
    <w:p w14:paraId="6FD43EC7" w14:textId="41349E9F" w:rsidR="00437BF4" w:rsidRDefault="00252BF7" w:rsidP="00437BF4">
      <w:pPr>
        <w:jc w:val="both"/>
        <w:rPr>
          <w:rFonts w:eastAsiaTheme="majorEastAsia" w:cstheme="minorHAnsi"/>
          <w:b/>
          <w:color w:val="E57100" w:themeColor="accent1"/>
          <w:sz w:val="26"/>
          <w:szCs w:val="26"/>
        </w:rPr>
      </w:pPr>
      <w:r>
        <w:rPr>
          <w:rFonts w:eastAsiaTheme="majorEastAsia" w:cstheme="minorHAnsi"/>
          <w:b/>
          <w:color w:val="E57100" w:themeColor="accent1"/>
          <w:sz w:val="26"/>
          <w:szCs w:val="26"/>
        </w:rPr>
        <w:t>What information do I need to apply for a transport-only solution?</w:t>
      </w:r>
    </w:p>
    <w:p w14:paraId="4FBD2BB2" w14:textId="37B3516D" w:rsidR="0013783E" w:rsidRDefault="00E950A5" w:rsidP="00525CCE">
      <w:pPr>
        <w:jc w:val="both"/>
      </w:pPr>
      <w:r w:rsidRPr="17DA34F5">
        <w:rPr>
          <w:lang w:val="en-AU"/>
        </w:rPr>
        <w:t xml:space="preserve">As well as providing information about </w:t>
      </w:r>
      <w:r w:rsidR="00B24A00" w:rsidRPr="17DA34F5">
        <w:rPr>
          <w:lang w:val="en-AU"/>
        </w:rPr>
        <w:t>the demand for OSHC</w:t>
      </w:r>
      <w:r w:rsidR="00BF0852" w:rsidRPr="17DA34F5">
        <w:rPr>
          <w:lang w:val="en-AU"/>
        </w:rPr>
        <w:t>, and the proposed budget</w:t>
      </w:r>
      <w:r w:rsidR="00B24A00" w:rsidRPr="17DA34F5">
        <w:rPr>
          <w:lang w:val="en-AU"/>
        </w:rPr>
        <w:t xml:space="preserve">, you will </w:t>
      </w:r>
      <w:r w:rsidR="00ED750F" w:rsidRPr="17DA34F5">
        <w:rPr>
          <w:lang w:val="en-AU"/>
        </w:rPr>
        <w:t>be asked where you intend to transport the children to. Provide as much detail as you can about the service, i.e</w:t>
      </w:r>
      <w:r w:rsidR="0013705C" w:rsidRPr="17DA34F5">
        <w:rPr>
          <w:lang w:val="en-AU"/>
        </w:rPr>
        <w:t>.,</w:t>
      </w:r>
      <w:r w:rsidR="00ED750F" w:rsidRPr="17DA34F5">
        <w:rPr>
          <w:lang w:val="en-AU"/>
        </w:rPr>
        <w:t xml:space="preserve"> name, location. </w:t>
      </w:r>
      <w:r w:rsidR="00B24A00" w:rsidRPr="17DA34F5">
        <w:rPr>
          <w:lang w:val="en-AU"/>
        </w:rPr>
        <w:t>You will also need to provide evidence that you have discussed the arrangement with the service</w:t>
      </w:r>
      <w:r w:rsidR="00BF0852" w:rsidRPr="17DA34F5">
        <w:rPr>
          <w:lang w:val="en-AU"/>
        </w:rPr>
        <w:t xml:space="preserve">, </w:t>
      </w:r>
      <w:r w:rsidR="00E7756B" w:rsidRPr="17DA34F5">
        <w:rPr>
          <w:lang w:val="en-AU"/>
        </w:rPr>
        <w:t xml:space="preserve">which can be in the form of a </w:t>
      </w:r>
      <w:r w:rsidR="00BF0852" w:rsidRPr="17DA34F5">
        <w:rPr>
          <w:lang w:val="en-AU"/>
        </w:rPr>
        <w:t>letter or memorandum of understanding.</w:t>
      </w:r>
    </w:p>
    <w:sectPr w:rsidR="0013783E" w:rsidSect="00F625AC">
      <w:headerReference w:type="default" r:id="rId62"/>
      <w:footerReference w:type="default" r:id="rId63"/>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78691" w14:textId="77777777" w:rsidR="00DD3D1F" w:rsidRDefault="00DD3D1F" w:rsidP="003967DD">
      <w:pPr>
        <w:spacing w:after="0"/>
      </w:pPr>
      <w:r>
        <w:separator/>
      </w:r>
    </w:p>
  </w:endnote>
  <w:endnote w:type="continuationSeparator" w:id="0">
    <w:p w14:paraId="47BDC48D" w14:textId="77777777" w:rsidR="00DD3D1F" w:rsidRDefault="00DD3D1F" w:rsidP="003967DD">
      <w:pPr>
        <w:spacing w:after="0"/>
      </w:pPr>
      <w:r>
        <w:continuationSeparator/>
      </w:r>
    </w:p>
  </w:endnote>
  <w:endnote w:type="continuationNotice" w:id="1">
    <w:p w14:paraId="2DD1CE2A" w14:textId="77777777" w:rsidR="00622A3E" w:rsidRDefault="00622A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33232B" w:rsidRDefault="0033232B" w:rsidP="00F625A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33232B" w:rsidRDefault="0033232B"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22E4C560" w:rsidR="0033232B" w:rsidRDefault="0033232B"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A749" w14:textId="48E08634" w:rsidR="0033232B" w:rsidRDefault="0033232B" w:rsidP="008476D8">
    <w:pPr>
      <w:pStyle w:val="Copyrighttext"/>
    </w:pPr>
    <w:r w:rsidRPr="001105FA">
      <w:t xml:space="preserve">© State of Victoria (Department of Education and Training) </w:t>
    </w:r>
    <w:r w:rsidRPr="00F625AC">
      <w:t>202</w:t>
    </w:r>
    <w:r w:rsidR="00333F22">
      <w:t>2</w:t>
    </w:r>
  </w:p>
  <w:p w14:paraId="2D4683BF" w14:textId="77777777" w:rsidR="0033232B" w:rsidRPr="001105FA" w:rsidRDefault="0033232B" w:rsidP="008476D8">
    <w:pPr>
      <w:pStyle w:val="Copyrighttext"/>
    </w:pPr>
    <w:r>
      <w:rPr>
        <w:noProof/>
      </w:rPr>
      <w:drawing>
        <wp:inline distT="0" distB="0" distL="0" distR="0" wp14:anchorId="261808AF" wp14:editId="6C5A41E6">
          <wp:extent cx="485336" cy="173334"/>
          <wp:effectExtent l="0" t="0" r="0" b="508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05390358" w14:textId="63CE4090" w:rsidR="0033232B" w:rsidRPr="001105FA" w:rsidRDefault="0033232B" w:rsidP="008476D8">
    <w:pPr>
      <w:pStyle w:val="Copyrighttext"/>
    </w:pPr>
    <w:r>
      <w:t xml:space="preserve">The </w:t>
    </w:r>
    <w:r w:rsidRPr="00F625AC">
      <w:t>Outside School Hours Care Grants Initiative Application Guidelines</w:t>
    </w:r>
    <w:r w:rsidRPr="001105FA">
      <w:t xml:space="preserve"> </w:t>
    </w:r>
    <w:r>
      <w:t>are</w:t>
    </w:r>
    <w:r w:rsidRPr="001105FA">
      <w:t xml:space="preserve"> provided under a Creative Commons Attribution 4.0 International licence. You are free to re-use the work under that licence, on the condition that you credit the State of Victoria (Department of Education and Training), indicate if changes were made and comply</w:t>
    </w:r>
    <w:r>
      <w:t xml:space="preserve"> with the other licence terms, </w:t>
    </w:r>
    <w:r w:rsidRPr="001105FA">
      <w:t xml:space="preserve">see: </w:t>
    </w:r>
    <w:hyperlink r:id="rId2" w:history="1">
      <w:r w:rsidRPr="001105FA">
        <w:rPr>
          <w:rStyle w:val="Hyperlink"/>
        </w:rPr>
        <w:t>Creative Commons Attribution 4.0 International</w:t>
      </w:r>
    </w:hyperlink>
    <w:r w:rsidRPr="001105FA">
      <w:t xml:space="preserve"> </w:t>
    </w:r>
  </w:p>
  <w:p w14:paraId="7741E8FC" w14:textId="77777777" w:rsidR="0033232B" w:rsidRPr="001105FA" w:rsidRDefault="0033232B" w:rsidP="008476D8">
    <w:pPr>
      <w:pStyle w:val="Copyrighttext"/>
    </w:pPr>
    <w:r w:rsidRPr="001105FA">
      <w:t>The licence does not apply to:</w:t>
    </w:r>
  </w:p>
  <w:p w14:paraId="3693F738" w14:textId="6CC6648D" w:rsidR="0033232B" w:rsidRPr="001105FA" w:rsidRDefault="0033232B" w:rsidP="001D233D">
    <w:pPr>
      <w:pStyle w:val="Copyrighttext"/>
      <w:numPr>
        <w:ilvl w:val="0"/>
        <w:numId w:val="5"/>
      </w:numPr>
      <w:ind w:left="284" w:hanging="284"/>
    </w:pPr>
    <w:r w:rsidRPr="001105FA">
      <w:t>any images, photographs, trademarks or branding, including the Victorian Government logo and the DET logo; and</w:t>
    </w:r>
  </w:p>
  <w:p w14:paraId="657FF9EE" w14:textId="106CF132" w:rsidR="0033232B" w:rsidRPr="001105FA" w:rsidRDefault="0033232B" w:rsidP="001D233D">
    <w:pPr>
      <w:pStyle w:val="Copyrighttext"/>
      <w:numPr>
        <w:ilvl w:val="0"/>
        <w:numId w:val="5"/>
      </w:numPr>
      <w:ind w:left="284" w:hanging="284"/>
    </w:pPr>
    <w:r w:rsidRPr="001105FA">
      <w:t>content supplied by third parties.</w:t>
    </w:r>
  </w:p>
  <w:p w14:paraId="4294A2CD" w14:textId="5E767BD5" w:rsidR="0033232B" w:rsidRPr="008476D8" w:rsidRDefault="0033232B" w:rsidP="008476D8">
    <w:pPr>
      <w:pStyle w:val="Copyrighttext"/>
      <w:rPr>
        <w:color w:val="0090DA" w:themeColor="hyperlink"/>
        <w:u w:val="single"/>
      </w:rPr>
    </w:pPr>
    <w:r w:rsidRPr="001105FA">
      <w:t xml:space="preserve">Copyright queries may be directed to </w:t>
    </w:r>
    <w:hyperlink r:id="rId3" w:history="1">
      <w:r w:rsidRPr="00144FD5">
        <w:rPr>
          <w:rStyle w:val="Hyperlink"/>
        </w:rPr>
        <w:t>copyright@education.vic.gov.au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126663"/>
      <w:docPartObj>
        <w:docPartGallery w:val="Page Numbers (Bottom of Page)"/>
        <w:docPartUnique/>
      </w:docPartObj>
    </w:sdtPr>
    <w:sdtEndPr>
      <w:rPr>
        <w:noProof/>
      </w:rPr>
    </w:sdtEndPr>
    <w:sdtContent>
      <w:p w14:paraId="5B539481" w14:textId="77777777" w:rsidR="008053CA" w:rsidRDefault="008053CA">
        <w:pPr>
          <w:pStyle w:val="Footer"/>
          <w:jc w:val="center"/>
        </w:pPr>
        <w:r>
          <w:rPr>
            <w:noProof/>
            <w:lang w:val="en-IN" w:eastAsia="en-IN"/>
          </w:rPr>
          <w:drawing>
            <wp:anchor distT="0" distB="0" distL="114300" distR="114300" simplePos="0" relativeHeight="251658243" behindDoc="0" locked="0" layoutInCell="1" allowOverlap="1" wp14:anchorId="7212B6D2" wp14:editId="52FC834F">
              <wp:simplePos x="0" y="0"/>
              <wp:positionH relativeFrom="column">
                <wp:posOffset>4327706</wp:posOffset>
              </wp:positionH>
              <wp:positionV relativeFrom="paragraph">
                <wp:posOffset>-162560</wp:posOffset>
              </wp:positionV>
              <wp:extent cx="1750422" cy="534992"/>
              <wp:effectExtent l="0" t="0" r="2540" b="0"/>
              <wp:wrapNone/>
              <wp:docPr id="2" name="Picture 2"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ning\Documents\Received Files\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422" cy="534992"/>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8</w:t>
        </w:r>
        <w:r>
          <w:rPr>
            <w:noProof/>
          </w:rPr>
          <w:fldChar w:fldCharType="end"/>
        </w:r>
      </w:p>
    </w:sdtContent>
  </w:sdt>
  <w:p w14:paraId="30750835" w14:textId="77777777" w:rsidR="008053CA" w:rsidRPr="008D7E68" w:rsidRDefault="008053CA" w:rsidP="00F625AC">
    <w:pPr>
      <w:pStyle w:val="Footer"/>
      <w:spacing w:after="0"/>
      <w:rPr>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651831"/>
      <w:docPartObj>
        <w:docPartGallery w:val="Page Numbers (Bottom of Page)"/>
        <w:docPartUnique/>
      </w:docPartObj>
    </w:sdtPr>
    <w:sdtEndPr>
      <w:rPr>
        <w:noProof/>
      </w:rPr>
    </w:sdtEndPr>
    <w:sdtContent>
      <w:p w14:paraId="324AD681" w14:textId="46145366" w:rsidR="0033232B" w:rsidRDefault="0033232B">
        <w:pPr>
          <w:pStyle w:val="Footer"/>
          <w:jc w:val="center"/>
        </w:pPr>
        <w:r>
          <w:rPr>
            <w:noProof/>
            <w:lang w:val="en-IN" w:eastAsia="en-IN"/>
          </w:rPr>
          <w:drawing>
            <wp:anchor distT="0" distB="0" distL="114300" distR="114300" simplePos="0" relativeHeight="251658242" behindDoc="0" locked="0" layoutInCell="1" allowOverlap="1" wp14:anchorId="656E5AA3" wp14:editId="559812C1">
              <wp:simplePos x="0" y="0"/>
              <wp:positionH relativeFrom="column">
                <wp:posOffset>4327706</wp:posOffset>
              </wp:positionH>
              <wp:positionV relativeFrom="paragraph">
                <wp:posOffset>-162560</wp:posOffset>
              </wp:positionV>
              <wp:extent cx="1750422" cy="534992"/>
              <wp:effectExtent l="0" t="0" r="2540" b="0"/>
              <wp:wrapNone/>
              <wp:docPr id="6" name="Picture 6"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ning\Documents\Received Files\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422" cy="534992"/>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8</w:t>
        </w:r>
        <w:r>
          <w:rPr>
            <w:noProof/>
          </w:rPr>
          <w:fldChar w:fldCharType="end"/>
        </w:r>
      </w:p>
    </w:sdtContent>
  </w:sdt>
  <w:p w14:paraId="16D61271" w14:textId="77777777" w:rsidR="0033232B" w:rsidRPr="008D7E68" w:rsidRDefault="0033232B" w:rsidP="00F625AC">
    <w:pPr>
      <w:pStyle w:val="Footer"/>
      <w:spacing w:after="0"/>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68C6F" w14:textId="77777777" w:rsidR="00DD3D1F" w:rsidRDefault="00DD3D1F" w:rsidP="003967DD">
      <w:pPr>
        <w:spacing w:after="0"/>
      </w:pPr>
      <w:r>
        <w:separator/>
      </w:r>
    </w:p>
  </w:footnote>
  <w:footnote w:type="continuationSeparator" w:id="0">
    <w:p w14:paraId="11089961" w14:textId="77777777" w:rsidR="00DD3D1F" w:rsidRDefault="00DD3D1F" w:rsidP="003967DD">
      <w:pPr>
        <w:spacing w:after="0"/>
      </w:pPr>
      <w:r>
        <w:continuationSeparator/>
      </w:r>
    </w:p>
  </w:footnote>
  <w:footnote w:type="continuationNotice" w:id="1">
    <w:p w14:paraId="61E605E8" w14:textId="77777777" w:rsidR="00622A3E" w:rsidRDefault="00622A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7C68F6B" w:rsidR="0033232B" w:rsidRDefault="0033232B" w:rsidP="00A63D55">
    <w:pPr>
      <w:pStyle w:val="Header"/>
      <w:tabs>
        <w:tab w:val="clear" w:pos="4513"/>
        <w:tab w:val="clear" w:pos="9026"/>
        <w:tab w:val="left" w:pos="1425"/>
      </w:tabs>
    </w:pPr>
    <w:r>
      <w:rPr>
        <w:noProof/>
      </w:rPr>
      <w:drawing>
        <wp:anchor distT="0" distB="0" distL="114300" distR="114300" simplePos="0" relativeHeight="251658241" behindDoc="1" locked="0" layoutInCell="1" allowOverlap="1" wp14:anchorId="2778C3F4" wp14:editId="4D237C4E">
          <wp:simplePos x="0" y="0"/>
          <wp:positionH relativeFrom="page">
            <wp:posOffset>0</wp:posOffset>
          </wp:positionH>
          <wp:positionV relativeFrom="page">
            <wp:posOffset>0</wp:posOffset>
          </wp:positionV>
          <wp:extent cx="7549625" cy="10683672"/>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5" cy="1068367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33232B" w:rsidRDefault="0033232B" w:rsidP="00A63D55">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147FF493" wp14:editId="5D9F0B2A">
          <wp:simplePos x="0" y="0"/>
          <wp:positionH relativeFrom="page">
            <wp:align>left</wp:align>
          </wp:positionH>
          <wp:positionV relativeFrom="page">
            <wp:align>top</wp:align>
          </wp:positionV>
          <wp:extent cx="7560000" cy="10690453"/>
          <wp:effectExtent l="0" t="0" r="9525" b="317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453D" w14:textId="77777777" w:rsidR="008053CA" w:rsidRPr="00E356A7" w:rsidRDefault="008053CA" w:rsidP="00F625AC">
    <w:pPr>
      <w:pStyle w:val="Header"/>
      <w:rPr>
        <w:lang w:val="en-AU"/>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3313" w14:textId="77777777" w:rsidR="0033232B" w:rsidRPr="00E356A7" w:rsidRDefault="0033232B" w:rsidP="00F625AC">
    <w:pPr>
      <w:pStyle w:val="Header"/>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2F0"/>
    <w:multiLevelType w:val="multilevel"/>
    <w:tmpl w:val="58D8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27E25"/>
    <w:multiLevelType w:val="hybridMultilevel"/>
    <w:tmpl w:val="6E1CC1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D9429A"/>
    <w:multiLevelType w:val="hybridMultilevel"/>
    <w:tmpl w:val="ABC08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655804"/>
    <w:multiLevelType w:val="multilevel"/>
    <w:tmpl w:val="D900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0C7E01"/>
    <w:multiLevelType w:val="hybridMultilevel"/>
    <w:tmpl w:val="F9CC8C84"/>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8596A"/>
    <w:multiLevelType w:val="hybridMultilevel"/>
    <w:tmpl w:val="EEFE3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30094C"/>
    <w:multiLevelType w:val="hybridMultilevel"/>
    <w:tmpl w:val="B344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F76E8"/>
    <w:multiLevelType w:val="multilevel"/>
    <w:tmpl w:val="CF0A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9B12F7"/>
    <w:multiLevelType w:val="hybridMultilevel"/>
    <w:tmpl w:val="83641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F84326"/>
    <w:multiLevelType w:val="hybridMultilevel"/>
    <w:tmpl w:val="75165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AD2C93"/>
    <w:multiLevelType w:val="hybridMultilevel"/>
    <w:tmpl w:val="EAE01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5444A4"/>
    <w:multiLevelType w:val="hybridMultilevel"/>
    <w:tmpl w:val="F200B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284DFA"/>
    <w:multiLevelType w:val="multilevel"/>
    <w:tmpl w:val="6C26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D92883"/>
    <w:multiLevelType w:val="hybridMultilevel"/>
    <w:tmpl w:val="E39EC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1F1D90"/>
    <w:multiLevelType w:val="hybridMultilevel"/>
    <w:tmpl w:val="A3A09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A77083"/>
    <w:multiLevelType w:val="hybridMultilevel"/>
    <w:tmpl w:val="651A34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A362F42"/>
    <w:multiLevelType w:val="multilevel"/>
    <w:tmpl w:val="4AA8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4DDE7D20"/>
    <w:multiLevelType w:val="hybridMultilevel"/>
    <w:tmpl w:val="FFD8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136A49"/>
    <w:multiLevelType w:val="hybridMultilevel"/>
    <w:tmpl w:val="8B2C9A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E041116"/>
    <w:multiLevelType w:val="hybridMultilevel"/>
    <w:tmpl w:val="623888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12D56B6"/>
    <w:multiLevelType w:val="hybridMultilevel"/>
    <w:tmpl w:val="1910DA28"/>
    <w:lvl w:ilvl="0" w:tplc="62E45AA0">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8D22AC"/>
    <w:multiLevelType w:val="hybridMultilevel"/>
    <w:tmpl w:val="098EF5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1E5FE2"/>
    <w:multiLevelType w:val="hybridMultilevel"/>
    <w:tmpl w:val="769A7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72529E"/>
    <w:multiLevelType w:val="hybridMultilevel"/>
    <w:tmpl w:val="C7385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B21C42"/>
    <w:multiLevelType w:val="hybridMultilevel"/>
    <w:tmpl w:val="02A24440"/>
    <w:lvl w:ilvl="0" w:tplc="C39012E6">
      <w:start w:val="1"/>
      <w:numFmt w:val="bullet"/>
      <w:lvlText w:val=""/>
      <w:lvlJc w:val="left"/>
      <w:pPr>
        <w:ind w:left="360" w:hanging="360"/>
      </w:pPr>
      <w:rPr>
        <w:rFonts w:ascii="Symbol" w:hAnsi="Symbol" w:hint="default"/>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F6E1AAC"/>
    <w:multiLevelType w:val="hybridMultilevel"/>
    <w:tmpl w:val="F3CC8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275AD8"/>
    <w:multiLevelType w:val="hybridMultilevel"/>
    <w:tmpl w:val="4038334E"/>
    <w:lvl w:ilvl="0" w:tplc="81727A5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DD5200"/>
    <w:multiLevelType w:val="hybridMultilevel"/>
    <w:tmpl w:val="18EC5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20776D"/>
    <w:multiLevelType w:val="hybridMultilevel"/>
    <w:tmpl w:val="A1082E2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3" w15:restartNumberingAfterBreak="0">
    <w:nsid w:val="7B960397"/>
    <w:multiLevelType w:val="multilevel"/>
    <w:tmpl w:val="A8EE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E25178"/>
    <w:multiLevelType w:val="hybridMultilevel"/>
    <w:tmpl w:val="59F6C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9B1F2F"/>
    <w:multiLevelType w:val="multilevel"/>
    <w:tmpl w:val="FE6A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4"/>
  </w:num>
  <w:num w:numId="3">
    <w:abstractNumId w:val="9"/>
  </w:num>
  <w:num w:numId="4">
    <w:abstractNumId w:val="19"/>
  </w:num>
  <w:num w:numId="5">
    <w:abstractNumId w:val="4"/>
  </w:num>
  <w:num w:numId="6">
    <w:abstractNumId w:val="28"/>
  </w:num>
  <w:num w:numId="7">
    <w:abstractNumId w:val="17"/>
  </w:num>
  <w:num w:numId="8">
    <w:abstractNumId w:val="20"/>
  </w:num>
  <w:num w:numId="9">
    <w:abstractNumId w:val="6"/>
  </w:num>
  <w:num w:numId="10">
    <w:abstractNumId w:val="27"/>
  </w:num>
  <w:num w:numId="11">
    <w:abstractNumId w:val="25"/>
  </w:num>
  <w:num w:numId="12">
    <w:abstractNumId w:val="12"/>
  </w:num>
  <w:num w:numId="13">
    <w:abstractNumId w:val="32"/>
  </w:num>
  <w:num w:numId="14">
    <w:abstractNumId w:val="15"/>
  </w:num>
  <w:num w:numId="15">
    <w:abstractNumId w:val="8"/>
  </w:num>
  <w:num w:numId="16">
    <w:abstractNumId w:val="5"/>
  </w:num>
  <w:num w:numId="17">
    <w:abstractNumId w:val="26"/>
  </w:num>
  <w:num w:numId="18">
    <w:abstractNumId w:val="7"/>
  </w:num>
  <w:num w:numId="19">
    <w:abstractNumId w:val="33"/>
  </w:num>
  <w:num w:numId="20">
    <w:abstractNumId w:val="14"/>
  </w:num>
  <w:num w:numId="21">
    <w:abstractNumId w:val="3"/>
  </w:num>
  <w:num w:numId="22">
    <w:abstractNumId w:val="0"/>
  </w:num>
  <w:num w:numId="23">
    <w:abstractNumId w:val="18"/>
  </w:num>
  <w:num w:numId="24">
    <w:abstractNumId w:val="35"/>
  </w:num>
  <w:num w:numId="25">
    <w:abstractNumId w:val="21"/>
  </w:num>
  <w:num w:numId="26">
    <w:abstractNumId w:val="22"/>
  </w:num>
  <w:num w:numId="27">
    <w:abstractNumId w:val="11"/>
  </w:num>
  <w:num w:numId="28">
    <w:abstractNumId w:val="16"/>
  </w:num>
  <w:num w:numId="29">
    <w:abstractNumId w:val="2"/>
  </w:num>
  <w:num w:numId="30">
    <w:abstractNumId w:val="34"/>
  </w:num>
  <w:num w:numId="31">
    <w:abstractNumId w:val="1"/>
  </w:num>
  <w:num w:numId="32">
    <w:abstractNumId w:val="29"/>
  </w:num>
  <w:num w:numId="33">
    <w:abstractNumId w:val="13"/>
  </w:num>
  <w:num w:numId="34">
    <w:abstractNumId w:val="31"/>
  </w:num>
  <w:num w:numId="35">
    <w:abstractNumId w:val="23"/>
  </w:num>
  <w:num w:numId="36">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0F71"/>
    <w:rsid w:val="00013339"/>
    <w:rsid w:val="000136A4"/>
    <w:rsid w:val="00014F17"/>
    <w:rsid w:val="00015F6C"/>
    <w:rsid w:val="00024A82"/>
    <w:rsid w:val="00031F83"/>
    <w:rsid w:val="00032EC3"/>
    <w:rsid w:val="0003319E"/>
    <w:rsid w:val="000341D1"/>
    <w:rsid w:val="00042A62"/>
    <w:rsid w:val="00042FF9"/>
    <w:rsid w:val="00053DC0"/>
    <w:rsid w:val="00055CC1"/>
    <w:rsid w:val="000610A6"/>
    <w:rsid w:val="000638E6"/>
    <w:rsid w:val="00065195"/>
    <w:rsid w:val="0006773D"/>
    <w:rsid w:val="00067CAA"/>
    <w:rsid w:val="00076265"/>
    <w:rsid w:val="000804EE"/>
    <w:rsid w:val="00084BE3"/>
    <w:rsid w:val="000861B3"/>
    <w:rsid w:val="00086F67"/>
    <w:rsid w:val="0009564A"/>
    <w:rsid w:val="0009592E"/>
    <w:rsid w:val="00095A9E"/>
    <w:rsid w:val="0009718F"/>
    <w:rsid w:val="00097E81"/>
    <w:rsid w:val="000A09F9"/>
    <w:rsid w:val="000A47D4"/>
    <w:rsid w:val="000B1B60"/>
    <w:rsid w:val="000B5637"/>
    <w:rsid w:val="000B7C73"/>
    <w:rsid w:val="000C6EA4"/>
    <w:rsid w:val="000C6FF5"/>
    <w:rsid w:val="000C7A32"/>
    <w:rsid w:val="000D19E8"/>
    <w:rsid w:val="000D24A3"/>
    <w:rsid w:val="000D31F6"/>
    <w:rsid w:val="000F041A"/>
    <w:rsid w:val="000F6118"/>
    <w:rsid w:val="00100416"/>
    <w:rsid w:val="00103805"/>
    <w:rsid w:val="00103F12"/>
    <w:rsid w:val="00121823"/>
    <w:rsid w:val="00122369"/>
    <w:rsid w:val="00124D09"/>
    <w:rsid w:val="001341E4"/>
    <w:rsid w:val="001361F5"/>
    <w:rsid w:val="00137001"/>
    <w:rsid w:val="0013705C"/>
    <w:rsid w:val="0013783E"/>
    <w:rsid w:val="00141F23"/>
    <w:rsid w:val="00144FD5"/>
    <w:rsid w:val="0015019A"/>
    <w:rsid w:val="00153696"/>
    <w:rsid w:val="001600B0"/>
    <w:rsid w:val="00167404"/>
    <w:rsid w:val="0016755E"/>
    <w:rsid w:val="00171B63"/>
    <w:rsid w:val="00180099"/>
    <w:rsid w:val="001840F8"/>
    <w:rsid w:val="00186B78"/>
    <w:rsid w:val="00186B93"/>
    <w:rsid w:val="0019086F"/>
    <w:rsid w:val="001931FA"/>
    <w:rsid w:val="00193976"/>
    <w:rsid w:val="00193DF7"/>
    <w:rsid w:val="00196566"/>
    <w:rsid w:val="001968D6"/>
    <w:rsid w:val="00196FEF"/>
    <w:rsid w:val="001A4E68"/>
    <w:rsid w:val="001B2FC0"/>
    <w:rsid w:val="001B3D89"/>
    <w:rsid w:val="001B4141"/>
    <w:rsid w:val="001C48F8"/>
    <w:rsid w:val="001D233D"/>
    <w:rsid w:val="001D5EA8"/>
    <w:rsid w:val="001D6632"/>
    <w:rsid w:val="001E444E"/>
    <w:rsid w:val="001E68E3"/>
    <w:rsid w:val="001F0116"/>
    <w:rsid w:val="001F1352"/>
    <w:rsid w:val="00200533"/>
    <w:rsid w:val="00205568"/>
    <w:rsid w:val="00207499"/>
    <w:rsid w:val="00214BAC"/>
    <w:rsid w:val="00215C14"/>
    <w:rsid w:val="002164D4"/>
    <w:rsid w:val="0021659B"/>
    <w:rsid w:val="00216A87"/>
    <w:rsid w:val="00220786"/>
    <w:rsid w:val="00221DF7"/>
    <w:rsid w:val="00221E88"/>
    <w:rsid w:val="0022341E"/>
    <w:rsid w:val="00224148"/>
    <w:rsid w:val="0023205E"/>
    <w:rsid w:val="00240F30"/>
    <w:rsid w:val="00241075"/>
    <w:rsid w:val="00241BB4"/>
    <w:rsid w:val="002457FC"/>
    <w:rsid w:val="002464D5"/>
    <w:rsid w:val="00252BF7"/>
    <w:rsid w:val="00254184"/>
    <w:rsid w:val="002626B6"/>
    <w:rsid w:val="002628D9"/>
    <w:rsid w:val="00276C8E"/>
    <w:rsid w:val="00277059"/>
    <w:rsid w:val="00283849"/>
    <w:rsid w:val="00292500"/>
    <w:rsid w:val="00292FAC"/>
    <w:rsid w:val="002970D9"/>
    <w:rsid w:val="002A4A96"/>
    <w:rsid w:val="002A7261"/>
    <w:rsid w:val="002B63B4"/>
    <w:rsid w:val="002C3D10"/>
    <w:rsid w:val="002C759F"/>
    <w:rsid w:val="002D24BC"/>
    <w:rsid w:val="002D4F38"/>
    <w:rsid w:val="002D586B"/>
    <w:rsid w:val="002E3BED"/>
    <w:rsid w:val="002E5626"/>
    <w:rsid w:val="002F006A"/>
    <w:rsid w:val="002F0232"/>
    <w:rsid w:val="002F17BD"/>
    <w:rsid w:val="002F2977"/>
    <w:rsid w:val="002F2C3D"/>
    <w:rsid w:val="003006A2"/>
    <w:rsid w:val="0030274C"/>
    <w:rsid w:val="00312720"/>
    <w:rsid w:val="0031708C"/>
    <w:rsid w:val="00323CB8"/>
    <w:rsid w:val="00323DD1"/>
    <w:rsid w:val="00326E53"/>
    <w:rsid w:val="00327168"/>
    <w:rsid w:val="0033232B"/>
    <w:rsid w:val="00333F22"/>
    <w:rsid w:val="0033464D"/>
    <w:rsid w:val="0033613D"/>
    <w:rsid w:val="00337054"/>
    <w:rsid w:val="00337486"/>
    <w:rsid w:val="00342A25"/>
    <w:rsid w:val="00343D7F"/>
    <w:rsid w:val="00351937"/>
    <w:rsid w:val="00362BEC"/>
    <w:rsid w:val="003636ED"/>
    <w:rsid w:val="00366B92"/>
    <w:rsid w:val="003713C3"/>
    <w:rsid w:val="00373ECA"/>
    <w:rsid w:val="00374248"/>
    <w:rsid w:val="00377940"/>
    <w:rsid w:val="0038599A"/>
    <w:rsid w:val="00394D3E"/>
    <w:rsid w:val="003967DD"/>
    <w:rsid w:val="003A1DE6"/>
    <w:rsid w:val="003B0AFA"/>
    <w:rsid w:val="003B5981"/>
    <w:rsid w:val="003B661B"/>
    <w:rsid w:val="003B74C1"/>
    <w:rsid w:val="003D57D2"/>
    <w:rsid w:val="003D7103"/>
    <w:rsid w:val="003E1F55"/>
    <w:rsid w:val="003E33C3"/>
    <w:rsid w:val="003E4ED3"/>
    <w:rsid w:val="003F03C9"/>
    <w:rsid w:val="003F044E"/>
    <w:rsid w:val="003F67F1"/>
    <w:rsid w:val="003F7425"/>
    <w:rsid w:val="00400095"/>
    <w:rsid w:val="00403CE5"/>
    <w:rsid w:val="00407695"/>
    <w:rsid w:val="0040788A"/>
    <w:rsid w:val="00414BF7"/>
    <w:rsid w:val="004152B9"/>
    <w:rsid w:val="00423F59"/>
    <w:rsid w:val="00424ED3"/>
    <w:rsid w:val="00426AB3"/>
    <w:rsid w:val="00427409"/>
    <w:rsid w:val="0043561D"/>
    <w:rsid w:val="004359D3"/>
    <w:rsid w:val="00437598"/>
    <w:rsid w:val="00437BF4"/>
    <w:rsid w:val="00442D88"/>
    <w:rsid w:val="004449D4"/>
    <w:rsid w:val="0044644D"/>
    <w:rsid w:val="0045446B"/>
    <w:rsid w:val="00454ADA"/>
    <w:rsid w:val="004572E8"/>
    <w:rsid w:val="00457528"/>
    <w:rsid w:val="00461135"/>
    <w:rsid w:val="004671AD"/>
    <w:rsid w:val="00476095"/>
    <w:rsid w:val="00477710"/>
    <w:rsid w:val="00484672"/>
    <w:rsid w:val="00485B4A"/>
    <w:rsid w:val="004929AB"/>
    <w:rsid w:val="004B078F"/>
    <w:rsid w:val="004B1767"/>
    <w:rsid w:val="004B2352"/>
    <w:rsid w:val="004C03B6"/>
    <w:rsid w:val="004E0246"/>
    <w:rsid w:val="004E2DBF"/>
    <w:rsid w:val="004E4D95"/>
    <w:rsid w:val="00500C44"/>
    <w:rsid w:val="005013C4"/>
    <w:rsid w:val="00506584"/>
    <w:rsid w:val="00507148"/>
    <w:rsid w:val="00510EC2"/>
    <w:rsid w:val="00523B15"/>
    <w:rsid w:val="00525CCE"/>
    <w:rsid w:val="00536699"/>
    <w:rsid w:val="00544AB7"/>
    <w:rsid w:val="005553D5"/>
    <w:rsid w:val="00575F17"/>
    <w:rsid w:val="00582642"/>
    <w:rsid w:val="00582865"/>
    <w:rsid w:val="005829AB"/>
    <w:rsid w:val="005832E0"/>
    <w:rsid w:val="00584366"/>
    <w:rsid w:val="00585A61"/>
    <w:rsid w:val="00586E24"/>
    <w:rsid w:val="00592C38"/>
    <w:rsid w:val="00596195"/>
    <w:rsid w:val="0059728B"/>
    <w:rsid w:val="005B00F7"/>
    <w:rsid w:val="005B1007"/>
    <w:rsid w:val="005C1701"/>
    <w:rsid w:val="005C40C9"/>
    <w:rsid w:val="005C54CE"/>
    <w:rsid w:val="005C62E8"/>
    <w:rsid w:val="005D433B"/>
    <w:rsid w:val="005D46EC"/>
    <w:rsid w:val="005D5239"/>
    <w:rsid w:val="005D666A"/>
    <w:rsid w:val="005E0B50"/>
    <w:rsid w:val="005E2C2E"/>
    <w:rsid w:val="005E6FD1"/>
    <w:rsid w:val="005E7819"/>
    <w:rsid w:val="005F557D"/>
    <w:rsid w:val="006027E5"/>
    <w:rsid w:val="006064C8"/>
    <w:rsid w:val="006105B3"/>
    <w:rsid w:val="00612CEA"/>
    <w:rsid w:val="006140E5"/>
    <w:rsid w:val="00621130"/>
    <w:rsid w:val="00622A3E"/>
    <w:rsid w:val="00624A55"/>
    <w:rsid w:val="00635C65"/>
    <w:rsid w:val="00650C97"/>
    <w:rsid w:val="006621B2"/>
    <w:rsid w:val="0066577B"/>
    <w:rsid w:val="00672C15"/>
    <w:rsid w:val="006751BD"/>
    <w:rsid w:val="00680A63"/>
    <w:rsid w:val="006817AD"/>
    <w:rsid w:val="006A25AC"/>
    <w:rsid w:val="006A5316"/>
    <w:rsid w:val="006B6C02"/>
    <w:rsid w:val="006C44AD"/>
    <w:rsid w:val="006C68CF"/>
    <w:rsid w:val="006D37B1"/>
    <w:rsid w:val="006D6FA0"/>
    <w:rsid w:val="006E312B"/>
    <w:rsid w:val="006E7122"/>
    <w:rsid w:val="006F3FC5"/>
    <w:rsid w:val="00703381"/>
    <w:rsid w:val="00703C4E"/>
    <w:rsid w:val="00706C5B"/>
    <w:rsid w:val="00707C95"/>
    <w:rsid w:val="00714692"/>
    <w:rsid w:val="007146B9"/>
    <w:rsid w:val="00714D72"/>
    <w:rsid w:val="00717EBB"/>
    <w:rsid w:val="007219D7"/>
    <w:rsid w:val="00725998"/>
    <w:rsid w:val="00734B94"/>
    <w:rsid w:val="00736FB0"/>
    <w:rsid w:val="007374E4"/>
    <w:rsid w:val="007444C4"/>
    <w:rsid w:val="00744E46"/>
    <w:rsid w:val="00751614"/>
    <w:rsid w:val="0076379E"/>
    <w:rsid w:val="007649E5"/>
    <w:rsid w:val="00776D96"/>
    <w:rsid w:val="00776E10"/>
    <w:rsid w:val="00782470"/>
    <w:rsid w:val="00784022"/>
    <w:rsid w:val="007855F1"/>
    <w:rsid w:val="00787C9F"/>
    <w:rsid w:val="007901E9"/>
    <w:rsid w:val="0079569E"/>
    <w:rsid w:val="007A62D4"/>
    <w:rsid w:val="007B1C24"/>
    <w:rsid w:val="007B3A5A"/>
    <w:rsid w:val="007B556E"/>
    <w:rsid w:val="007B5834"/>
    <w:rsid w:val="007C0751"/>
    <w:rsid w:val="007C16F9"/>
    <w:rsid w:val="007D1FB1"/>
    <w:rsid w:val="007D3791"/>
    <w:rsid w:val="007D3E38"/>
    <w:rsid w:val="007D433B"/>
    <w:rsid w:val="007D44A8"/>
    <w:rsid w:val="007D4C42"/>
    <w:rsid w:val="007E0359"/>
    <w:rsid w:val="007F02BA"/>
    <w:rsid w:val="008053CA"/>
    <w:rsid w:val="00815A48"/>
    <w:rsid w:val="00822319"/>
    <w:rsid w:val="00830F4B"/>
    <w:rsid w:val="0084767F"/>
    <w:rsid w:val="008476D8"/>
    <w:rsid w:val="00850203"/>
    <w:rsid w:val="00854762"/>
    <w:rsid w:val="00854940"/>
    <w:rsid w:val="00862160"/>
    <w:rsid w:val="008621EE"/>
    <w:rsid w:val="008624CA"/>
    <w:rsid w:val="00865502"/>
    <w:rsid w:val="00867BA9"/>
    <w:rsid w:val="00873D5C"/>
    <w:rsid w:val="00880735"/>
    <w:rsid w:val="00884338"/>
    <w:rsid w:val="00886574"/>
    <w:rsid w:val="0088741E"/>
    <w:rsid w:val="00890615"/>
    <w:rsid w:val="00897FEE"/>
    <w:rsid w:val="008A2167"/>
    <w:rsid w:val="008A4649"/>
    <w:rsid w:val="008A4991"/>
    <w:rsid w:val="008B0C5A"/>
    <w:rsid w:val="008B174D"/>
    <w:rsid w:val="008B2BCA"/>
    <w:rsid w:val="008B4DD8"/>
    <w:rsid w:val="008B5C45"/>
    <w:rsid w:val="008B7F41"/>
    <w:rsid w:val="008C6C2E"/>
    <w:rsid w:val="008C78AF"/>
    <w:rsid w:val="008D01A0"/>
    <w:rsid w:val="008D0A61"/>
    <w:rsid w:val="008D5245"/>
    <w:rsid w:val="008E21CC"/>
    <w:rsid w:val="008E51F4"/>
    <w:rsid w:val="008E6BBF"/>
    <w:rsid w:val="008E6CFF"/>
    <w:rsid w:val="008F4426"/>
    <w:rsid w:val="008F494F"/>
    <w:rsid w:val="008F575A"/>
    <w:rsid w:val="00902A88"/>
    <w:rsid w:val="009113CD"/>
    <w:rsid w:val="00912F97"/>
    <w:rsid w:val="00934ABE"/>
    <w:rsid w:val="009401CE"/>
    <w:rsid w:val="009422F4"/>
    <w:rsid w:val="00943BD8"/>
    <w:rsid w:val="00951245"/>
    <w:rsid w:val="0095313B"/>
    <w:rsid w:val="00953BF2"/>
    <w:rsid w:val="0096785A"/>
    <w:rsid w:val="00977985"/>
    <w:rsid w:val="00984C59"/>
    <w:rsid w:val="0098668A"/>
    <w:rsid w:val="009A1BAB"/>
    <w:rsid w:val="009B0C8B"/>
    <w:rsid w:val="009B110B"/>
    <w:rsid w:val="009C433A"/>
    <w:rsid w:val="009C4CCD"/>
    <w:rsid w:val="009C5945"/>
    <w:rsid w:val="009C72F4"/>
    <w:rsid w:val="009D19D3"/>
    <w:rsid w:val="009D4957"/>
    <w:rsid w:val="009E15EF"/>
    <w:rsid w:val="009E5867"/>
    <w:rsid w:val="009E6403"/>
    <w:rsid w:val="009E7A90"/>
    <w:rsid w:val="009F3BA1"/>
    <w:rsid w:val="009F3C23"/>
    <w:rsid w:val="009F4D23"/>
    <w:rsid w:val="00A029AF"/>
    <w:rsid w:val="00A02D8D"/>
    <w:rsid w:val="00A02EF0"/>
    <w:rsid w:val="00A14081"/>
    <w:rsid w:val="00A21545"/>
    <w:rsid w:val="00A24C40"/>
    <w:rsid w:val="00A278BB"/>
    <w:rsid w:val="00A30FD7"/>
    <w:rsid w:val="00A31926"/>
    <w:rsid w:val="00A354FA"/>
    <w:rsid w:val="00A37DD9"/>
    <w:rsid w:val="00A40B99"/>
    <w:rsid w:val="00A428CD"/>
    <w:rsid w:val="00A51E21"/>
    <w:rsid w:val="00A572C2"/>
    <w:rsid w:val="00A6199E"/>
    <w:rsid w:val="00A63D55"/>
    <w:rsid w:val="00A66161"/>
    <w:rsid w:val="00A67132"/>
    <w:rsid w:val="00A71967"/>
    <w:rsid w:val="00A724F4"/>
    <w:rsid w:val="00A74DFB"/>
    <w:rsid w:val="00A834F2"/>
    <w:rsid w:val="00A864AE"/>
    <w:rsid w:val="00A91127"/>
    <w:rsid w:val="00A96DC4"/>
    <w:rsid w:val="00AA5044"/>
    <w:rsid w:val="00AA5A45"/>
    <w:rsid w:val="00AB19C3"/>
    <w:rsid w:val="00AB4145"/>
    <w:rsid w:val="00AC4953"/>
    <w:rsid w:val="00AC5765"/>
    <w:rsid w:val="00AD2986"/>
    <w:rsid w:val="00AE0A26"/>
    <w:rsid w:val="00AE3166"/>
    <w:rsid w:val="00AE6D8A"/>
    <w:rsid w:val="00AE6E92"/>
    <w:rsid w:val="00AF0ED2"/>
    <w:rsid w:val="00B035A7"/>
    <w:rsid w:val="00B04CD2"/>
    <w:rsid w:val="00B059A7"/>
    <w:rsid w:val="00B06CCE"/>
    <w:rsid w:val="00B211E6"/>
    <w:rsid w:val="00B2489C"/>
    <w:rsid w:val="00B24A00"/>
    <w:rsid w:val="00B37CDB"/>
    <w:rsid w:val="00B50B36"/>
    <w:rsid w:val="00B52F3E"/>
    <w:rsid w:val="00B53323"/>
    <w:rsid w:val="00B63B03"/>
    <w:rsid w:val="00B912B1"/>
    <w:rsid w:val="00B91D94"/>
    <w:rsid w:val="00B927D4"/>
    <w:rsid w:val="00B9414A"/>
    <w:rsid w:val="00B9477D"/>
    <w:rsid w:val="00BA05EB"/>
    <w:rsid w:val="00BA16CD"/>
    <w:rsid w:val="00BA3C0E"/>
    <w:rsid w:val="00BA5543"/>
    <w:rsid w:val="00BA59EF"/>
    <w:rsid w:val="00BA77DB"/>
    <w:rsid w:val="00BB3DA7"/>
    <w:rsid w:val="00BB5707"/>
    <w:rsid w:val="00BB7E9F"/>
    <w:rsid w:val="00BC056E"/>
    <w:rsid w:val="00BC1062"/>
    <w:rsid w:val="00BC1CB6"/>
    <w:rsid w:val="00BC4C38"/>
    <w:rsid w:val="00BD21C5"/>
    <w:rsid w:val="00BD2887"/>
    <w:rsid w:val="00BE1080"/>
    <w:rsid w:val="00BE3A8A"/>
    <w:rsid w:val="00BE410B"/>
    <w:rsid w:val="00BE63CA"/>
    <w:rsid w:val="00BF0852"/>
    <w:rsid w:val="00BF0DAA"/>
    <w:rsid w:val="00BF1925"/>
    <w:rsid w:val="00C0254B"/>
    <w:rsid w:val="00C12605"/>
    <w:rsid w:val="00C12C3C"/>
    <w:rsid w:val="00C24129"/>
    <w:rsid w:val="00C25CB0"/>
    <w:rsid w:val="00C32282"/>
    <w:rsid w:val="00C33079"/>
    <w:rsid w:val="00C40A91"/>
    <w:rsid w:val="00C47001"/>
    <w:rsid w:val="00C50952"/>
    <w:rsid w:val="00C60BFF"/>
    <w:rsid w:val="00C71C5A"/>
    <w:rsid w:val="00C8265F"/>
    <w:rsid w:val="00C93D4E"/>
    <w:rsid w:val="00C9484A"/>
    <w:rsid w:val="00CA1573"/>
    <w:rsid w:val="00CA16D5"/>
    <w:rsid w:val="00CA26AE"/>
    <w:rsid w:val="00CA28F2"/>
    <w:rsid w:val="00CA454E"/>
    <w:rsid w:val="00CA63A2"/>
    <w:rsid w:val="00CB3FF0"/>
    <w:rsid w:val="00CB6B11"/>
    <w:rsid w:val="00CB6B35"/>
    <w:rsid w:val="00CC1823"/>
    <w:rsid w:val="00CC4519"/>
    <w:rsid w:val="00CC5997"/>
    <w:rsid w:val="00CC6055"/>
    <w:rsid w:val="00CD67DB"/>
    <w:rsid w:val="00CD7C02"/>
    <w:rsid w:val="00CE06DB"/>
    <w:rsid w:val="00CE2D8F"/>
    <w:rsid w:val="00CE53D5"/>
    <w:rsid w:val="00CF0BD6"/>
    <w:rsid w:val="00CF0C17"/>
    <w:rsid w:val="00CF4026"/>
    <w:rsid w:val="00D013E1"/>
    <w:rsid w:val="00D147B9"/>
    <w:rsid w:val="00D223E7"/>
    <w:rsid w:val="00D22D1D"/>
    <w:rsid w:val="00D27A6E"/>
    <w:rsid w:val="00D33851"/>
    <w:rsid w:val="00D40BB1"/>
    <w:rsid w:val="00D42B4D"/>
    <w:rsid w:val="00D43889"/>
    <w:rsid w:val="00D43F98"/>
    <w:rsid w:val="00D44164"/>
    <w:rsid w:val="00D546C2"/>
    <w:rsid w:val="00D5603B"/>
    <w:rsid w:val="00D61D64"/>
    <w:rsid w:val="00D630DD"/>
    <w:rsid w:val="00D70CFE"/>
    <w:rsid w:val="00D73742"/>
    <w:rsid w:val="00D760D4"/>
    <w:rsid w:val="00D84718"/>
    <w:rsid w:val="00D85B42"/>
    <w:rsid w:val="00D85D3E"/>
    <w:rsid w:val="00D870FD"/>
    <w:rsid w:val="00D9375D"/>
    <w:rsid w:val="00DA1D8E"/>
    <w:rsid w:val="00DA21C9"/>
    <w:rsid w:val="00DA2C68"/>
    <w:rsid w:val="00DA3218"/>
    <w:rsid w:val="00DA3A07"/>
    <w:rsid w:val="00DA4D70"/>
    <w:rsid w:val="00DA5F30"/>
    <w:rsid w:val="00DB023F"/>
    <w:rsid w:val="00DB7FC6"/>
    <w:rsid w:val="00DD39E3"/>
    <w:rsid w:val="00DD3D1F"/>
    <w:rsid w:val="00DD3D9C"/>
    <w:rsid w:val="00DE156F"/>
    <w:rsid w:val="00DE575D"/>
    <w:rsid w:val="00DF3442"/>
    <w:rsid w:val="00DF43D2"/>
    <w:rsid w:val="00DF4977"/>
    <w:rsid w:val="00DF4C6C"/>
    <w:rsid w:val="00DF7020"/>
    <w:rsid w:val="00E00DC8"/>
    <w:rsid w:val="00E14848"/>
    <w:rsid w:val="00E159F5"/>
    <w:rsid w:val="00E15B13"/>
    <w:rsid w:val="00E16796"/>
    <w:rsid w:val="00E255C3"/>
    <w:rsid w:val="00E30C6E"/>
    <w:rsid w:val="00E472B1"/>
    <w:rsid w:val="00E531DB"/>
    <w:rsid w:val="00E53A8A"/>
    <w:rsid w:val="00E54944"/>
    <w:rsid w:val="00E5534A"/>
    <w:rsid w:val="00E67EE8"/>
    <w:rsid w:val="00E7030E"/>
    <w:rsid w:val="00E70B3B"/>
    <w:rsid w:val="00E76670"/>
    <w:rsid w:val="00E7756B"/>
    <w:rsid w:val="00E84354"/>
    <w:rsid w:val="00E92F70"/>
    <w:rsid w:val="00E950A5"/>
    <w:rsid w:val="00E97B6D"/>
    <w:rsid w:val="00EA1871"/>
    <w:rsid w:val="00EA712F"/>
    <w:rsid w:val="00EB027C"/>
    <w:rsid w:val="00EB0B20"/>
    <w:rsid w:val="00EB0EB6"/>
    <w:rsid w:val="00EB1124"/>
    <w:rsid w:val="00EB587F"/>
    <w:rsid w:val="00EB6182"/>
    <w:rsid w:val="00EB6385"/>
    <w:rsid w:val="00EC57FB"/>
    <w:rsid w:val="00EC67E5"/>
    <w:rsid w:val="00EC726E"/>
    <w:rsid w:val="00ED198B"/>
    <w:rsid w:val="00ED1A39"/>
    <w:rsid w:val="00ED1FAF"/>
    <w:rsid w:val="00ED750F"/>
    <w:rsid w:val="00EE684C"/>
    <w:rsid w:val="00EF29A3"/>
    <w:rsid w:val="00EF537D"/>
    <w:rsid w:val="00EF5B38"/>
    <w:rsid w:val="00F05E6B"/>
    <w:rsid w:val="00F06887"/>
    <w:rsid w:val="00F07853"/>
    <w:rsid w:val="00F212D1"/>
    <w:rsid w:val="00F2576E"/>
    <w:rsid w:val="00F44F84"/>
    <w:rsid w:val="00F4626C"/>
    <w:rsid w:val="00F47C3C"/>
    <w:rsid w:val="00F56607"/>
    <w:rsid w:val="00F568CD"/>
    <w:rsid w:val="00F56A07"/>
    <w:rsid w:val="00F625AC"/>
    <w:rsid w:val="00F632D3"/>
    <w:rsid w:val="00F63CDA"/>
    <w:rsid w:val="00F66DCF"/>
    <w:rsid w:val="00F70798"/>
    <w:rsid w:val="00F75FBC"/>
    <w:rsid w:val="00F810D1"/>
    <w:rsid w:val="00F910A5"/>
    <w:rsid w:val="00FB1AE6"/>
    <w:rsid w:val="00FB23CD"/>
    <w:rsid w:val="00FB290F"/>
    <w:rsid w:val="00FC0E6E"/>
    <w:rsid w:val="00FC305B"/>
    <w:rsid w:val="00FC6ED9"/>
    <w:rsid w:val="00FD38D8"/>
    <w:rsid w:val="00FD6AA3"/>
    <w:rsid w:val="00FE7AE8"/>
    <w:rsid w:val="00FF024D"/>
    <w:rsid w:val="00FF0C70"/>
    <w:rsid w:val="00FF35D8"/>
    <w:rsid w:val="00FF5860"/>
    <w:rsid w:val="0AEE60BB"/>
    <w:rsid w:val="0F1F281C"/>
    <w:rsid w:val="100A3FCE"/>
    <w:rsid w:val="17DA34F5"/>
    <w:rsid w:val="2AADFE80"/>
    <w:rsid w:val="3B4EA488"/>
    <w:rsid w:val="4A0C7C06"/>
    <w:rsid w:val="4E4E5316"/>
    <w:rsid w:val="4E9F207F"/>
    <w:rsid w:val="5FC244C9"/>
    <w:rsid w:val="60AA42A0"/>
    <w:rsid w:val="72E20FB4"/>
    <w:rsid w:val="733AA8F7"/>
    <w:rsid w:val="797CECF9"/>
    <w:rsid w:val="7AB616D9"/>
    <w:rsid w:val="7CB48DBB"/>
    <w:rsid w:val="7FC84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240F30"/>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3F044E"/>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240F30"/>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3F044E"/>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3F044E"/>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3F044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qFormat/>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qFormat/>
    <w:rsid w:val="00BA59EF"/>
    <w:pPr>
      <w:tabs>
        <w:tab w:val="left" w:pos="660"/>
        <w:tab w:val="right" w:leader="dot" w:pos="9639"/>
      </w:tabs>
      <w:spacing w:after="10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qFormat/>
    <w:rsid w:val="00536699"/>
    <w:pPr>
      <w:tabs>
        <w:tab w:val="right" w:leader="dot" w:pos="9622"/>
      </w:tabs>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7B3A5A"/>
    <w:pPr>
      <w:spacing w:after="180"/>
    </w:pPr>
    <w:rPr>
      <w:rFonts w:cs="Times New Roman (Body CS)"/>
      <w:b/>
      <w:color w:val="FFFFFF" w:themeColor="background1"/>
      <w:sz w:val="56"/>
      <w:lang w:val="en-AU"/>
    </w:rPr>
  </w:style>
  <w:style w:type="paragraph" w:customStyle="1" w:styleId="Coversubtitle">
    <w:name w:val="Cover subtitle"/>
    <w:basedOn w:val="Covertitle"/>
    <w:qFormat/>
    <w:rsid w:val="007B3A5A"/>
    <w:rPr>
      <w:b w:val="0"/>
      <w:sz w:val="40"/>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8B5C45"/>
    <w:rPr>
      <w:color w:val="0090DA"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8E21CC"/>
    <w:rPr>
      <w:b/>
      <w:i w:val="0"/>
      <w:iCs/>
      <w:color w:val="E57100" w:themeColor="accent1"/>
    </w:rPr>
  </w:style>
  <w:style w:type="paragraph" w:styleId="IntenseQuote">
    <w:name w:val="Intense Quote"/>
    <w:basedOn w:val="Normal"/>
    <w:next w:val="Normal"/>
    <w:link w:val="IntenseQuoteChar"/>
    <w:uiPriority w:val="30"/>
    <w:qFormat/>
    <w:rsid w:val="008E21CC"/>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8E21CC"/>
    <w:rPr>
      <w:b/>
      <w:iCs/>
      <w:color w:val="E57100" w:themeColor="accent1"/>
      <w:sz w:val="22"/>
    </w:rPr>
  </w:style>
  <w:style w:type="character" w:customStyle="1" w:styleId="Heading4Char">
    <w:name w:val="Heading 4 Char"/>
    <w:basedOn w:val="DefaultParagraphFont"/>
    <w:link w:val="Heading4"/>
    <w:uiPriority w:val="9"/>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8476D8"/>
    <w:pPr>
      <w:ind w:right="3396"/>
    </w:pPr>
    <w:rPr>
      <w:sz w:val="12"/>
      <w:szCs w:val="12"/>
    </w:rPr>
  </w:style>
  <w:style w:type="paragraph" w:styleId="BalloonText">
    <w:name w:val="Balloon Text"/>
    <w:basedOn w:val="Normal"/>
    <w:link w:val="BalloonTextChar"/>
    <w:uiPriority w:val="99"/>
    <w:semiHidden/>
    <w:unhideWhenUsed/>
    <w:rsid w:val="007855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5F1"/>
    <w:rPr>
      <w:rFonts w:ascii="Segoe UI" w:hAnsi="Segoe UI" w:cs="Segoe UI"/>
      <w:sz w:val="18"/>
      <w:szCs w:val="18"/>
    </w:rPr>
  </w:style>
  <w:style w:type="paragraph" w:styleId="ListParagraph">
    <w:name w:val="List Paragraph"/>
    <w:basedOn w:val="Normal"/>
    <w:uiPriority w:val="34"/>
    <w:qFormat/>
    <w:rsid w:val="00C25CB0"/>
    <w:pPr>
      <w:ind w:left="720"/>
      <w:contextualSpacing/>
    </w:pPr>
  </w:style>
  <w:style w:type="character" w:styleId="CommentReference">
    <w:name w:val="annotation reference"/>
    <w:basedOn w:val="DefaultParagraphFont"/>
    <w:uiPriority w:val="99"/>
    <w:semiHidden/>
    <w:unhideWhenUsed/>
    <w:rsid w:val="00C25CB0"/>
    <w:rPr>
      <w:sz w:val="16"/>
      <w:szCs w:val="16"/>
    </w:rPr>
  </w:style>
  <w:style w:type="paragraph" w:styleId="CommentText">
    <w:name w:val="annotation text"/>
    <w:basedOn w:val="Normal"/>
    <w:link w:val="CommentTextChar"/>
    <w:uiPriority w:val="99"/>
    <w:unhideWhenUsed/>
    <w:rsid w:val="00C25CB0"/>
    <w:rPr>
      <w:sz w:val="20"/>
      <w:szCs w:val="20"/>
    </w:rPr>
  </w:style>
  <w:style w:type="character" w:customStyle="1" w:styleId="CommentTextChar">
    <w:name w:val="Comment Text Char"/>
    <w:basedOn w:val="DefaultParagraphFont"/>
    <w:link w:val="CommentText"/>
    <w:uiPriority w:val="99"/>
    <w:rsid w:val="00C25CB0"/>
    <w:rPr>
      <w:sz w:val="20"/>
      <w:szCs w:val="20"/>
    </w:rPr>
  </w:style>
  <w:style w:type="paragraph" w:styleId="CommentSubject">
    <w:name w:val="annotation subject"/>
    <w:basedOn w:val="CommentText"/>
    <w:next w:val="CommentText"/>
    <w:link w:val="CommentSubjectChar"/>
    <w:uiPriority w:val="99"/>
    <w:semiHidden/>
    <w:unhideWhenUsed/>
    <w:rsid w:val="00C25CB0"/>
    <w:rPr>
      <w:b/>
      <w:bCs/>
    </w:rPr>
  </w:style>
  <w:style w:type="character" w:customStyle="1" w:styleId="CommentSubjectChar">
    <w:name w:val="Comment Subject Char"/>
    <w:basedOn w:val="CommentTextChar"/>
    <w:link w:val="CommentSubject"/>
    <w:uiPriority w:val="99"/>
    <w:semiHidden/>
    <w:rsid w:val="00C25CB0"/>
    <w:rPr>
      <w:b/>
      <w:bCs/>
      <w:sz w:val="20"/>
      <w:szCs w:val="20"/>
    </w:rPr>
  </w:style>
  <w:style w:type="paragraph" w:styleId="Revision">
    <w:name w:val="Revision"/>
    <w:hidden/>
    <w:uiPriority w:val="99"/>
    <w:semiHidden/>
    <w:rsid w:val="00C25CB0"/>
    <w:rPr>
      <w:sz w:val="22"/>
    </w:rPr>
  </w:style>
  <w:style w:type="character" w:styleId="FollowedHyperlink">
    <w:name w:val="FollowedHyperlink"/>
    <w:basedOn w:val="DefaultParagraphFont"/>
    <w:uiPriority w:val="99"/>
    <w:semiHidden/>
    <w:unhideWhenUsed/>
    <w:rsid w:val="00C25CB0"/>
    <w:rPr>
      <w:color w:val="004C96" w:themeColor="followedHyperlink"/>
      <w:u w:val="single"/>
    </w:rPr>
  </w:style>
  <w:style w:type="paragraph" w:styleId="NormalWeb">
    <w:name w:val="Normal (Web)"/>
    <w:basedOn w:val="Normal"/>
    <w:uiPriority w:val="99"/>
    <w:unhideWhenUsed/>
    <w:rsid w:val="00C25CB0"/>
    <w:rPr>
      <w:rFonts w:ascii="Times New Roman" w:hAnsi="Times New Roman" w:cs="Times New Roman"/>
      <w:sz w:val="24"/>
    </w:rPr>
  </w:style>
  <w:style w:type="table" w:customStyle="1" w:styleId="ListTable1Light-Accent11">
    <w:name w:val="List Table 1 Light - Accent 11"/>
    <w:basedOn w:val="TableNormal"/>
    <w:uiPriority w:val="46"/>
    <w:rsid w:val="00C25CB0"/>
    <w:tblPr>
      <w:tblStyleRowBandSize w:val="1"/>
      <w:tblStyleColBandSize w:val="1"/>
    </w:tblPr>
    <w:tblStylePr w:type="firstRow">
      <w:rPr>
        <w:b/>
        <w:bCs/>
      </w:rPr>
      <w:tblPr/>
      <w:tcPr>
        <w:tcBorders>
          <w:bottom w:val="single" w:sz="4" w:space="0" w:color="FFA956" w:themeColor="accent1" w:themeTint="99"/>
        </w:tcBorders>
      </w:tcPr>
    </w:tblStylePr>
    <w:tblStylePr w:type="lastRow">
      <w:rPr>
        <w:b/>
        <w:bCs/>
      </w:rPr>
      <w:tblPr/>
      <w:tcPr>
        <w:tcBorders>
          <w:top w:val="single" w:sz="4" w:space="0" w:color="FFA956" w:themeColor="accent1" w:themeTint="99"/>
        </w:tcBorders>
      </w:tcPr>
    </w:tblStylePr>
    <w:tblStylePr w:type="firstCol">
      <w:rPr>
        <w:b/>
        <w:bCs/>
      </w:rPr>
    </w:tblStylePr>
    <w:tblStylePr w:type="lastCol">
      <w:rPr>
        <w:b/>
        <w:bCs/>
      </w:rPr>
    </w:tblStylePr>
    <w:tblStylePr w:type="band1Vert">
      <w:tblPr/>
      <w:tcPr>
        <w:shd w:val="clear" w:color="auto" w:fill="FFE2C6" w:themeFill="accent1" w:themeFillTint="33"/>
      </w:tcPr>
    </w:tblStylePr>
    <w:tblStylePr w:type="band1Horz">
      <w:tblPr/>
      <w:tcPr>
        <w:shd w:val="clear" w:color="auto" w:fill="FFE2C6" w:themeFill="accent1" w:themeFillTint="33"/>
      </w:tcPr>
    </w:tblStylePr>
  </w:style>
  <w:style w:type="table" w:customStyle="1" w:styleId="ListTable2-Accent11">
    <w:name w:val="List Table 2 - Accent 11"/>
    <w:basedOn w:val="TableNormal"/>
    <w:uiPriority w:val="47"/>
    <w:rsid w:val="00C25CB0"/>
    <w:tblPr>
      <w:tblStyleRowBandSize w:val="1"/>
      <w:tblStyleColBandSize w:val="1"/>
      <w:tblBorders>
        <w:top w:val="single" w:sz="4" w:space="0" w:color="FFA956" w:themeColor="accent1" w:themeTint="99"/>
        <w:bottom w:val="single" w:sz="4" w:space="0" w:color="FFA956" w:themeColor="accent1" w:themeTint="99"/>
        <w:insideH w:val="single" w:sz="4" w:space="0" w:color="FFA95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1" w:themeFillTint="33"/>
      </w:tcPr>
    </w:tblStylePr>
    <w:tblStylePr w:type="band1Horz">
      <w:tblPr/>
      <w:tcPr>
        <w:shd w:val="clear" w:color="auto" w:fill="FFE2C6" w:themeFill="accent1" w:themeFillTint="33"/>
      </w:tcPr>
    </w:tblStylePr>
  </w:style>
  <w:style w:type="table" w:customStyle="1" w:styleId="PlainTable11">
    <w:name w:val="Plain Table 11"/>
    <w:basedOn w:val="TableNormal"/>
    <w:uiPriority w:val="41"/>
    <w:rsid w:val="00C25CB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C25CB0"/>
    <w:rPr>
      <w:i/>
      <w:iCs/>
    </w:rPr>
  </w:style>
  <w:style w:type="table" w:customStyle="1" w:styleId="GridTable3-Accent11">
    <w:name w:val="Grid Table 3 - Accent 11"/>
    <w:basedOn w:val="TableNormal"/>
    <w:uiPriority w:val="48"/>
    <w:rsid w:val="00C25CB0"/>
    <w:tblPr>
      <w:tblStyleRowBandSize w:val="1"/>
      <w:tblStyleColBandSize w:val="1"/>
      <w:tblBorders>
        <w:top w:val="single" w:sz="4" w:space="0" w:color="FFA956" w:themeColor="accent1" w:themeTint="99"/>
        <w:left w:val="single" w:sz="4" w:space="0" w:color="FFA956" w:themeColor="accent1" w:themeTint="99"/>
        <w:bottom w:val="single" w:sz="4" w:space="0" w:color="FFA956" w:themeColor="accent1" w:themeTint="99"/>
        <w:right w:val="single" w:sz="4" w:space="0" w:color="FFA956" w:themeColor="accent1" w:themeTint="99"/>
        <w:insideH w:val="single" w:sz="4" w:space="0" w:color="FFA956" w:themeColor="accent1" w:themeTint="99"/>
        <w:insideV w:val="single" w:sz="4" w:space="0" w:color="FFA95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1" w:themeFillTint="33"/>
      </w:tcPr>
    </w:tblStylePr>
    <w:tblStylePr w:type="band1Horz">
      <w:tblPr/>
      <w:tcPr>
        <w:shd w:val="clear" w:color="auto" w:fill="FFE2C6" w:themeFill="accent1" w:themeFillTint="33"/>
      </w:tcPr>
    </w:tblStylePr>
    <w:tblStylePr w:type="neCell">
      <w:tblPr/>
      <w:tcPr>
        <w:tcBorders>
          <w:bottom w:val="single" w:sz="4" w:space="0" w:color="FFA956" w:themeColor="accent1" w:themeTint="99"/>
        </w:tcBorders>
      </w:tcPr>
    </w:tblStylePr>
    <w:tblStylePr w:type="nwCell">
      <w:tblPr/>
      <w:tcPr>
        <w:tcBorders>
          <w:bottom w:val="single" w:sz="4" w:space="0" w:color="FFA956" w:themeColor="accent1" w:themeTint="99"/>
        </w:tcBorders>
      </w:tcPr>
    </w:tblStylePr>
    <w:tblStylePr w:type="seCell">
      <w:tblPr/>
      <w:tcPr>
        <w:tcBorders>
          <w:top w:val="single" w:sz="4" w:space="0" w:color="FFA956" w:themeColor="accent1" w:themeTint="99"/>
        </w:tcBorders>
      </w:tcPr>
    </w:tblStylePr>
    <w:tblStylePr w:type="swCell">
      <w:tblPr/>
      <w:tcPr>
        <w:tcBorders>
          <w:top w:val="single" w:sz="4" w:space="0" w:color="FFA956" w:themeColor="accent1" w:themeTint="99"/>
        </w:tcBorders>
      </w:tcPr>
    </w:tblStylePr>
  </w:style>
  <w:style w:type="table" w:customStyle="1" w:styleId="TableGridLight1">
    <w:name w:val="Table Grid Light1"/>
    <w:basedOn w:val="TableNormal"/>
    <w:uiPriority w:val="40"/>
    <w:rsid w:val="00C25C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31">
    <w:name w:val="Grid Table 31"/>
    <w:basedOn w:val="TableNormal"/>
    <w:uiPriority w:val="48"/>
    <w:rsid w:val="00C25CB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UnresolvedMention1">
    <w:name w:val="Unresolved Mention1"/>
    <w:basedOn w:val="DefaultParagraphFont"/>
    <w:uiPriority w:val="99"/>
    <w:semiHidden/>
    <w:unhideWhenUsed/>
    <w:rsid w:val="00C25CB0"/>
    <w:rPr>
      <w:color w:val="605E5C"/>
      <w:shd w:val="clear" w:color="auto" w:fill="E1DFDD"/>
    </w:rPr>
  </w:style>
  <w:style w:type="table" w:customStyle="1" w:styleId="ListTable31">
    <w:name w:val="List Table 31"/>
    <w:basedOn w:val="TableNormal"/>
    <w:uiPriority w:val="48"/>
    <w:rsid w:val="00C25CB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NoSpacing">
    <w:name w:val="No Spacing"/>
    <w:uiPriority w:val="1"/>
    <w:qFormat/>
    <w:rsid w:val="00C25CB0"/>
    <w:rPr>
      <w:sz w:val="22"/>
    </w:rPr>
  </w:style>
  <w:style w:type="character" w:customStyle="1" w:styleId="UnresolvedMention2">
    <w:name w:val="Unresolved Mention2"/>
    <w:basedOn w:val="DefaultParagraphFont"/>
    <w:uiPriority w:val="99"/>
    <w:semiHidden/>
    <w:unhideWhenUsed/>
    <w:rsid w:val="00C25CB0"/>
    <w:rPr>
      <w:color w:val="605E5C"/>
      <w:shd w:val="clear" w:color="auto" w:fill="E1DFDD"/>
    </w:rPr>
  </w:style>
  <w:style w:type="paragraph" w:styleId="TOCHeading">
    <w:name w:val="TOC Heading"/>
    <w:basedOn w:val="Heading1"/>
    <w:next w:val="Normal"/>
    <w:uiPriority w:val="39"/>
    <w:semiHidden/>
    <w:unhideWhenUsed/>
    <w:qFormat/>
    <w:rsid w:val="00C25CB0"/>
    <w:pPr>
      <w:spacing w:before="480" w:after="0" w:line="276" w:lineRule="auto"/>
      <w:outlineLvl w:val="9"/>
    </w:pPr>
    <w:rPr>
      <w:rFonts w:cstheme="majorBidi"/>
      <w:bCs/>
      <w:color w:val="AB5300" w:themeColor="accent1" w:themeShade="BF"/>
      <w:sz w:val="28"/>
      <w:szCs w:val="28"/>
      <w:lang w:val="en-US" w:eastAsia="ja-JP"/>
    </w:rPr>
  </w:style>
  <w:style w:type="table" w:styleId="TableGridLight">
    <w:name w:val="Grid Table Light"/>
    <w:basedOn w:val="TableNormal"/>
    <w:uiPriority w:val="40"/>
    <w:rsid w:val="00C25C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C25CB0"/>
    <w:tblPr>
      <w:tblStyleRowBandSize w:val="1"/>
      <w:tblStyleColBandSize w:val="1"/>
      <w:tblBorders>
        <w:top w:val="single" w:sz="4" w:space="0" w:color="FFC58E" w:themeColor="accent1" w:themeTint="66"/>
        <w:left w:val="single" w:sz="4" w:space="0" w:color="FFC58E" w:themeColor="accent1" w:themeTint="66"/>
        <w:bottom w:val="single" w:sz="4" w:space="0" w:color="FFC58E" w:themeColor="accent1" w:themeTint="66"/>
        <w:right w:val="single" w:sz="4" w:space="0" w:color="FFC58E" w:themeColor="accent1" w:themeTint="66"/>
        <w:insideH w:val="single" w:sz="4" w:space="0" w:color="FFC58E" w:themeColor="accent1" w:themeTint="66"/>
        <w:insideV w:val="single" w:sz="4" w:space="0" w:color="FFC58E" w:themeColor="accent1" w:themeTint="66"/>
      </w:tblBorders>
    </w:tblPr>
    <w:tblStylePr w:type="firstRow">
      <w:rPr>
        <w:b/>
        <w:bCs/>
      </w:rPr>
      <w:tblPr/>
      <w:tcPr>
        <w:tcBorders>
          <w:bottom w:val="single" w:sz="12" w:space="0" w:color="FFA956" w:themeColor="accent1" w:themeTint="99"/>
        </w:tcBorders>
      </w:tcPr>
    </w:tblStylePr>
    <w:tblStylePr w:type="lastRow">
      <w:rPr>
        <w:b/>
        <w:bCs/>
      </w:rPr>
      <w:tblPr/>
      <w:tcPr>
        <w:tcBorders>
          <w:top w:val="double" w:sz="2" w:space="0" w:color="FFA956" w:themeColor="accen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C25CB0"/>
    <w:rPr>
      <w:sz w:val="22"/>
      <w:szCs w:val="22"/>
      <w:lang w:val="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25CB0"/>
    <w:rPr>
      <w:sz w:val="22"/>
      <w:szCs w:val="22"/>
      <w:lang w:val="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C25CB0"/>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C25CB0"/>
  </w:style>
  <w:style w:type="character" w:customStyle="1" w:styleId="eop">
    <w:name w:val="eop"/>
    <w:basedOn w:val="DefaultParagraphFont"/>
    <w:rsid w:val="00C25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yperlink" Target="https://www.childcarefinder.gov.au/" TargetMode="External"/><Relationship Id="rId34" Type="http://schemas.openxmlformats.org/officeDocument/2006/relationships/hyperlink" Target="mailto:youth.participation@education.vic.gov.au" TargetMode="External"/><Relationship Id="rId42" Type="http://schemas.openxmlformats.org/officeDocument/2006/relationships/hyperlink" Target="https://www.childcarefinder.gov.au/" TargetMode="External"/><Relationship Id="rId47" Type="http://schemas.openxmlformats.org/officeDocument/2006/relationships/hyperlink" Target="https://www.acecqa.gov.au/resources/applications/indexation-of-fees" TargetMode="External"/><Relationship Id="rId50" Type="http://schemas.openxmlformats.org/officeDocument/2006/relationships/hyperlink" Target="mailto:licensed.childrens.services@education.vic.gov.au" TargetMode="External"/><Relationship Id="rId55" Type="http://schemas.openxmlformats.org/officeDocument/2006/relationships/hyperlink" Target="https://www.skills.vic.gov.au/s/coursedetails?type=course&amp;keyword=Certificate+III+in+Early+Childhood+Education+and+Care&amp;id=CHC30113&amp;ft=1" TargetMode="External"/><Relationship Id="rId63" Type="http://schemas.openxmlformats.org/officeDocument/2006/relationships/footer" Target="footer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mailto:legal.services@education.vic.giv.au" TargetMode="External"/><Relationship Id="rId11" Type="http://schemas.openxmlformats.org/officeDocument/2006/relationships/endnotes" Target="endnotes.xml"/><Relationship Id="rId24" Type="http://schemas.openxmlformats.org/officeDocument/2006/relationships/hyperlink" Target="mailto:oshc.central@education.vic.gov.au" TargetMode="External"/><Relationship Id="rId32" Type="http://schemas.openxmlformats.org/officeDocument/2006/relationships/hyperlink" Target="https://www.dese.gov.au/child-care-package/child-care-subsidy/applying-child-care-subsidy-approval" TargetMode="External"/><Relationship Id="rId37" Type="http://schemas.openxmlformats.org/officeDocument/2006/relationships/hyperlink" Target="https://www2.education.vic.gov.au/pal/outside-school-hours-care-decision-making-regarding-provision-oshc/policy" TargetMode="External"/><Relationship Id="rId40" Type="http://schemas.openxmlformats.org/officeDocument/2006/relationships/hyperlink" Target="https://www2.education.vic.gov.au/pal/outside-school-hours-care-decision-making-regarding-provision-oshc/guidance/plan-start-service-0" TargetMode="External"/><Relationship Id="rId45" Type="http://schemas.openxmlformats.org/officeDocument/2006/relationships/hyperlink" Target="mailto:schools.procurement@education.vic.gov.au" TargetMode="External"/><Relationship Id="rId53" Type="http://schemas.openxmlformats.org/officeDocument/2006/relationships/hyperlink" Target="https://www.skills.vic.gov.au/s/coursedetails?type=course&amp;keyword=Diploma+of+Early+Childhood+Education+and+Care&amp;id=CHC50113&amp;ft=1" TargetMode="External"/><Relationship Id="rId58" Type="http://schemas.openxmlformats.org/officeDocument/2006/relationships/hyperlink" Target="https://www.skills.vic.gov.au/s/coursedetails?type=course&amp;keyword=Certificate+III+in+Education+Support&amp;id=CHC30213&amp;ft=1" TargetMode="External"/><Relationship Id="rId5" Type="http://schemas.openxmlformats.org/officeDocument/2006/relationships/customXml" Target="../customXml/item5.xml"/><Relationship Id="rId61" Type="http://schemas.openxmlformats.org/officeDocument/2006/relationships/hyperlink" Target="http://www.vic.gov.au/freetafe/" TargetMode="External"/><Relationship Id="rId19" Type="http://schemas.openxmlformats.org/officeDocument/2006/relationships/hyperlink" Target="https://eduvic-my.sharepoint.com/Users/shannontyrer/Library/Containers/com.apple.mail/Data/Library/Mail%20Downloads/C8221BCF-1AA3-4E4D-9318-85671C794851/ACECQA%20National%20Register%20of%20providers%20and%20services" TargetMode="External"/><Relationship Id="rId14" Type="http://schemas.openxmlformats.org/officeDocument/2006/relationships/footer" Target="footer2.xml"/><Relationship Id="rId22" Type="http://schemas.openxmlformats.org/officeDocument/2006/relationships/hyperlink" Target="mailto:oshc.central@education.vic.gov.au" TargetMode="External"/><Relationship Id="rId27" Type="http://schemas.openxmlformats.org/officeDocument/2006/relationships/hyperlink" Target="mailto:oshc.central@education.vic.gov.au" TargetMode="External"/><Relationship Id="rId30" Type="http://schemas.openxmlformats.org/officeDocument/2006/relationships/hyperlink" Target="mailto:licensed.childrens.services@education.vic.gov.au" TargetMode="External"/><Relationship Id="rId35" Type="http://schemas.openxmlformats.org/officeDocument/2006/relationships/hyperlink" Target="mailto:vsba.school.funded@education.vic.gov.au" TargetMode="External"/><Relationship Id="rId43" Type="http://schemas.openxmlformats.org/officeDocument/2006/relationships/hyperlink" Target="https://www.startingblocks.gov.au/" TargetMode="External"/><Relationship Id="rId48" Type="http://schemas.openxmlformats.org/officeDocument/2006/relationships/hyperlink" Target="https://www.dese.gov.au/child-care-package/child-care-subsidy/applying-child-care-subsidy-approval" TargetMode="External"/><Relationship Id="rId56" Type="http://schemas.openxmlformats.org/officeDocument/2006/relationships/hyperlink" Target="https://www.skills.vic.gov.au/s/coursedetails?type=course&amp;keyword=Certificate+IV+in+Community+Services&amp;id=CHC42015&amp;ft=1"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acecqa.gov.au/qualifications/requirements/working-in-OSHC-services"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2.education.vic.gov.au/pal/outside-school-hours-care-decision-making-regarding-provision-oshc/policy" TargetMode="External"/><Relationship Id="rId25" Type="http://schemas.openxmlformats.org/officeDocument/2006/relationships/header" Target="header3.xml"/><Relationship Id="rId33" Type="http://schemas.openxmlformats.org/officeDocument/2006/relationships/hyperlink" Target="mailto:youth.participation@education.vic.gov.au" TargetMode="External"/><Relationship Id="rId38" Type="http://schemas.openxmlformats.org/officeDocument/2006/relationships/hyperlink" Target="https://www2.education.vic.gov.au/pal/outside-school-hours-care-decision-making-regarding-provision-oshc/resources" TargetMode="External"/><Relationship Id="rId46" Type="http://schemas.openxmlformats.org/officeDocument/2006/relationships/hyperlink" Target="https://www.acecqa.gov.au/resources/national-quality-agenda-it-system" TargetMode="External"/><Relationship Id="rId59" Type="http://schemas.openxmlformats.org/officeDocument/2006/relationships/hyperlink" Target="https://www.skills.vic.gov.au/s/coursedetails?type=course&amp;keyword=Certificate+IV+in+Education+Support&amp;id=CHC40213&amp;ft=1" TargetMode="External"/><Relationship Id="rId20" Type="http://schemas.openxmlformats.org/officeDocument/2006/relationships/hyperlink" Target="https://www.startingblocks.gov.au/find-child-care/" TargetMode="External"/><Relationship Id="rId41" Type="http://schemas.openxmlformats.org/officeDocument/2006/relationships/hyperlink" Target="https://www.acecqa.gov.au/resources/national-registers" TargetMode="External"/><Relationship Id="rId54" Type="http://schemas.openxmlformats.org/officeDocument/2006/relationships/hyperlink" Target="https://www.skills.vic.gov.au/s/coursedetails?type=course&amp;keyword=Diploma+of+Community+Services&amp;id=CHC52015&amp;ft=1" TargetMode="External"/><Relationship Id="rId62" Type="http://schemas.openxmlformats.org/officeDocument/2006/relationships/header" Target="header4.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youthparticipation.smartygrants.com.au/" TargetMode="External"/><Relationship Id="rId28" Type="http://schemas.openxmlformats.org/officeDocument/2006/relationships/hyperlink" Target="mailto:schools.procurement@education.vic.gov.au" TargetMode="External"/><Relationship Id="rId36" Type="http://schemas.openxmlformats.org/officeDocument/2006/relationships/hyperlink" Target="https://edugate.eduweb.vic.gov.au/edrms/website/PAL/oshc-decision-making-licence-agreement-template.docx" TargetMode="External"/><Relationship Id="rId49" Type="http://schemas.openxmlformats.org/officeDocument/2006/relationships/hyperlink" Target="mailto:oshc.central@education.vic.gov.au" TargetMode="External"/><Relationship Id="rId57" Type="http://schemas.openxmlformats.org/officeDocument/2006/relationships/hyperlink" Target="https://www.skills.vic.gov.au/s/coursedetails?type=course&amp;keyword=Certificate+IV+in+Youth+Work&amp;id=CHC40413&amp;ft=1" TargetMode="External"/><Relationship Id="rId10" Type="http://schemas.openxmlformats.org/officeDocument/2006/relationships/footnotes" Target="footnotes.xml"/><Relationship Id="rId31" Type="http://schemas.openxmlformats.org/officeDocument/2006/relationships/hyperlink" Target="mailto:ccs.assessment@dese.gov.au" TargetMode="External"/><Relationship Id="rId44" Type="http://schemas.openxmlformats.org/officeDocument/2006/relationships/hyperlink" Target="mailto:oshc.central@education.vic.gov.au" TargetMode="External"/><Relationship Id="rId52" Type="http://schemas.openxmlformats.org/officeDocument/2006/relationships/hyperlink" Target="https://www.vic.gov.au/free-tafe" TargetMode="External"/><Relationship Id="rId60" Type="http://schemas.openxmlformats.org/officeDocument/2006/relationships/hyperlink" Target="http://www.training.gov.au"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lms.learneyo.com/DETSC/" TargetMode="External"/><Relationship Id="rId39" Type="http://schemas.openxmlformats.org/officeDocument/2006/relationships/hyperlink" Target="mailto:ccs.assessment@dese.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cation.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ECE205A2FCA74D94915D7B3FF8196E" ma:contentTypeVersion="2" ma:contentTypeDescription="Create a new document." ma:contentTypeScope="" ma:versionID="f22a2efd81c36610e6dd3a469b2a792a">
  <xsd:schema xmlns:xsd="http://www.w3.org/2001/XMLSchema" xmlns:xs="http://www.w3.org/2001/XMLSchema" xmlns:p="http://schemas.microsoft.com/office/2006/metadata/properties" targetNamespace="http://schemas.microsoft.com/office/2006/metadata/properties" ma:root="true" ma:fieldsID="56c088a8d7b8a44554abdb9bd8bd03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bb5ce4db-eb21-467d-b968-528655912a38">230</Topic>
    <Expired xmlns="bb5ce4db-eb21-467d-b968-528655912a38">false</Expire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F1DADA-6EF4-4F4A-8E64-47815AC46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524C02-74E3-40CA-ADC5-147FEB7DADB9}">
  <ds:schemaRefs>
    <ds:schemaRef ds:uri="http://schemas.openxmlformats.org/officeDocument/2006/bibliography"/>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98D9F1DF-A368-46E9-ACB0-3D14C09FC333}">
  <ds:schemaRefs>
    <ds:schemaRef ds:uri="http://schemas.openxmlformats.org/package/2006/metadata/core-properties"/>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s>
</ds:datastoreItem>
</file>

<file path=customXml/itemProps5.xml><?xml version="1.0" encoding="utf-8"?>
<ds:datastoreItem xmlns:ds="http://schemas.openxmlformats.org/officeDocument/2006/customXml" ds:itemID="{00672001-7FA4-4698-8C99-5AB5CE17B6E0}"/>
</file>

<file path=docProps/app.xml><?xml version="1.0" encoding="utf-8"?>
<Properties xmlns="http://schemas.openxmlformats.org/officeDocument/2006/extended-properties" xmlns:vt="http://schemas.openxmlformats.org/officeDocument/2006/docPropsVTypes">
  <Template>Normal.dotm</Template>
  <TotalTime>216</TotalTime>
  <Pages>18</Pages>
  <Words>6522</Words>
  <Characters>37182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43617</CharactersWithSpaces>
  <SharedDoc>false</SharedDoc>
  <HLinks>
    <vt:vector size="264" baseType="variant">
      <vt:variant>
        <vt:i4>2359349</vt:i4>
      </vt:variant>
      <vt:variant>
        <vt:i4>204</vt:i4>
      </vt:variant>
      <vt:variant>
        <vt:i4>0</vt:i4>
      </vt:variant>
      <vt:variant>
        <vt:i4>5</vt:i4>
      </vt:variant>
      <vt:variant>
        <vt:lpwstr>http://www.training.gov.au/</vt:lpwstr>
      </vt:variant>
      <vt:variant>
        <vt:lpwstr/>
      </vt:variant>
      <vt:variant>
        <vt:i4>7012394</vt:i4>
      </vt:variant>
      <vt:variant>
        <vt:i4>201</vt:i4>
      </vt:variant>
      <vt:variant>
        <vt:i4>0</vt:i4>
      </vt:variant>
      <vt:variant>
        <vt:i4>5</vt:i4>
      </vt:variant>
      <vt:variant>
        <vt:lpwstr>https://www.skills.vic.gov.au/s/coursedetails?type=course&amp;keyword=Certificate+IV+in+Education+Support&amp;id=CHC40213&amp;ft=1</vt:lpwstr>
      </vt:variant>
      <vt:variant>
        <vt:lpwstr/>
      </vt:variant>
      <vt:variant>
        <vt:i4>2621481</vt:i4>
      </vt:variant>
      <vt:variant>
        <vt:i4>198</vt:i4>
      </vt:variant>
      <vt:variant>
        <vt:i4>0</vt:i4>
      </vt:variant>
      <vt:variant>
        <vt:i4>5</vt:i4>
      </vt:variant>
      <vt:variant>
        <vt:lpwstr>https://www.skills.vic.gov.au/s/coursedetails?type=course&amp;keyword=Certificate+III+in+Education+Support&amp;id=CHC30213&amp;ft=1</vt:lpwstr>
      </vt:variant>
      <vt:variant>
        <vt:lpwstr/>
      </vt:variant>
      <vt:variant>
        <vt:i4>7012454</vt:i4>
      </vt:variant>
      <vt:variant>
        <vt:i4>195</vt:i4>
      </vt:variant>
      <vt:variant>
        <vt:i4>0</vt:i4>
      </vt:variant>
      <vt:variant>
        <vt:i4>5</vt:i4>
      </vt:variant>
      <vt:variant>
        <vt:lpwstr>https://www.skills.vic.gov.au/s/coursedetails?type=course&amp;keyword=Certificate+IV+in+Youth+Work&amp;id=CHC40413&amp;ft=1</vt:lpwstr>
      </vt:variant>
      <vt:variant>
        <vt:lpwstr/>
      </vt:variant>
      <vt:variant>
        <vt:i4>7143523</vt:i4>
      </vt:variant>
      <vt:variant>
        <vt:i4>192</vt:i4>
      </vt:variant>
      <vt:variant>
        <vt:i4>0</vt:i4>
      </vt:variant>
      <vt:variant>
        <vt:i4>5</vt:i4>
      </vt:variant>
      <vt:variant>
        <vt:lpwstr>https://www.skills.vic.gov.au/s/coursedetails?type=course&amp;keyword=Certificate+IV+in+Community+Services&amp;id=CHC42015&amp;ft=1</vt:lpwstr>
      </vt:variant>
      <vt:variant>
        <vt:lpwstr/>
      </vt:variant>
      <vt:variant>
        <vt:i4>5898326</vt:i4>
      </vt:variant>
      <vt:variant>
        <vt:i4>189</vt:i4>
      </vt:variant>
      <vt:variant>
        <vt:i4>0</vt:i4>
      </vt:variant>
      <vt:variant>
        <vt:i4>5</vt:i4>
      </vt:variant>
      <vt:variant>
        <vt:lpwstr>https://www.skills.vic.gov.au/s/coursedetails?type=course&amp;keyword=Certificate+III+in+Early+Childhood+Education+and+Care&amp;id=CHC30113&amp;ft=1</vt:lpwstr>
      </vt:variant>
      <vt:variant>
        <vt:lpwstr/>
      </vt:variant>
      <vt:variant>
        <vt:i4>1376278</vt:i4>
      </vt:variant>
      <vt:variant>
        <vt:i4>186</vt:i4>
      </vt:variant>
      <vt:variant>
        <vt:i4>0</vt:i4>
      </vt:variant>
      <vt:variant>
        <vt:i4>5</vt:i4>
      </vt:variant>
      <vt:variant>
        <vt:lpwstr>https://www.skills.vic.gov.au/s/coursedetails?type=course&amp;keyword=Diploma+of+Community+Services&amp;id=CHC52015&amp;ft=1</vt:lpwstr>
      </vt:variant>
      <vt:variant>
        <vt:lpwstr/>
      </vt:variant>
      <vt:variant>
        <vt:i4>1572953</vt:i4>
      </vt:variant>
      <vt:variant>
        <vt:i4>183</vt:i4>
      </vt:variant>
      <vt:variant>
        <vt:i4>0</vt:i4>
      </vt:variant>
      <vt:variant>
        <vt:i4>5</vt:i4>
      </vt:variant>
      <vt:variant>
        <vt:lpwstr>https://www.skills.vic.gov.au/s/coursedetails?type=course&amp;keyword=Diploma+of+Early+Childhood+Education+and+Care&amp;id=CHC50113&amp;ft=1</vt:lpwstr>
      </vt:variant>
      <vt:variant>
        <vt:lpwstr/>
      </vt:variant>
      <vt:variant>
        <vt:i4>1114127</vt:i4>
      </vt:variant>
      <vt:variant>
        <vt:i4>180</vt:i4>
      </vt:variant>
      <vt:variant>
        <vt:i4>0</vt:i4>
      </vt:variant>
      <vt:variant>
        <vt:i4>5</vt:i4>
      </vt:variant>
      <vt:variant>
        <vt:lpwstr>https://www.vic.gov.au/free-tafe</vt:lpwstr>
      </vt:variant>
      <vt:variant>
        <vt:lpwstr/>
      </vt:variant>
      <vt:variant>
        <vt:i4>3342390</vt:i4>
      </vt:variant>
      <vt:variant>
        <vt:i4>177</vt:i4>
      </vt:variant>
      <vt:variant>
        <vt:i4>0</vt:i4>
      </vt:variant>
      <vt:variant>
        <vt:i4>5</vt:i4>
      </vt:variant>
      <vt:variant>
        <vt:lpwstr>https://www.acecqa.gov.au/qualifications/requirements/working-in-OSHC-services</vt:lpwstr>
      </vt:variant>
      <vt:variant>
        <vt:lpwstr/>
      </vt:variant>
      <vt:variant>
        <vt:i4>7209040</vt:i4>
      </vt:variant>
      <vt:variant>
        <vt:i4>174</vt:i4>
      </vt:variant>
      <vt:variant>
        <vt:i4>0</vt:i4>
      </vt:variant>
      <vt:variant>
        <vt:i4>5</vt:i4>
      </vt:variant>
      <vt:variant>
        <vt:lpwstr>mailto:licensed.childrens.services@education.vic.gov.au</vt:lpwstr>
      </vt:variant>
      <vt:variant>
        <vt:lpwstr/>
      </vt:variant>
      <vt:variant>
        <vt:i4>3801178</vt:i4>
      </vt:variant>
      <vt:variant>
        <vt:i4>171</vt:i4>
      </vt:variant>
      <vt:variant>
        <vt:i4>0</vt:i4>
      </vt:variant>
      <vt:variant>
        <vt:i4>5</vt:i4>
      </vt:variant>
      <vt:variant>
        <vt:lpwstr>mailto:oshc.central@education.vic.gov.au</vt:lpwstr>
      </vt:variant>
      <vt:variant>
        <vt:lpwstr/>
      </vt:variant>
      <vt:variant>
        <vt:i4>2424937</vt:i4>
      </vt:variant>
      <vt:variant>
        <vt:i4>168</vt:i4>
      </vt:variant>
      <vt:variant>
        <vt:i4>0</vt:i4>
      </vt:variant>
      <vt:variant>
        <vt:i4>5</vt:i4>
      </vt:variant>
      <vt:variant>
        <vt:lpwstr>https://www.dese.gov.au/child-care-package/child-care-subsidy/applying-child-care-subsidy-approval</vt:lpwstr>
      </vt:variant>
      <vt:variant>
        <vt:lpwstr/>
      </vt:variant>
      <vt:variant>
        <vt:i4>7667760</vt:i4>
      </vt:variant>
      <vt:variant>
        <vt:i4>165</vt:i4>
      </vt:variant>
      <vt:variant>
        <vt:i4>0</vt:i4>
      </vt:variant>
      <vt:variant>
        <vt:i4>5</vt:i4>
      </vt:variant>
      <vt:variant>
        <vt:lpwstr>https://www.acecqa.gov.au/resources/applications/indexation-of-fees</vt:lpwstr>
      </vt:variant>
      <vt:variant>
        <vt:lpwstr/>
      </vt:variant>
      <vt:variant>
        <vt:i4>1179667</vt:i4>
      </vt:variant>
      <vt:variant>
        <vt:i4>162</vt:i4>
      </vt:variant>
      <vt:variant>
        <vt:i4>0</vt:i4>
      </vt:variant>
      <vt:variant>
        <vt:i4>5</vt:i4>
      </vt:variant>
      <vt:variant>
        <vt:lpwstr>https://www.acecqa.gov.au/resources/national-quality-agenda-it-system</vt:lpwstr>
      </vt:variant>
      <vt:variant>
        <vt:lpwstr/>
      </vt:variant>
      <vt:variant>
        <vt:i4>6815760</vt:i4>
      </vt:variant>
      <vt:variant>
        <vt:i4>159</vt:i4>
      </vt:variant>
      <vt:variant>
        <vt:i4>0</vt:i4>
      </vt:variant>
      <vt:variant>
        <vt:i4>5</vt:i4>
      </vt:variant>
      <vt:variant>
        <vt:lpwstr>mailto:schools.procurement@education.vic.gov.au</vt:lpwstr>
      </vt:variant>
      <vt:variant>
        <vt:lpwstr/>
      </vt:variant>
      <vt:variant>
        <vt:i4>3801178</vt:i4>
      </vt:variant>
      <vt:variant>
        <vt:i4>156</vt:i4>
      </vt:variant>
      <vt:variant>
        <vt:i4>0</vt:i4>
      </vt:variant>
      <vt:variant>
        <vt:i4>5</vt:i4>
      </vt:variant>
      <vt:variant>
        <vt:lpwstr>mailto:oshc.central@education.vic.gov.au</vt:lpwstr>
      </vt:variant>
      <vt:variant>
        <vt:lpwstr/>
      </vt:variant>
      <vt:variant>
        <vt:i4>6488116</vt:i4>
      </vt:variant>
      <vt:variant>
        <vt:i4>153</vt:i4>
      </vt:variant>
      <vt:variant>
        <vt:i4>0</vt:i4>
      </vt:variant>
      <vt:variant>
        <vt:i4>5</vt:i4>
      </vt:variant>
      <vt:variant>
        <vt:lpwstr>https://www.startingblocks.gov.au/</vt:lpwstr>
      </vt:variant>
      <vt:variant>
        <vt:lpwstr/>
      </vt:variant>
      <vt:variant>
        <vt:i4>2752549</vt:i4>
      </vt:variant>
      <vt:variant>
        <vt:i4>150</vt:i4>
      </vt:variant>
      <vt:variant>
        <vt:i4>0</vt:i4>
      </vt:variant>
      <vt:variant>
        <vt:i4>5</vt:i4>
      </vt:variant>
      <vt:variant>
        <vt:lpwstr>https://www.childcarefinder.gov.au/</vt:lpwstr>
      </vt:variant>
      <vt:variant>
        <vt:lpwstr/>
      </vt:variant>
      <vt:variant>
        <vt:i4>4063352</vt:i4>
      </vt:variant>
      <vt:variant>
        <vt:i4>147</vt:i4>
      </vt:variant>
      <vt:variant>
        <vt:i4>0</vt:i4>
      </vt:variant>
      <vt:variant>
        <vt:i4>5</vt:i4>
      </vt:variant>
      <vt:variant>
        <vt:lpwstr>https://www.acecqa.gov.au/resources/national-registers</vt:lpwstr>
      </vt:variant>
      <vt:variant>
        <vt:lpwstr/>
      </vt:variant>
      <vt:variant>
        <vt:i4>6881392</vt:i4>
      </vt:variant>
      <vt:variant>
        <vt:i4>144</vt:i4>
      </vt:variant>
      <vt:variant>
        <vt:i4>0</vt:i4>
      </vt:variant>
      <vt:variant>
        <vt:i4>5</vt:i4>
      </vt:variant>
      <vt:variant>
        <vt:lpwstr>https://www2.education.vic.gov.au/pal/outside-school-hours-care-decision-making-regarding-provision-oshc/guidance/plan-start-service-0</vt:lpwstr>
      </vt:variant>
      <vt:variant>
        <vt:lpwstr/>
      </vt:variant>
      <vt:variant>
        <vt:i4>2097163</vt:i4>
      </vt:variant>
      <vt:variant>
        <vt:i4>141</vt:i4>
      </vt:variant>
      <vt:variant>
        <vt:i4>0</vt:i4>
      </vt:variant>
      <vt:variant>
        <vt:i4>5</vt:i4>
      </vt:variant>
      <vt:variant>
        <vt:lpwstr>mailto:ccs.assessment@dese.gov.au</vt:lpwstr>
      </vt:variant>
      <vt:variant>
        <vt:lpwstr/>
      </vt:variant>
      <vt:variant>
        <vt:i4>7798845</vt:i4>
      </vt:variant>
      <vt:variant>
        <vt:i4>138</vt:i4>
      </vt:variant>
      <vt:variant>
        <vt:i4>0</vt:i4>
      </vt:variant>
      <vt:variant>
        <vt:i4>5</vt:i4>
      </vt:variant>
      <vt:variant>
        <vt:lpwstr>https://www2.education.vic.gov.au/pal/outside-school-hours-care-decision-making-regarding-provision-oshc/resources</vt:lpwstr>
      </vt:variant>
      <vt:variant>
        <vt:lpwstr/>
      </vt:variant>
      <vt:variant>
        <vt:i4>7077926</vt:i4>
      </vt:variant>
      <vt:variant>
        <vt:i4>135</vt:i4>
      </vt:variant>
      <vt:variant>
        <vt:i4>0</vt:i4>
      </vt:variant>
      <vt:variant>
        <vt:i4>5</vt:i4>
      </vt:variant>
      <vt:variant>
        <vt:lpwstr>https://www2.education.vic.gov.au/pal/outside-school-hours-care-decision-making-regarding-provision-oshc/policy</vt:lpwstr>
      </vt:variant>
      <vt:variant>
        <vt:lpwstr/>
      </vt:variant>
      <vt:variant>
        <vt:i4>4456449</vt:i4>
      </vt:variant>
      <vt:variant>
        <vt:i4>132</vt:i4>
      </vt:variant>
      <vt:variant>
        <vt:i4>0</vt:i4>
      </vt:variant>
      <vt:variant>
        <vt:i4>5</vt:i4>
      </vt:variant>
      <vt:variant>
        <vt:lpwstr>https://edugate.eduweb.vic.gov.au/edrms/website/PAL/oshc-decision-making-licence-agreement-template.docx</vt:lpwstr>
      </vt:variant>
      <vt:variant>
        <vt:lpwstr/>
      </vt:variant>
      <vt:variant>
        <vt:i4>5505124</vt:i4>
      </vt:variant>
      <vt:variant>
        <vt:i4>129</vt:i4>
      </vt:variant>
      <vt:variant>
        <vt:i4>0</vt:i4>
      </vt:variant>
      <vt:variant>
        <vt:i4>5</vt:i4>
      </vt:variant>
      <vt:variant>
        <vt:lpwstr>mailto:vsba.school.funded@education.vic.gov.au</vt:lpwstr>
      </vt:variant>
      <vt:variant>
        <vt:lpwstr/>
      </vt:variant>
      <vt:variant>
        <vt:i4>7405590</vt:i4>
      </vt:variant>
      <vt:variant>
        <vt:i4>126</vt:i4>
      </vt:variant>
      <vt:variant>
        <vt:i4>0</vt:i4>
      </vt:variant>
      <vt:variant>
        <vt:i4>5</vt:i4>
      </vt:variant>
      <vt:variant>
        <vt:lpwstr>mailto:youth.participation@education.vic.gov.au</vt:lpwstr>
      </vt:variant>
      <vt:variant>
        <vt:lpwstr/>
      </vt:variant>
      <vt:variant>
        <vt:i4>7405590</vt:i4>
      </vt:variant>
      <vt:variant>
        <vt:i4>123</vt:i4>
      </vt:variant>
      <vt:variant>
        <vt:i4>0</vt:i4>
      </vt:variant>
      <vt:variant>
        <vt:i4>5</vt:i4>
      </vt:variant>
      <vt:variant>
        <vt:lpwstr>mailto:youth.participation@education.vic.gov.au</vt:lpwstr>
      </vt:variant>
      <vt:variant>
        <vt:lpwstr/>
      </vt:variant>
      <vt:variant>
        <vt:i4>2424937</vt:i4>
      </vt:variant>
      <vt:variant>
        <vt:i4>120</vt:i4>
      </vt:variant>
      <vt:variant>
        <vt:i4>0</vt:i4>
      </vt:variant>
      <vt:variant>
        <vt:i4>5</vt:i4>
      </vt:variant>
      <vt:variant>
        <vt:lpwstr>https://www.dese.gov.au/child-care-package/child-care-subsidy/applying-child-care-subsidy-approval</vt:lpwstr>
      </vt:variant>
      <vt:variant>
        <vt:lpwstr/>
      </vt:variant>
      <vt:variant>
        <vt:i4>2097163</vt:i4>
      </vt:variant>
      <vt:variant>
        <vt:i4>117</vt:i4>
      </vt:variant>
      <vt:variant>
        <vt:i4>0</vt:i4>
      </vt:variant>
      <vt:variant>
        <vt:i4>5</vt:i4>
      </vt:variant>
      <vt:variant>
        <vt:lpwstr>mailto:ccs.assessment@dese.gov.au</vt:lpwstr>
      </vt:variant>
      <vt:variant>
        <vt:lpwstr/>
      </vt:variant>
      <vt:variant>
        <vt:i4>7209040</vt:i4>
      </vt:variant>
      <vt:variant>
        <vt:i4>114</vt:i4>
      </vt:variant>
      <vt:variant>
        <vt:i4>0</vt:i4>
      </vt:variant>
      <vt:variant>
        <vt:i4>5</vt:i4>
      </vt:variant>
      <vt:variant>
        <vt:lpwstr>mailto:licensed.childrens.services@education.vic.gov.au</vt:lpwstr>
      </vt:variant>
      <vt:variant>
        <vt:lpwstr/>
      </vt:variant>
      <vt:variant>
        <vt:i4>983152</vt:i4>
      </vt:variant>
      <vt:variant>
        <vt:i4>111</vt:i4>
      </vt:variant>
      <vt:variant>
        <vt:i4>0</vt:i4>
      </vt:variant>
      <vt:variant>
        <vt:i4>5</vt:i4>
      </vt:variant>
      <vt:variant>
        <vt:lpwstr>mailto:legal.services@education.vic.giv.au</vt:lpwstr>
      </vt:variant>
      <vt:variant>
        <vt:lpwstr/>
      </vt:variant>
      <vt:variant>
        <vt:i4>6815760</vt:i4>
      </vt:variant>
      <vt:variant>
        <vt:i4>108</vt:i4>
      </vt:variant>
      <vt:variant>
        <vt:i4>0</vt:i4>
      </vt:variant>
      <vt:variant>
        <vt:i4>5</vt:i4>
      </vt:variant>
      <vt:variant>
        <vt:lpwstr>mailto:schools.procurement@education.vic.gov.au</vt:lpwstr>
      </vt:variant>
      <vt:variant>
        <vt:lpwstr/>
      </vt:variant>
      <vt:variant>
        <vt:i4>3801178</vt:i4>
      </vt:variant>
      <vt:variant>
        <vt:i4>105</vt:i4>
      </vt:variant>
      <vt:variant>
        <vt:i4>0</vt:i4>
      </vt:variant>
      <vt:variant>
        <vt:i4>5</vt:i4>
      </vt:variant>
      <vt:variant>
        <vt:lpwstr>mailto:oshc.central@education.vic.gov.au</vt:lpwstr>
      </vt:variant>
      <vt:variant>
        <vt:lpwstr/>
      </vt:variant>
      <vt:variant>
        <vt:i4>3801178</vt:i4>
      </vt:variant>
      <vt:variant>
        <vt:i4>102</vt:i4>
      </vt:variant>
      <vt:variant>
        <vt:i4>0</vt:i4>
      </vt:variant>
      <vt:variant>
        <vt:i4>5</vt:i4>
      </vt:variant>
      <vt:variant>
        <vt:lpwstr>mailto:oshc.central@education.vic.gov.au</vt:lpwstr>
      </vt:variant>
      <vt:variant>
        <vt:lpwstr/>
      </vt:variant>
      <vt:variant>
        <vt:i4>6291569</vt:i4>
      </vt:variant>
      <vt:variant>
        <vt:i4>99</vt:i4>
      </vt:variant>
      <vt:variant>
        <vt:i4>0</vt:i4>
      </vt:variant>
      <vt:variant>
        <vt:i4>5</vt:i4>
      </vt:variant>
      <vt:variant>
        <vt:lpwstr>https://youthparticipation.smartygrants.com.au/</vt:lpwstr>
      </vt:variant>
      <vt:variant>
        <vt:lpwstr/>
      </vt:variant>
      <vt:variant>
        <vt:i4>3801178</vt:i4>
      </vt:variant>
      <vt:variant>
        <vt:i4>96</vt:i4>
      </vt:variant>
      <vt:variant>
        <vt:i4>0</vt:i4>
      </vt:variant>
      <vt:variant>
        <vt:i4>5</vt:i4>
      </vt:variant>
      <vt:variant>
        <vt:lpwstr>mailto:oshc.central@education.vic.gov.au</vt:lpwstr>
      </vt:variant>
      <vt:variant>
        <vt:lpwstr/>
      </vt:variant>
      <vt:variant>
        <vt:i4>2752549</vt:i4>
      </vt:variant>
      <vt:variant>
        <vt:i4>93</vt:i4>
      </vt:variant>
      <vt:variant>
        <vt:i4>0</vt:i4>
      </vt:variant>
      <vt:variant>
        <vt:i4>5</vt:i4>
      </vt:variant>
      <vt:variant>
        <vt:lpwstr>https://www.childcarefinder.gov.au/</vt:lpwstr>
      </vt:variant>
      <vt:variant>
        <vt:lpwstr/>
      </vt:variant>
      <vt:variant>
        <vt:i4>4063292</vt:i4>
      </vt:variant>
      <vt:variant>
        <vt:i4>90</vt:i4>
      </vt:variant>
      <vt:variant>
        <vt:i4>0</vt:i4>
      </vt:variant>
      <vt:variant>
        <vt:i4>5</vt:i4>
      </vt:variant>
      <vt:variant>
        <vt:lpwstr>https://www.startingblocks.gov.au/find-child-care/</vt:lpwstr>
      </vt:variant>
      <vt:variant>
        <vt:lpwstr/>
      </vt:variant>
      <vt:variant>
        <vt:i4>524296</vt:i4>
      </vt:variant>
      <vt:variant>
        <vt:i4>87</vt:i4>
      </vt:variant>
      <vt:variant>
        <vt:i4>0</vt:i4>
      </vt:variant>
      <vt:variant>
        <vt:i4>5</vt:i4>
      </vt:variant>
      <vt:variant>
        <vt:lpwstr>https://eduvic-my.sharepoint.com/Users/shannontyrer/Library/Containers/com.apple.mail/Data/Library/Mail Downloads/C8221BCF-1AA3-4E4D-9318-85671C794851/ACECQA National Register of providers and services</vt:lpwstr>
      </vt:variant>
      <vt:variant>
        <vt:lpwstr/>
      </vt:variant>
      <vt:variant>
        <vt:i4>3276861</vt:i4>
      </vt:variant>
      <vt:variant>
        <vt:i4>84</vt:i4>
      </vt:variant>
      <vt:variant>
        <vt:i4>0</vt:i4>
      </vt:variant>
      <vt:variant>
        <vt:i4>5</vt:i4>
      </vt:variant>
      <vt:variant>
        <vt:lpwstr>https://lms.learneyo.com/DETSC</vt:lpwstr>
      </vt:variant>
      <vt:variant>
        <vt:lpwstr/>
      </vt:variant>
      <vt:variant>
        <vt:i4>7077926</vt:i4>
      </vt:variant>
      <vt:variant>
        <vt:i4>81</vt:i4>
      </vt:variant>
      <vt:variant>
        <vt:i4>0</vt:i4>
      </vt:variant>
      <vt:variant>
        <vt:i4>5</vt:i4>
      </vt:variant>
      <vt:variant>
        <vt:lpwstr>https://www2.education.vic.gov.au/pal/outside-school-hours-care-decision-making-regarding-provision-oshc/policy</vt:lpwstr>
      </vt:variant>
      <vt:variant>
        <vt:lpwstr/>
      </vt:variant>
      <vt:variant>
        <vt:i4>196649</vt:i4>
      </vt:variant>
      <vt:variant>
        <vt:i4>5</vt:i4>
      </vt:variant>
      <vt:variant>
        <vt:i4>0</vt:i4>
      </vt:variant>
      <vt:variant>
        <vt:i4>5</vt:i4>
      </vt:variant>
      <vt:variant>
        <vt:lpwstr>mailto:copyright@education.vic.gov.au</vt:lpwstr>
      </vt:variant>
      <vt:variant>
        <vt:lpwstr/>
      </vt:variant>
      <vt:variant>
        <vt:i4>5308424</vt:i4>
      </vt:variant>
      <vt:variant>
        <vt:i4>2</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Kris Arcaro</cp:lastModifiedBy>
  <cp:revision>319</cp:revision>
  <dcterms:created xsi:type="dcterms:W3CDTF">2021-05-04T04:41:00Z</dcterms:created>
  <dcterms:modified xsi:type="dcterms:W3CDTF">2022-04-05T04:20:00Z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RecordPoint_WorkflowType">
    <vt:lpwstr>ActiveSubmitStub</vt:lpwstr>
  </property>
  <property fmtid="{D5CDD505-2E9C-101B-9397-08002B2CF9AE}" pid="4" name="RecordPoint_ActiveItemSiteId">
    <vt:lpwstr>{4c673cbb-74e3-4627-b61d-18a1d390bb0c}</vt:lpwstr>
  </property>
  <property fmtid="{D5CDD505-2E9C-101B-9397-08002B2CF9AE}" pid="5" name="RecordPoint_ActiveItemListId">
    <vt:lpwstr>{5b0359f3-11d4-4d3a-b269-e7a6c5d66e01}</vt:lpwstr>
  </property>
  <property fmtid="{D5CDD505-2E9C-101B-9397-08002B2CF9AE}" pid="6" name="RecordPoint_ActiveItemUniqueId">
    <vt:lpwstr>{9b86af8e-f0cb-4831-9e69-f4f8587b87ce}</vt:lpwstr>
  </property>
  <property fmtid="{D5CDD505-2E9C-101B-9397-08002B2CF9AE}" pid="7" name="RecordPoint_ActiveItemWebId">
    <vt:lpwstr>{fe4f9958-04f5-4a84-a47c-4623f1d1d67a}</vt:lpwstr>
  </property>
  <property fmtid="{D5CDD505-2E9C-101B-9397-08002B2CF9AE}" pid="8" name="RecordPoint_SubmissionDate">
    <vt:lpwstr/>
  </property>
  <property fmtid="{D5CDD505-2E9C-101B-9397-08002B2CF9AE}" pid="9" name="DEECD_SubjectCategory">
    <vt:lpwstr/>
  </property>
  <property fmtid="{D5CDD505-2E9C-101B-9397-08002B2CF9AE}" pid="10" name="Order">
    <vt:r8>23400</vt:r8>
  </property>
  <property fmtid="{D5CDD505-2E9C-101B-9397-08002B2CF9AE}" pid="11" name="DET_EDRMS_RCS">
    <vt:lpwstr>1;#1.2.2 Project Documentation|a3ce4c3c-7960-4756-834e-8cbbf9028802</vt:lpwstr>
  </property>
  <property fmtid="{D5CDD505-2E9C-101B-9397-08002B2CF9AE}" pid="12" name="URL">
    <vt:lpwstr/>
  </property>
  <property fmtid="{D5CDD505-2E9C-101B-9397-08002B2CF9AE}" pid="13" name="Cc">
    <vt:lpwstr/>
  </property>
  <property fmtid="{D5CDD505-2E9C-101B-9397-08002B2CF9AE}" pid="14" name="RecordPoint_RecordNumberSubmitted">
    <vt:lpwstr>R20211405654</vt:lpwstr>
  </property>
  <property fmtid="{D5CDD505-2E9C-101B-9397-08002B2CF9AE}" pid="15" name="From1">
    <vt:lpwstr/>
  </property>
  <property fmtid="{D5CDD505-2E9C-101B-9397-08002B2CF9AE}" pid="16" name="DocumentSetDescription">
    <vt:lpwstr/>
  </property>
  <property fmtid="{D5CDD505-2E9C-101B-9397-08002B2CF9AE}" pid="17" name="xd_ProgID">
    <vt:lpwstr/>
  </property>
  <property fmtid="{D5CDD505-2E9C-101B-9397-08002B2CF9AE}" pid="18" name="DEECD_ItemType">
    <vt:lpwstr>101;#Page|eb523acf-a821-456c-a76b-7607578309d7</vt:lpwstr>
  </property>
  <property fmtid="{D5CDD505-2E9C-101B-9397-08002B2CF9AE}" pid="19" name="Attachment">
    <vt:bool>false</vt:bool>
  </property>
  <property fmtid="{D5CDD505-2E9C-101B-9397-08002B2CF9AE}" pid="20" name="Supplier">
    <vt:lpwstr>MIES</vt:lpwstr>
  </property>
  <property fmtid="{D5CDD505-2E9C-101B-9397-08002B2CF9AE}" pid="21" name="TemplateUrl">
    <vt:lpwstr/>
  </property>
  <property fmtid="{D5CDD505-2E9C-101B-9397-08002B2CF9AE}" pid="22" name="DET_EDRMS_BusUnit">
    <vt:lpwstr/>
  </property>
  <property fmtid="{D5CDD505-2E9C-101B-9397-08002B2CF9AE}" pid="23" name="DEECD_Audience">
    <vt:lpwstr/>
  </property>
  <property fmtid="{D5CDD505-2E9C-101B-9397-08002B2CF9AE}" pid="24" name="DET_EDRMS_SecClass">
    <vt:lpwstr/>
  </property>
  <property fmtid="{D5CDD505-2E9C-101B-9397-08002B2CF9AE}" pid="25" name="To">
    <vt:lpwstr/>
  </property>
  <property fmtid="{D5CDD505-2E9C-101B-9397-08002B2CF9AE}" pid="26" name="Email Categories">
    <vt:lpwstr/>
  </property>
  <property fmtid="{D5CDD505-2E9C-101B-9397-08002B2CF9AE}" pid="27" name="Bcc">
    <vt:lpwstr/>
  </property>
  <property fmtid="{D5CDD505-2E9C-101B-9397-08002B2CF9AE}" pid="28" name="RecordPoint_ActiveItemMoved">
    <vt:lpwstr/>
  </property>
  <property fmtid="{D5CDD505-2E9C-101B-9397-08002B2CF9AE}" pid="29" name="RecordPoint_RecordFormat">
    <vt:lpwstr/>
  </property>
  <property fmtid="{D5CDD505-2E9C-101B-9397-08002B2CF9AE}" pid="30" name="Email Subject">
    <vt:lpwstr/>
  </property>
  <property fmtid="{D5CDD505-2E9C-101B-9397-08002B2CF9AE}" pid="31" name="RecordPoint_SubmissionCompleted">
    <vt:lpwstr>2021-02-10T11:24:47.8141372+11:00</vt:lpwstr>
  </property>
  <property fmtid="{D5CDD505-2E9C-101B-9397-08002B2CF9AE}" pid="32" name="_docset_NoMedatataSyncRequired">
    <vt:lpwstr>False</vt:lpwstr>
  </property>
  <property fmtid="{D5CDD505-2E9C-101B-9397-08002B2CF9AE}" pid="33" name="Document Type">
    <vt:lpwstr>Resource</vt:lpwstr>
  </property>
  <property fmtid="{D5CDD505-2E9C-101B-9397-08002B2CF9AE}" pid="34" name="DET_EDRMS_Description">
    <vt:lpwstr>Inclusive Education Grants
Guidelines
Scholarships</vt:lpwstr>
  </property>
  <property fmtid="{D5CDD505-2E9C-101B-9397-08002B2CF9AE}" pid="35" name="DEECD_Author">
    <vt:lpwstr>94;#Education|5232e41c-5101-41fe-b638-7d41d1371531</vt:lpwstr>
  </property>
  <property fmtid="{D5CDD505-2E9C-101B-9397-08002B2CF9AE}" pid="36" name="Conversation">
    <vt:lpwstr/>
  </property>
  <property fmtid="{D5CDD505-2E9C-101B-9397-08002B2CF9AE}" pid="37" name="Document Creation Year">
    <vt:lpwstr/>
  </property>
</Properties>
</file>