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0930896" w:rsidR="00624A55" w:rsidRPr="00624A55" w:rsidRDefault="00BA5EF2" w:rsidP="00624A55">
      <w:pPr>
        <w:pStyle w:val="Heading1"/>
        <w:rPr>
          <w:lang w:val="en-AU"/>
        </w:rPr>
      </w:pPr>
      <w:r>
        <w:rPr>
          <w:lang w:val="en-AU"/>
        </w:rPr>
        <w:t xml:space="preserve">Learning Difficulties – resources placemat  </w:t>
      </w:r>
    </w:p>
    <w:p w14:paraId="7D101E54" w14:textId="6A53A619" w:rsidR="00624A55" w:rsidRPr="00624A55" w:rsidRDefault="00BA5EF2" w:rsidP="00624A55">
      <w:pPr>
        <w:pStyle w:val="Intro"/>
      </w:pPr>
      <w:r w:rsidRPr="00BA5EF2">
        <w:t xml:space="preserve">The </w:t>
      </w:r>
      <w:r w:rsidR="003B141D">
        <w:t>d</w:t>
      </w:r>
      <w:r w:rsidRPr="00BA5EF2">
        <w:t>epartment has a variety of resources available to teachers and school leaders to support students with learning difficulties in schools.</w:t>
      </w:r>
    </w:p>
    <w:p w14:paraId="368BB2F0" w14:textId="04E120EC" w:rsidR="00624A55" w:rsidRPr="00BA5EF2" w:rsidRDefault="00BA5EF2" w:rsidP="00BA5EF2">
      <w:pPr>
        <w:pStyle w:val="Heading2"/>
      </w:pPr>
      <w:r w:rsidRPr="00BA5EF2">
        <w:t>Learning difficulties home page</w:t>
      </w:r>
      <w:r w:rsidR="00624A55" w:rsidRPr="00624A55">
        <w:rPr>
          <w:lang w:val="en-AU"/>
        </w:rPr>
        <w:t xml:space="preserve"> </w:t>
      </w:r>
    </w:p>
    <w:bookmarkStart w:id="0" w:name="_Toc54877711"/>
    <w:p w14:paraId="3456F5CE" w14:textId="654E2373" w:rsidR="006D58CC" w:rsidRPr="002C0543" w:rsidRDefault="002C0543" w:rsidP="002C0543">
      <w:pPr>
        <w:pStyle w:val="BodyText"/>
        <w:spacing w:before="115"/>
        <w:ind w:left="0"/>
        <w:rPr>
          <w:rStyle w:val="Hyperlink"/>
          <w:rFonts w:asciiTheme="majorHAnsi" w:eastAsiaTheme="majorEastAsia" w:hAnsiTheme="majorHAnsi" w:cs="Times New Roman (Headings CS)"/>
          <w:sz w:val="24"/>
          <w:szCs w:val="24"/>
        </w:rPr>
      </w:pPr>
      <w:r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  <w:szCs w:val="24"/>
        </w:rPr>
        <w:fldChar w:fldCharType="begin"/>
      </w:r>
      <w:r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  <w:szCs w:val="24"/>
        </w:rPr>
        <w:instrText xml:space="preserve"> HYPERLINK "https://education.edugate-cms.eduweb.vic.gov.au/school/teachers/teachingresources/discipline/english/reading/Pages/learningdifficulties.aspx" </w:instrText>
      </w:r>
      <w:r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  <w:szCs w:val="24"/>
        </w:rPr>
        <w:fldChar w:fldCharType="separate"/>
      </w:r>
      <w:r w:rsidR="006D58CC" w:rsidRPr="002C0543">
        <w:rPr>
          <w:rStyle w:val="Hyperlink"/>
          <w:rFonts w:asciiTheme="majorHAnsi" w:eastAsiaTheme="majorEastAsia" w:hAnsiTheme="majorHAnsi" w:cs="Times New Roman (Headings CS)"/>
          <w:sz w:val="24"/>
          <w:szCs w:val="24"/>
        </w:rPr>
        <w:t>Learning difficulties</w:t>
      </w:r>
    </w:p>
    <w:p w14:paraId="41425E56" w14:textId="4D6A30C8" w:rsidR="00BA5EF2" w:rsidRPr="00BA5EF2" w:rsidRDefault="002C0543" w:rsidP="00BA5EF2">
      <w:pPr>
        <w:rPr>
          <w:lang w:val="en-AU"/>
        </w:rPr>
      </w:pPr>
      <w:r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</w:rPr>
        <w:fldChar w:fldCharType="end"/>
      </w:r>
      <w:r w:rsidR="00BA5EF2" w:rsidRPr="00BA5EF2">
        <w:rPr>
          <w:lang w:val="en-AU"/>
        </w:rPr>
        <w:t>https://education.edugate-cms.eduweb.vic.gov. au/school/teachers/teachingresources/discipline/ english/reading/Pages/learningdifficulties.aspx</w:t>
      </w:r>
    </w:p>
    <w:p w14:paraId="6B714828" w14:textId="2A29D66C" w:rsidR="00624A55" w:rsidRPr="002C0543" w:rsidRDefault="00BA5EF2" w:rsidP="00BA5EF2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r w:rsidRPr="002C0543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t>Learning difficulties information guides</w:t>
      </w:r>
      <w:bookmarkEnd w:id="0"/>
    </w:p>
    <w:p w14:paraId="7125DFEC" w14:textId="28EAD801" w:rsidR="002C0543" w:rsidRPr="002C0543" w:rsidRDefault="00000000" w:rsidP="002C0543">
      <w:pPr>
        <w:keepNext/>
        <w:keepLines/>
        <w:rPr>
          <w:lang w:val="en-AU"/>
        </w:rPr>
      </w:pPr>
      <w:hyperlink r:id="rId10" w:history="1">
        <w:r w:rsidR="002C0543" w:rsidRPr="002C0543">
          <w:rPr>
            <w:rStyle w:val="Hyperlink"/>
            <w:rFonts w:asciiTheme="majorHAnsi" w:eastAsiaTheme="majorEastAsia" w:hAnsiTheme="majorHAnsi" w:cs="Times New Roman (Headings CS)"/>
            <w:sz w:val="24"/>
          </w:rPr>
          <w:t>Learning Difficulties Information Guide – School Leaders</w:t>
        </w:r>
      </w:hyperlink>
      <w:r w:rsidR="002C0543" w:rsidRPr="002C0543"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</w:rPr>
        <w:br/>
      </w:r>
      <w:r w:rsidR="002C0543" w:rsidRPr="002C0543">
        <w:rPr>
          <w:lang w:val="en-AU"/>
        </w:rPr>
        <w:t>www.education.vic.gov.au/Documents/school/ teachers/teachingresources/discipline/english/ reading/School-Leaders-Guide.pdf</w:t>
      </w:r>
    </w:p>
    <w:p w14:paraId="550C5A6B" w14:textId="0A105EE8" w:rsidR="002C0543" w:rsidRPr="002C0543" w:rsidRDefault="00000000" w:rsidP="002C0543">
      <w:pPr>
        <w:keepNext/>
        <w:keepLines/>
        <w:rPr>
          <w:lang w:val="en-AU"/>
        </w:rPr>
      </w:pPr>
      <w:hyperlink r:id="rId11" w:history="1">
        <w:r w:rsidR="002C0543" w:rsidRPr="002C0543">
          <w:rPr>
            <w:rStyle w:val="Hyperlink"/>
            <w:rFonts w:asciiTheme="majorHAnsi" w:eastAsiaTheme="majorEastAsia" w:hAnsiTheme="majorHAnsi" w:cs="Times New Roman (Headings CS)"/>
            <w:sz w:val="24"/>
          </w:rPr>
          <w:t>Learning Difficulties Information Guide – Literacy</w:t>
        </w:r>
      </w:hyperlink>
      <w:r w:rsidR="002C0543" w:rsidRPr="002C0543">
        <w:rPr>
          <w:rStyle w:val="Strong"/>
          <w:rFonts w:asciiTheme="majorHAnsi" w:eastAsiaTheme="majorEastAsia" w:hAnsiTheme="majorHAnsi" w:cs="Times New Roman (Headings CS)"/>
          <w:color w:val="500778" w:themeColor="accent5"/>
          <w:sz w:val="24"/>
        </w:rPr>
        <w:br/>
      </w:r>
      <w:r w:rsidR="002C0543" w:rsidRPr="002C0543">
        <w:rPr>
          <w:lang w:val="en-AU"/>
        </w:rPr>
        <w:t>www.education.vic.gov.au/Documents/school/ teachers/teachingresources/discipline/english/ reading/literacy-guide.pdf</w:t>
      </w:r>
    </w:p>
    <w:p w14:paraId="7D704C1E" w14:textId="61F34B46" w:rsidR="00141F23" w:rsidRPr="002C0543" w:rsidRDefault="00000000" w:rsidP="002C0543">
      <w:pPr>
        <w:keepNext/>
        <w:keepLines/>
        <w:rPr>
          <w:lang w:val="en-AU"/>
        </w:rPr>
      </w:pPr>
      <w:hyperlink r:id="rId12" w:history="1">
        <w:r w:rsidR="002C0543" w:rsidRPr="002C0543">
          <w:rPr>
            <w:rStyle w:val="Hyperlink"/>
            <w:rFonts w:asciiTheme="majorHAnsi" w:eastAsiaTheme="majorEastAsia" w:hAnsiTheme="majorHAnsi" w:cs="Times New Roman (Headings CS)"/>
            <w:sz w:val="24"/>
          </w:rPr>
          <w:t>Learning Difficulties Information Guide – Numeracy</w:t>
        </w:r>
      </w:hyperlink>
      <w:r w:rsidR="002C0543" w:rsidRPr="002C0543">
        <w:rPr>
          <w:lang w:val="en-AU"/>
        </w:rPr>
        <w:br/>
        <w:t>www.education.vic.gov.au/Documents/school/ teachers/teachingresources/discipline/english/ reading/Numeracy-Guide.pdf</w:t>
      </w:r>
    </w:p>
    <w:p w14:paraId="4D905657" w14:textId="469C05C2" w:rsidR="002C0543" w:rsidRPr="002C0543" w:rsidRDefault="002C0543" w:rsidP="002C0543">
      <w:pPr>
        <w:pStyle w:val="Heading2"/>
        <w:rPr>
          <w:lang w:val="en-AU"/>
        </w:rPr>
      </w:pPr>
      <w:r>
        <w:rPr>
          <w:lang w:val="en-AU"/>
        </w:rPr>
        <w:t>Professional learning – Inclusive Classrooms</w:t>
      </w:r>
    </w:p>
    <w:p w14:paraId="0FBB5E4E" w14:textId="306CEC29" w:rsidR="002C0543" w:rsidRPr="002C0543" w:rsidRDefault="002C0543" w:rsidP="002C0543">
      <w:pPr>
        <w:rPr>
          <w:lang w:val="en-AU"/>
        </w:rPr>
      </w:pPr>
      <w:r w:rsidRPr="002C0543">
        <w:rPr>
          <w:lang w:val="en-AU"/>
        </w:rPr>
        <w:t>The following online courses are available to all government school</w:t>
      </w:r>
      <w:r w:rsidR="005B1F37">
        <w:rPr>
          <w:lang w:val="en-AU"/>
        </w:rPr>
        <w:t xml:space="preserve"> </w:t>
      </w:r>
      <w:r w:rsidRPr="002C0543">
        <w:rPr>
          <w:lang w:val="en-AU"/>
        </w:rPr>
        <w:t>teachers at no cost.</w:t>
      </w:r>
    </w:p>
    <w:p w14:paraId="221D84DE" w14:textId="5AFF0E29" w:rsidR="002C0543" w:rsidRPr="002C0543" w:rsidRDefault="00D449FC" w:rsidP="002C0543">
      <w:pPr>
        <w:rPr>
          <w:lang w:val="en-AU"/>
        </w:rPr>
      </w:pPr>
      <w:hyperlink r:id="rId13" w:history="1">
        <w:r w:rsidR="002C0543" w:rsidRPr="00D449FC">
          <w:rPr>
            <w:rStyle w:val="Hyperlink"/>
            <w:rFonts w:asciiTheme="majorHAnsi" w:eastAsiaTheme="majorEastAsia" w:hAnsiTheme="majorHAnsi" w:cs="Times New Roman (Headings CS)"/>
            <w:sz w:val="24"/>
          </w:rPr>
          <w:t>Supporting Students with Learning Difficulties, including Dyslexia</w:t>
        </w:r>
      </w:hyperlink>
      <w:r w:rsidR="007E057A">
        <w:rPr>
          <w:lang w:val="en-AU"/>
        </w:rPr>
        <w:br/>
      </w:r>
      <w:r w:rsidR="007E057A" w:rsidRPr="007E057A">
        <w:rPr>
          <w:lang w:val="en-AU"/>
        </w:rPr>
        <w:t>https://courses.deafeducation.vic.edu.au/w/courses/10-supporting-students-with-learning-difficulties-including-dyslexia</w:t>
      </w:r>
    </w:p>
    <w:p w14:paraId="617F0AC5" w14:textId="0E4141C3" w:rsidR="002C0543" w:rsidRPr="002C0543" w:rsidRDefault="00931C27" w:rsidP="002C0543">
      <w:pPr>
        <w:rPr>
          <w:lang w:val="en-AU"/>
        </w:rPr>
      </w:pPr>
      <w:r>
        <w:rPr>
          <w:lang w:val="en-AU"/>
        </w:rPr>
        <w:t>This 8</w:t>
      </w:r>
      <w:r w:rsidR="002C0543" w:rsidRPr="002C0543">
        <w:rPr>
          <w:lang w:val="en-AU"/>
        </w:rPr>
        <w:t xml:space="preserve">-week course </w:t>
      </w:r>
      <w:r>
        <w:rPr>
          <w:lang w:val="en-AU"/>
        </w:rPr>
        <w:t xml:space="preserve">is </w:t>
      </w:r>
      <w:r w:rsidR="002C0543" w:rsidRPr="002C0543">
        <w:rPr>
          <w:lang w:val="en-AU"/>
        </w:rPr>
        <w:t>designed to develop teachers’ knowledge of evidence-based practices to support all students to become competent readers.</w:t>
      </w:r>
    </w:p>
    <w:p w14:paraId="61CD0467" w14:textId="1E1C9F9D" w:rsidR="002C0543" w:rsidRPr="002C0543" w:rsidRDefault="00A26E0F" w:rsidP="002C0543">
      <w:pPr>
        <w:rPr>
          <w:lang w:val="en-AU"/>
        </w:rPr>
      </w:pPr>
      <w:hyperlink r:id="rId14" w:history="1">
        <w:r w:rsidR="002C0543" w:rsidRPr="00A26E0F">
          <w:rPr>
            <w:rStyle w:val="Hyperlink"/>
            <w:rFonts w:asciiTheme="majorHAnsi" w:eastAsiaTheme="majorEastAsia" w:hAnsiTheme="majorHAnsi" w:cs="Times New Roman (Headings CS)"/>
            <w:sz w:val="24"/>
          </w:rPr>
          <w:t>Supporting Students with Dyscalculia</w:t>
        </w:r>
        <w:r w:rsidR="002C0543" w:rsidRPr="00A26E0F">
          <w:rPr>
            <w:rStyle w:val="Hyperlink"/>
            <w:lang w:val="en-AU"/>
          </w:rPr>
          <w:t xml:space="preserve"> </w:t>
        </w:r>
        <w:r w:rsidR="003B141D" w:rsidRPr="00A26E0F">
          <w:rPr>
            <w:rStyle w:val="Hyperlink"/>
            <w:lang w:val="en-AU"/>
          </w:rPr>
          <w:br/>
        </w:r>
      </w:hyperlink>
      <w:r w:rsidR="00013A69" w:rsidRPr="00013A69">
        <w:rPr>
          <w:lang w:val="en-AU"/>
        </w:rPr>
        <w:t>www.deafeducation.vic.edu.au/professional-learning/template?eventtemplate=163-supporting-students-with-dyscalculia</w:t>
      </w:r>
    </w:p>
    <w:p w14:paraId="021DF57D" w14:textId="7FC7110E" w:rsidR="0089606B" w:rsidRPr="005B1F37" w:rsidRDefault="002C0543" w:rsidP="002C0543">
      <w:pPr>
        <w:rPr>
          <w:lang w:val="en-AU"/>
        </w:rPr>
      </w:pPr>
      <w:r w:rsidRPr="002C0543">
        <w:rPr>
          <w:lang w:val="en-AU"/>
        </w:rPr>
        <w:t>T</w:t>
      </w:r>
      <w:r w:rsidR="00931C27">
        <w:rPr>
          <w:lang w:val="en-AU"/>
        </w:rPr>
        <w:t xml:space="preserve">his </w:t>
      </w:r>
      <w:r w:rsidR="003B141D">
        <w:rPr>
          <w:lang w:val="en-AU"/>
        </w:rPr>
        <w:t>2</w:t>
      </w:r>
      <w:r w:rsidR="00931C27">
        <w:rPr>
          <w:lang w:val="en-AU"/>
        </w:rPr>
        <w:t>-</w:t>
      </w:r>
      <w:r w:rsidRPr="002C0543">
        <w:rPr>
          <w:lang w:val="en-AU"/>
        </w:rPr>
        <w:t>hour course build</w:t>
      </w:r>
      <w:r w:rsidR="00CE103E">
        <w:rPr>
          <w:lang w:val="en-AU"/>
        </w:rPr>
        <w:t>s</w:t>
      </w:r>
      <w:r w:rsidRPr="002C0543">
        <w:rPr>
          <w:lang w:val="en-AU"/>
        </w:rPr>
        <w:t xml:space="preserve"> the confidence and capability of teachers to identify</w:t>
      </w:r>
      <w:r w:rsidR="00890DFC">
        <w:rPr>
          <w:lang w:val="en-AU"/>
        </w:rPr>
        <w:t xml:space="preserve">, </w:t>
      </w:r>
      <w:r w:rsidRPr="002C0543">
        <w:rPr>
          <w:lang w:val="en-AU"/>
        </w:rPr>
        <w:t xml:space="preserve">assess, plan for </w:t>
      </w:r>
      <w:r w:rsidR="00CE103E">
        <w:rPr>
          <w:lang w:val="en-AU"/>
        </w:rPr>
        <w:br/>
      </w:r>
      <w:r w:rsidRPr="002C0543">
        <w:rPr>
          <w:lang w:val="en-AU"/>
        </w:rPr>
        <w:t>and implement interventions</w:t>
      </w:r>
      <w:r w:rsidR="005B1F37">
        <w:rPr>
          <w:lang w:val="en-AU"/>
        </w:rPr>
        <w:t xml:space="preserve"> </w:t>
      </w:r>
      <w:r w:rsidRPr="002C0543">
        <w:rPr>
          <w:lang w:val="en-AU"/>
        </w:rPr>
        <w:t>to support students with learning difficulties in numeracy, including dyscalculia.</w:t>
      </w:r>
    </w:p>
    <w:p w14:paraId="79E1D6F1" w14:textId="77777777" w:rsidR="005B1F37" w:rsidRPr="005B1F37" w:rsidRDefault="005B1F37" w:rsidP="005B1F37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</w:pPr>
      <w:r w:rsidRPr="005B1F37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  <w:t>Learning difficulties in numeracy webinars</w:t>
      </w:r>
    </w:p>
    <w:p w14:paraId="67FFCD97" w14:textId="509D4662" w:rsidR="005B1F37" w:rsidRPr="005B1F37" w:rsidRDefault="005B1F37" w:rsidP="005B1F37">
      <w:pPr>
        <w:rPr>
          <w:lang w:val="en-US"/>
        </w:rPr>
      </w:pPr>
      <w:r w:rsidRPr="005B1F37">
        <w:rPr>
          <w:lang w:val="en-US"/>
        </w:rPr>
        <w:t xml:space="preserve">This </w:t>
      </w:r>
      <w:r w:rsidR="00931C27">
        <w:rPr>
          <w:lang w:val="en-US"/>
        </w:rPr>
        <w:t xml:space="preserve">5-part </w:t>
      </w:r>
      <w:r w:rsidRPr="005B1F37">
        <w:rPr>
          <w:lang w:val="en-US"/>
        </w:rPr>
        <w:t>video series focuses on knowledge relating to numeracy learning difficulties, including dyscalculia:</w:t>
      </w:r>
    </w:p>
    <w:p w14:paraId="3945EBF7" w14:textId="4672D981" w:rsidR="005B1F37" w:rsidRDefault="00000000" w:rsidP="005B1F37">
      <w:pPr>
        <w:pStyle w:val="Bullet1"/>
      </w:pPr>
      <w:hyperlink r:id="rId15" w:history="1">
        <w:r w:rsidR="005B1F37" w:rsidRPr="005B1F37">
          <w:rPr>
            <w:rStyle w:val="Hyperlink"/>
          </w:rPr>
          <w:t>Numeracy and the Brain</w:t>
        </w:r>
      </w:hyperlink>
      <w:r w:rsidR="005B1F37">
        <w:br/>
      </w:r>
      <w:r w:rsidR="005B1F37" w:rsidRPr="005B1F37">
        <w:t>www.youtube.com/watch?v=aZadVfLmepo</w:t>
      </w:r>
    </w:p>
    <w:p w14:paraId="39D25CAF" w14:textId="29932BBB" w:rsidR="005B1F37" w:rsidRPr="005B1F37" w:rsidRDefault="00000000" w:rsidP="005B1F37">
      <w:pPr>
        <w:pStyle w:val="Bullet1"/>
      </w:pPr>
      <w:hyperlink r:id="rId16" w:history="1">
        <w:r w:rsidR="005B1F37" w:rsidRPr="005B1F37">
          <w:rPr>
            <w:rStyle w:val="Hyperlink"/>
            <w:lang w:val="en-US"/>
          </w:rPr>
          <w:t>Numeracy and the Curriculum</w:t>
        </w:r>
      </w:hyperlink>
    </w:p>
    <w:p w14:paraId="79D4EE05" w14:textId="6A46C527" w:rsidR="005B1F37" w:rsidRDefault="005B1F37" w:rsidP="005B1F37">
      <w:pPr>
        <w:pStyle w:val="Bullet1"/>
        <w:numPr>
          <w:ilvl w:val="0"/>
          <w:numId w:val="0"/>
        </w:numPr>
        <w:ind w:left="284"/>
        <w:rPr>
          <w:lang w:val="en-US"/>
        </w:rPr>
      </w:pPr>
      <w:r w:rsidRPr="005B1F37">
        <w:rPr>
          <w:lang w:val="en-US"/>
        </w:rPr>
        <w:lastRenderedPageBreak/>
        <w:t>www.youtube.com/watch?v=IVRDJdAaAvg</w:t>
      </w:r>
    </w:p>
    <w:p w14:paraId="595F95F5" w14:textId="17B551D0" w:rsidR="005B1F37" w:rsidRPr="005B1F37" w:rsidRDefault="00000000" w:rsidP="005B1F37">
      <w:pPr>
        <w:pStyle w:val="Bullet1"/>
      </w:pPr>
      <w:hyperlink r:id="rId17" w:history="1">
        <w:r w:rsidR="005B1F37" w:rsidRPr="005B1F37">
          <w:rPr>
            <w:rStyle w:val="Hyperlink"/>
            <w:lang w:val="en-US"/>
          </w:rPr>
          <w:t>Characteristics of Dyscalculia</w:t>
        </w:r>
      </w:hyperlink>
      <w:r w:rsidR="005B1F37">
        <w:br/>
      </w:r>
      <w:r w:rsidR="005B1F37" w:rsidRPr="005B1F37">
        <w:rPr>
          <w:lang w:val="en-US"/>
        </w:rPr>
        <w:t>www.youtube.com/watch?v=KtOvPskrI70</w:t>
      </w:r>
    </w:p>
    <w:p w14:paraId="22371708" w14:textId="09D3BF8C" w:rsidR="005B1F37" w:rsidRPr="005B1F37" w:rsidRDefault="00000000" w:rsidP="005B1F37">
      <w:pPr>
        <w:pStyle w:val="Bullet1"/>
      </w:pPr>
      <w:hyperlink r:id="rId18" w:history="1">
        <w:r w:rsidR="005B1F37" w:rsidRPr="005B1F37">
          <w:rPr>
            <w:rStyle w:val="Hyperlink"/>
            <w:lang w:val="en-US"/>
          </w:rPr>
          <w:t>Classroom Assessments</w:t>
        </w:r>
      </w:hyperlink>
      <w:r w:rsidR="005B1F37">
        <w:rPr>
          <w:lang w:val="en-US"/>
        </w:rPr>
        <w:br/>
      </w:r>
      <w:r w:rsidR="005B1F37" w:rsidRPr="005B1F37">
        <w:rPr>
          <w:lang w:val="en-US"/>
        </w:rPr>
        <w:t>www.youtube.com/watch?v=W2cZA5M7S2I&amp;t=2s</w:t>
      </w:r>
    </w:p>
    <w:p w14:paraId="5AE09804" w14:textId="3838FE5D" w:rsidR="00B211E6" w:rsidRDefault="00000000" w:rsidP="005B1F37">
      <w:pPr>
        <w:pStyle w:val="Bullet1"/>
        <w:rPr>
          <w:lang w:val="en-US"/>
        </w:rPr>
      </w:pPr>
      <w:hyperlink r:id="rId19" w:history="1">
        <w:r w:rsidR="005B1F37" w:rsidRPr="005B1F37">
          <w:rPr>
            <w:rStyle w:val="Hyperlink"/>
            <w:lang w:val="en-US"/>
          </w:rPr>
          <w:t>Intervention Strategies</w:t>
        </w:r>
      </w:hyperlink>
      <w:r w:rsidR="005B1F37">
        <w:rPr>
          <w:lang w:val="en-US"/>
        </w:rPr>
        <w:br/>
      </w:r>
      <w:r w:rsidR="005B1F37" w:rsidRPr="005B1F37">
        <w:rPr>
          <w:lang w:val="en-US"/>
        </w:rPr>
        <w:t>www.youtube.com/watch?v=I2y5FCbsBjk</w:t>
      </w:r>
    </w:p>
    <w:p w14:paraId="53ADCB8E" w14:textId="77777777" w:rsidR="005B1F37" w:rsidRPr="005B1F37" w:rsidRDefault="005B1F37" w:rsidP="005B1F37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</w:pPr>
      <w:r w:rsidRPr="005B1F37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  <w:t>Learning difficulties including dyslexia webinars</w:t>
      </w:r>
    </w:p>
    <w:p w14:paraId="4D66F1CF" w14:textId="456F1D74" w:rsidR="005B1F37" w:rsidRPr="005B1F37" w:rsidRDefault="005B1F37" w:rsidP="005B1F37">
      <w:pPr>
        <w:rPr>
          <w:lang w:val="en-US"/>
        </w:rPr>
      </w:pPr>
      <w:r w:rsidRPr="005B1F37">
        <w:rPr>
          <w:lang w:val="en-US"/>
        </w:rPr>
        <w:t>This 2-part series of 10 videos focuses on skills for literacy learning to support students with learning difficulties including dyslexia:</w:t>
      </w:r>
    </w:p>
    <w:p w14:paraId="01576945" w14:textId="77777777" w:rsidR="005B1F37" w:rsidRPr="005B1F37" w:rsidRDefault="005B1F37" w:rsidP="0010652B">
      <w:pPr>
        <w:pStyle w:val="Heading3"/>
        <w:rPr>
          <w:lang w:val="en-US"/>
        </w:rPr>
      </w:pPr>
      <w:r w:rsidRPr="005B1F37">
        <w:rPr>
          <w:lang w:val="en-US"/>
        </w:rPr>
        <w:t>Series 1</w:t>
      </w:r>
    </w:p>
    <w:p w14:paraId="116E3218" w14:textId="100200BF" w:rsidR="005B1F37" w:rsidRPr="005B1F37" w:rsidRDefault="005B1F37" w:rsidP="0010652B">
      <w:pPr>
        <w:pStyle w:val="Bullet1"/>
      </w:pPr>
      <w:r w:rsidRPr="005B1F37">
        <w:t>Delving in Systemic Synthetic Phonics</w:t>
      </w:r>
    </w:p>
    <w:p w14:paraId="4B8474C6" w14:textId="2A869093" w:rsidR="005B1F37" w:rsidRPr="005B1F37" w:rsidRDefault="005B1F37" w:rsidP="0010652B">
      <w:pPr>
        <w:pStyle w:val="Bullet1"/>
      </w:pPr>
      <w:r w:rsidRPr="005B1F37">
        <w:t>Analysing Spelling Errors</w:t>
      </w:r>
    </w:p>
    <w:p w14:paraId="33809BCC" w14:textId="4DE5C2CD" w:rsidR="005B1F37" w:rsidRPr="005B1F37" w:rsidRDefault="005B1F37" w:rsidP="0010652B">
      <w:pPr>
        <w:pStyle w:val="Bullet1"/>
      </w:pPr>
      <w:r w:rsidRPr="005B1F37">
        <w:t>Decodable, Authentic, Predictable Texts</w:t>
      </w:r>
    </w:p>
    <w:p w14:paraId="67E5A465" w14:textId="7AB399A9" w:rsidR="005B1F37" w:rsidRPr="005B1F37" w:rsidRDefault="005B1F37" w:rsidP="0010652B">
      <w:pPr>
        <w:pStyle w:val="Bullet1"/>
      </w:pPr>
      <w:r w:rsidRPr="005B1F37">
        <w:t>Transitioning from Oral Language to Becoming Literate</w:t>
      </w:r>
    </w:p>
    <w:p w14:paraId="6FE094E0" w14:textId="3D406AEE" w:rsidR="005B1F37" w:rsidRPr="005B1F37" w:rsidRDefault="005B1F37" w:rsidP="0010652B">
      <w:pPr>
        <w:pStyle w:val="Bullet1"/>
      </w:pPr>
      <w:r w:rsidRPr="005B1F37">
        <w:t>Delving into Explicit Instruction</w:t>
      </w:r>
    </w:p>
    <w:p w14:paraId="15BC3B95" w14:textId="77777777" w:rsidR="005B1F37" w:rsidRPr="005B1F37" w:rsidRDefault="005B1F37" w:rsidP="005B1F37">
      <w:pPr>
        <w:rPr>
          <w:lang w:val="en-US"/>
        </w:rPr>
      </w:pPr>
      <w:r w:rsidRPr="0010652B">
        <w:rPr>
          <w:b/>
          <w:bCs/>
          <w:lang w:val="en-US"/>
        </w:rPr>
        <w:t xml:space="preserve">Visit: </w:t>
      </w:r>
      <w:r w:rsidRPr="005B1F37">
        <w:rPr>
          <w:lang w:val="en-US"/>
        </w:rPr>
        <w:t>https://courses.deafeducation.vic.edu. au/w/courses/93-learning-difficulties-including- dyslexia-webinar-series-1</w:t>
      </w:r>
    </w:p>
    <w:p w14:paraId="71466D50" w14:textId="77777777" w:rsidR="005B1F37" w:rsidRPr="0010652B" w:rsidRDefault="005B1F37" w:rsidP="005B1F37">
      <w:pPr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en-US"/>
        </w:rPr>
      </w:pPr>
      <w:r w:rsidRPr="0010652B"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en-US"/>
        </w:rPr>
        <w:t>Series 2</w:t>
      </w:r>
    </w:p>
    <w:p w14:paraId="35DC7A05" w14:textId="75883036" w:rsidR="005B1F37" w:rsidRPr="005B1F37" w:rsidRDefault="005B1F37" w:rsidP="0010652B">
      <w:pPr>
        <w:pStyle w:val="Bullet1"/>
      </w:pPr>
      <w:r w:rsidRPr="005B1F37">
        <w:t>Reading Comprehension</w:t>
      </w:r>
    </w:p>
    <w:p w14:paraId="6641D147" w14:textId="37274ED4" w:rsidR="005B1F37" w:rsidRPr="005B1F37" w:rsidRDefault="005B1F37" w:rsidP="0010652B">
      <w:pPr>
        <w:pStyle w:val="Bullet1"/>
      </w:pPr>
      <w:r w:rsidRPr="005B1F37">
        <w:t>Sight Words and High Frequency Words</w:t>
      </w:r>
    </w:p>
    <w:p w14:paraId="06068B3B" w14:textId="1E5D6654" w:rsidR="005B1F37" w:rsidRPr="005B1F37" w:rsidRDefault="005B1F37" w:rsidP="0010652B">
      <w:pPr>
        <w:pStyle w:val="Bullet1"/>
      </w:pPr>
      <w:r w:rsidRPr="005B1F37">
        <w:t>Word Reading Analysis</w:t>
      </w:r>
    </w:p>
    <w:p w14:paraId="44180244" w14:textId="1B3A2D2C" w:rsidR="005B1F37" w:rsidRPr="005B1F37" w:rsidRDefault="005B1F37" w:rsidP="0010652B">
      <w:pPr>
        <w:pStyle w:val="Bullet1"/>
      </w:pPr>
      <w:r w:rsidRPr="005B1F37">
        <w:t>Reasonable Adjustments in the Classroom</w:t>
      </w:r>
    </w:p>
    <w:p w14:paraId="681BCE81" w14:textId="347CAAB0" w:rsidR="005B1F37" w:rsidRPr="005B1F37" w:rsidRDefault="005B1F37" w:rsidP="0010652B">
      <w:pPr>
        <w:pStyle w:val="Bullet1"/>
      </w:pPr>
      <w:r w:rsidRPr="005B1F37">
        <w:t>Assistive Technology to Support Reading</w:t>
      </w:r>
    </w:p>
    <w:p w14:paraId="0DCE28F9" w14:textId="77777777" w:rsidR="005B1F37" w:rsidRPr="005B1F37" w:rsidRDefault="005B1F37" w:rsidP="005B1F37">
      <w:pPr>
        <w:rPr>
          <w:lang w:val="en-US"/>
        </w:rPr>
      </w:pPr>
      <w:r w:rsidRPr="0010652B">
        <w:rPr>
          <w:b/>
          <w:bCs/>
          <w:lang w:val="en-US"/>
        </w:rPr>
        <w:t>Visit:</w:t>
      </w:r>
      <w:r w:rsidRPr="005B1F37">
        <w:rPr>
          <w:lang w:val="en-US"/>
        </w:rPr>
        <w:t xml:space="preserve"> https://courses.deafeducation.vic.edu.au/w/ courses/102-learning-difficulties-including- dyslexia-webinar-series-2</w:t>
      </w:r>
    </w:p>
    <w:p w14:paraId="497B5548" w14:textId="77777777" w:rsidR="005B1F37" w:rsidRPr="0010652B" w:rsidRDefault="005B1F37" w:rsidP="005B1F37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</w:pPr>
      <w:r w:rsidRPr="0010652B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  <w:lang w:val="en-AU"/>
        </w:rPr>
        <w:t>Learning Difficulties including Dyslexia presentation series</w:t>
      </w:r>
    </w:p>
    <w:p w14:paraId="58BB4DD0" w14:textId="6B1C66B4" w:rsidR="005B1F37" w:rsidRDefault="005B1F37" w:rsidP="005B1F37">
      <w:pPr>
        <w:rPr>
          <w:lang w:val="en-US"/>
        </w:rPr>
      </w:pPr>
      <w:r w:rsidRPr="005B1F37">
        <w:rPr>
          <w:lang w:val="en-US"/>
        </w:rPr>
        <w:t>This video series focuses on the theory and evidence-based practice of supporting students with learning difficulties including dyslexia. It includes information about reading instruction and interventional practices.</w:t>
      </w:r>
    </w:p>
    <w:p w14:paraId="33198D91" w14:textId="7809908D" w:rsidR="0010652B" w:rsidRPr="005B1F37" w:rsidRDefault="0010652B" w:rsidP="005B1F37">
      <w:pPr>
        <w:rPr>
          <w:lang w:val="en-US"/>
        </w:rPr>
      </w:pPr>
      <w:r w:rsidRPr="0010652B">
        <w:rPr>
          <w:b/>
          <w:bCs/>
          <w:lang w:val="en-US"/>
        </w:rPr>
        <w:t>Visit:</w:t>
      </w:r>
      <w:r w:rsidRPr="005B1F37">
        <w:rPr>
          <w:lang w:val="en-US"/>
        </w:rPr>
        <w:t xml:space="preserve"> </w:t>
      </w:r>
      <w:r w:rsidRPr="0010652B">
        <w:rPr>
          <w:lang w:val="en-US"/>
        </w:rPr>
        <w:t>https://courses.deafeducation.vic.edu.au/w/ courses/114-learning-difficulties-including- dyslexia-presentation-series</w:t>
      </w:r>
    </w:p>
    <w:sectPr w:rsidR="0010652B" w:rsidRPr="005B1F37" w:rsidSect="005E6E43">
      <w:headerReference w:type="default" r:id="rId20"/>
      <w:footerReference w:type="default" r:id="rId21"/>
      <w:pgSz w:w="11900" w:h="16840"/>
      <w:pgMar w:top="2552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8A9" w14:textId="77777777" w:rsidR="00160C87" w:rsidRDefault="00160C87" w:rsidP="003967DD">
      <w:pPr>
        <w:spacing w:after="0"/>
      </w:pPr>
      <w:r>
        <w:separator/>
      </w:r>
    </w:p>
  </w:endnote>
  <w:endnote w:type="continuationSeparator" w:id="0">
    <w:p w14:paraId="0B3789AD" w14:textId="77777777" w:rsidR="00160C87" w:rsidRDefault="00160C8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50D6" w14:textId="77777777" w:rsidR="00160C87" w:rsidRDefault="00160C87" w:rsidP="003967DD">
      <w:pPr>
        <w:spacing w:after="0"/>
      </w:pPr>
      <w:r>
        <w:separator/>
      </w:r>
    </w:p>
  </w:footnote>
  <w:footnote w:type="continuationSeparator" w:id="0">
    <w:p w14:paraId="204E6DB1" w14:textId="77777777" w:rsidR="00160C87" w:rsidRDefault="00160C8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6D691617" w:rsidR="00DA5F30" w:rsidRDefault="00D9091E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7381720E" wp14:editId="22547C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-126 Disability Inclusion_Word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83895">
    <w:abstractNumId w:val="0"/>
  </w:num>
  <w:num w:numId="2" w16cid:durableId="367603961">
    <w:abstractNumId w:val="1"/>
  </w:num>
  <w:num w:numId="3" w16cid:durableId="508299352">
    <w:abstractNumId w:val="2"/>
  </w:num>
  <w:num w:numId="4" w16cid:durableId="882600461">
    <w:abstractNumId w:val="3"/>
  </w:num>
  <w:num w:numId="5" w16cid:durableId="1967924153">
    <w:abstractNumId w:val="4"/>
  </w:num>
  <w:num w:numId="6" w16cid:durableId="777987515">
    <w:abstractNumId w:val="9"/>
  </w:num>
  <w:num w:numId="7" w16cid:durableId="1300375178">
    <w:abstractNumId w:val="5"/>
  </w:num>
  <w:num w:numId="8" w16cid:durableId="748111680">
    <w:abstractNumId w:val="6"/>
  </w:num>
  <w:num w:numId="9" w16cid:durableId="393772980">
    <w:abstractNumId w:val="7"/>
  </w:num>
  <w:num w:numId="10" w16cid:durableId="798765537">
    <w:abstractNumId w:val="8"/>
  </w:num>
  <w:num w:numId="11" w16cid:durableId="344481118">
    <w:abstractNumId w:val="10"/>
  </w:num>
  <w:num w:numId="12" w16cid:durableId="1870946835">
    <w:abstractNumId w:val="12"/>
  </w:num>
  <w:num w:numId="13" w16cid:durableId="493493131">
    <w:abstractNumId w:val="14"/>
  </w:num>
  <w:num w:numId="14" w16cid:durableId="103504221">
    <w:abstractNumId w:val="15"/>
  </w:num>
  <w:num w:numId="15" w16cid:durableId="1910185669">
    <w:abstractNumId w:val="11"/>
  </w:num>
  <w:num w:numId="16" w16cid:durableId="820124771">
    <w:abstractNumId w:val="11"/>
    <w:lvlOverride w:ilvl="0">
      <w:startOverride w:val="1"/>
    </w:lvlOverride>
  </w:num>
  <w:num w:numId="17" w16cid:durableId="1612592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36A4"/>
    <w:rsid w:val="00013A69"/>
    <w:rsid w:val="0001640E"/>
    <w:rsid w:val="00065195"/>
    <w:rsid w:val="0006773D"/>
    <w:rsid w:val="00083C9C"/>
    <w:rsid w:val="000A47D4"/>
    <w:rsid w:val="000B27F7"/>
    <w:rsid w:val="000B7A2B"/>
    <w:rsid w:val="0010652B"/>
    <w:rsid w:val="00122369"/>
    <w:rsid w:val="00124D09"/>
    <w:rsid w:val="0012582C"/>
    <w:rsid w:val="00132D78"/>
    <w:rsid w:val="00141F23"/>
    <w:rsid w:val="00160C87"/>
    <w:rsid w:val="0020333C"/>
    <w:rsid w:val="00207499"/>
    <w:rsid w:val="002136D9"/>
    <w:rsid w:val="0021405F"/>
    <w:rsid w:val="002970D9"/>
    <w:rsid w:val="002A4A96"/>
    <w:rsid w:val="002C0543"/>
    <w:rsid w:val="002E3BED"/>
    <w:rsid w:val="00312720"/>
    <w:rsid w:val="00323DD1"/>
    <w:rsid w:val="00336C4C"/>
    <w:rsid w:val="00343D7F"/>
    <w:rsid w:val="003967DD"/>
    <w:rsid w:val="00397444"/>
    <w:rsid w:val="003B141D"/>
    <w:rsid w:val="00420768"/>
    <w:rsid w:val="0045446B"/>
    <w:rsid w:val="00482401"/>
    <w:rsid w:val="004A3A6A"/>
    <w:rsid w:val="004F085A"/>
    <w:rsid w:val="00507148"/>
    <w:rsid w:val="00584366"/>
    <w:rsid w:val="005968E7"/>
    <w:rsid w:val="005B1F37"/>
    <w:rsid w:val="005C57E7"/>
    <w:rsid w:val="005C62E8"/>
    <w:rsid w:val="005E6E43"/>
    <w:rsid w:val="00624A55"/>
    <w:rsid w:val="00635C65"/>
    <w:rsid w:val="006621B2"/>
    <w:rsid w:val="00685432"/>
    <w:rsid w:val="006A25AC"/>
    <w:rsid w:val="006A29C4"/>
    <w:rsid w:val="006A6A5B"/>
    <w:rsid w:val="006D58CC"/>
    <w:rsid w:val="0073270D"/>
    <w:rsid w:val="00736FB0"/>
    <w:rsid w:val="00744E46"/>
    <w:rsid w:val="00770CE4"/>
    <w:rsid w:val="007B556E"/>
    <w:rsid w:val="007B5834"/>
    <w:rsid w:val="007D1FB1"/>
    <w:rsid w:val="007D3E38"/>
    <w:rsid w:val="007E057A"/>
    <w:rsid w:val="007F2207"/>
    <w:rsid w:val="0087456B"/>
    <w:rsid w:val="00890DFC"/>
    <w:rsid w:val="0089606B"/>
    <w:rsid w:val="008C6C2E"/>
    <w:rsid w:val="008C78AF"/>
    <w:rsid w:val="008D5C8A"/>
    <w:rsid w:val="008F494F"/>
    <w:rsid w:val="009101FB"/>
    <w:rsid w:val="00930769"/>
    <w:rsid w:val="00931C27"/>
    <w:rsid w:val="00955936"/>
    <w:rsid w:val="009A0367"/>
    <w:rsid w:val="009C5685"/>
    <w:rsid w:val="00A26E0F"/>
    <w:rsid w:val="00A31926"/>
    <w:rsid w:val="00A35B58"/>
    <w:rsid w:val="00A63D55"/>
    <w:rsid w:val="00A724F4"/>
    <w:rsid w:val="00AD040F"/>
    <w:rsid w:val="00AE324B"/>
    <w:rsid w:val="00B009FB"/>
    <w:rsid w:val="00B04CD2"/>
    <w:rsid w:val="00B0601D"/>
    <w:rsid w:val="00B12B63"/>
    <w:rsid w:val="00B211E6"/>
    <w:rsid w:val="00B476BA"/>
    <w:rsid w:val="00B60495"/>
    <w:rsid w:val="00B76BB1"/>
    <w:rsid w:val="00BA5EF2"/>
    <w:rsid w:val="00BE63CA"/>
    <w:rsid w:val="00CE103E"/>
    <w:rsid w:val="00CE16AC"/>
    <w:rsid w:val="00D013E1"/>
    <w:rsid w:val="00D252AE"/>
    <w:rsid w:val="00D449FC"/>
    <w:rsid w:val="00D65FD9"/>
    <w:rsid w:val="00D9091E"/>
    <w:rsid w:val="00DA3218"/>
    <w:rsid w:val="00DA5F30"/>
    <w:rsid w:val="00DC4BCC"/>
    <w:rsid w:val="00DD3F70"/>
    <w:rsid w:val="00DF3442"/>
    <w:rsid w:val="00DF63CD"/>
    <w:rsid w:val="00E03CE0"/>
    <w:rsid w:val="00E60D42"/>
    <w:rsid w:val="00EB027C"/>
    <w:rsid w:val="00EB4033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6D58CC"/>
    <w:pPr>
      <w:widowControl w:val="0"/>
      <w:autoSpaceDE w:val="0"/>
      <w:autoSpaceDN w:val="0"/>
      <w:spacing w:after="0"/>
      <w:ind w:left="110"/>
    </w:pPr>
    <w:rPr>
      <w:rFonts w:ascii="Lucida Sans" w:eastAsia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58CC"/>
    <w:rPr>
      <w:rFonts w:ascii="Lucida Sans" w:eastAsia="Lucida Sans" w:hAnsi="Lucida Sans" w:cs="Lucida Sans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C0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57A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urses.deafeducation.vic.edu.au/w/courses/10-supporting-students-with-learning-difficulties-including-dyslexia" TargetMode="External"/><Relationship Id="rId18" Type="http://schemas.openxmlformats.org/officeDocument/2006/relationships/hyperlink" Target="http://www.youtube.com/watch?v=W2cZA5M7S2I&amp;t=2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Documents/school/%20teachers/teachingresources/discipline/english/%20reading/Numeracy-Guide.pdf" TargetMode="External"/><Relationship Id="rId17" Type="http://schemas.openxmlformats.org/officeDocument/2006/relationships/hyperlink" Target="http://www.youtube.com/watch?v=KtOvPskrI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IVRDJdAaAv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Documents/school/%20teachers/teachingresources/discipline/english/%20reading/literacy-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aZadVfLmep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cation.vic.gov.au/Documents/school/%20teachers/teachingresources/discipline/english/%20reading/School-Leaders-Guide.pdf" TargetMode="External"/><Relationship Id="rId19" Type="http://schemas.openxmlformats.org/officeDocument/2006/relationships/hyperlink" Target="http://www.youtube.com/watch?v=I2y5FCbsBj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eafeducation.vic.edu.au/professional-learning/template?eventtemplate=163-supporting-students-with-dyscalculi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425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39bdb89e-458e-4118-8253-288ea8fc5a5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BD271-00C5-4B1E-923D-B8839CC16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Tina Luton</cp:lastModifiedBy>
  <cp:revision>18</cp:revision>
  <dcterms:created xsi:type="dcterms:W3CDTF">2022-07-08T04:51:00Z</dcterms:created>
  <dcterms:modified xsi:type="dcterms:W3CDTF">2022-12-08T05:28:00Z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/>
  </property>
  <property fmtid="{D5CDD505-2E9C-101B-9397-08002B2CF9AE}" pid="5" name="RecordPoint_ActiveItemSiteId">
    <vt:lpwstr/>
  </property>
  <property fmtid="{D5CDD505-2E9C-101B-9397-08002B2CF9AE}" pid="6" name="RecordPoint_ActiveItemListId">
    <vt:lpwstr/>
  </property>
  <property fmtid="{D5CDD505-2E9C-101B-9397-08002B2CF9AE}" pid="7" name="RecordPoint_ActiveItemUniqueId">
    <vt:lpwstr/>
  </property>
  <property fmtid="{D5CDD505-2E9C-101B-9397-08002B2CF9AE}" pid="8" name="RecordPoint_ActiveItemWebId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