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D0B2" w14:textId="2C5598E8" w:rsidR="001E33C5" w:rsidRPr="001E33C5" w:rsidRDefault="00C35AB6" w:rsidP="001E33C5">
      <w:pPr>
        <w:pStyle w:val="Heading1"/>
        <w:rPr>
          <w:lang w:val="en-AU"/>
        </w:rPr>
      </w:pPr>
      <w:r w:rsidRPr="00C35AB6">
        <w:rPr>
          <w:bCs/>
          <w:lang w:val="en-AU"/>
        </w:rPr>
        <w:t>FISO</w:t>
      </w:r>
      <w:r>
        <w:rPr>
          <w:bCs/>
          <w:lang w:val="en-AU"/>
        </w:rPr>
        <w:t xml:space="preserve"> 2.0</w:t>
      </w:r>
      <w:r w:rsidRPr="00C35AB6">
        <w:rPr>
          <w:bCs/>
          <w:lang w:val="en-AU"/>
        </w:rPr>
        <w:t xml:space="preserve"> </w:t>
      </w:r>
      <w:r w:rsidR="00E22B06">
        <w:rPr>
          <w:bCs/>
          <w:lang w:val="en-AU"/>
        </w:rPr>
        <w:t>system</w:t>
      </w:r>
      <w:r w:rsidRPr="00C35AB6">
        <w:rPr>
          <w:bCs/>
          <w:lang w:val="en-AU"/>
        </w:rPr>
        <w:t xml:space="preserve"> measures</w:t>
      </w:r>
    </w:p>
    <w:p w14:paraId="1F0F0C90" w14:textId="5CED72D6" w:rsidR="00F878EE" w:rsidRDefault="00F878EE" w:rsidP="00F878EE">
      <w:pPr>
        <w:pStyle w:val="Intro"/>
      </w:pPr>
      <w:r w:rsidRPr="003E1040">
        <w:t>The</w:t>
      </w:r>
      <w:r>
        <w:t xml:space="preserve"> FISO 2.0</w:t>
      </w:r>
      <w:r w:rsidRPr="003E1040">
        <w:t xml:space="preserve"> </w:t>
      </w:r>
      <w:r w:rsidR="00C95D00">
        <w:t>system measures</w:t>
      </w:r>
      <w:r w:rsidRPr="003E1040">
        <w:t xml:space="preserve"> provide a reliable set of evidence-based measures for schools to use when </w:t>
      </w:r>
      <w:r>
        <w:t>completing the improvement cycle</w:t>
      </w:r>
      <w:r w:rsidRPr="003E1040">
        <w:t>.</w:t>
      </w:r>
      <w:r>
        <w:t xml:space="preserve"> Schools can use the measures to evaluate and diagnose their progress, </w:t>
      </w:r>
      <w:proofErr w:type="gramStart"/>
      <w:r>
        <w:t>prioritise</w:t>
      </w:r>
      <w:proofErr w:type="gramEnd"/>
      <w:r>
        <w:t xml:space="preserve"> and set goals for improvement, develop and plan for implementation, and monitor progress.</w:t>
      </w:r>
    </w:p>
    <w:p w14:paraId="76C1ED3F" w14:textId="77777777" w:rsidR="00CC2BBD" w:rsidRPr="00CC2BBD" w:rsidRDefault="00CC2BBD" w:rsidP="001B3A4D">
      <w:pPr>
        <w:ind w:firstLine="720"/>
        <w:rPr>
          <w:b/>
          <w:color w:val="004C97" w:themeColor="accent5"/>
          <w:sz w:val="32"/>
          <w:szCs w:val="32"/>
          <w:lang w:val="en-AU"/>
        </w:rPr>
      </w:pPr>
    </w:p>
    <w:p w14:paraId="1D09D119" w14:textId="4B498BCA" w:rsidR="00CC2BBD" w:rsidRDefault="00CC2BBD" w:rsidP="00CC2BBD">
      <w:pPr>
        <w:tabs>
          <w:tab w:val="left" w:pos="1470"/>
        </w:tabs>
        <w:rPr>
          <w:rFonts w:asciiTheme="majorHAnsi" w:eastAsiaTheme="majorEastAsia" w:hAnsiTheme="majorHAnsi" w:cstheme="majorBidi"/>
          <w:b/>
          <w:color w:val="E57100" w:themeColor="accent1"/>
          <w:sz w:val="24"/>
          <w:lang w:val="en-AU"/>
        </w:rPr>
      </w:pPr>
      <w:r>
        <w:rPr>
          <w:b/>
          <w:color w:val="004C97" w:themeColor="accent5"/>
          <w:sz w:val="32"/>
          <w:szCs w:val="32"/>
          <w:lang w:val="en-AU"/>
        </w:rPr>
        <w:t xml:space="preserve">Selecting </w:t>
      </w:r>
      <w:r w:rsidR="00161C8D">
        <w:rPr>
          <w:b/>
          <w:color w:val="004C97" w:themeColor="accent5"/>
          <w:sz w:val="32"/>
          <w:szCs w:val="32"/>
          <w:lang w:val="en-AU"/>
        </w:rPr>
        <w:t>the</w:t>
      </w:r>
      <w:r>
        <w:rPr>
          <w:b/>
          <w:color w:val="004C97" w:themeColor="accent5"/>
          <w:sz w:val="32"/>
          <w:szCs w:val="32"/>
          <w:lang w:val="en-AU"/>
        </w:rPr>
        <w:t xml:space="preserve"> </w:t>
      </w:r>
      <w:r w:rsidR="00C95D00">
        <w:rPr>
          <w:b/>
          <w:color w:val="004C97" w:themeColor="accent5"/>
          <w:sz w:val="32"/>
          <w:szCs w:val="32"/>
          <w:lang w:val="en-AU"/>
        </w:rPr>
        <w:t>system measures</w:t>
      </w:r>
      <w:r>
        <w:rPr>
          <w:rFonts w:asciiTheme="majorHAnsi" w:eastAsiaTheme="majorEastAsia" w:hAnsiTheme="majorHAnsi" w:cstheme="majorBidi"/>
          <w:b/>
          <w:color w:val="E57100" w:themeColor="accent1"/>
          <w:sz w:val="24"/>
          <w:lang w:val="en-AU"/>
        </w:rPr>
        <w:tab/>
      </w:r>
    </w:p>
    <w:p w14:paraId="0397D088" w14:textId="2D24C9A7" w:rsidR="00CC2BBD" w:rsidRDefault="00CC2BBD" w:rsidP="00CC2BBD">
      <w:pPr>
        <w:rPr>
          <w:b/>
          <w:bCs/>
          <w:lang w:val="en-AU"/>
        </w:rPr>
      </w:pPr>
      <w:r>
        <w:rPr>
          <w:rFonts w:asciiTheme="majorHAnsi" w:eastAsiaTheme="majorEastAsia" w:hAnsiTheme="majorHAnsi" w:cstheme="majorBidi"/>
          <w:b/>
          <w:color w:val="E57100" w:themeColor="accent1"/>
          <w:sz w:val="24"/>
          <w:lang w:val="en-AU"/>
        </w:rPr>
        <w:t>T</w:t>
      </w:r>
      <w:r w:rsidRPr="001E33C5">
        <w:rPr>
          <w:rFonts w:asciiTheme="majorHAnsi" w:eastAsiaTheme="majorEastAsia" w:hAnsiTheme="majorHAnsi" w:cstheme="majorBidi"/>
          <w:b/>
          <w:color w:val="E57100" w:themeColor="accent1"/>
          <w:sz w:val="24"/>
          <w:lang w:val="en-AU"/>
        </w:rPr>
        <w:t>he</w:t>
      </w:r>
      <w:r w:rsidR="00161C8D">
        <w:rPr>
          <w:rFonts w:asciiTheme="majorHAnsi" w:eastAsiaTheme="majorEastAsia" w:hAnsiTheme="majorHAnsi" w:cstheme="majorBidi"/>
          <w:b/>
          <w:color w:val="E57100" w:themeColor="accent1"/>
          <w:sz w:val="24"/>
          <w:lang w:val="en-AU"/>
        </w:rPr>
        <w:t xml:space="preserve">se </w:t>
      </w:r>
      <w:r>
        <w:rPr>
          <w:rFonts w:asciiTheme="majorHAnsi" w:eastAsiaTheme="majorEastAsia" w:hAnsiTheme="majorHAnsi" w:cstheme="majorBidi"/>
          <w:b/>
          <w:color w:val="E57100" w:themeColor="accent1"/>
          <w:sz w:val="24"/>
          <w:lang w:val="en-AU"/>
        </w:rPr>
        <w:t xml:space="preserve">measures represent the Department’s </w:t>
      </w:r>
      <w:r w:rsidRPr="001E33C5">
        <w:rPr>
          <w:rFonts w:asciiTheme="majorHAnsi" w:eastAsiaTheme="majorEastAsia" w:hAnsiTheme="majorHAnsi" w:cstheme="majorBidi"/>
          <w:b/>
          <w:color w:val="E57100" w:themeColor="accent1"/>
          <w:sz w:val="24"/>
          <w:lang w:val="en-AU"/>
        </w:rPr>
        <w:t>best evidence on what matters</w:t>
      </w:r>
      <w:r w:rsidR="003B73FF">
        <w:rPr>
          <w:rFonts w:asciiTheme="majorHAnsi" w:eastAsiaTheme="majorEastAsia" w:hAnsiTheme="majorHAnsi" w:cstheme="majorBidi"/>
          <w:b/>
          <w:color w:val="E57100" w:themeColor="accent1"/>
          <w:sz w:val="24"/>
          <w:lang w:val="en-AU"/>
        </w:rPr>
        <w:t xml:space="preserve"> most</w:t>
      </w:r>
      <w:r w:rsidRPr="001E33C5">
        <w:rPr>
          <w:rFonts w:asciiTheme="majorHAnsi" w:eastAsiaTheme="majorEastAsia" w:hAnsiTheme="majorHAnsi" w:cstheme="majorBidi"/>
          <w:b/>
          <w:color w:val="E57100" w:themeColor="accent1"/>
          <w:sz w:val="24"/>
          <w:lang w:val="en-AU"/>
        </w:rPr>
        <w:t xml:space="preserve"> to improving student outcomes</w:t>
      </w:r>
      <w:r w:rsidRPr="001E33C5">
        <w:rPr>
          <w:b/>
          <w:bCs/>
          <w:lang w:val="en-AU"/>
        </w:rPr>
        <w:t xml:space="preserve"> </w:t>
      </w:r>
      <w:r>
        <w:rPr>
          <w:b/>
          <w:bCs/>
          <w:lang w:val="en-AU"/>
        </w:rPr>
        <w:t xml:space="preserve"> </w:t>
      </w:r>
    </w:p>
    <w:p w14:paraId="301F2882" w14:textId="3CFAFD11" w:rsidR="00345505" w:rsidRDefault="00F878EE" w:rsidP="00F878EE">
      <w:r w:rsidRPr="003E1040">
        <w:t>The measures have been identified from Departmental analysis of data from Victorian government schools</w:t>
      </w:r>
      <w:r>
        <w:t>.</w:t>
      </w:r>
      <w:r w:rsidRPr="003E1040">
        <w:t xml:space="preserve"> </w:t>
      </w:r>
      <w:r>
        <w:t xml:space="preserve">Measures are </w:t>
      </w:r>
      <w:r w:rsidRPr="003E1040">
        <w:t>selected by their largest impact on, and correlation to, positive learning and wellbeing outcomes for Victorian government school students.</w:t>
      </w:r>
      <w:r>
        <w:t xml:space="preserve"> </w:t>
      </w:r>
    </w:p>
    <w:p w14:paraId="4DA07E2C" w14:textId="75F416E4" w:rsidR="00F878EE" w:rsidRDefault="00F878EE" w:rsidP="00F878EE">
      <w:r w:rsidRPr="003E1040">
        <w:t>The</w:t>
      </w:r>
      <w:r>
        <w:t xml:space="preserve"> measures are</w:t>
      </w:r>
      <w:r w:rsidRPr="003E1040">
        <w:t xml:space="preserve"> also supported by Australian and international academic research.</w:t>
      </w:r>
    </w:p>
    <w:p w14:paraId="4358913E" w14:textId="77777777" w:rsidR="00135FEB" w:rsidRDefault="00135FEB" w:rsidP="00135FEB">
      <w:r w:rsidRPr="00CE1DAE">
        <w:t xml:space="preserve">These measures </w:t>
      </w:r>
      <w:r>
        <w:t xml:space="preserve">are </w:t>
      </w:r>
      <w:r w:rsidRPr="00CE1DAE">
        <w:t xml:space="preserve">a </w:t>
      </w:r>
      <w:r>
        <w:t>use</w:t>
      </w:r>
      <w:r w:rsidRPr="00CE1DAE">
        <w:t xml:space="preserve">ful starting point </w:t>
      </w:r>
      <w:r>
        <w:t>for</w:t>
      </w:r>
      <w:r w:rsidRPr="00CE1DAE">
        <w:t xml:space="preserve"> school</w:t>
      </w:r>
      <w:r>
        <w:t xml:space="preserve"> strategic and annual</w:t>
      </w:r>
      <w:r w:rsidRPr="00CE1DAE">
        <w:t xml:space="preserve"> planning and </w:t>
      </w:r>
      <w:r>
        <w:t xml:space="preserve">may be </w:t>
      </w:r>
      <w:r w:rsidRPr="00CE1DAE">
        <w:t>adapted</w:t>
      </w:r>
      <w:r>
        <w:t xml:space="preserve"> to your school’s context. </w:t>
      </w:r>
    </w:p>
    <w:p w14:paraId="44C43209" w14:textId="77777777" w:rsidR="0065158B" w:rsidRDefault="0065158B" w:rsidP="00F84C92">
      <w:pPr>
        <w:rPr>
          <w:rFonts w:asciiTheme="majorHAnsi" w:eastAsiaTheme="majorEastAsia" w:hAnsiTheme="majorHAnsi" w:cstheme="majorBidi"/>
          <w:b/>
          <w:color w:val="E57100" w:themeColor="accent1"/>
          <w:sz w:val="24"/>
          <w:lang w:val="en-AU"/>
        </w:rPr>
      </w:pPr>
    </w:p>
    <w:p w14:paraId="1755D6C2" w14:textId="3F37D1C6" w:rsidR="00F84C92" w:rsidRPr="008E1772" w:rsidRDefault="00F64759" w:rsidP="00F84C92">
      <w:pPr>
        <w:rPr>
          <w:i/>
          <w:iCs/>
          <w:lang w:val="en-AU"/>
        </w:rPr>
      </w:pPr>
      <w:r>
        <w:rPr>
          <w:rFonts w:asciiTheme="majorHAnsi" w:eastAsiaTheme="majorEastAsia" w:hAnsiTheme="majorHAnsi" w:cstheme="majorBidi"/>
          <w:b/>
          <w:color w:val="E57100" w:themeColor="accent1"/>
          <w:sz w:val="24"/>
          <w:lang w:val="en-AU"/>
        </w:rPr>
        <w:t xml:space="preserve">Principles for selecting the </w:t>
      </w:r>
      <w:r w:rsidR="00135FEB">
        <w:rPr>
          <w:rFonts w:asciiTheme="majorHAnsi" w:eastAsiaTheme="majorEastAsia" w:hAnsiTheme="majorHAnsi" w:cstheme="majorBidi"/>
          <w:b/>
          <w:color w:val="E57100" w:themeColor="accent1"/>
          <w:sz w:val="24"/>
          <w:lang w:val="en-AU"/>
        </w:rPr>
        <w:t>system</w:t>
      </w:r>
      <w:r>
        <w:rPr>
          <w:rFonts w:asciiTheme="majorHAnsi" w:eastAsiaTheme="majorEastAsia" w:hAnsiTheme="majorHAnsi" w:cstheme="majorBidi"/>
          <w:b/>
          <w:color w:val="E57100" w:themeColor="accent1"/>
          <w:sz w:val="24"/>
          <w:lang w:val="en-AU"/>
        </w:rPr>
        <w:t xml:space="preserve"> measures</w:t>
      </w:r>
    </w:p>
    <w:p w14:paraId="4BA09CDC" w14:textId="0079F992" w:rsidR="00CC2BBD" w:rsidRPr="00F84C92" w:rsidRDefault="00CC2BBD" w:rsidP="00CC2BBD">
      <w:pPr>
        <w:pStyle w:val="Heading3"/>
        <w:rPr>
          <w:rFonts w:asciiTheme="minorHAnsi" w:eastAsiaTheme="minorHAnsi" w:hAnsiTheme="minorHAnsi" w:cstheme="minorBidi"/>
          <w:b w:val="0"/>
          <w:color w:val="auto"/>
          <w:sz w:val="22"/>
          <w:lang w:val="en-AU"/>
        </w:rPr>
      </w:pPr>
      <w:r w:rsidRPr="00F84C92">
        <w:rPr>
          <w:rFonts w:asciiTheme="minorHAnsi" w:eastAsiaTheme="minorHAnsi" w:hAnsiTheme="minorHAnsi" w:cstheme="minorBidi"/>
          <w:b w:val="0"/>
          <w:color w:val="auto"/>
          <w:sz w:val="22"/>
          <w:lang w:val="en-AU"/>
        </w:rPr>
        <w:t>The</w:t>
      </w:r>
      <w:r w:rsidR="003A7B0B">
        <w:rPr>
          <w:rFonts w:asciiTheme="minorHAnsi" w:eastAsiaTheme="minorHAnsi" w:hAnsiTheme="minorHAnsi" w:cstheme="minorBidi"/>
          <w:b w:val="0"/>
          <w:color w:val="auto"/>
          <w:sz w:val="22"/>
          <w:lang w:val="en-AU"/>
        </w:rPr>
        <w:t xml:space="preserve"> following</w:t>
      </w:r>
      <w:r w:rsidRPr="00F84C92">
        <w:rPr>
          <w:rFonts w:asciiTheme="minorHAnsi" w:eastAsiaTheme="minorHAnsi" w:hAnsiTheme="minorHAnsi" w:cstheme="minorBidi"/>
          <w:b w:val="0"/>
          <w:color w:val="auto"/>
          <w:sz w:val="22"/>
          <w:lang w:val="en-AU"/>
        </w:rPr>
        <w:t xml:space="preserve"> principles </w:t>
      </w:r>
      <w:r w:rsidR="003A7B0B">
        <w:rPr>
          <w:rFonts w:asciiTheme="minorHAnsi" w:eastAsiaTheme="minorHAnsi" w:hAnsiTheme="minorHAnsi" w:cstheme="minorBidi"/>
          <w:b w:val="0"/>
          <w:color w:val="auto"/>
          <w:sz w:val="22"/>
          <w:lang w:val="en-AU"/>
        </w:rPr>
        <w:t>were used for the selection of FISO 2.0</w:t>
      </w:r>
      <w:r w:rsidRPr="00F84C92">
        <w:rPr>
          <w:rFonts w:asciiTheme="minorHAnsi" w:eastAsiaTheme="minorHAnsi" w:hAnsiTheme="minorHAnsi" w:cstheme="minorBidi"/>
          <w:b w:val="0"/>
          <w:color w:val="auto"/>
          <w:sz w:val="22"/>
          <w:lang w:val="en-AU"/>
        </w:rPr>
        <w:t xml:space="preserve"> </w:t>
      </w:r>
      <w:r w:rsidR="00C95D00">
        <w:rPr>
          <w:rFonts w:asciiTheme="minorHAnsi" w:eastAsiaTheme="minorHAnsi" w:hAnsiTheme="minorHAnsi" w:cstheme="minorBidi"/>
          <w:b w:val="0"/>
          <w:color w:val="auto"/>
          <w:sz w:val="22"/>
          <w:lang w:val="en-AU"/>
        </w:rPr>
        <w:t>system measures</w:t>
      </w:r>
      <w:r w:rsidRPr="00F84C92">
        <w:rPr>
          <w:rFonts w:asciiTheme="minorHAnsi" w:eastAsiaTheme="minorHAnsi" w:hAnsiTheme="minorHAnsi" w:cstheme="minorBidi"/>
          <w:b w:val="0"/>
          <w:color w:val="auto"/>
          <w:sz w:val="22"/>
          <w:lang w:val="en-AU"/>
        </w:rPr>
        <w:t xml:space="preserve">: </w:t>
      </w:r>
    </w:p>
    <w:p w14:paraId="6BAE83AE" w14:textId="77777777" w:rsidR="001E33C5" w:rsidRPr="001E33C5" w:rsidRDefault="00CC2BBD" w:rsidP="00CC2BBD">
      <w:pPr>
        <w:pStyle w:val="Bullet1"/>
        <w:ind w:left="284" w:hanging="284"/>
      </w:pPr>
      <w:r>
        <w:t xml:space="preserve">A </w:t>
      </w:r>
      <w:r w:rsidRPr="008E1223">
        <w:t>p</w:t>
      </w:r>
      <w:r w:rsidR="001E33C5" w:rsidRPr="008E1223">
        <w:t>roven analytical or research evidence base to improving student learning and/or wellbeing outcomes</w:t>
      </w:r>
    </w:p>
    <w:p w14:paraId="20FE894C" w14:textId="408141F5" w:rsidR="001E33C5" w:rsidRPr="001E33C5" w:rsidRDefault="001E33C5" w:rsidP="00CC2BBD">
      <w:pPr>
        <w:pStyle w:val="Bullet1"/>
        <w:ind w:left="284" w:hanging="284"/>
      </w:pPr>
      <w:r w:rsidRPr="001E33C5">
        <w:t>Sufficient coverage at the school level</w:t>
      </w:r>
      <w:r w:rsidR="00444E80">
        <w:t xml:space="preserve"> so the measure covers most school and students</w:t>
      </w:r>
    </w:p>
    <w:p w14:paraId="5FE5EF6A" w14:textId="4C73CDD3" w:rsidR="001E33C5" w:rsidRPr="008E1223" w:rsidRDefault="001E33C5" w:rsidP="00CC2BBD">
      <w:pPr>
        <w:pStyle w:val="Bullet1"/>
        <w:ind w:left="284" w:hanging="284"/>
      </w:pPr>
      <w:r w:rsidRPr="008E1223">
        <w:t>Sufficient variation between schools and over time</w:t>
      </w:r>
      <w:r w:rsidR="00444E80" w:rsidRPr="008E1223">
        <w:t>. This indicates the measure is not stable and can change in response</w:t>
      </w:r>
      <w:r w:rsidR="00444E80">
        <w:t xml:space="preserve"> to practice</w:t>
      </w:r>
    </w:p>
    <w:p w14:paraId="1A2B4FF1" w14:textId="1CEA6B70" w:rsidR="00CC2BBD" w:rsidRPr="00F84C92" w:rsidRDefault="00CC2BBD" w:rsidP="00CC2BBD">
      <w:pPr>
        <w:pStyle w:val="Bullet1"/>
        <w:ind w:left="284" w:hanging="284"/>
      </w:pPr>
      <w:r>
        <w:t>Where possible, a</w:t>
      </w:r>
      <w:r w:rsidR="001E33C5" w:rsidRPr="001E33C5">
        <w:t>t least three years of trend data at the school leve</w:t>
      </w:r>
      <w:r w:rsidR="00F84C92">
        <w:t>l</w:t>
      </w:r>
    </w:p>
    <w:p w14:paraId="2AB5F2C4" w14:textId="00F8EE7C" w:rsidR="00CC2BBD" w:rsidRPr="00CB07A2" w:rsidRDefault="00CC2BBD" w:rsidP="00CB07A2">
      <w:pPr>
        <w:rPr>
          <w:lang w:val="en-AU"/>
        </w:rPr>
      </w:pPr>
    </w:p>
    <w:p w14:paraId="6DA64262" w14:textId="4A15DFFF" w:rsidR="002E415F" w:rsidRDefault="002E415F" w:rsidP="002E415F">
      <w:pPr>
        <w:rPr>
          <w:b/>
          <w:bCs/>
          <w:lang w:val="en-AU"/>
        </w:rPr>
      </w:pPr>
      <w:r w:rsidRPr="001E33C5">
        <w:rPr>
          <w:rFonts w:asciiTheme="majorHAnsi" w:eastAsiaTheme="majorEastAsia" w:hAnsiTheme="majorHAnsi" w:cstheme="majorBidi"/>
          <w:b/>
          <w:color w:val="E57100" w:themeColor="accent1"/>
          <w:sz w:val="24"/>
          <w:lang w:val="en-AU"/>
        </w:rPr>
        <w:t>The Department is committed to improving our evidence base over time</w:t>
      </w:r>
    </w:p>
    <w:p w14:paraId="6AF4774B" w14:textId="4E21E907" w:rsidR="00444E80" w:rsidRDefault="002E415F" w:rsidP="001B3A4D">
      <w:pPr>
        <w:rPr>
          <w:lang w:val="en-AU"/>
        </w:rPr>
      </w:pPr>
      <w:r w:rsidRPr="001E33C5">
        <w:rPr>
          <w:lang w:val="en-AU"/>
        </w:rPr>
        <w:t>In some cases, our</w:t>
      </w:r>
      <w:r>
        <w:rPr>
          <w:lang w:val="en-AU"/>
        </w:rPr>
        <w:t xml:space="preserve"> work</w:t>
      </w:r>
      <w:r w:rsidRPr="001E33C5">
        <w:rPr>
          <w:lang w:val="en-AU"/>
        </w:rPr>
        <w:t xml:space="preserve"> ha</w:t>
      </w:r>
      <w:r>
        <w:rPr>
          <w:lang w:val="en-AU"/>
        </w:rPr>
        <w:t>s</w:t>
      </w:r>
      <w:r w:rsidRPr="001E33C5">
        <w:rPr>
          <w:lang w:val="en-AU"/>
        </w:rPr>
        <w:t xml:space="preserve"> revealed gaps in </w:t>
      </w:r>
      <w:r w:rsidR="000942E8">
        <w:rPr>
          <w:lang w:val="en-AU"/>
        </w:rPr>
        <w:t>the Department’s</w:t>
      </w:r>
      <w:r w:rsidRPr="001E33C5">
        <w:rPr>
          <w:lang w:val="en-AU"/>
        </w:rPr>
        <w:t xml:space="preserve"> measurement framework</w:t>
      </w:r>
      <w:r w:rsidR="004E170F">
        <w:rPr>
          <w:lang w:val="en-AU"/>
        </w:rPr>
        <w:t>.</w:t>
      </w:r>
      <w:r w:rsidR="00444E80">
        <w:rPr>
          <w:lang w:val="en-AU"/>
        </w:rPr>
        <w:t xml:space="preserve"> </w:t>
      </w:r>
      <w:r w:rsidR="00CB07A2">
        <w:rPr>
          <w:lang w:val="en-AU"/>
        </w:rPr>
        <w:t xml:space="preserve">The Department is committed to improving our evidence base and updating the </w:t>
      </w:r>
      <w:r w:rsidR="00C95D00">
        <w:rPr>
          <w:lang w:val="en-AU"/>
        </w:rPr>
        <w:t>system measures</w:t>
      </w:r>
      <w:r w:rsidRPr="001E33C5">
        <w:rPr>
          <w:lang w:val="en-AU"/>
        </w:rPr>
        <w:t xml:space="preserve"> over time</w:t>
      </w:r>
      <w:r w:rsidR="00444E80">
        <w:rPr>
          <w:lang w:val="en-AU"/>
        </w:rPr>
        <w:t>. Over the coming years, schools can expect</w:t>
      </w:r>
      <w:r w:rsidR="00222735">
        <w:rPr>
          <w:lang w:val="en-AU"/>
        </w:rPr>
        <w:t xml:space="preserve"> some</w:t>
      </w:r>
      <w:r w:rsidR="00444E80">
        <w:rPr>
          <w:lang w:val="en-AU"/>
        </w:rPr>
        <w:t xml:space="preserve"> changes to data collections to fill these evidence gaps. </w:t>
      </w:r>
    </w:p>
    <w:p w14:paraId="4AC6D52F" w14:textId="62DFC494" w:rsidR="001B3A4D" w:rsidRDefault="00444E80" w:rsidP="001B3A4D">
      <w:pPr>
        <w:rPr>
          <w:lang w:val="en-AU"/>
        </w:rPr>
      </w:pPr>
      <w:r>
        <w:rPr>
          <w:lang w:val="en-AU"/>
        </w:rPr>
        <w:t xml:space="preserve">By continually improving our evidence base, </w:t>
      </w:r>
      <w:r w:rsidR="002D1022">
        <w:rPr>
          <w:lang w:val="en-AU"/>
        </w:rPr>
        <w:t>we can</w:t>
      </w:r>
      <w:r w:rsidR="00FB5748">
        <w:rPr>
          <w:lang w:val="en-AU"/>
        </w:rPr>
        <w:t xml:space="preserve"> continue to</w:t>
      </w:r>
      <w:r w:rsidR="002D1022">
        <w:rPr>
          <w:lang w:val="en-AU"/>
        </w:rPr>
        <w:t xml:space="preserve"> collectively learn </w:t>
      </w:r>
      <w:r w:rsidR="002E415F" w:rsidRPr="001E33C5">
        <w:rPr>
          <w:lang w:val="en-AU"/>
        </w:rPr>
        <w:t>how to further enhance learning and wellbeing outcomes for students.</w:t>
      </w:r>
    </w:p>
    <w:p w14:paraId="51258024" w14:textId="44ACF0C0" w:rsidR="008E1772" w:rsidRDefault="008E1772">
      <w:pPr>
        <w:spacing w:after="0"/>
        <w:rPr>
          <w:b/>
          <w:color w:val="004C97" w:themeColor="accent5"/>
          <w:sz w:val="32"/>
          <w:szCs w:val="32"/>
          <w:lang w:val="en-AU"/>
        </w:rPr>
      </w:pPr>
      <w:r>
        <w:rPr>
          <w:b/>
          <w:color w:val="004C97" w:themeColor="accent5"/>
          <w:sz w:val="32"/>
          <w:szCs w:val="32"/>
          <w:lang w:val="en-AU"/>
        </w:rPr>
        <w:br w:type="page"/>
      </w:r>
    </w:p>
    <w:p w14:paraId="1EB44EB3" w14:textId="13EE895F" w:rsidR="008E1772" w:rsidRPr="00A14094" w:rsidRDefault="001B3A4D" w:rsidP="00624A55">
      <w:pPr>
        <w:rPr>
          <w:b/>
          <w:color w:val="004C97" w:themeColor="accent5"/>
          <w:sz w:val="32"/>
          <w:szCs w:val="32"/>
          <w:lang w:val="en-AU"/>
        </w:rPr>
      </w:pPr>
      <w:r w:rsidRPr="006E4E02">
        <w:rPr>
          <w:b/>
          <w:color w:val="004C97" w:themeColor="accent5"/>
          <w:sz w:val="32"/>
          <w:szCs w:val="32"/>
          <w:lang w:val="en-AU"/>
        </w:rPr>
        <w:lastRenderedPageBreak/>
        <w:t xml:space="preserve">The FISO 2.0 </w:t>
      </w:r>
      <w:r w:rsidR="00C95D00">
        <w:rPr>
          <w:b/>
          <w:color w:val="004C97" w:themeColor="accent5"/>
          <w:sz w:val="32"/>
          <w:szCs w:val="32"/>
          <w:lang w:val="en-AU"/>
        </w:rPr>
        <w:t>system measures</w:t>
      </w:r>
      <w:r w:rsidR="008E1772">
        <w:rPr>
          <w:lang w:val="en-AU"/>
        </w:rPr>
        <w:t xml:space="preserve"> </w:t>
      </w:r>
    </w:p>
    <w:p w14:paraId="3869D840" w14:textId="24C361A4" w:rsidR="004E1618" w:rsidRPr="00CE1DAE" w:rsidRDefault="00401B25" w:rsidP="00624A55">
      <w:pPr>
        <w:rPr>
          <w:rFonts w:asciiTheme="majorHAnsi" w:eastAsiaTheme="majorEastAsia" w:hAnsiTheme="majorHAnsi" w:cstheme="majorBidi"/>
          <w:b/>
          <w:color w:val="E57100" w:themeColor="accent1"/>
          <w:sz w:val="24"/>
          <w:lang w:val="en-AU"/>
        </w:rPr>
      </w:pPr>
      <w:r w:rsidRPr="006E4052">
        <w:rPr>
          <w:rFonts w:asciiTheme="majorHAnsi" w:eastAsiaTheme="majorEastAsia" w:hAnsiTheme="majorHAnsi" w:cstheme="majorBidi"/>
          <w:b/>
          <w:color w:val="E57100" w:themeColor="accent1"/>
          <w:sz w:val="24"/>
          <w:lang w:val="en-AU"/>
        </w:rPr>
        <w:t>The</w:t>
      </w:r>
      <w:r w:rsidR="001C5627" w:rsidRPr="006E4052">
        <w:rPr>
          <w:rFonts w:asciiTheme="majorHAnsi" w:eastAsiaTheme="majorEastAsia" w:hAnsiTheme="majorHAnsi" w:cstheme="majorBidi"/>
          <w:b/>
          <w:color w:val="E57100" w:themeColor="accent1"/>
          <w:sz w:val="24"/>
          <w:lang w:val="en-AU"/>
        </w:rPr>
        <w:t xml:space="preserve"> evidence-based </w:t>
      </w:r>
      <w:r w:rsidR="00C95D00">
        <w:rPr>
          <w:rFonts w:asciiTheme="majorHAnsi" w:eastAsiaTheme="majorEastAsia" w:hAnsiTheme="majorHAnsi" w:cstheme="majorBidi"/>
          <w:b/>
          <w:color w:val="E57100" w:themeColor="accent1"/>
          <w:sz w:val="24"/>
          <w:lang w:val="en-AU"/>
        </w:rPr>
        <w:t>system measures</w:t>
      </w:r>
      <w:r w:rsidR="001C5627" w:rsidRPr="006E4052">
        <w:rPr>
          <w:rFonts w:asciiTheme="majorHAnsi" w:eastAsiaTheme="majorEastAsia" w:hAnsiTheme="majorHAnsi" w:cstheme="majorBidi"/>
          <w:b/>
          <w:color w:val="E57100" w:themeColor="accent1"/>
          <w:sz w:val="24"/>
          <w:lang w:val="en-AU"/>
        </w:rPr>
        <w:t xml:space="preserve"> are aligned to the FISO 2.0 outcomes </w:t>
      </w:r>
      <w:r w:rsidR="00CE1DAE">
        <w:rPr>
          <w:rFonts w:asciiTheme="majorHAnsi" w:eastAsiaTheme="majorEastAsia" w:hAnsiTheme="majorHAnsi" w:cstheme="majorBidi"/>
          <w:b/>
          <w:color w:val="E57100" w:themeColor="accent1"/>
          <w:sz w:val="24"/>
          <w:lang w:val="en-AU"/>
        </w:rPr>
        <w:t>of learning and wellbeing</w:t>
      </w:r>
      <w:r w:rsidR="004E1618">
        <w:rPr>
          <w:lang w:val="en-AU"/>
        </w:rPr>
        <w:t xml:space="preserve"> </w:t>
      </w:r>
    </w:p>
    <w:p w14:paraId="4D3B2EBF" w14:textId="13FB040E" w:rsidR="00F878EE" w:rsidRDefault="00F878EE" w:rsidP="00F878EE">
      <w:r>
        <w:rPr>
          <w:lang w:val="en-AU"/>
        </w:rPr>
        <w:t xml:space="preserve">Additional </w:t>
      </w:r>
      <w:r w:rsidR="00C95D00">
        <w:rPr>
          <w:lang w:val="en-AU"/>
        </w:rPr>
        <w:t>system measures</w:t>
      </w:r>
      <w:r>
        <w:rPr>
          <w:lang w:val="en-AU"/>
        </w:rPr>
        <w:t xml:space="preserve"> are mapped against the five core elements, which together realise the goals of </w:t>
      </w:r>
      <w:r w:rsidRPr="00FF1A6C">
        <w:t>excellence and equity through developing the learning and wellbeing of every student</w:t>
      </w:r>
      <w:r>
        <w:t xml:space="preserve">. </w:t>
      </w:r>
    </w:p>
    <w:p w14:paraId="727D40E8" w14:textId="77777777" w:rsidR="00F878EE" w:rsidRPr="00CE1DAE" w:rsidRDefault="00F878EE" w:rsidP="00F878EE">
      <w:r>
        <w:t xml:space="preserve">In some instances, measures may relate to two or more core elements. </w:t>
      </w:r>
      <w:r w:rsidRPr="00CE1DAE">
        <w:t xml:space="preserve">This </w:t>
      </w:r>
      <w:r w:rsidRPr="00AC6390">
        <w:t>reflects the</w:t>
      </w:r>
      <w:r>
        <w:t xml:space="preserve"> many</w:t>
      </w:r>
      <w:r w:rsidRPr="00CE1DAE">
        <w:t xml:space="preserve"> interactions in the model</w:t>
      </w:r>
      <w:r>
        <w:t xml:space="preserve"> and</w:t>
      </w:r>
      <w:r w:rsidRPr="00CE1DAE">
        <w:t xml:space="preserve"> the complexities of school improvement. </w:t>
      </w:r>
      <w:r>
        <w:t xml:space="preserve">For simplicity, each measure has been assigned to one core element in the model. </w:t>
      </w:r>
    </w:p>
    <w:p w14:paraId="4DBC7627" w14:textId="66258D78" w:rsidR="00DA5E94" w:rsidRPr="00BC58B8" w:rsidRDefault="00F878EE" w:rsidP="00F878EE">
      <w:pPr>
        <w:rPr>
          <w:lang w:val="en-AU"/>
        </w:rPr>
      </w:pPr>
      <w:r>
        <w:rPr>
          <w:lang w:val="en-AU"/>
        </w:rPr>
        <w:t xml:space="preserve">Figure </w:t>
      </w:r>
      <w:r w:rsidR="00BC58B8">
        <w:rPr>
          <w:lang w:val="en-AU"/>
        </w:rPr>
        <w:t>1</w:t>
      </w:r>
      <w:r>
        <w:rPr>
          <w:lang w:val="en-AU"/>
        </w:rPr>
        <w:t xml:space="preserve"> below outlines the FISO 2.0 </w:t>
      </w:r>
      <w:r w:rsidR="00C95D00">
        <w:rPr>
          <w:lang w:val="en-AU"/>
        </w:rPr>
        <w:t>system measures</w:t>
      </w:r>
      <w:r>
        <w:rPr>
          <w:lang w:val="en-AU"/>
        </w:rPr>
        <w:t>.</w:t>
      </w:r>
    </w:p>
    <w:p w14:paraId="6EB27765" w14:textId="49B1225D" w:rsidR="00DA5E94" w:rsidRDefault="00DA5E94" w:rsidP="00F878EE">
      <w:pPr>
        <w:rPr>
          <w:rFonts w:asciiTheme="majorHAnsi" w:eastAsiaTheme="majorEastAsia" w:hAnsiTheme="majorHAnsi" w:cstheme="majorBidi"/>
          <w:b/>
          <w:color w:val="E57100" w:themeColor="accent1"/>
          <w:sz w:val="24"/>
          <w:lang w:val="en-AU"/>
        </w:rPr>
      </w:pPr>
    </w:p>
    <w:p w14:paraId="2B802799" w14:textId="77777777" w:rsidR="00BC58B8" w:rsidRDefault="00BC58B8" w:rsidP="00F878EE">
      <w:pPr>
        <w:rPr>
          <w:rFonts w:asciiTheme="majorHAnsi" w:eastAsiaTheme="majorEastAsia" w:hAnsiTheme="majorHAnsi" w:cstheme="majorBidi"/>
          <w:b/>
          <w:color w:val="E57100" w:themeColor="accent1"/>
          <w:sz w:val="24"/>
          <w:lang w:val="en-AU"/>
        </w:rPr>
      </w:pPr>
    </w:p>
    <w:p w14:paraId="5721C674" w14:textId="47A6D426" w:rsidR="00B75703" w:rsidRDefault="001B5BC7" w:rsidP="00624A55">
      <w:pPr>
        <w:rPr>
          <w:b/>
          <w:bCs/>
          <w:color w:val="E57100" w:themeColor="accent1"/>
          <w:lang w:val="en-AU"/>
        </w:rPr>
      </w:pPr>
      <w:r>
        <w:rPr>
          <w:rFonts w:asciiTheme="majorHAnsi" w:eastAsiaTheme="majorEastAsia" w:hAnsiTheme="majorHAnsi" w:cstheme="majorBidi"/>
          <w:b/>
          <w:color w:val="E57100" w:themeColor="accent1"/>
          <w:sz w:val="24"/>
          <w:lang w:val="en-AU"/>
        </w:rPr>
        <w:t>Figure</w:t>
      </w:r>
      <w:r w:rsidR="00B75703">
        <w:rPr>
          <w:rFonts w:asciiTheme="majorHAnsi" w:eastAsiaTheme="majorEastAsia" w:hAnsiTheme="majorHAnsi" w:cstheme="majorBidi"/>
          <w:b/>
          <w:color w:val="E57100" w:themeColor="accent1"/>
          <w:sz w:val="24"/>
          <w:lang w:val="en-AU"/>
        </w:rPr>
        <w:t xml:space="preserve"> </w:t>
      </w:r>
      <w:r w:rsidR="00BC58B8">
        <w:rPr>
          <w:rFonts w:asciiTheme="majorHAnsi" w:eastAsiaTheme="majorEastAsia" w:hAnsiTheme="majorHAnsi" w:cstheme="majorBidi"/>
          <w:b/>
          <w:color w:val="E57100" w:themeColor="accent1"/>
          <w:sz w:val="24"/>
          <w:lang w:val="en-AU"/>
        </w:rPr>
        <w:t>1</w:t>
      </w:r>
      <w:r w:rsidR="00B75703">
        <w:rPr>
          <w:rFonts w:asciiTheme="majorHAnsi" w:eastAsiaTheme="majorEastAsia" w:hAnsiTheme="majorHAnsi" w:cstheme="majorBidi"/>
          <w:b/>
          <w:color w:val="E57100" w:themeColor="accent1"/>
          <w:sz w:val="24"/>
          <w:lang w:val="en-AU"/>
        </w:rPr>
        <w:t xml:space="preserve">: FISO 2.0 </w:t>
      </w:r>
      <w:r w:rsidR="00C95D00">
        <w:rPr>
          <w:rFonts w:asciiTheme="majorHAnsi" w:eastAsiaTheme="majorEastAsia" w:hAnsiTheme="majorHAnsi" w:cstheme="majorBidi"/>
          <w:b/>
          <w:color w:val="E57100" w:themeColor="accent1"/>
          <w:sz w:val="24"/>
          <w:lang w:val="en-AU"/>
        </w:rPr>
        <w:t>system measures</w:t>
      </w:r>
    </w:p>
    <w:tbl>
      <w:tblPr>
        <w:tblW w:w="9739" w:type="dxa"/>
        <w:tblCellMar>
          <w:left w:w="0" w:type="dxa"/>
          <w:right w:w="0" w:type="dxa"/>
        </w:tblCellMar>
        <w:tblLook w:val="0420" w:firstRow="1" w:lastRow="0" w:firstColumn="0" w:lastColumn="0" w:noHBand="0" w:noVBand="1"/>
      </w:tblPr>
      <w:tblGrid>
        <w:gridCol w:w="1340"/>
        <w:gridCol w:w="1836"/>
        <w:gridCol w:w="504"/>
        <w:gridCol w:w="2270"/>
        <w:gridCol w:w="2230"/>
        <w:gridCol w:w="1540"/>
        <w:gridCol w:w="19"/>
      </w:tblGrid>
      <w:tr w:rsidR="0002115D" w:rsidRPr="0002115D" w14:paraId="18EE6C97" w14:textId="77777777" w:rsidTr="00DA5E94">
        <w:trPr>
          <w:trHeight w:val="98"/>
        </w:trPr>
        <w:tc>
          <w:tcPr>
            <w:tcW w:w="9739" w:type="dxa"/>
            <w:gridSpan w:val="7"/>
            <w:tcBorders>
              <w:top w:val="single" w:sz="8" w:space="0" w:color="FFFFFF"/>
              <w:left w:val="single" w:sz="8" w:space="0" w:color="FFFFFF"/>
              <w:bottom w:val="single" w:sz="24" w:space="0" w:color="FFFFFF"/>
              <w:right w:val="single" w:sz="8" w:space="0" w:color="FFFFFF"/>
            </w:tcBorders>
            <w:shd w:val="clear" w:color="auto" w:fill="004C97"/>
            <w:tcMar>
              <w:top w:w="15" w:type="dxa"/>
              <w:left w:w="15" w:type="dxa"/>
              <w:bottom w:w="0" w:type="dxa"/>
              <w:right w:w="15" w:type="dxa"/>
            </w:tcMar>
            <w:vAlign w:val="bottom"/>
            <w:hideMark/>
          </w:tcPr>
          <w:p w14:paraId="141C3373" w14:textId="77777777" w:rsidR="0002115D" w:rsidRPr="0002115D" w:rsidRDefault="0002115D" w:rsidP="0002115D">
            <w:pPr>
              <w:jc w:val="center"/>
              <w:rPr>
                <w:rFonts w:ascii="Arial" w:eastAsia="Times New Roman" w:hAnsi="Arial" w:cs="Arial"/>
                <w:sz w:val="36"/>
                <w:szCs w:val="36"/>
                <w:lang w:val="en-AU" w:eastAsia="en-AU"/>
              </w:rPr>
            </w:pPr>
            <w:r w:rsidRPr="0002115D">
              <w:rPr>
                <w:rFonts w:ascii="Arial" w:eastAsia="Arial" w:hAnsi="Arial" w:cs="Times New Roman"/>
                <w:b/>
                <w:bCs/>
                <w:color w:val="FFFFFF"/>
                <w:kern w:val="24"/>
                <w:szCs w:val="22"/>
                <w:lang w:val="en-AU" w:eastAsia="en-AU"/>
              </w:rPr>
              <w:t>FISO 2.0 Outcomes</w:t>
            </w:r>
          </w:p>
        </w:tc>
      </w:tr>
      <w:tr w:rsidR="0002115D" w:rsidRPr="0002115D" w14:paraId="3C4BA2DD" w14:textId="77777777" w:rsidTr="00DA5E94">
        <w:trPr>
          <w:trHeight w:val="612"/>
        </w:trPr>
        <w:tc>
          <w:tcPr>
            <w:tcW w:w="3176" w:type="dxa"/>
            <w:gridSpan w:val="2"/>
            <w:tcBorders>
              <w:top w:val="single" w:sz="24" w:space="0" w:color="FFFFFF"/>
              <w:left w:val="single" w:sz="8" w:space="0" w:color="FFFFFF"/>
              <w:bottom w:val="single" w:sz="24" w:space="0" w:color="FFFFFF"/>
              <w:right w:val="single" w:sz="8" w:space="0" w:color="FFFFFF"/>
            </w:tcBorders>
            <w:shd w:val="clear" w:color="auto" w:fill="E7E6E6"/>
            <w:tcMar>
              <w:top w:w="17" w:type="dxa"/>
              <w:left w:w="44" w:type="dxa"/>
              <w:bottom w:w="17" w:type="dxa"/>
              <w:right w:w="44" w:type="dxa"/>
            </w:tcMar>
            <w:hideMark/>
          </w:tcPr>
          <w:p w14:paraId="0DC89DF9"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b/>
                <w:bCs/>
                <w:color w:val="0063A5"/>
                <w:kern w:val="24"/>
                <w:szCs w:val="22"/>
                <w:lang w:val="en-AU" w:eastAsia="en-AU"/>
              </w:rPr>
              <w:t>Learning</w:t>
            </w:r>
          </w:p>
          <w:p w14:paraId="64610703" w14:textId="0906DBEF"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Benchmark growth</w:t>
            </w:r>
            <w:r w:rsidR="008549A0">
              <w:rPr>
                <w:rFonts w:ascii="Arial" w:eastAsia="Arial" w:hAnsi="Arial" w:cs="Times New Roman"/>
                <w:color w:val="000000"/>
                <w:kern w:val="24"/>
                <w:szCs w:val="22"/>
                <w:lang w:val="en-AU" w:eastAsia="en-AU"/>
              </w:rPr>
              <w:t xml:space="preserve"> (NAPLAN)</w:t>
            </w:r>
          </w:p>
          <w:p w14:paraId="7956E8B6"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English online</w:t>
            </w:r>
          </w:p>
          <w:p w14:paraId="162A7A2B"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Senior secondary completion rate</w:t>
            </w:r>
          </w:p>
        </w:tc>
        <w:tc>
          <w:tcPr>
            <w:tcW w:w="6563" w:type="dxa"/>
            <w:gridSpan w:val="5"/>
            <w:tcBorders>
              <w:top w:val="single" w:sz="24" w:space="0" w:color="FFFFFF"/>
              <w:left w:val="single" w:sz="8" w:space="0" w:color="FFFFFF"/>
              <w:bottom w:val="single" w:sz="24" w:space="0" w:color="FFFFFF"/>
              <w:right w:val="single" w:sz="8" w:space="0" w:color="FFFFFF"/>
            </w:tcBorders>
            <w:shd w:val="clear" w:color="auto" w:fill="E7E6E6"/>
            <w:tcMar>
              <w:top w:w="17" w:type="dxa"/>
              <w:left w:w="44" w:type="dxa"/>
              <w:bottom w:w="17" w:type="dxa"/>
              <w:right w:w="44" w:type="dxa"/>
            </w:tcMar>
            <w:hideMark/>
          </w:tcPr>
          <w:p w14:paraId="769D7465"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b/>
                <w:bCs/>
                <w:color w:val="0063A5"/>
                <w:kern w:val="24"/>
                <w:szCs w:val="22"/>
                <w:lang w:val="en-AU" w:eastAsia="en-AU"/>
              </w:rPr>
              <w:t xml:space="preserve">Wellbeing </w:t>
            </w:r>
          </w:p>
          <w:p w14:paraId="1187506A"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 xml:space="preserve">Resilience (AtoSS) </w:t>
            </w:r>
          </w:p>
          <w:p w14:paraId="0F24A098"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School connectedness (AtoSS)</w:t>
            </w:r>
          </w:p>
          <w:p w14:paraId="0B318F89"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Subjective physical health (AtoSS)</w:t>
            </w:r>
          </w:p>
          <w:p w14:paraId="075C239C"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Emotional awareness and regulation (AtoSS)</w:t>
            </w:r>
          </w:p>
          <w:p w14:paraId="74CECAEC"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Strengths and Difficulties Questionnaire (SEHQ, prep only)</w:t>
            </w:r>
          </w:p>
        </w:tc>
      </w:tr>
      <w:tr w:rsidR="0002115D" w:rsidRPr="0002115D" w14:paraId="5B5CD29A" w14:textId="77777777" w:rsidTr="00DA5E94">
        <w:trPr>
          <w:trHeight w:val="107"/>
        </w:trPr>
        <w:tc>
          <w:tcPr>
            <w:tcW w:w="9739" w:type="dxa"/>
            <w:gridSpan w:val="7"/>
            <w:tcBorders>
              <w:top w:val="single" w:sz="24" w:space="0" w:color="FFFFFF"/>
              <w:left w:val="single" w:sz="8" w:space="0" w:color="FFFFFF"/>
              <w:bottom w:val="single" w:sz="24" w:space="0" w:color="FFFFFF"/>
              <w:right w:val="single" w:sz="8" w:space="0" w:color="FFFFFF"/>
            </w:tcBorders>
            <w:shd w:val="clear" w:color="auto" w:fill="004C97"/>
            <w:tcMar>
              <w:top w:w="17" w:type="dxa"/>
              <w:left w:w="44" w:type="dxa"/>
              <w:bottom w:w="17" w:type="dxa"/>
              <w:right w:w="44" w:type="dxa"/>
            </w:tcMar>
            <w:hideMark/>
          </w:tcPr>
          <w:p w14:paraId="3CB3DE1D" w14:textId="77777777" w:rsidR="0002115D" w:rsidRPr="0002115D" w:rsidRDefault="0002115D" w:rsidP="0002115D">
            <w:pPr>
              <w:jc w:val="center"/>
              <w:rPr>
                <w:rFonts w:ascii="Arial" w:eastAsia="Times New Roman" w:hAnsi="Arial" w:cs="Arial"/>
                <w:sz w:val="36"/>
                <w:szCs w:val="36"/>
                <w:lang w:val="en-AU" w:eastAsia="en-AU"/>
              </w:rPr>
            </w:pPr>
            <w:r w:rsidRPr="0002115D">
              <w:rPr>
                <w:rFonts w:ascii="Arial" w:eastAsia="Arial" w:hAnsi="Arial" w:cs="Times New Roman"/>
                <w:b/>
                <w:bCs/>
                <w:color w:val="FFFFFF"/>
                <w:kern w:val="24"/>
                <w:szCs w:val="22"/>
                <w:lang w:val="en-AU" w:eastAsia="en-AU"/>
              </w:rPr>
              <w:t>FISO 2.0 Core elements</w:t>
            </w:r>
          </w:p>
        </w:tc>
      </w:tr>
      <w:tr w:rsidR="00F348E4" w:rsidRPr="0002115D" w14:paraId="13AD4CD6" w14:textId="77777777" w:rsidTr="00DA5E94">
        <w:trPr>
          <w:gridAfter w:val="1"/>
          <w:wAfter w:w="19" w:type="dxa"/>
          <w:trHeight w:val="184"/>
        </w:trPr>
        <w:tc>
          <w:tcPr>
            <w:tcW w:w="1340" w:type="dxa"/>
            <w:tcBorders>
              <w:top w:val="single" w:sz="24" w:space="0" w:color="FFFFFF"/>
              <w:left w:val="single" w:sz="8" w:space="0" w:color="FFFFFF"/>
              <w:bottom w:val="single" w:sz="24" w:space="0" w:color="FFFFFF"/>
              <w:right w:val="single" w:sz="8" w:space="0" w:color="FFFFFF"/>
            </w:tcBorders>
            <w:shd w:val="clear" w:color="auto" w:fill="E7E6E6"/>
            <w:tcMar>
              <w:top w:w="17" w:type="dxa"/>
              <w:left w:w="44" w:type="dxa"/>
              <w:bottom w:w="17" w:type="dxa"/>
              <w:right w:w="44" w:type="dxa"/>
            </w:tcMar>
            <w:hideMark/>
          </w:tcPr>
          <w:p w14:paraId="13085682"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b/>
                <w:bCs/>
                <w:color w:val="FDB90F"/>
                <w:kern w:val="24"/>
                <w:szCs w:val="22"/>
                <w:lang w:val="en-AU" w:eastAsia="en-AU"/>
              </w:rPr>
              <w:t>Leadership</w:t>
            </w:r>
          </w:p>
          <w:p w14:paraId="013455DE" w14:textId="5D5B92BF"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Instructional leadership (SSS)</w:t>
            </w:r>
          </w:p>
          <w:p w14:paraId="4FCECDA9"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Trust in colleagues (SSS)</w:t>
            </w:r>
          </w:p>
          <w:p w14:paraId="4BB4A616"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Managing bullying (AtoSS)</w:t>
            </w:r>
          </w:p>
          <w:p w14:paraId="6C546930"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b/>
                <w:bCs/>
                <w:color w:val="FFFFFF"/>
                <w:kern w:val="24"/>
                <w:szCs w:val="22"/>
                <w:lang w:val="en-AU" w:eastAsia="en-AU"/>
              </w:rPr>
              <w:t> </w:t>
            </w:r>
          </w:p>
        </w:tc>
        <w:tc>
          <w:tcPr>
            <w:tcW w:w="2340" w:type="dxa"/>
            <w:gridSpan w:val="2"/>
            <w:tcBorders>
              <w:top w:val="single" w:sz="24" w:space="0" w:color="FFFFFF"/>
              <w:left w:val="single" w:sz="8" w:space="0" w:color="FFFFFF"/>
              <w:bottom w:val="single" w:sz="24" w:space="0" w:color="FFFFFF"/>
              <w:right w:val="single" w:sz="8" w:space="0" w:color="FFFFFF"/>
            </w:tcBorders>
            <w:shd w:val="clear" w:color="auto" w:fill="E7E6E6"/>
            <w:tcMar>
              <w:top w:w="15" w:type="dxa"/>
              <w:left w:w="15" w:type="dxa"/>
              <w:bottom w:w="0" w:type="dxa"/>
              <w:right w:w="15" w:type="dxa"/>
            </w:tcMar>
            <w:hideMark/>
          </w:tcPr>
          <w:p w14:paraId="7D545669"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b/>
                <w:bCs/>
                <w:color w:val="00B0A7"/>
                <w:kern w:val="24"/>
                <w:szCs w:val="22"/>
                <w:lang w:val="en-AU" w:eastAsia="en-AU"/>
              </w:rPr>
              <w:t>Teaching and learning</w:t>
            </w:r>
          </w:p>
          <w:p w14:paraId="278403A4"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TJ growth (CASES)</w:t>
            </w:r>
          </w:p>
          <w:p w14:paraId="57F0C105" w14:textId="77777777" w:rsidR="006E4E02" w:rsidRDefault="006E4E02" w:rsidP="0002115D">
            <w:pPr>
              <w:rPr>
                <w:rFonts w:ascii="Arial" w:eastAsia="Arial" w:hAnsi="Arial" w:cs="Times New Roman"/>
                <w:color w:val="000000"/>
                <w:kern w:val="24"/>
                <w:szCs w:val="22"/>
                <w:lang w:val="en-AU" w:eastAsia="en-AU"/>
              </w:rPr>
            </w:pPr>
            <w:r w:rsidRPr="0002115D">
              <w:rPr>
                <w:rFonts w:ascii="Arial" w:eastAsia="Arial" w:hAnsi="Arial" w:cs="Times New Roman"/>
                <w:color w:val="000000"/>
                <w:kern w:val="24"/>
                <w:szCs w:val="22"/>
                <w:lang w:val="en-AU" w:eastAsia="en-AU"/>
              </w:rPr>
              <w:t>Collective efficacy (SSS)</w:t>
            </w:r>
          </w:p>
          <w:p w14:paraId="209669CA" w14:textId="52542949" w:rsidR="006E4E02" w:rsidRPr="0002115D" w:rsidRDefault="006E4E02" w:rsidP="006E4E02">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 xml:space="preserve">Academic </w:t>
            </w:r>
            <w:r w:rsidR="008E1772" w:rsidRPr="0002115D">
              <w:rPr>
                <w:rFonts w:ascii="Arial" w:eastAsia="Arial" w:hAnsi="Arial" w:cs="Times New Roman"/>
                <w:color w:val="000000"/>
                <w:kern w:val="24"/>
                <w:szCs w:val="22"/>
                <w:lang w:val="en-AU" w:eastAsia="en-AU"/>
              </w:rPr>
              <w:t>emphasis (</w:t>
            </w:r>
            <w:r w:rsidRPr="0002115D">
              <w:rPr>
                <w:rFonts w:ascii="Arial" w:eastAsia="Arial" w:hAnsi="Arial" w:cs="Times New Roman"/>
                <w:color w:val="000000"/>
                <w:kern w:val="24"/>
                <w:szCs w:val="22"/>
                <w:lang w:val="en-AU" w:eastAsia="en-AU"/>
              </w:rPr>
              <w:t>SSS</w:t>
            </w:r>
            <w:r>
              <w:rPr>
                <w:rFonts w:ascii="Arial" w:eastAsia="Arial" w:hAnsi="Arial" w:cs="Times New Roman"/>
                <w:color w:val="000000"/>
                <w:kern w:val="24"/>
                <w:szCs w:val="22"/>
                <w:lang w:val="en-AU" w:eastAsia="en-AU"/>
              </w:rPr>
              <w:t>)</w:t>
            </w:r>
          </w:p>
          <w:p w14:paraId="0E8C6A0C" w14:textId="42F75B35"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Guaranteed and viable curriculum (secondary)</w:t>
            </w:r>
            <w:r w:rsidR="006E4E02">
              <w:rPr>
                <w:rFonts w:ascii="Arial" w:eastAsia="Arial" w:hAnsi="Arial" w:cs="Times New Roman"/>
                <w:color w:val="000000"/>
                <w:kern w:val="24"/>
                <w:szCs w:val="22"/>
                <w:lang w:val="en-AU" w:eastAsia="en-AU"/>
              </w:rPr>
              <w:t xml:space="preserve"> </w:t>
            </w:r>
            <w:r w:rsidRPr="0002115D">
              <w:rPr>
                <w:rFonts w:ascii="Arial" w:eastAsia="Arial" w:hAnsi="Arial" w:cs="Times New Roman"/>
                <w:color w:val="000000"/>
                <w:kern w:val="24"/>
                <w:szCs w:val="22"/>
                <w:lang w:val="en-AU" w:eastAsia="en-AU"/>
              </w:rPr>
              <w:t>(SSS)</w:t>
            </w:r>
          </w:p>
          <w:p w14:paraId="05A22252" w14:textId="07314580" w:rsidR="0002115D" w:rsidRPr="0002115D" w:rsidRDefault="0002115D" w:rsidP="00F348E4">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Stimulated learning (AtoSS)</w:t>
            </w:r>
            <w:r w:rsidRPr="0002115D">
              <w:rPr>
                <w:rFonts w:ascii="Arial" w:eastAsia="Arial" w:hAnsi="Arial" w:cs="Times New Roman"/>
                <w:b/>
                <w:bCs/>
                <w:color w:val="FFFFFF"/>
                <w:kern w:val="24"/>
                <w:szCs w:val="22"/>
                <w:lang w:val="en-AU" w:eastAsia="en-AU"/>
              </w:rPr>
              <w:t> </w:t>
            </w:r>
          </w:p>
        </w:tc>
        <w:tc>
          <w:tcPr>
            <w:tcW w:w="2270" w:type="dxa"/>
            <w:tcBorders>
              <w:top w:val="single" w:sz="24" w:space="0" w:color="FFFFFF"/>
              <w:left w:val="single" w:sz="8" w:space="0" w:color="FFFFFF"/>
              <w:bottom w:val="single" w:sz="24" w:space="0" w:color="FFFFFF"/>
              <w:right w:val="single" w:sz="8" w:space="0" w:color="FFFFFF"/>
            </w:tcBorders>
            <w:shd w:val="clear" w:color="auto" w:fill="E7E6E6"/>
            <w:tcMar>
              <w:top w:w="15" w:type="dxa"/>
              <w:left w:w="15" w:type="dxa"/>
              <w:bottom w:w="0" w:type="dxa"/>
              <w:right w:w="15" w:type="dxa"/>
            </w:tcMar>
            <w:hideMark/>
          </w:tcPr>
          <w:p w14:paraId="380B552B"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b/>
                <w:bCs/>
                <w:color w:val="0090DA"/>
                <w:kern w:val="24"/>
                <w:szCs w:val="22"/>
                <w:lang w:val="en-AU" w:eastAsia="en-AU"/>
              </w:rPr>
              <w:t>Assessment</w:t>
            </w:r>
          </w:p>
          <w:p w14:paraId="25CF20FF"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Monitoring effectiveness of using data (SSS)</w:t>
            </w:r>
          </w:p>
          <w:p w14:paraId="1631B054"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Moderation of student assessment (SSS)</w:t>
            </w:r>
          </w:p>
          <w:p w14:paraId="0B464A41"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Understand formative assessment (SSS)</w:t>
            </w:r>
          </w:p>
          <w:p w14:paraId="229B5AE2"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Use of student feedback to inform teaching practice (SSS)</w:t>
            </w:r>
          </w:p>
        </w:tc>
        <w:tc>
          <w:tcPr>
            <w:tcW w:w="2230" w:type="dxa"/>
            <w:tcBorders>
              <w:top w:val="single" w:sz="24" w:space="0" w:color="FFFFFF"/>
              <w:left w:val="single" w:sz="8" w:space="0" w:color="FFFFFF"/>
              <w:bottom w:val="single" w:sz="24" w:space="0" w:color="FFFFFF"/>
              <w:right w:val="single" w:sz="8" w:space="0" w:color="FFFFFF"/>
            </w:tcBorders>
            <w:shd w:val="clear" w:color="auto" w:fill="E7E6E6"/>
            <w:tcMar>
              <w:top w:w="15" w:type="dxa"/>
              <w:left w:w="15" w:type="dxa"/>
              <w:bottom w:w="0" w:type="dxa"/>
              <w:right w:w="15" w:type="dxa"/>
            </w:tcMar>
            <w:hideMark/>
          </w:tcPr>
          <w:p w14:paraId="3CFA5D94"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b/>
                <w:bCs/>
                <w:color w:val="DC2C55"/>
                <w:kern w:val="24"/>
                <w:szCs w:val="22"/>
                <w:lang w:val="en-AU" w:eastAsia="en-AU"/>
              </w:rPr>
              <w:t>Engagement</w:t>
            </w:r>
          </w:p>
          <w:p w14:paraId="6BE4C98F"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Attitudes to attendance (AtoSS)</w:t>
            </w:r>
          </w:p>
          <w:p w14:paraId="43156823"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Proportion of students with less than 20 absent days (CASES)</w:t>
            </w:r>
          </w:p>
          <w:p w14:paraId="2748E3DA"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Sense of confidence (AtoSS)</w:t>
            </w:r>
          </w:p>
          <w:p w14:paraId="3259F392"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Student voice and agency (AtoSS)</w:t>
            </w:r>
          </w:p>
          <w:p w14:paraId="3FE1E58E"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b/>
                <w:bCs/>
                <w:color w:val="FFFFFF"/>
                <w:kern w:val="24"/>
                <w:szCs w:val="22"/>
                <w:lang w:val="en-AU" w:eastAsia="en-AU"/>
              </w:rPr>
              <w:t> </w:t>
            </w:r>
          </w:p>
        </w:tc>
        <w:tc>
          <w:tcPr>
            <w:tcW w:w="1540" w:type="dxa"/>
            <w:tcBorders>
              <w:top w:val="single" w:sz="24" w:space="0" w:color="FFFFFF"/>
              <w:left w:val="single" w:sz="8" w:space="0" w:color="FFFFFF"/>
              <w:bottom w:val="single" w:sz="24" w:space="0" w:color="FFFFFF"/>
              <w:right w:val="single" w:sz="8" w:space="0" w:color="FFFFFF"/>
            </w:tcBorders>
            <w:shd w:val="clear" w:color="auto" w:fill="E7E6E6"/>
            <w:tcMar>
              <w:top w:w="15" w:type="dxa"/>
              <w:left w:w="15" w:type="dxa"/>
              <w:bottom w:w="0" w:type="dxa"/>
              <w:right w:w="15" w:type="dxa"/>
            </w:tcMar>
            <w:hideMark/>
          </w:tcPr>
          <w:p w14:paraId="5830574B" w14:textId="31B9E195"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b/>
                <w:bCs/>
                <w:color w:val="902AA4"/>
                <w:kern w:val="24"/>
                <w:szCs w:val="22"/>
                <w:lang w:val="en-AU" w:eastAsia="en-AU"/>
              </w:rPr>
              <w:t>Support</w:t>
            </w:r>
            <w:r w:rsidR="001B3A4D">
              <w:rPr>
                <w:rFonts w:ascii="Arial" w:eastAsia="Arial" w:hAnsi="Arial" w:cs="Times New Roman"/>
                <w:b/>
                <w:bCs/>
                <w:color w:val="902AA4"/>
                <w:kern w:val="24"/>
                <w:szCs w:val="22"/>
                <w:lang w:val="en-AU" w:eastAsia="en-AU"/>
              </w:rPr>
              <w:t xml:space="preserve"> and resources</w:t>
            </w:r>
          </w:p>
          <w:p w14:paraId="5191C8DD"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Advocate at school (AtoSS)</w:t>
            </w:r>
          </w:p>
          <w:p w14:paraId="60D3A059"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Experience of bullying (AtoSS)</w:t>
            </w:r>
          </w:p>
          <w:p w14:paraId="31BB5CE9"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color w:val="000000"/>
                <w:kern w:val="24"/>
                <w:szCs w:val="22"/>
                <w:lang w:val="en-AU" w:eastAsia="en-AU"/>
              </w:rPr>
              <w:t>Respect for diversity (AtoSS)</w:t>
            </w:r>
          </w:p>
          <w:p w14:paraId="7BE823AB" w14:textId="77777777" w:rsidR="0002115D" w:rsidRPr="0002115D" w:rsidRDefault="0002115D" w:rsidP="0002115D">
            <w:pPr>
              <w:rPr>
                <w:rFonts w:ascii="Arial" w:eastAsia="Times New Roman" w:hAnsi="Arial" w:cs="Arial"/>
                <w:sz w:val="36"/>
                <w:szCs w:val="36"/>
                <w:lang w:val="en-AU" w:eastAsia="en-AU"/>
              </w:rPr>
            </w:pPr>
            <w:r w:rsidRPr="0002115D">
              <w:rPr>
                <w:rFonts w:ascii="Arial" w:eastAsia="Arial" w:hAnsi="Arial" w:cs="Times New Roman"/>
                <w:b/>
                <w:bCs/>
                <w:color w:val="FFFFFF"/>
                <w:kern w:val="24"/>
                <w:szCs w:val="22"/>
                <w:lang w:val="en-AU" w:eastAsia="en-AU"/>
              </w:rPr>
              <w:t> </w:t>
            </w:r>
          </w:p>
        </w:tc>
      </w:tr>
    </w:tbl>
    <w:p w14:paraId="1BEACF09" w14:textId="77777777" w:rsidR="00C95D00" w:rsidRDefault="00C95D00" w:rsidP="00624A55">
      <w:pPr>
        <w:rPr>
          <w:b/>
          <w:bCs/>
          <w:color w:val="E57100" w:themeColor="accent1"/>
          <w:lang w:val="en-AU"/>
        </w:rPr>
      </w:pPr>
    </w:p>
    <w:p w14:paraId="1C4CFD73" w14:textId="77777777" w:rsidR="00DA5E94" w:rsidRDefault="00DA5E94">
      <w:pPr>
        <w:spacing w:after="0"/>
        <w:rPr>
          <w:b/>
          <w:bCs/>
          <w:color w:val="E57100" w:themeColor="accent1"/>
          <w:lang w:val="en-AU"/>
        </w:rPr>
      </w:pPr>
      <w:r>
        <w:rPr>
          <w:b/>
          <w:bCs/>
          <w:color w:val="E57100" w:themeColor="accent1"/>
          <w:lang w:val="en-AU"/>
        </w:rPr>
        <w:br w:type="page"/>
      </w:r>
    </w:p>
    <w:p w14:paraId="0B8F914C" w14:textId="1606C1FE" w:rsidR="00440F21" w:rsidRPr="00440F21" w:rsidRDefault="00440F21" w:rsidP="00624A55">
      <w:pPr>
        <w:rPr>
          <w:b/>
          <w:bCs/>
          <w:color w:val="E57100" w:themeColor="accent1"/>
          <w:lang w:val="en-AU"/>
        </w:rPr>
      </w:pPr>
      <w:r w:rsidRPr="00440F21">
        <w:rPr>
          <w:b/>
          <w:bCs/>
          <w:color w:val="E57100" w:themeColor="accent1"/>
          <w:lang w:val="en-AU"/>
        </w:rPr>
        <w:lastRenderedPageBreak/>
        <w:t>Data sources</w:t>
      </w:r>
      <w:r w:rsidR="009A480E">
        <w:rPr>
          <w:b/>
          <w:bCs/>
          <w:color w:val="E57100" w:themeColor="accent1"/>
          <w:lang w:val="en-AU"/>
        </w:rPr>
        <w:t xml:space="preserve"> and further information </w:t>
      </w:r>
    </w:p>
    <w:p w14:paraId="3A298051" w14:textId="08FC0867" w:rsidR="003E1040" w:rsidRPr="00F77E3B" w:rsidRDefault="00FA5108" w:rsidP="006E4E02">
      <w:pPr>
        <w:tabs>
          <w:tab w:val="center" w:pos="4816"/>
        </w:tabs>
        <w:rPr>
          <w:szCs w:val="22"/>
          <w:lang w:val="en-AU"/>
        </w:rPr>
      </w:pPr>
      <w:r w:rsidRPr="00F77E3B">
        <w:rPr>
          <w:szCs w:val="22"/>
          <w:lang w:val="en-AU"/>
        </w:rPr>
        <w:t>A</w:t>
      </w:r>
      <w:r w:rsidR="00C91083" w:rsidRPr="00F77E3B">
        <w:rPr>
          <w:szCs w:val="22"/>
          <w:lang w:val="en-AU"/>
        </w:rPr>
        <w:t>to</w:t>
      </w:r>
      <w:r w:rsidRPr="00F77E3B">
        <w:rPr>
          <w:szCs w:val="22"/>
          <w:lang w:val="en-AU"/>
        </w:rPr>
        <w:t>S</w:t>
      </w:r>
      <w:r w:rsidR="00CB07A2" w:rsidRPr="00F77E3B">
        <w:rPr>
          <w:szCs w:val="22"/>
          <w:lang w:val="en-AU"/>
        </w:rPr>
        <w:t>S: Attitudes to School Survey</w:t>
      </w:r>
      <w:r w:rsidR="006E4E02" w:rsidRPr="00F77E3B">
        <w:rPr>
          <w:szCs w:val="22"/>
          <w:lang w:val="en-AU"/>
        </w:rPr>
        <w:tab/>
      </w:r>
    </w:p>
    <w:p w14:paraId="05BEDF07" w14:textId="77777777" w:rsidR="005B6350" w:rsidRPr="00F77E3B" w:rsidRDefault="005B6350" w:rsidP="005B6350">
      <w:pPr>
        <w:rPr>
          <w:szCs w:val="22"/>
          <w:lang w:val="en-AU"/>
        </w:rPr>
      </w:pPr>
      <w:r w:rsidRPr="00F77E3B">
        <w:rPr>
          <w:szCs w:val="22"/>
          <w:lang w:val="en-AU"/>
        </w:rPr>
        <w:t xml:space="preserve">CASES21: Computerised Administrative System Environment in Schools 21. Where data is sourced via CASE21, schools typically access this data through </w:t>
      </w:r>
      <w:hyperlink r:id="rId11" w:history="1">
        <w:r w:rsidRPr="00B4696E">
          <w:rPr>
            <w:rStyle w:val="Hyperlink"/>
            <w:szCs w:val="22"/>
            <w:lang w:val="en-AU"/>
          </w:rPr>
          <w:t>Panorama</w:t>
        </w:r>
      </w:hyperlink>
      <w:r w:rsidRPr="00F77E3B">
        <w:rPr>
          <w:szCs w:val="22"/>
          <w:lang w:val="en-AU"/>
        </w:rPr>
        <w:t xml:space="preserve">, </w:t>
      </w:r>
      <w:hyperlink r:id="rId12" w:history="1">
        <w:r w:rsidRPr="00B4696E">
          <w:rPr>
            <w:rStyle w:val="Hyperlink"/>
            <w:szCs w:val="22"/>
            <w:lang w:val="en-AU"/>
          </w:rPr>
          <w:t>School Information Portal</w:t>
        </w:r>
      </w:hyperlink>
      <w:r>
        <w:rPr>
          <w:szCs w:val="22"/>
          <w:lang w:val="en-AU"/>
        </w:rPr>
        <w:t xml:space="preserve">, </w:t>
      </w:r>
      <w:r w:rsidRPr="00F77E3B">
        <w:rPr>
          <w:szCs w:val="22"/>
          <w:lang w:val="en-AU"/>
        </w:rPr>
        <w:t xml:space="preserve">local </w:t>
      </w:r>
      <w:r>
        <w:rPr>
          <w:szCs w:val="22"/>
          <w:lang w:val="en-AU"/>
        </w:rPr>
        <w:t>databases or third party software</w:t>
      </w:r>
      <w:r w:rsidRPr="00F77E3B">
        <w:rPr>
          <w:szCs w:val="22"/>
          <w:lang w:val="en-AU"/>
        </w:rPr>
        <w:t>.</w:t>
      </w:r>
    </w:p>
    <w:p w14:paraId="073F5FE2" w14:textId="084C728B" w:rsidR="00CB07A2" w:rsidRDefault="00CB07A2" w:rsidP="00624A55">
      <w:pPr>
        <w:rPr>
          <w:lang w:val="en-AU"/>
        </w:rPr>
      </w:pPr>
      <w:r>
        <w:rPr>
          <w:lang w:val="en-AU"/>
        </w:rPr>
        <w:t xml:space="preserve">SEHQ: School Entrant Health Questionnaire </w:t>
      </w:r>
    </w:p>
    <w:p w14:paraId="721E3459" w14:textId="4AB4FE79" w:rsidR="00CB07A2" w:rsidRDefault="00CB07A2" w:rsidP="00624A55">
      <w:pPr>
        <w:rPr>
          <w:lang w:val="en-AU"/>
        </w:rPr>
      </w:pPr>
      <w:r>
        <w:rPr>
          <w:lang w:val="en-AU"/>
        </w:rPr>
        <w:t>SSS: School Staff Survey</w:t>
      </w:r>
    </w:p>
    <w:p w14:paraId="5A27FFB0" w14:textId="77777777" w:rsidR="00F77E3B" w:rsidRDefault="00F77E3B" w:rsidP="001E33C5">
      <w:pPr>
        <w:rPr>
          <w:lang w:val="en-AU"/>
        </w:rPr>
      </w:pPr>
    </w:p>
    <w:p w14:paraId="5C7ABFC8" w14:textId="7DC47030" w:rsidR="00F77E3B" w:rsidRPr="00F77E3B" w:rsidRDefault="00F77E3B" w:rsidP="00F77E3B">
      <w:pPr>
        <w:pStyle w:val="Heading2"/>
        <w:rPr>
          <w:lang w:val="en-AU"/>
        </w:rPr>
      </w:pPr>
      <w:r>
        <w:rPr>
          <w:lang w:val="en-AU"/>
        </w:rPr>
        <w:t>Strength of evidence</w:t>
      </w:r>
    </w:p>
    <w:p w14:paraId="5E64D3FA" w14:textId="3C8FD999" w:rsidR="00BC58B8" w:rsidRDefault="001E33C5" w:rsidP="001E33C5">
      <w:pPr>
        <w:rPr>
          <w:lang w:val="en-AU"/>
        </w:rPr>
      </w:pPr>
      <w:r w:rsidRPr="003E1040">
        <w:rPr>
          <w:lang w:val="en-AU"/>
        </w:rPr>
        <w:t xml:space="preserve">The strength of evidence for each measure differs. </w:t>
      </w:r>
      <w:r w:rsidR="00C95D00">
        <w:rPr>
          <w:lang w:val="en-AU"/>
        </w:rPr>
        <w:t>System measures</w:t>
      </w:r>
      <w:r w:rsidRPr="003E1040">
        <w:rPr>
          <w:lang w:val="en-AU"/>
        </w:rPr>
        <w:t xml:space="preserve"> are assessed according to the following categories</w:t>
      </w:r>
      <w:r w:rsidR="00BC58B8">
        <w:rPr>
          <w:lang w:val="en-AU"/>
        </w:rPr>
        <w:t>.</w:t>
      </w:r>
      <w:r w:rsidRPr="003E1040">
        <w:rPr>
          <w:lang w:val="en-AU"/>
        </w:rPr>
        <w:t xml:space="preserve"> </w:t>
      </w:r>
      <w:r w:rsidR="00BC58B8">
        <w:rPr>
          <w:lang w:val="en-AU"/>
        </w:rPr>
        <w:t>See f</w:t>
      </w:r>
      <w:r w:rsidR="00BC58B8">
        <w:rPr>
          <w:lang w:val="en-AU"/>
        </w:rPr>
        <w:t xml:space="preserve">igure 2 below </w:t>
      </w:r>
      <w:r w:rsidR="00BC58B8">
        <w:rPr>
          <w:lang w:val="en-AU"/>
        </w:rPr>
        <w:t>for evidence strength</w:t>
      </w:r>
      <w:r w:rsidR="00BC58B8">
        <w:rPr>
          <w:lang w:val="en-AU"/>
        </w:rPr>
        <w:t xml:space="preserve"> </w:t>
      </w:r>
      <w:r w:rsidR="00BC58B8">
        <w:rPr>
          <w:lang w:val="en-AU"/>
        </w:rPr>
        <w:t>descriptions.</w:t>
      </w:r>
    </w:p>
    <w:p w14:paraId="6331434D" w14:textId="77777777" w:rsidR="00EB51AB" w:rsidRPr="003E1040" w:rsidRDefault="00EB51AB" w:rsidP="001E33C5">
      <w:pPr>
        <w:rPr>
          <w:lang w:val="en-AU"/>
        </w:rPr>
      </w:pPr>
    </w:p>
    <w:p w14:paraId="7E00901C" w14:textId="20B191B5" w:rsidR="003E1040" w:rsidRDefault="007C7838" w:rsidP="00624A55">
      <w:pPr>
        <w:rPr>
          <w:lang w:val="en-AU"/>
        </w:rPr>
      </w:pPr>
      <w:r>
        <w:rPr>
          <w:rFonts w:asciiTheme="majorHAnsi" w:eastAsiaTheme="majorEastAsia" w:hAnsiTheme="majorHAnsi" w:cstheme="majorBidi"/>
          <w:b/>
          <w:color w:val="E57100" w:themeColor="accent1"/>
          <w:sz w:val="24"/>
          <w:lang w:val="en-AU"/>
        </w:rPr>
        <w:t xml:space="preserve">Figure </w:t>
      </w:r>
      <w:r w:rsidR="00BC58B8">
        <w:rPr>
          <w:rFonts w:asciiTheme="majorHAnsi" w:eastAsiaTheme="majorEastAsia" w:hAnsiTheme="majorHAnsi" w:cstheme="majorBidi"/>
          <w:b/>
          <w:color w:val="E57100" w:themeColor="accent1"/>
          <w:sz w:val="24"/>
          <w:lang w:val="en-AU"/>
        </w:rPr>
        <w:t>2</w:t>
      </w:r>
      <w:r>
        <w:rPr>
          <w:rFonts w:asciiTheme="majorHAnsi" w:eastAsiaTheme="majorEastAsia" w:hAnsiTheme="majorHAnsi" w:cstheme="majorBidi"/>
          <w:b/>
          <w:color w:val="E57100" w:themeColor="accent1"/>
          <w:sz w:val="24"/>
          <w:lang w:val="en-AU"/>
        </w:rPr>
        <w:t xml:space="preserve">: </w:t>
      </w:r>
      <w:r w:rsidR="00263C3C">
        <w:rPr>
          <w:rFonts w:asciiTheme="majorHAnsi" w:eastAsiaTheme="majorEastAsia" w:hAnsiTheme="majorHAnsi" w:cstheme="majorBidi"/>
          <w:b/>
          <w:color w:val="E57100" w:themeColor="accent1"/>
          <w:sz w:val="24"/>
          <w:lang w:val="en-AU"/>
        </w:rPr>
        <w:t>Evidence strength description</w:t>
      </w:r>
      <w:r>
        <w:rPr>
          <w:rFonts w:asciiTheme="majorHAnsi" w:eastAsiaTheme="majorEastAsia" w:hAnsiTheme="majorHAnsi" w:cstheme="majorBidi"/>
          <w:b/>
          <w:color w:val="E57100" w:themeColor="accent1"/>
          <w:sz w:val="24"/>
          <w:lang w:val="en-AU"/>
        </w:rPr>
        <w:t xml:space="preserve"> </w:t>
      </w:r>
    </w:p>
    <w:tbl>
      <w:tblPr>
        <w:tblStyle w:val="TableGrid"/>
        <w:tblW w:w="9625" w:type="dxa"/>
        <w:tblLook w:val="04A0" w:firstRow="1" w:lastRow="0" w:firstColumn="1" w:lastColumn="0" w:noHBand="0" w:noVBand="1"/>
      </w:tblPr>
      <w:tblGrid>
        <w:gridCol w:w="1464"/>
        <w:gridCol w:w="8161"/>
      </w:tblGrid>
      <w:tr w:rsidR="003E1040" w:rsidRPr="00C35AB6" w14:paraId="036646CB" w14:textId="77777777" w:rsidTr="003E104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64" w:type="dxa"/>
          </w:tcPr>
          <w:p w14:paraId="0D3D7A4F" w14:textId="352B3E93" w:rsidR="003E1040" w:rsidRPr="00C35AB6" w:rsidRDefault="003E1040" w:rsidP="003E1040">
            <w:pPr>
              <w:pStyle w:val="TableHead"/>
            </w:pPr>
            <w:r w:rsidRPr="003E1040">
              <w:t>Evidence strength</w:t>
            </w:r>
          </w:p>
        </w:tc>
        <w:tc>
          <w:tcPr>
            <w:tcW w:w="8161" w:type="dxa"/>
          </w:tcPr>
          <w:p w14:paraId="4D08CE59" w14:textId="559986CA" w:rsidR="003E1040" w:rsidRPr="00C35AB6" w:rsidRDefault="003E1040" w:rsidP="003E1040">
            <w:pPr>
              <w:pStyle w:val="TableHead"/>
              <w:cnfStyle w:val="100000000000" w:firstRow="1" w:lastRow="0" w:firstColumn="0" w:lastColumn="0" w:oddVBand="0" w:evenVBand="0" w:oddHBand="0" w:evenHBand="0" w:firstRowFirstColumn="0" w:firstRowLastColumn="0" w:lastRowFirstColumn="0" w:lastRowLastColumn="0"/>
            </w:pPr>
            <w:r w:rsidRPr="003E1040">
              <w:t>Description</w:t>
            </w:r>
          </w:p>
        </w:tc>
      </w:tr>
      <w:tr w:rsidR="003E1040" w:rsidRPr="00C35AB6" w14:paraId="78309078" w14:textId="77777777" w:rsidTr="003E1040">
        <w:trPr>
          <w:cantSplit/>
        </w:trPr>
        <w:tc>
          <w:tcPr>
            <w:cnfStyle w:val="001000000000" w:firstRow="0" w:lastRow="0" w:firstColumn="1" w:lastColumn="0" w:oddVBand="0" w:evenVBand="0" w:oddHBand="0" w:evenHBand="0" w:firstRowFirstColumn="0" w:firstRowLastColumn="0" w:lastRowFirstColumn="0" w:lastRowLastColumn="0"/>
            <w:tcW w:w="1464" w:type="dxa"/>
          </w:tcPr>
          <w:p w14:paraId="455BC730" w14:textId="570C678A" w:rsidR="003E1040" w:rsidRPr="00C35AB6" w:rsidRDefault="003E1040" w:rsidP="003E1040">
            <w:pPr>
              <w:rPr>
                <w:rFonts w:cstheme="minorHAnsi"/>
                <w:bCs/>
                <w:kern w:val="24"/>
                <w:szCs w:val="22"/>
                <w:lang w:val="en-AU"/>
              </w:rPr>
            </w:pPr>
            <w:r w:rsidRPr="003E1040">
              <w:rPr>
                <w:lang w:val="en-AU"/>
              </w:rPr>
              <w:t>Strong</w:t>
            </w:r>
          </w:p>
        </w:tc>
        <w:tc>
          <w:tcPr>
            <w:tcW w:w="8161" w:type="dxa"/>
          </w:tcPr>
          <w:p w14:paraId="4A839E72" w14:textId="37E56862" w:rsidR="003E1040" w:rsidRPr="00C35AB6" w:rsidRDefault="003E1040" w:rsidP="003E1040">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kern w:val="24"/>
                <w:szCs w:val="22"/>
                <w:lang w:val="en-AU"/>
              </w:rPr>
            </w:pPr>
            <w:r w:rsidRPr="003E1040">
              <w:rPr>
                <w:lang w:val="en-AU"/>
              </w:rPr>
              <w:t xml:space="preserve">Measure has a strong relationship to improved learning and/or wellbeing outcomes in Victorian government schools and is well supported by academic research </w:t>
            </w:r>
          </w:p>
        </w:tc>
      </w:tr>
      <w:tr w:rsidR="003E1040" w:rsidRPr="00C35AB6" w14:paraId="2EFA8BAF" w14:textId="77777777" w:rsidTr="003E1040">
        <w:trPr>
          <w:cantSplit/>
        </w:trPr>
        <w:tc>
          <w:tcPr>
            <w:cnfStyle w:val="001000000000" w:firstRow="0" w:lastRow="0" w:firstColumn="1" w:lastColumn="0" w:oddVBand="0" w:evenVBand="0" w:oddHBand="0" w:evenHBand="0" w:firstRowFirstColumn="0" w:firstRowLastColumn="0" w:lastRowFirstColumn="0" w:lastRowLastColumn="0"/>
            <w:tcW w:w="1464" w:type="dxa"/>
          </w:tcPr>
          <w:p w14:paraId="64928739" w14:textId="11ED06AE" w:rsidR="003E1040" w:rsidRPr="003E1040" w:rsidRDefault="003E1040" w:rsidP="003E1040">
            <w:pPr>
              <w:pStyle w:val="TableHead"/>
              <w:rPr>
                <w:b w:val="0"/>
                <w:color w:val="auto"/>
              </w:rPr>
            </w:pPr>
            <w:r w:rsidRPr="003E1040">
              <w:rPr>
                <w:b w:val="0"/>
                <w:color w:val="auto"/>
              </w:rPr>
              <w:t xml:space="preserve">Good </w:t>
            </w:r>
          </w:p>
        </w:tc>
        <w:tc>
          <w:tcPr>
            <w:tcW w:w="8161" w:type="dxa"/>
          </w:tcPr>
          <w:p w14:paraId="561AE47B" w14:textId="76E23890" w:rsidR="003E1040" w:rsidRPr="003E1040" w:rsidRDefault="003E1040" w:rsidP="003E1040">
            <w:pPr>
              <w:pStyle w:val="TableHead"/>
              <w:cnfStyle w:val="000000000000" w:firstRow="0" w:lastRow="0" w:firstColumn="0" w:lastColumn="0" w:oddVBand="0" w:evenVBand="0" w:oddHBand="0" w:evenHBand="0" w:firstRowFirstColumn="0" w:firstRowLastColumn="0" w:lastRowFirstColumn="0" w:lastRowLastColumn="0"/>
              <w:rPr>
                <w:b w:val="0"/>
                <w:color w:val="auto"/>
              </w:rPr>
            </w:pPr>
            <w:r w:rsidRPr="003E1040">
              <w:rPr>
                <w:b w:val="0"/>
                <w:color w:val="auto"/>
              </w:rPr>
              <w:t xml:space="preserve">Measure has a good relationship to improved learning and/or wellbeing outcomes in Victorian government schools and is well supported by academic research </w:t>
            </w:r>
          </w:p>
        </w:tc>
      </w:tr>
      <w:tr w:rsidR="003E1040" w:rsidRPr="003E1040" w14:paraId="50391F97" w14:textId="77777777" w:rsidTr="003E1040">
        <w:trPr>
          <w:cantSplit/>
        </w:trPr>
        <w:tc>
          <w:tcPr>
            <w:cnfStyle w:val="001000000000" w:firstRow="0" w:lastRow="0" w:firstColumn="1" w:lastColumn="0" w:oddVBand="0" w:evenVBand="0" w:oddHBand="0" w:evenHBand="0" w:firstRowFirstColumn="0" w:firstRowLastColumn="0" w:lastRowFirstColumn="0" w:lastRowLastColumn="0"/>
            <w:tcW w:w="1464" w:type="dxa"/>
          </w:tcPr>
          <w:p w14:paraId="5A024634" w14:textId="4D260A1E" w:rsidR="003E1040" w:rsidRPr="003E1040" w:rsidRDefault="003E1040" w:rsidP="003E1040">
            <w:pPr>
              <w:pStyle w:val="TableHead"/>
              <w:rPr>
                <w:b w:val="0"/>
                <w:color w:val="auto"/>
              </w:rPr>
            </w:pPr>
            <w:r w:rsidRPr="003E1040">
              <w:rPr>
                <w:b w:val="0"/>
                <w:color w:val="auto"/>
              </w:rPr>
              <w:t>Fair</w:t>
            </w:r>
          </w:p>
        </w:tc>
        <w:tc>
          <w:tcPr>
            <w:tcW w:w="8161" w:type="dxa"/>
          </w:tcPr>
          <w:p w14:paraId="6AFD0D6C" w14:textId="5FA0D8A8" w:rsidR="003E1040" w:rsidRPr="003E1040" w:rsidRDefault="003E1040" w:rsidP="003E1040">
            <w:pPr>
              <w:pStyle w:val="TableHead"/>
              <w:cnfStyle w:val="000000000000" w:firstRow="0" w:lastRow="0" w:firstColumn="0" w:lastColumn="0" w:oddVBand="0" w:evenVBand="0" w:oddHBand="0" w:evenHBand="0" w:firstRowFirstColumn="0" w:firstRowLastColumn="0" w:lastRowFirstColumn="0" w:lastRowLastColumn="0"/>
              <w:rPr>
                <w:b w:val="0"/>
                <w:color w:val="auto"/>
              </w:rPr>
            </w:pPr>
            <w:r w:rsidRPr="003E1040">
              <w:rPr>
                <w:b w:val="0"/>
                <w:color w:val="auto"/>
              </w:rPr>
              <w:t>Measure has a moderate relationship to improved learning and/or wellbeing outcomes in Victorian government schools and is broadly aligned with academic research. Evidence base requires improvement over time.</w:t>
            </w:r>
          </w:p>
        </w:tc>
      </w:tr>
    </w:tbl>
    <w:p w14:paraId="2204658F" w14:textId="77777777" w:rsidR="003E1040" w:rsidRDefault="003E1040" w:rsidP="00624A55">
      <w:pPr>
        <w:rPr>
          <w:lang w:val="en-AU"/>
        </w:rPr>
      </w:pPr>
    </w:p>
    <w:p w14:paraId="2493A63D" w14:textId="635217F3" w:rsidR="00BD2405" w:rsidRDefault="00BD2405">
      <w:pPr>
        <w:spacing w:after="0"/>
        <w:rPr>
          <w:rFonts w:asciiTheme="majorHAnsi" w:eastAsiaTheme="majorEastAsia" w:hAnsiTheme="majorHAnsi" w:cs="Times New Roman (Headings CS)"/>
          <w:b/>
          <w:color w:val="004C97" w:themeColor="accent5"/>
          <w:sz w:val="32"/>
          <w:szCs w:val="26"/>
          <w:lang w:val="en-AU"/>
        </w:rPr>
      </w:pPr>
      <w:r>
        <w:rPr>
          <w:lang w:val="en-AU"/>
        </w:rPr>
        <w:br w:type="page"/>
      </w:r>
    </w:p>
    <w:p w14:paraId="0B362052" w14:textId="0C7BEEDB" w:rsidR="003E1040" w:rsidRPr="004A4C47" w:rsidRDefault="003E1040" w:rsidP="004A4C47">
      <w:pPr>
        <w:pStyle w:val="Heading2"/>
        <w:rPr>
          <w:lang w:val="en-AU"/>
        </w:rPr>
      </w:pPr>
      <w:r>
        <w:rPr>
          <w:lang w:val="en-AU"/>
        </w:rPr>
        <w:lastRenderedPageBreak/>
        <w:t xml:space="preserve">Evidence summary and strength for each </w:t>
      </w:r>
      <w:r w:rsidR="00856FE7">
        <w:rPr>
          <w:lang w:val="en-AU"/>
        </w:rPr>
        <w:t>system</w:t>
      </w:r>
      <w:r>
        <w:rPr>
          <w:lang w:val="en-AU"/>
        </w:rPr>
        <w:t xml:space="preserve"> measure</w:t>
      </w:r>
    </w:p>
    <w:p w14:paraId="7062DEB1" w14:textId="23744241" w:rsidR="00802D4F" w:rsidRDefault="003E1040" w:rsidP="00624A55">
      <w:pPr>
        <w:rPr>
          <w:rFonts w:asciiTheme="majorHAnsi" w:eastAsiaTheme="majorEastAsia" w:hAnsiTheme="majorHAnsi" w:cstheme="majorBidi"/>
          <w:b/>
          <w:color w:val="E57100" w:themeColor="accent1"/>
          <w:sz w:val="24"/>
          <w:lang w:val="en-AU"/>
        </w:rPr>
      </w:pPr>
      <w:r w:rsidRPr="003E1040">
        <w:t xml:space="preserve">Each </w:t>
      </w:r>
      <w:r w:rsidR="00856FE7">
        <w:t>system</w:t>
      </w:r>
      <w:r w:rsidRPr="003E1040">
        <w:t xml:space="preserve"> measure is supported by a summary of evidence and an evidence strength rating</w:t>
      </w:r>
      <w:r w:rsidR="001E33C5">
        <w:t xml:space="preserve"> in the table</w:t>
      </w:r>
      <w:r w:rsidR="00EB51AB">
        <w:t>s</w:t>
      </w:r>
      <w:r w:rsidR="001E33C5">
        <w:t xml:space="preserve"> below</w:t>
      </w:r>
      <w:r w:rsidR="00E13680">
        <w:t>, s</w:t>
      </w:r>
      <w:r w:rsidR="00BC58B8">
        <w:t>ee figure 3</w:t>
      </w:r>
      <w:r w:rsidR="00E13680">
        <w:t>:</w:t>
      </w:r>
    </w:p>
    <w:p w14:paraId="5D6FDC97" w14:textId="77777777" w:rsidR="008F0DDA" w:rsidRDefault="008F0DDA" w:rsidP="00624A55">
      <w:pPr>
        <w:rPr>
          <w:rFonts w:asciiTheme="majorHAnsi" w:eastAsiaTheme="majorEastAsia" w:hAnsiTheme="majorHAnsi" w:cstheme="majorBidi"/>
          <w:b/>
          <w:color w:val="E57100" w:themeColor="accent1"/>
          <w:sz w:val="24"/>
          <w:lang w:val="en-AU"/>
        </w:rPr>
      </w:pPr>
    </w:p>
    <w:p w14:paraId="7D6C436B" w14:textId="55991A9F" w:rsidR="003E1040" w:rsidRDefault="00263C3C" w:rsidP="00624A55">
      <w:pPr>
        <w:rPr>
          <w:rFonts w:asciiTheme="majorHAnsi" w:eastAsiaTheme="majorEastAsia" w:hAnsiTheme="majorHAnsi" w:cstheme="majorBidi"/>
          <w:b/>
          <w:color w:val="E57100" w:themeColor="accent1"/>
          <w:sz w:val="24"/>
          <w:lang w:val="en-AU"/>
        </w:rPr>
      </w:pPr>
      <w:r>
        <w:rPr>
          <w:rFonts w:asciiTheme="majorHAnsi" w:eastAsiaTheme="majorEastAsia" w:hAnsiTheme="majorHAnsi" w:cstheme="majorBidi"/>
          <w:b/>
          <w:color w:val="E57100" w:themeColor="accent1"/>
          <w:sz w:val="24"/>
          <w:lang w:val="en-AU"/>
        </w:rPr>
        <w:t xml:space="preserve">Figure </w:t>
      </w:r>
      <w:r w:rsidR="00BC58B8">
        <w:rPr>
          <w:rFonts w:asciiTheme="majorHAnsi" w:eastAsiaTheme="majorEastAsia" w:hAnsiTheme="majorHAnsi" w:cstheme="majorBidi"/>
          <w:b/>
          <w:color w:val="E57100" w:themeColor="accent1"/>
          <w:sz w:val="24"/>
          <w:lang w:val="en-AU"/>
        </w:rPr>
        <w:t>3</w:t>
      </w:r>
      <w:r>
        <w:rPr>
          <w:rFonts w:asciiTheme="majorHAnsi" w:eastAsiaTheme="majorEastAsia" w:hAnsiTheme="majorHAnsi" w:cstheme="majorBidi"/>
          <w:b/>
          <w:color w:val="E57100" w:themeColor="accent1"/>
          <w:sz w:val="24"/>
          <w:lang w:val="en-AU"/>
        </w:rPr>
        <w:t xml:space="preserve">: Evidence summary for </w:t>
      </w:r>
      <w:r w:rsidR="00807F58">
        <w:rPr>
          <w:rFonts w:asciiTheme="majorHAnsi" w:eastAsiaTheme="majorEastAsia" w:hAnsiTheme="majorHAnsi" w:cstheme="majorBidi"/>
          <w:b/>
          <w:color w:val="E57100" w:themeColor="accent1"/>
          <w:sz w:val="24"/>
          <w:lang w:val="en-AU"/>
        </w:rPr>
        <w:t>the FISO 2.0</w:t>
      </w:r>
      <w:r w:rsidR="004A4C47">
        <w:rPr>
          <w:rFonts w:asciiTheme="majorHAnsi" w:eastAsiaTheme="majorEastAsia" w:hAnsiTheme="majorHAnsi" w:cstheme="majorBidi"/>
          <w:b/>
          <w:color w:val="E57100" w:themeColor="accent1"/>
          <w:sz w:val="24"/>
          <w:lang w:val="en-AU"/>
        </w:rPr>
        <w:t xml:space="preserve"> outcomes</w:t>
      </w:r>
      <w:r w:rsidR="00807F58">
        <w:rPr>
          <w:rFonts w:asciiTheme="majorHAnsi" w:eastAsiaTheme="majorEastAsia" w:hAnsiTheme="majorHAnsi" w:cstheme="majorBidi"/>
          <w:b/>
          <w:color w:val="E57100" w:themeColor="accent1"/>
          <w:sz w:val="24"/>
          <w:lang w:val="en-AU"/>
        </w:rPr>
        <w:t xml:space="preserve"> </w:t>
      </w:r>
      <w:r w:rsidR="00856FE7">
        <w:rPr>
          <w:rFonts w:asciiTheme="majorHAnsi" w:eastAsiaTheme="majorEastAsia" w:hAnsiTheme="majorHAnsi" w:cstheme="majorBidi"/>
          <w:b/>
          <w:color w:val="E57100" w:themeColor="accent1"/>
          <w:sz w:val="24"/>
          <w:lang w:val="en-AU"/>
        </w:rPr>
        <w:t xml:space="preserve">system </w:t>
      </w:r>
      <w:r w:rsidR="00C95D00">
        <w:rPr>
          <w:rFonts w:asciiTheme="majorHAnsi" w:eastAsiaTheme="majorEastAsia" w:hAnsiTheme="majorHAnsi" w:cstheme="majorBidi"/>
          <w:b/>
          <w:color w:val="E57100" w:themeColor="accent1"/>
          <w:sz w:val="24"/>
          <w:lang w:val="en-AU"/>
        </w:rPr>
        <w:t>measures</w:t>
      </w:r>
      <w:r>
        <w:rPr>
          <w:rFonts w:asciiTheme="majorHAnsi" w:eastAsiaTheme="majorEastAsia" w:hAnsiTheme="majorHAnsi" w:cstheme="majorBidi"/>
          <w:b/>
          <w:color w:val="E57100" w:themeColor="accent1"/>
          <w:sz w:val="24"/>
          <w:lang w:val="en-AU"/>
        </w:rPr>
        <w:t xml:space="preserve"> </w:t>
      </w:r>
    </w:p>
    <w:tbl>
      <w:tblPr>
        <w:tblStyle w:val="TableGrid"/>
        <w:tblW w:w="9861" w:type="dxa"/>
        <w:tblLayout w:type="fixed"/>
        <w:tblLook w:val="04A0" w:firstRow="1" w:lastRow="0" w:firstColumn="1" w:lastColumn="0" w:noHBand="0" w:noVBand="1"/>
      </w:tblPr>
      <w:tblGrid>
        <w:gridCol w:w="1342"/>
        <w:gridCol w:w="1409"/>
        <w:gridCol w:w="5927"/>
        <w:gridCol w:w="1183"/>
      </w:tblGrid>
      <w:tr w:rsidR="00F348E4" w14:paraId="03825750" w14:textId="77777777" w:rsidTr="00FA23E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2" w:type="dxa"/>
          </w:tcPr>
          <w:p w14:paraId="46D183F9" w14:textId="77777777" w:rsidR="00F348E4" w:rsidRPr="00C35AB6" w:rsidRDefault="00F348E4" w:rsidP="00F348E4">
            <w:pPr>
              <w:pStyle w:val="NormalWeb"/>
              <w:spacing w:before="0" w:beforeAutospacing="0" w:after="0" w:afterAutospacing="0"/>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Outcome</w:t>
            </w:r>
          </w:p>
          <w:p w14:paraId="144BED17" w14:textId="442DD2F4" w:rsidR="00F348E4" w:rsidRPr="00C35AB6" w:rsidRDefault="00F348E4" w:rsidP="00F348E4">
            <w:pPr>
              <w:pStyle w:val="TableHead"/>
            </w:pPr>
          </w:p>
        </w:tc>
        <w:tc>
          <w:tcPr>
            <w:tcW w:w="1409" w:type="dxa"/>
          </w:tcPr>
          <w:p w14:paraId="3FD34846" w14:textId="6EC0CF4E" w:rsidR="00F348E4" w:rsidRPr="00C35AB6" w:rsidRDefault="00F348E4" w:rsidP="00F348E4">
            <w:pPr>
              <w:pStyle w:val="TableHead"/>
              <w:cnfStyle w:val="100000000000" w:firstRow="1" w:lastRow="0" w:firstColumn="0" w:lastColumn="0" w:oddVBand="0" w:evenVBand="0" w:oddHBand="0" w:evenHBand="0" w:firstRowFirstColumn="0" w:firstRowLastColumn="0" w:lastRowFirstColumn="0" w:lastRowLastColumn="0"/>
            </w:pPr>
            <w:r w:rsidRPr="00C35AB6">
              <w:t>Measure</w:t>
            </w:r>
          </w:p>
        </w:tc>
        <w:tc>
          <w:tcPr>
            <w:tcW w:w="5927" w:type="dxa"/>
          </w:tcPr>
          <w:p w14:paraId="278872C2" w14:textId="126463F6" w:rsidR="00F348E4" w:rsidRPr="00C35AB6" w:rsidRDefault="00F348E4" w:rsidP="00F348E4">
            <w:pPr>
              <w:pStyle w:val="TableHead"/>
              <w:cnfStyle w:val="100000000000" w:firstRow="1" w:lastRow="0" w:firstColumn="0" w:lastColumn="0" w:oddVBand="0" w:evenVBand="0" w:oddHBand="0" w:evenHBand="0" w:firstRowFirstColumn="0" w:firstRowLastColumn="0" w:lastRowFirstColumn="0" w:lastRowLastColumn="0"/>
            </w:pPr>
            <w:r w:rsidRPr="00C35AB6">
              <w:t>Evidence</w:t>
            </w:r>
          </w:p>
        </w:tc>
        <w:tc>
          <w:tcPr>
            <w:tcW w:w="1183" w:type="dxa"/>
          </w:tcPr>
          <w:p w14:paraId="38A74156" w14:textId="305BA1D8" w:rsidR="00F348E4" w:rsidRPr="00C35AB6" w:rsidRDefault="00F348E4" w:rsidP="00F348E4">
            <w:pPr>
              <w:pStyle w:val="TableHead"/>
              <w:cnfStyle w:val="100000000000" w:firstRow="1" w:lastRow="0" w:firstColumn="0" w:lastColumn="0" w:oddVBand="0" w:evenVBand="0" w:oddHBand="0" w:evenHBand="0" w:firstRowFirstColumn="0" w:firstRowLastColumn="0" w:lastRowFirstColumn="0" w:lastRowLastColumn="0"/>
            </w:pPr>
            <w:r w:rsidRPr="00C35AB6">
              <w:t>Evidence strength</w:t>
            </w:r>
          </w:p>
        </w:tc>
      </w:tr>
      <w:tr w:rsidR="00F348E4" w14:paraId="05E3A778" w14:textId="77777777" w:rsidTr="00FA23E0">
        <w:trPr>
          <w:cantSplit/>
        </w:trPr>
        <w:tc>
          <w:tcPr>
            <w:cnfStyle w:val="001000000000" w:firstRow="0" w:lastRow="0" w:firstColumn="1" w:lastColumn="0" w:oddVBand="0" w:evenVBand="0" w:oddHBand="0" w:evenHBand="0" w:firstRowFirstColumn="0" w:firstRowLastColumn="0" w:lastRowFirstColumn="0" w:lastRowLastColumn="0"/>
            <w:tcW w:w="1342" w:type="dxa"/>
          </w:tcPr>
          <w:p w14:paraId="1F945ACA" w14:textId="75DDDA18" w:rsidR="00F348E4" w:rsidRPr="008F0DDA" w:rsidRDefault="00F348E4" w:rsidP="00F348E4">
            <w:pPr>
              <w:pStyle w:val="TableHead"/>
              <w:rPr>
                <w:rFonts w:cstheme="minorHAnsi"/>
                <w:color w:val="000000" w:themeColor="text1"/>
                <w:kern w:val="24"/>
                <w:szCs w:val="22"/>
              </w:rPr>
            </w:pPr>
            <w:r w:rsidRPr="008F0DDA">
              <w:rPr>
                <w:rFonts w:ascii="Arial" w:eastAsia="Arial" w:hAnsi="Arial" w:cs="Times New Roman"/>
                <w:color w:val="0063A5"/>
                <w:kern w:val="24"/>
                <w:szCs w:val="22"/>
                <w:lang w:eastAsia="en-AU"/>
              </w:rPr>
              <w:t>Learning</w:t>
            </w:r>
          </w:p>
        </w:tc>
        <w:tc>
          <w:tcPr>
            <w:tcW w:w="1409" w:type="dxa"/>
          </w:tcPr>
          <w:p w14:paraId="196BCA7B" w14:textId="5B04C72C" w:rsidR="00F348E4" w:rsidRPr="00F348E4" w:rsidRDefault="00F348E4" w:rsidP="00F348E4">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bCs/>
                <w:color w:val="0063A5"/>
                <w:kern w:val="24"/>
                <w:szCs w:val="22"/>
                <w:lang w:val="en-AU" w:eastAsia="en-AU"/>
              </w:rPr>
            </w:pPr>
            <w:r w:rsidRPr="00C35AB6">
              <w:rPr>
                <w:rFonts w:cstheme="minorHAnsi"/>
                <w:bCs/>
                <w:color w:val="000000" w:themeColor="text1"/>
                <w:kern w:val="24"/>
                <w:szCs w:val="22"/>
              </w:rPr>
              <w:t>Benchmark Growth (NAPLAN)</w:t>
            </w:r>
          </w:p>
        </w:tc>
        <w:tc>
          <w:tcPr>
            <w:tcW w:w="5927" w:type="dxa"/>
          </w:tcPr>
          <w:p w14:paraId="57439504" w14:textId="549871B3" w:rsidR="00F348E4" w:rsidRPr="00C35AB6" w:rsidRDefault="00F348E4" w:rsidP="00F348E4">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kern w:val="24"/>
                <w:szCs w:val="22"/>
                <w:lang w:val="en-AU"/>
              </w:rPr>
            </w:pPr>
            <w:r w:rsidRPr="00C35AB6">
              <w:rPr>
                <w:rFonts w:cstheme="minorHAnsi"/>
                <w:bCs/>
                <w:color w:val="000000" w:themeColor="text1"/>
                <w:kern w:val="24"/>
                <w:szCs w:val="22"/>
                <w:lang w:val="en-AU"/>
              </w:rPr>
              <w:t xml:space="preserve">Benchmark growth measures the growth in learning between two NAPLAN tests by considering the student's starting point against fixed benchmarks of expected growth. </w:t>
            </w:r>
            <w:r w:rsidR="008F0DDA" w:rsidRPr="00C35AB6">
              <w:rPr>
                <w:rFonts w:cstheme="minorHAnsi"/>
                <w:bCs/>
                <w:color w:val="000000" w:themeColor="text1"/>
                <w:kern w:val="24"/>
                <w:szCs w:val="22"/>
                <w:lang w:val="en-AU"/>
              </w:rPr>
              <w:t>Benchmark Growth allows for significant improvements in NAPLAN learning gain to be reflected at a system, school, and individual student level.</w:t>
            </w:r>
          </w:p>
        </w:tc>
        <w:tc>
          <w:tcPr>
            <w:tcW w:w="1183" w:type="dxa"/>
          </w:tcPr>
          <w:p w14:paraId="56B8AD78" w14:textId="67827C96" w:rsidR="00F348E4" w:rsidRPr="00C35AB6" w:rsidRDefault="00F348E4" w:rsidP="00F348E4">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kern w:val="24"/>
                <w:szCs w:val="22"/>
                <w:lang w:val="en-AU"/>
              </w:rPr>
            </w:pPr>
            <w:r w:rsidRPr="00C35AB6">
              <w:rPr>
                <w:rFonts w:cstheme="minorHAnsi"/>
                <w:bCs/>
                <w:color w:val="000000" w:themeColor="text1"/>
                <w:kern w:val="24"/>
                <w:szCs w:val="22"/>
                <w:lang w:val="en-AU"/>
              </w:rPr>
              <w:t>Strong</w:t>
            </w:r>
          </w:p>
        </w:tc>
      </w:tr>
      <w:tr w:rsidR="00F348E4" w14:paraId="0DA3637C" w14:textId="77777777" w:rsidTr="00FA23E0">
        <w:trPr>
          <w:cantSplit/>
        </w:trPr>
        <w:tc>
          <w:tcPr>
            <w:cnfStyle w:val="001000000000" w:firstRow="0" w:lastRow="0" w:firstColumn="1" w:lastColumn="0" w:oddVBand="0" w:evenVBand="0" w:oddHBand="0" w:evenHBand="0" w:firstRowFirstColumn="0" w:firstRowLastColumn="0" w:lastRowFirstColumn="0" w:lastRowLastColumn="0"/>
            <w:tcW w:w="1342" w:type="dxa"/>
          </w:tcPr>
          <w:p w14:paraId="5D7CABD9" w14:textId="6159D7F2" w:rsidR="00F348E4" w:rsidRPr="008F0DDA" w:rsidRDefault="00F348E4" w:rsidP="00F348E4">
            <w:pPr>
              <w:pStyle w:val="TableHead"/>
              <w:rPr>
                <w:rFonts w:cstheme="minorHAnsi"/>
                <w:color w:val="000000" w:themeColor="text1"/>
                <w:kern w:val="24"/>
                <w:szCs w:val="22"/>
              </w:rPr>
            </w:pPr>
            <w:r w:rsidRPr="008F0DDA">
              <w:rPr>
                <w:rFonts w:ascii="Arial" w:eastAsia="Arial" w:hAnsi="Arial" w:cs="Times New Roman"/>
                <w:color w:val="0063A5"/>
                <w:kern w:val="24"/>
                <w:szCs w:val="22"/>
                <w:lang w:eastAsia="en-AU"/>
              </w:rPr>
              <w:t>Learning</w:t>
            </w:r>
          </w:p>
        </w:tc>
        <w:tc>
          <w:tcPr>
            <w:tcW w:w="1409" w:type="dxa"/>
          </w:tcPr>
          <w:p w14:paraId="12D996A0" w14:textId="4EBE4D82" w:rsidR="00F348E4" w:rsidRPr="000C2A2D" w:rsidRDefault="00F348E4" w:rsidP="00F348E4">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0063A5"/>
                <w:kern w:val="24"/>
                <w:szCs w:val="22"/>
                <w:lang w:val="en-AU" w:eastAsia="en-AU"/>
              </w:rPr>
            </w:pPr>
            <w:r w:rsidRPr="000C2A2D">
              <w:rPr>
                <w:rFonts w:cstheme="minorHAnsi"/>
                <w:color w:val="000000" w:themeColor="text1"/>
                <w:kern w:val="24"/>
                <w:szCs w:val="22"/>
              </w:rPr>
              <w:t>English Online Interview</w:t>
            </w:r>
          </w:p>
        </w:tc>
        <w:tc>
          <w:tcPr>
            <w:tcW w:w="5927" w:type="dxa"/>
          </w:tcPr>
          <w:p w14:paraId="75E2F0FD" w14:textId="77777777" w:rsidR="006E0454" w:rsidRDefault="006E0454" w:rsidP="00F348E4">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kern w:val="24"/>
                <w:szCs w:val="22"/>
              </w:rPr>
            </w:pPr>
            <w:r w:rsidRPr="006E0454">
              <w:rPr>
                <w:rFonts w:cstheme="minorHAnsi"/>
                <w:bCs/>
                <w:color w:val="000000" w:themeColor="text1"/>
                <w:kern w:val="24"/>
                <w:szCs w:val="22"/>
              </w:rPr>
              <w:t xml:space="preserve">The English Online Interview (EOI) assesses the English skills of students between Foundation and Year 2. It is mandatory for all Prep students to be assessed during Term 1 each year. </w:t>
            </w:r>
          </w:p>
          <w:p w14:paraId="40743617" w14:textId="3A70BE4F" w:rsidR="00F348E4" w:rsidRPr="00C35AB6" w:rsidRDefault="006E0454" w:rsidP="00F348E4">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kern w:val="24"/>
                <w:szCs w:val="22"/>
                <w:lang w:val="en-AU"/>
              </w:rPr>
            </w:pPr>
            <w:r>
              <w:rPr>
                <w:rFonts w:cstheme="minorHAnsi"/>
                <w:bCs/>
                <w:color w:val="000000" w:themeColor="text1"/>
                <w:kern w:val="24"/>
                <w:szCs w:val="22"/>
              </w:rPr>
              <w:t>DET analysis shows t</w:t>
            </w:r>
            <w:r w:rsidRPr="006E0454">
              <w:rPr>
                <w:rFonts w:cstheme="minorHAnsi"/>
                <w:bCs/>
                <w:color w:val="000000" w:themeColor="text1"/>
                <w:kern w:val="24"/>
                <w:szCs w:val="22"/>
              </w:rPr>
              <w:t xml:space="preserve">here is a strong </w:t>
            </w:r>
            <w:r>
              <w:rPr>
                <w:rFonts w:cstheme="minorHAnsi"/>
                <w:bCs/>
                <w:color w:val="000000" w:themeColor="text1"/>
                <w:kern w:val="24"/>
                <w:szCs w:val="22"/>
              </w:rPr>
              <w:t xml:space="preserve">and positive </w:t>
            </w:r>
            <w:r w:rsidRPr="006E0454">
              <w:rPr>
                <w:rFonts w:cstheme="minorHAnsi"/>
                <w:bCs/>
                <w:color w:val="000000" w:themeColor="text1"/>
                <w:kern w:val="24"/>
                <w:szCs w:val="22"/>
              </w:rPr>
              <w:t>correlation between the Prep EOI achievement (Reading) and the Year 3 NAPLAN achievement (Reading)</w:t>
            </w:r>
            <w:r>
              <w:rPr>
                <w:rFonts w:cstheme="minorHAnsi"/>
                <w:bCs/>
                <w:color w:val="000000" w:themeColor="text1"/>
                <w:kern w:val="24"/>
                <w:szCs w:val="22"/>
              </w:rPr>
              <w:t>.</w:t>
            </w:r>
          </w:p>
        </w:tc>
        <w:tc>
          <w:tcPr>
            <w:tcW w:w="1183" w:type="dxa"/>
          </w:tcPr>
          <w:p w14:paraId="454BF283" w14:textId="0A218616" w:rsidR="00F348E4" w:rsidRPr="00C35AB6" w:rsidRDefault="00F348E4" w:rsidP="00F348E4">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kern w:val="24"/>
                <w:szCs w:val="22"/>
                <w:lang w:val="en-AU"/>
              </w:rPr>
            </w:pPr>
            <w:r>
              <w:rPr>
                <w:rFonts w:cstheme="minorHAnsi"/>
                <w:bCs/>
                <w:color w:val="000000" w:themeColor="text1"/>
                <w:kern w:val="24"/>
                <w:szCs w:val="22"/>
                <w:lang w:val="en-AU"/>
              </w:rPr>
              <w:t>Strong</w:t>
            </w:r>
          </w:p>
        </w:tc>
      </w:tr>
      <w:tr w:rsidR="00F348E4" w14:paraId="78B0CE7A" w14:textId="77777777" w:rsidTr="00FA23E0">
        <w:trPr>
          <w:cantSplit/>
        </w:trPr>
        <w:tc>
          <w:tcPr>
            <w:cnfStyle w:val="001000000000" w:firstRow="0" w:lastRow="0" w:firstColumn="1" w:lastColumn="0" w:oddVBand="0" w:evenVBand="0" w:oddHBand="0" w:evenHBand="0" w:firstRowFirstColumn="0" w:firstRowLastColumn="0" w:lastRowFirstColumn="0" w:lastRowLastColumn="0"/>
            <w:tcW w:w="1342" w:type="dxa"/>
          </w:tcPr>
          <w:p w14:paraId="2F1D76C0" w14:textId="75B051F5" w:rsidR="00F348E4" w:rsidRPr="00C35AB6" w:rsidRDefault="00F348E4" w:rsidP="00F348E4">
            <w:pPr>
              <w:pStyle w:val="TableHead"/>
              <w:rPr>
                <w:rFonts w:cstheme="minorHAnsi"/>
                <w:b w:val="0"/>
                <w:bCs/>
                <w:color w:val="000000" w:themeColor="text1"/>
                <w:kern w:val="24"/>
                <w:szCs w:val="22"/>
              </w:rPr>
            </w:pPr>
            <w:r w:rsidRPr="008F0DDA">
              <w:rPr>
                <w:rFonts w:ascii="Arial" w:eastAsia="Arial" w:hAnsi="Arial" w:cs="Times New Roman"/>
                <w:color w:val="0063A5"/>
                <w:kern w:val="24"/>
                <w:szCs w:val="22"/>
                <w:lang w:eastAsia="en-AU"/>
              </w:rPr>
              <w:t>Learning</w:t>
            </w:r>
          </w:p>
        </w:tc>
        <w:tc>
          <w:tcPr>
            <w:tcW w:w="1409" w:type="dxa"/>
          </w:tcPr>
          <w:p w14:paraId="1861744D" w14:textId="08452D20" w:rsidR="00F348E4" w:rsidRPr="00F348E4" w:rsidRDefault="00F348E4" w:rsidP="00F348E4">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bCs/>
                <w:color w:val="0063A5"/>
                <w:kern w:val="24"/>
                <w:szCs w:val="22"/>
                <w:lang w:val="en-AU" w:eastAsia="en-AU"/>
              </w:rPr>
            </w:pPr>
            <w:r w:rsidRPr="00C35AB6">
              <w:rPr>
                <w:rFonts w:cstheme="minorHAnsi"/>
                <w:bCs/>
                <w:color w:val="000000" w:themeColor="text1"/>
                <w:kern w:val="24"/>
                <w:szCs w:val="22"/>
              </w:rPr>
              <w:t>Senior secondary completion rate</w:t>
            </w:r>
          </w:p>
        </w:tc>
        <w:tc>
          <w:tcPr>
            <w:tcW w:w="5927" w:type="dxa"/>
          </w:tcPr>
          <w:p w14:paraId="6DB76B90" w14:textId="6D74025D" w:rsidR="00F348E4" w:rsidRPr="00C35AB6" w:rsidRDefault="00F348E4" w:rsidP="00F348E4">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 xml:space="preserve">Young people who do not complete Year 12 or equivalent qualifications are at greater risk of poor economic, social, and health outcomes. These risks are associated with a range of personal and social costs – including reduced lifetime earnings, increased reliance on government welfare and health services, and increased public expenditure on criminal justice (Lamb &amp; </w:t>
            </w:r>
            <w:proofErr w:type="spellStart"/>
            <w:r w:rsidRPr="00C35AB6">
              <w:rPr>
                <w:rFonts w:cstheme="minorHAnsi"/>
                <w:b w:val="0"/>
                <w:bCs/>
                <w:color w:val="000000" w:themeColor="text1"/>
                <w:kern w:val="24"/>
                <w:szCs w:val="22"/>
              </w:rPr>
              <w:t>Huo</w:t>
            </w:r>
            <w:proofErr w:type="spellEnd"/>
            <w:r w:rsidRPr="00C35AB6">
              <w:rPr>
                <w:rFonts w:cstheme="minorHAnsi"/>
                <w:b w:val="0"/>
                <w:bCs/>
                <w:color w:val="000000" w:themeColor="text1"/>
                <w:kern w:val="24"/>
                <w:szCs w:val="22"/>
              </w:rPr>
              <w:t xml:space="preserve">, 2017). </w:t>
            </w:r>
          </w:p>
        </w:tc>
        <w:tc>
          <w:tcPr>
            <w:tcW w:w="1183" w:type="dxa"/>
          </w:tcPr>
          <w:p w14:paraId="30A658FE" w14:textId="168BA1F9" w:rsidR="00F348E4" w:rsidRPr="00C35AB6" w:rsidRDefault="00F348E4" w:rsidP="00F348E4">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Strong</w:t>
            </w:r>
          </w:p>
        </w:tc>
      </w:tr>
      <w:tr w:rsidR="00F348E4" w14:paraId="011F717B" w14:textId="77777777" w:rsidTr="00FA23E0">
        <w:trPr>
          <w:cantSplit/>
        </w:trPr>
        <w:tc>
          <w:tcPr>
            <w:cnfStyle w:val="001000000000" w:firstRow="0" w:lastRow="0" w:firstColumn="1" w:lastColumn="0" w:oddVBand="0" w:evenVBand="0" w:oddHBand="0" w:evenHBand="0" w:firstRowFirstColumn="0" w:firstRowLastColumn="0" w:lastRowFirstColumn="0" w:lastRowLastColumn="0"/>
            <w:tcW w:w="1342" w:type="dxa"/>
          </w:tcPr>
          <w:p w14:paraId="60C169EA" w14:textId="7A42AFBB" w:rsidR="00F348E4" w:rsidRPr="008F0DDA" w:rsidRDefault="00F348E4" w:rsidP="00F348E4">
            <w:pPr>
              <w:pStyle w:val="TableHead"/>
              <w:rPr>
                <w:rFonts w:ascii="Arial" w:eastAsia="Arial" w:hAnsi="Arial" w:cs="Times New Roman"/>
                <w:color w:val="0063A5"/>
                <w:kern w:val="24"/>
                <w:szCs w:val="22"/>
                <w:lang w:eastAsia="en-AU"/>
              </w:rPr>
            </w:pPr>
            <w:r w:rsidRPr="008F0DDA">
              <w:rPr>
                <w:rFonts w:ascii="Arial" w:eastAsia="Arial" w:hAnsi="Arial" w:cs="Times New Roman"/>
                <w:color w:val="0063A5"/>
                <w:kern w:val="24"/>
                <w:szCs w:val="22"/>
                <w:lang w:eastAsia="en-AU"/>
              </w:rPr>
              <w:lastRenderedPageBreak/>
              <w:t xml:space="preserve">Wellbeing </w:t>
            </w:r>
          </w:p>
        </w:tc>
        <w:tc>
          <w:tcPr>
            <w:tcW w:w="1409" w:type="dxa"/>
          </w:tcPr>
          <w:p w14:paraId="770932E9" w14:textId="2F251438" w:rsidR="00F348E4" w:rsidRPr="003E1040" w:rsidRDefault="00F348E4" w:rsidP="00F348E4">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highlight w:val="yellow"/>
              </w:rPr>
            </w:pPr>
            <w:r w:rsidRPr="00C35AB6">
              <w:rPr>
                <w:rFonts w:cstheme="minorHAnsi"/>
                <w:b w:val="0"/>
                <w:bCs/>
                <w:color w:val="000000" w:themeColor="text1"/>
                <w:kern w:val="24"/>
                <w:szCs w:val="22"/>
              </w:rPr>
              <w:t>Resilience (</w:t>
            </w:r>
            <w:r>
              <w:rPr>
                <w:rFonts w:cstheme="minorHAnsi"/>
                <w:b w:val="0"/>
                <w:bCs/>
                <w:color w:val="000000" w:themeColor="text1"/>
                <w:kern w:val="24"/>
                <w:szCs w:val="22"/>
              </w:rPr>
              <w:t>AtoSS</w:t>
            </w:r>
            <w:r w:rsidRPr="00C35AB6">
              <w:rPr>
                <w:rFonts w:cstheme="minorHAnsi"/>
                <w:b w:val="0"/>
                <w:bCs/>
                <w:color w:val="000000" w:themeColor="text1"/>
                <w:kern w:val="24"/>
                <w:szCs w:val="22"/>
              </w:rPr>
              <w:t>)</w:t>
            </w:r>
          </w:p>
        </w:tc>
        <w:tc>
          <w:tcPr>
            <w:tcW w:w="5927" w:type="dxa"/>
          </w:tcPr>
          <w:p w14:paraId="345E8DA4" w14:textId="2A6CA60B" w:rsidR="00C12211" w:rsidRDefault="00C12211" w:rsidP="00F348E4">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12211">
              <w:rPr>
                <w:rFonts w:cstheme="minorHAnsi"/>
                <w:b w:val="0"/>
                <w:bCs/>
                <w:color w:val="000000" w:themeColor="text1"/>
                <w:kern w:val="24"/>
                <w:szCs w:val="22"/>
              </w:rPr>
              <w:t xml:space="preserve">Resilience includes the ability to bounce back or recover from stress, to adapt to demanding circumstances and to function above the norm </w:t>
            </w:r>
            <w:proofErr w:type="gramStart"/>
            <w:r w:rsidRPr="00C12211">
              <w:rPr>
                <w:rFonts w:cstheme="minorHAnsi"/>
                <w:b w:val="0"/>
                <w:bCs/>
                <w:color w:val="000000" w:themeColor="text1"/>
                <w:kern w:val="24"/>
                <w:szCs w:val="22"/>
              </w:rPr>
              <w:t>in spite of</w:t>
            </w:r>
            <w:proofErr w:type="gramEnd"/>
            <w:r w:rsidRPr="00C12211">
              <w:rPr>
                <w:rFonts w:cstheme="minorHAnsi"/>
                <w:b w:val="0"/>
                <w:bCs/>
                <w:color w:val="000000" w:themeColor="text1"/>
                <w:kern w:val="24"/>
                <w:szCs w:val="22"/>
              </w:rPr>
              <w:t xml:space="preserve"> pressure or adversity.</w:t>
            </w:r>
          </w:p>
          <w:p w14:paraId="3AD71D2C" w14:textId="0A9FED48" w:rsidR="00F348E4" w:rsidRPr="00C35AB6" w:rsidRDefault="00F348E4" w:rsidP="00F348E4">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 xml:space="preserve">Resilience is a key wellbeing indicator and is also predictive of a student’s academic performance. Enablers of high levels of resilience include ‘perceived good academic performance’ and ‘having a trusted adult.’ Depressive symptoms and experience of bullying are risk factors for low resilience. </w:t>
            </w:r>
          </w:p>
          <w:p w14:paraId="44F24C99" w14:textId="00DA4292" w:rsidR="008F0DDA" w:rsidRDefault="00F348E4" w:rsidP="00F348E4">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Students who reported low levels of resilience were more likely</w:t>
            </w:r>
            <w:r w:rsidR="008F0DDA">
              <w:rPr>
                <w:rFonts w:cstheme="minorHAnsi"/>
                <w:b w:val="0"/>
                <w:bCs/>
                <w:color w:val="000000" w:themeColor="text1"/>
                <w:kern w:val="24"/>
                <w:szCs w:val="22"/>
              </w:rPr>
              <w:t xml:space="preserve"> to be in the bottom bands of achievement in NAPLAN Reading and Numeracy. </w:t>
            </w:r>
          </w:p>
          <w:p w14:paraId="36F30CFB" w14:textId="0BCC7426" w:rsidR="00F348E4" w:rsidRPr="003E1040" w:rsidRDefault="008F0DDA" w:rsidP="00F348E4">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highlight w:val="yellow"/>
              </w:rPr>
            </w:pPr>
            <w:r>
              <w:rPr>
                <w:rFonts w:cstheme="minorHAnsi"/>
                <w:b w:val="0"/>
                <w:bCs/>
                <w:color w:val="000000" w:themeColor="text1"/>
                <w:kern w:val="24"/>
                <w:szCs w:val="22"/>
              </w:rPr>
              <w:t>Similarly, students with low levels of resilience were more likely to be</w:t>
            </w:r>
            <w:r w:rsidR="00F348E4" w:rsidRPr="00C35AB6">
              <w:rPr>
                <w:rFonts w:cstheme="minorHAnsi"/>
                <w:b w:val="0"/>
                <w:bCs/>
                <w:color w:val="000000" w:themeColor="text1"/>
                <w:kern w:val="24"/>
                <w:szCs w:val="22"/>
              </w:rPr>
              <w:t xml:space="preserve"> ‘below expected level’ in teacher judgements, after controlling for student characteristics and prior performance. The impact was larger for Number and Algebra than Reading and Viewing across all year level groups. This was observed for primary and secondary aged students, though the effect size is larger for secondary aged students.</w:t>
            </w:r>
          </w:p>
        </w:tc>
        <w:tc>
          <w:tcPr>
            <w:tcW w:w="1183" w:type="dxa"/>
          </w:tcPr>
          <w:p w14:paraId="2545C83C" w14:textId="6F5B8711" w:rsidR="00F348E4" w:rsidRPr="003E1040" w:rsidRDefault="00F348E4" w:rsidP="00F348E4">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highlight w:val="yellow"/>
              </w:rPr>
            </w:pPr>
            <w:r w:rsidRPr="00C35AB6">
              <w:rPr>
                <w:rFonts w:cstheme="minorHAnsi"/>
                <w:b w:val="0"/>
                <w:bCs/>
                <w:color w:val="000000" w:themeColor="text1"/>
                <w:kern w:val="24"/>
                <w:szCs w:val="22"/>
              </w:rPr>
              <w:t>Strong</w:t>
            </w:r>
          </w:p>
        </w:tc>
      </w:tr>
      <w:tr w:rsidR="00F348E4" w14:paraId="73381C5D" w14:textId="77777777" w:rsidTr="00FA23E0">
        <w:trPr>
          <w:cantSplit/>
        </w:trPr>
        <w:tc>
          <w:tcPr>
            <w:cnfStyle w:val="001000000000" w:firstRow="0" w:lastRow="0" w:firstColumn="1" w:lastColumn="0" w:oddVBand="0" w:evenVBand="0" w:oddHBand="0" w:evenHBand="0" w:firstRowFirstColumn="0" w:firstRowLastColumn="0" w:lastRowFirstColumn="0" w:lastRowLastColumn="0"/>
            <w:tcW w:w="1342" w:type="dxa"/>
          </w:tcPr>
          <w:p w14:paraId="3C85748C" w14:textId="222BEFEC" w:rsidR="00F348E4" w:rsidRPr="008F0DDA" w:rsidRDefault="00F348E4" w:rsidP="00F348E4">
            <w:pPr>
              <w:pStyle w:val="TableHead"/>
              <w:rPr>
                <w:rFonts w:ascii="Arial" w:eastAsia="Arial" w:hAnsi="Arial" w:cs="Times New Roman"/>
                <w:color w:val="0063A5"/>
                <w:kern w:val="24"/>
                <w:szCs w:val="22"/>
                <w:lang w:eastAsia="en-AU"/>
              </w:rPr>
            </w:pPr>
            <w:r w:rsidRPr="008F0DDA">
              <w:rPr>
                <w:rFonts w:ascii="Arial" w:eastAsia="Arial" w:hAnsi="Arial" w:cs="Times New Roman"/>
                <w:color w:val="0063A5"/>
                <w:kern w:val="24"/>
                <w:szCs w:val="22"/>
                <w:lang w:eastAsia="en-AU"/>
              </w:rPr>
              <w:t>Wellbeing</w:t>
            </w:r>
          </w:p>
          <w:p w14:paraId="31EE2617" w14:textId="5DE630A9" w:rsidR="00F348E4" w:rsidRPr="008F0DDA" w:rsidRDefault="00F348E4" w:rsidP="00F348E4">
            <w:pPr>
              <w:pStyle w:val="TableHead"/>
              <w:rPr>
                <w:rFonts w:ascii="Arial" w:eastAsia="Arial" w:hAnsi="Arial" w:cs="Times New Roman"/>
                <w:color w:val="0063A5"/>
                <w:kern w:val="24"/>
                <w:szCs w:val="22"/>
                <w:lang w:eastAsia="en-AU"/>
              </w:rPr>
            </w:pPr>
          </w:p>
        </w:tc>
        <w:tc>
          <w:tcPr>
            <w:tcW w:w="1409" w:type="dxa"/>
          </w:tcPr>
          <w:p w14:paraId="18381F4B" w14:textId="11C62EAE" w:rsidR="00F348E4" w:rsidRPr="00C35AB6" w:rsidRDefault="00F348E4" w:rsidP="00F348E4">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School connectedness (</w:t>
            </w:r>
            <w:r>
              <w:rPr>
                <w:rFonts w:cstheme="minorHAnsi"/>
                <w:b w:val="0"/>
                <w:bCs/>
                <w:color w:val="000000" w:themeColor="text1"/>
                <w:kern w:val="24"/>
                <w:szCs w:val="22"/>
              </w:rPr>
              <w:t>AtoSS</w:t>
            </w:r>
            <w:r w:rsidRPr="00C35AB6">
              <w:rPr>
                <w:rFonts w:cstheme="minorHAnsi"/>
                <w:b w:val="0"/>
                <w:bCs/>
                <w:color w:val="000000" w:themeColor="text1"/>
                <w:kern w:val="24"/>
                <w:szCs w:val="22"/>
              </w:rPr>
              <w:t>)</w:t>
            </w:r>
          </w:p>
        </w:tc>
        <w:tc>
          <w:tcPr>
            <w:tcW w:w="5927" w:type="dxa"/>
          </w:tcPr>
          <w:p w14:paraId="62C49DDD" w14:textId="4A17B409" w:rsidR="00F348E4" w:rsidRDefault="00F348E4" w:rsidP="00F348E4">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Pr>
                <w:rFonts w:cstheme="minorHAnsi"/>
                <w:b w:val="0"/>
                <w:bCs/>
                <w:color w:val="000000" w:themeColor="text1"/>
                <w:kern w:val="24"/>
                <w:szCs w:val="22"/>
              </w:rPr>
              <w:t xml:space="preserve">Sense of connectedness </w:t>
            </w:r>
            <w:r w:rsidRPr="00C35AB6">
              <w:rPr>
                <w:rFonts w:cstheme="minorHAnsi"/>
                <w:b w:val="0"/>
                <w:bCs/>
                <w:color w:val="000000" w:themeColor="text1"/>
                <w:kern w:val="24"/>
                <w:szCs w:val="22"/>
              </w:rPr>
              <w:t xml:space="preserve">is a key wellbeing indicator, </w:t>
            </w:r>
            <w:r>
              <w:rPr>
                <w:rFonts w:cstheme="minorHAnsi"/>
                <w:b w:val="0"/>
                <w:bCs/>
                <w:color w:val="000000" w:themeColor="text1"/>
                <w:kern w:val="24"/>
                <w:szCs w:val="22"/>
              </w:rPr>
              <w:t xml:space="preserve">which describes students’ connection to their school. </w:t>
            </w:r>
          </w:p>
          <w:p w14:paraId="206D4DAA" w14:textId="68434808" w:rsidR="00F348E4" w:rsidRPr="00C35AB6" w:rsidRDefault="00F348E4" w:rsidP="00F348E4">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 xml:space="preserve">Students’ sense of connectedness is correlated with performance in NAPLAN. This is stronger </w:t>
            </w:r>
            <w:r w:rsidR="008F0DDA">
              <w:rPr>
                <w:rFonts w:cstheme="minorHAnsi"/>
                <w:b w:val="0"/>
                <w:bCs/>
                <w:color w:val="000000" w:themeColor="text1"/>
                <w:kern w:val="24"/>
                <w:szCs w:val="22"/>
              </w:rPr>
              <w:t>for</w:t>
            </w:r>
            <w:r w:rsidRPr="00C35AB6">
              <w:rPr>
                <w:rFonts w:cstheme="minorHAnsi"/>
                <w:b w:val="0"/>
                <w:bCs/>
                <w:color w:val="000000" w:themeColor="text1"/>
                <w:kern w:val="24"/>
                <w:szCs w:val="22"/>
              </w:rPr>
              <w:t xml:space="preserve"> secondary school-aged students, where student perceptions of sense of connectedness are more differentiated. </w:t>
            </w:r>
          </w:p>
          <w:p w14:paraId="3C15390B" w14:textId="389AD34B" w:rsidR="00F348E4" w:rsidRPr="00C35AB6" w:rsidRDefault="00F348E4" w:rsidP="00F348E4">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 xml:space="preserve">Sense of connectedness is also one of six </w:t>
            </w:r>
            <w:r>
              <w:rPr>
                <w:rFonts w:cstheme="minorHAnsi"/>
                <w:b w:val="0"/>
                <w:bCs/>
                <w:color w:val="000000" w:themeColor="text1"/>
                <w:kern w:val="24"/>
                <w:szCs w:val="22"/>
              </w:rPr>
              <w:t>AtoSS</w:t>
            </w:r>
            <w:r w:rsidRPr="00C35AB6">
              <w:rPr>
                <w:rFonts w:cstheme="minorHAnsi"/>
                <w:b w:val="0"/>
                <w:bCs/>
                <w:color w:val="000000" w:themeColor="text1"/>
                <w:kern w:val="24"/>
                <w:szCs w:val="22"/>
              </w:rPr>
              <w:t xml:space="preserve"> survey factors that explains much of the common variance amongst students</w:t>
            </w:r>
            <w:r w:rsidR="008F0DDA">
              <w:rPr>
                <w:rFonts w:cstheme="minorHAnsi"/>
                <w:b w:val="0"/>
                <w:bCs/>
                <w:color w:val="000000" w:themeColor="text1"/>
                <w:kern w:val="24"/>
                <w:szCs w:val="22"/>
              </w:rPr>
              <w:t>. This means it is a</w:t>
            </w:r>
            <w:r w:rsidRPr="00C35AB6">
              <w:rPr>
                <w:rFonts w:cstheme="minorHAnsi"/>
                <w:b w:val="0"/>
                <w:bCs/>
                <w:color w:val="000000" w:themeColor="text1"/>
                <w:kern w:val="24"/>
                <w:szCs w:val="22"/>
              </w:rPr>
              <w:t xml:space="preserve"> robust and discrete measure. </w:t>
            </w:r>
          </w:p>
        </w:tc>
        <w:tc>
          <w:tcPr>
            <w:tcW w:w="1183" w:type="dxa"/>
          </w:tcPr>
          <w:p w14:paraId="153A28B3" w14:textId="7FF715CC" w:rsidR="00F348E4" w:rsidRPr="00C35AB6" w:rsidRDefault="00F348E4" w:rsidP="00F348E4">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Strong</w:t>
            </w:r>
          </w:p>
        </w:tc>
      </w:tr>
      <w:tr w:rsidR="00F348E4" w14:paraId="1913DC2C" w14:textId="77777777" w:rsidTr="00FA23E0">
        <w:tc>
          <w:tcPr>
            <w:cnfStyle w:val="001000000000" w:firstRow="0" w:lastRow="0" w:firstColumn="1" w:lastColumn="0" w:oddVBand="0" w:evenVBand="0" w:oddHBand="0" w:evenHBand="0" w:firstRowFirstColumn="0" w:firstRowLastColumn="0" w:lastRowFirstColumn="0" w:lastRowLastColumn="0"/>
            <w:tcW w:w="1342" w:type="dxa"/>
          </w:tcPr>
          <w:p w14:paraId="153F8BE4" w14:textId="0CE6558D" w:rsidR="00F348E4" w:rsidRPr="008F0DDA" w:rsidRDefault="00F348E4" w:rsidP="00F348E4">
            <w:pPr>
              <w:pStyle w:val="TableHead"/>
              <w:rPr>
                <w:rFonts w:ascii="Arial" w:eastAsia="Arial" w:hAnsi="Arial" w:cs="Times New Roman"/>
                <w:color w:val="0063A5"/>
                <w:kern w:val="24"/>
                <w:szCs w:val="22"/>
                <w:lang w:eastAsia="en-AU"/>
              </w:rPr>
            </w:pPr>
            <w:r w:rsidRPr="008F0DDA">
              <w:rPr>
                <w:rFonts w:ascii="Arial" w:eastAsia="Arial" w:hAnsi="Arial" w:cs="Times New Roman"/>
                <w:color w:val="0063A5"/>
                <w:kern w:val="24"/>
                <w:szCs w:val="22"/>
                <w:lang w:eastAsia="en-AU"/>
              </w:rPr>
              <w:t>Wellbeing</w:t>
            </w:r>
          </w:p>
        </w:tc>
        <w:tc>
          <w:tcPr>
            <w:tcW w:w="1409" w:type="dxa"/>
          </w:tcPr>
          <w:p w14:paraId="41E6743B" w14:textId="4FBB62E9" w:rsidR="00F348E4" w:rsidRPr="00C35AB6" w:rsidRDefault="00F348E4" w:rsidP="00F348E4">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Subjective physical health (</w:t>
            </w:r>
            <w:r>
              <w:rPr>
                <w:rFonts w:cstheme="minorHAnsi"/>
                <w:b w:val="0"/>
                <w:bCs/>
                <w:color w:val="000000" w:themeColor="text1"/>
                <w:kern w:val="24"/>
                <w:szCs w:val="22"/>
              </w:rPr>
              <w:t>AtoSS</w:t>
            </w:r>
            <w:r w:rsidRPr="00C35AB6">
              <w:rPr>
                <w:rFonts w:cstheme="minorHAnsi"/>
                <w:b w:val="0"/>
                <w:bCs/>
                <w:color w:val="000000" w:themeColor="text1"/>
                <w:kern w:val="24"/>
                <w:szCs w:val="22"/>
              </w:rPr>
              <w:t>)</w:t>
            </w:r>
          </w:p>
        </w:tc>
        <w:tc>
          <w:tcPr>
            <w:tcW w:w="5927" w:type="dxa"/>
          </w:tcPr>
          <w:p w14:paraId="4105E36F" w14:textId="16971674" w:rsidR="00F348E4" w:rsidRPr="00C35AB6" w:rsidRDefault="00F348E4" w:rsidP="00F348E4">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 xml:space="preserve">Physical health refers to the state of your physical body and how healthy it is. This is important as research shows that physical health relates directly to wellbeing (Kern, Benson, Steinberg &amp; Steinberg, 2016; Wolfson &amp; </w:t>
            </w:r>
            <w:proofErr w:type="spellStart"/>
            <w:r w:rsidRPr="00C35AB6">
              <w:rPr>
                <w:rFonts w:cstheme="minorHAnsi"/>
                <w:b w:val="0"/>
                <w:bCs/>
                <w:color w:val="000000" w:themeColor="text1"/>
                <w:kern w:val="24"/>
                <w:szCs w:val="22"/>
              </w:rPr>
              <w:t>Carskadon</w:t>
            </w:r>
            <w:proofErr w:type="spellEnd"/>
            <w:r w:rsidRPr="00C35AB6">
              <w:rPr>
                <w:rFonts w:cstheme="minorHAnsi"/>
                <w:b w:val="0"/>
                <w:bCs/>
                <w:color w:val="000000" w:themeColor="text1"/>
                <w:kern w:val="24"/>
                <w:szCs w:val="22"/>
              </w:rPr>
              <w:t xml:space="preserve">, 1998). With this measure first collected in 2021, Departmental analysis on the impact of subjective physical health and learning is not yet available. </w:t>
            </w:r>
          </w:p>
        </w:tc>
        <w:tc>
          <w:tcPr>
            <w:tcW w:w="1183" w:type="dxa"/>
          </w:tcPr>
          <w:p w14:paraId="19F2F7A9" w14:textId="1FDA5161" w:rsidR="00F348E4" w:rsidRPr="00C35AB6" w:rsidRDefault="00F348E4" w:rsidP="00F348E4">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Good</w:t>
            </w:r>
          </w:p>
        </w:tc>
      </w:tr>
      <w:tr w:rsidR="00F348E4" w14:paraId="3FCDF09D" w14:textId="77777777" w:rsidTr="00FA23E0">
        <w:tc>
          <w:tcPr>
            <w:cnfStyle w:val="001000000000" w:firstRow="0" w:lastRow="0" w:firstColumn="1" w:lastColumn="0" w:oddVBand="0" w:evenVBand="0" w:oddHBand="0" w:evenHBand="0" w:firstRowFirstColumn="0" w:firstRowLastColumn="0" w:lastRowFirstColumn="0" w:lastRowLastColumn="0"/>
            <w:tcW w:w="1342" w:type="dxa"/>
          </w:tcPr>
          <w:p w14:paraId="29F24C4B" w14:textId="7B6CC5A8" w:rsidR="00F348E4" w:rsidRPr="008F0DDA" w:rsidRDefault="00F348E4" w:rsidP="00F348E4">
            <w:pPr>
              <w:pStyle w:val="TableHead"/>
              <w:rPr>
                <w:rFonts w:ascii="Arial" w:eastAsia="Arial" w:hAnsi="Arial" w:cs="Times New Roman"/>
                <w:color w:val="0063A5"/>
                <w:kern w:val="24"/>
                <w:szCs w:val="22"/>
                <w:lang w:eastAsia="en-AU"/>
              </w:rPr>
            </w:pPr>
            <w:r w:rsidRPr="008F0DDA">
              <w:rPr>
                <w:rFonts w:ascii="Arial" w:eastAsia="Arial" w:hAnsi="Arial" w:cs="Times New Roman"/>
                <w:color w:val="0063A5"/>
                <w:kern w:val="24"/>
                <w:szCs w:val="22"/>
                <w:lang w:eastAsia="en-AU"/>
              </w:rPr>
              <w:t>Wellbeing</w:t>
            </w:r>
          </w:p>
        </w:tc>
        <w:tc>
          <w:tcPr>
            <w:tcW w:w="1409" w:type="dxa"/>
          </w:tcPr>
          <w:p w14:paraId="4F659796" w14:textId="33B1D626" w:rsidR="00F348E4" w:rsidRPr="00C35AB6" w:rsidRDefault="00F348E4" w:rsidP="00F348E4">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Emotional awareness and regulation (</w:t>
            </w:r>
            <w:r>
              <w:rPr>
                <w:rFonts w:cstheme="minorHAnsi"/>
                <w:b w:val="0"/>
                <w:bCs/>
                <w:color w:val="000000" w:themeColor="text1"/>
                <w:kern w:val="24"/>
                <w:szCs w:val="22"/>
              </w:rPr>
              <w:t>AtoSS</w:t>
            </w:r>
            <w:r w:rsidRPr="00C35AB6">
              <w:rPr>
                <w:rFonts w:cstheme="minorHAnsi"/>
                <w:b w:val="0"/>
                <w:bCs/>
                <w:color w:val="000000" w:themeColor="text1"/>
                <w:kern w:val="24"/>
                <w:szCs w:val="22"/>
              </w:rPr>
              <w:t>)</w:t>
            </w:r>
          </w:p>
        </w:tc>
        <w:tc>
          <w:tcPr>
            <w:tcW w:w="5927" w:type="dxa"/>
          </w:tcPr>
          <w:p w14:paraId="07753421" w14:textId="5A83C107" w:rsidR="00F348E4" w:rsidRPr="00C35AB6" w:rsidRDefault="00F348E4" w:rsidP="00F348E4">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 xml:space="preserve">Emotional awareness and regulation capture students’ perception of how well they feel they can recognise and manage their emotions. Early Departmental analysis of this measure, first collected in 2020, reveals that student perceptions of their emotional awareness and regulation </w:t>
            </w:r>
            <w:r w:rsidRPr="00C35AB6">
              <w:rPr>
                <w:rFonts w:cstheme="minorHAnsi"/>
                <w:b w:val="0"/>
                <w:bCs/>
                <w:color w:val="000000" w:themeColor="text1"/>
                <w:kern w:val="24"/>
                <w:szCs w:val="22"/>
              </w:rPr>
              <w:lastRenderedPageBreak/>
              <w:t xml:space="preserve">are highly correlated to factors that impact learning, including perseverance, sense of confidence and sense of connectedness.  </w:t>
            </w:r>
          </w:p>
        </w:tc>
        <w:tc>
          <w:tcPr>
            <w:tcW w:w="1183" w:type="dxa"/>
          </w:tcPr>
          <w:p w14:paraId="365D9946" w14:textId="422884E4" w:rsidR="00F348E4" w:rsidRPr="00C35AB6" w:rsidRDefault="00F348E4" w:rsidP="00F348E4">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lastRenderedPageBreak/>
              <w:t>Strong</w:t>
            </w:r>
          </w:p>
        </w:tc>
      </w:tr>
      <w:tr w:rsidR="008F0DDA" w14:paraId="45C41B63" w14:textId="77777777" w:rsidTr="00FA23E0">
        <w:tc>
          <w:tcPr>
            <w:cnfStyle w:val="001000000000" w:firstRow="0" w:lastRow="0" w:firstColumn="1" w:lastColumn="0" w:oddVBand="0" w:evenVBand="0" w:oddHBand="0" w:evenHBand="0" w:firstRowFirstColumn="0" w:firstRowLastColumn="0" w:lastRowFirstColumn="0" w:lastRowLastColumn="0"/>
            <w:tcW w:w="1342" w:type="dxa"/>
          </w:tcPr>
          <w:p w14:paraId="5E75C504" w14:textId="66B35640" w:rsidR="008F0DDA" w:rsidRPr="008F0DDA" w:rsidRDefault="008F0DDA" w:rsidP="00F348E4">
            <w:pPr>
              <w:pStyle w:val="TableHead"/>
              <w:rPr>
                <w:rFonts w:ascii="Arial" w:eastAsia="Arial" w:hAnsi="Arial" w:cs="Times New Roman"/>
                <w:color w:val="0063A5"/>
                <w:kern w:val="24"/>
                <w:szCs w:val="22"/>
                <w:lang w:eastAsia="en-AU"/>
              </w:rPr>
            </w:pPr>
            <w:r w:rsidRPr="008F0DDA">
              <w:rPr>
                <w:rFonts w:ascii="Arial" w:eastAsia="Arial" w:hAnsi="Arial" w:cs="Times New Roman"/>
                <w:color w:val="0063A5"/>
                <w:kern w:val="24"/>
                <w:szCs w:val="22"/>
                <w:lang w:eastAsia="en-AU"/>
              </w:rPr>
              <w:t>Wellbeing</w:t>
            </w:r>
          </w:p>
        </w:tc>
        <w:tc>
          <w:tcPr>
            <w:tcW w:w="1409" w:type="dxa"/>
          </w:tcPr>
          <w:p w14:paraId="671422B6" w14:textId="2F43EB57" w:rsidR="008F0DDA" w:rsidRPr="008F0DDA" w:rsidRDefault="008F0DDA" w:rsidP="008F0DDA">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02115D">
              <w:rPr>
                <w:rFonts w:ascii="Arial" w:eastAsia="Arial" w:hAnsi="Arial" w:cs="Times New Roman"/>
                <w:b w:val="0"/>
                <w:bCs/>
                <w:color w:val="000000"/>
                <w:kern w:val="24"/>
                <w:szCs w:val="22"/>
                <w:lang w:eastAsia="en-AU"/>
              </w:rPr>
              <w:t>Strengths and Difficulties Questionnaire (SEHQ, prep only)</w:t>
            </w:r>
          </w:p>
        </w:tc>
        <w:tc>
          <w:tcPr>
            <w:tcW w:w="5927" w:type="dxa"/>
          </w:tcPr>
          <w:p w14:paraId="4BEBF8BF" w14:textId="06D81596" w:rsidR="008F0DDA" w:rsidRDefault="00B53C5B" w:rsidP="00B53C5B">
            <w:pPr>
              <w:tabs>
                <w:tab w:val="left" w:pos="1547"/>
              </w:tabs>
              <w:cnfStyle w:val="000000000000" w:firstRow="0" w:lastRow="0" w:firstColumn="0" w:lastColumn="0" w:oddVBand="0" w:evenVBand="0" w:oddHBand="0" w:evenHBand="0" w:firstRowFirstColumn="0" w:firstRowLastColumn="0" w:lastRowFirstColumn="0" w:lastRowLastColumn="0"/>
              <w:rPr>
                <w:rFonts w:cstheme="minorHAnsi"/>
                <w:bCs/>
                <w:color w:val="000000" w:themeColor="text1"/>
                <w:kern w:val="24"/>
                <w:szCs w:val="22"/>
                <w:lang w:val="en-AU"/>
              </w:rPr>
            </w:pPr>
            <w:r w:rsidRPr="00B53C5B">
              <w:rPr>
                <w:rFonts w:cstheme="minorHAnsi"/>
                <w:bCs/>
                <w:color w:val="000000" w:themeColor="text1"/>
                <w:kern w:val="24"/>
                <w:szCs w:val="22"/>
                <w:lang w:val="en-AU"/>
              </w:rPr>
              <w:t>The Strengths and Difficulties Questionnaire is a brief behavioural screening questionnaire</w:t>
            </w:r>
            <w:r>
              <w:rPr>
                <w:rFonts w:cstheme="minorHAnsi"/>
                <w:bCs/>
                <w:color w:val="000000" w:themeColor="text1"/>
                <w:kern w:val="24"/>
                <w:szCs w:val="22"/>
                <w:lang w:val="en-AU"/>
              </w:rPr>
              <w:t xml:space="preserve"> within the School Entrant Health Questionnai</w:t>
            </w:r>
            <w:r w:rsidR="002B4D97">
              <w:rPr>
                <w:rFonts w:cstheme="minorHAnsi"/>
                <w:bCs/>
                <w:color w:val="000000" w:themeColor="text1"/>
                <w:kern w:val="24"/>
                <w:szCs w:val="22"/>
                <w:lang w:val="en-AU"/>
              </w:rPr>
              <w:t>re</w:t>
            </w:r>
            <w:r w:rsidRPr="00B53C5B">
              <w:rPr>
                <w:rFonts w:cstheme="minorHAnsi"/>
                <w:bCs/>
                <w:color w:val="000000" w:themeColor="text1"/>
                <w:kern w:val="24"/>
                <w:szCs w:val="22"/>
                <w:lang w:val="en-AU"/>
              </w:rPr>
              <w:t xml:space="preserve"> that includes questions on 25 psychological attributes</w:t>
            </w:r>
            <w:r w:rsidR="00370455">
              <w:rPr>
                <w:rFonts w:cstheme="minorHAnsi"/>
                <w:bCs/>
                <w:color w:val="000000" w:themeColor="text1"/>
                <w:kern w:val="24"/>
                <w:szCs w:val="22"/>
                <w:lang w:val="en-AU"/>
              </w:rPr>
              <w:t xml:space="preserve">, including </w:t>
            </w:r>
            <w:r w:rsidR="00370455" w:rsidRPr="00B53C5B">
              <w:rPr>
                <w:rFonts w:cstheme="minorHAnsi"/>
                <w:bCs/>
                <w:color w:val="000000" w:themeColor="text1"/>
                <w:kern w:val="24"/>
                <w:szCs w:val="22"/>
                <w:lang w:val="en-AU"/>
              </w:rPr>
              <w:t>emotional</w:t>
            </w:r>
            <w:r w:rsidRPr="00B53C5B">
              <w:rPr>
                <w:rFonts w:cstheme="minorHAnsi"/>
                <w:bCs/>
                <w:color w:val="000000" w:themeColor="text1"/>
                <w:kern w:val="24"/>
                <w:szCs w:val="22"/>
                <w:lang w:val="en-AU"/>
              </w:rPr>
              <w:t xml:space="preserve"> symptoms</w:t>
            </w:r>
            <w:r w:rsidR="00370455">
              <w:rPr>
                <w:rFonts w:cstheme="minorHAnsi"/>
                <w:bCs/>
                <w:color w:val="000000" w:themeColor="text1"/>
                <w:kern w:val="24"/>
                <w:szCs w:val="22"/>
                <w:lang w:val="en-AU"/>
              </w:rPr>
              <w:t xml:space="preserve">, </w:t>
            </w:r>
            <w:r w:rsidRPr="00B53C5B">
              <w:rPr>
                <w:rFonts w:cstheme="minorHAnsi"/>
                <w:bCs/>
                <w:color w:val="000000" w:themeColor="text1"/>
                <w:kern w:val="24"/>
                <w:szCs w:val="22"/>
                <w:lang w:val="en-AU"/>
              </w:rPr>
              <w:t>conduct problems</w:t>
            </w:r>
            <w:r w:rsidR="00370455">
              <w:rPr>
                <w:rFonts w:cstheme="minorHAnsi"/>
                <w:bCs/>
                <w:color w:val="000000" w:themeColor="text1"/>
                <w:kern w:val="24"/>
                <w:szCs w:val="22"/>
                <w:lang w:val="en-AU"/>
              </w:rPr>
              <w:t>,</w:t>
            </w:r>
            <w:r w:rsidRPr="00B53C5B">
              <w:rPr>
                <w:rFonts w:cstheme="minorHAnsi"/>
                <w:bCs/>
                <w:color w:val="000000" w:themeColor="text1"/>
                <w:kern w:val="24"/>
                <w:szCs w:val="22"/>
                <w:lang w:val="en-AU"/>
              </w:rPr>
              <w:t xml:space="preserve"> hyperactivity</w:t>
            </w:r>
            <w:r w:rsidR="00370455">
              <w:rPr>
                <w:rFonts w:cstheme="minorHAnsi"/>
                <w:bCs/>
                <w:color w:val="000000" w:themeColor="text1"/>
                <w:kern w:val="24"/>
                <w:szCs w:val="22"/>
                <w:lang w:val="en-AU"/>
              </w:rPr>
              <w:t>,</w:t>
            </w:r>
            <w:r w:rsidRPr="00B53C5B">
              <w:rPr>
                <w:rFonts w:cstheme="minorHAnsi"/>
                <w:bCs/>
                <w:color w:val="000000" w:themeColor="text1"/>
                <w:kern w:val="24"/>
                <w:szCs w:val="22"/>
                <w:lang w:val="en-AU"/>
              </w:rPr>
              <w:t xml:space="preserve"> peer problems and prosocial.</w:t>
            </w:r>
          </w:p>
          <w:p w14:paraId="0A848E6A" w14:textId="5768EFB9" w:rsidR="002B4D97" w:rsidRPr="008F0DDA" w:rsidRDefault="00370455" w:rsidP="00B53C5B">
            <w:pPr>
              <w:tabs>
                <w:tab w:val="left" w:pos="1547"/>
              </w:tabs>
              <w:cnfStyle w:val="000000000000" w:firstRow="0" w:lastRow="0" w:firstColumn="0" w:lastColumn="0" w:oddVBand="0" w:evenVBand="0" w:oddHBand="0" w:evenHBand="0" w:firstRowFirstColumn="0" w:firstRowLastColumn="0" w:lastRowFirstColumn="0" w:lastRowLastColumn="0"/>
              <w:rPr>
                <w:lang w:val="en-AU"/>
              </w:rPr>
            </w:pPr>
            <w:r>
              <w:rPr>
                <w:lang w:val="en-AU"/>
              </w:rPr>
              <w:t>T</w:t>
            </w:r>
            <w:r w:rsidR="002B4D97">
              <w:rPr>
                <w:lang w:val="en-AU"/>
              </w:rPr>
              <w:t xml:space="preserve">he </w:t>
            </w:r>
            <w:r w:rsidR="002B4D97">
              <w:rPr>
                <w:rFonts w:cstheme="minorHAnsi"/>
                <w:bCs/>
                <w:color w:val="000000" w:themeColor="text1"/>
                <w:kern w:val="24"/>
                <w:szCs w:val="22"/>
                <w:lang w:val="en-AU"/>
              </w:rPr>
              <w:t xml:space="preserve">School Entrant Health Questionnaire relies on parent </w:t>
            </w:r>
            <w:r w:rsidR="00E44F8C">
              <w:rPr>
                <w:rFonts w:cstheme="minorHAnsi"/>
                <w:bCs/>
                <w:color w:val="000000" w:themeColor="text1"/>
                <w:kern w:val="24"/>
                <w:szCs w:val="22"/>
                <w:lang w:val="en-AU"/>
              </w:rPr>
              <w:t>perceptions</w:t>
            </w:r>
            <w:r>
              <w:rPr>
                <w:rFonts w:cstheme="minorHAnsi"/>
                <w:bCs/>
                <w:color w:val="000000" w:themeColor="text1"/>
                <w:kern w:val="24"/>
                <w:szCs w:val="22"/>
                <w:lang w:val="en-AU"/>
              </w:rPr>
              <w:t xml:space="preserve"> of their children. As such, concern </w:t>
            </w:r>
            <w:r w:rsidR="00496A60">
              <w:rPr>
                <w:rFonts w:cstheme="minorHAnsi"/>
                <w:bCs/>
                <w:color w:val="000000" w:themeColor="text1"/>
                <w:kern w:val="24"/>
                <w:szCs w:val="22"/>
                <w:lang w:val="en-AU"/>
              </w:rPr>
              <w:t>can sometimes be</w:t>
            </w:r>
            <w:r>
              <w:rPr>
                <w:rFonts w:cstheme="minorHAnsi"/>
                <w:bCs/>
                <w:color w:val="000000" w:themeColor="text1"/>
                <w:kern w:val="24"/>
                <w:szCs w:val="22"/>
                <w:lang w:val="en-AU"/>
              </w:rPr>
              <w:t xml:space="preserve"> overstated or understated. </w:t>
            </w:r>
          </w:p>
        </w:tc>
        <w:tc>
          <w:tcPr>
            <w:tcW w:w="1183" w:type="dxa"/>
          </w:tcPr>
          <w:p w14:paraId="1A583A5F" w14:textId="7B89FECA" w:rsidR="008F0DDA" w:rsidRPr="00C35AB6" w:rsidRDefault="008F0DDA" w:rsidP="00F348E4">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Pr>
                <w:rFonts w:cstheme="minorHAnsi"/>
                <w:b w:val="0"/>
                <w:bCs/>
                <w:color w:val="000000" w:themeColor="text1"/>
                <w:kern w:val="24"/>
                <w:szCs w:val="22"/>
              </w:rPr>
              <w:t>Good</w:t>
            </w:r>
          </w:p>
        </w:tc>
      </w:tr>
    </w:tbl>
    <w:p w14:paraId="519C13B2" w14:textId="77777777" w:rsidR="00C35AB6" w:rsidRDefault="00C35AB6" w:rsidP="0016287D">
      <w:pPr>
        <w:spacing w:after="40"/>
        <w:rPr>
          <w:b/>
          <w:color w:val="FF0000"/>
          <w:sz w:val="24"/>
          <w:lang w:val="en-AU"/>
        </w:rPr>
      </w:pPr>
    </w:p>
    <w:p w14:paraId="38BDE153" w14:textId="65B33E9E" w:rsidR="00E13680" w:rsidRDefault="00E13680" w:rsidP="00E13680">
      <w:pPr>
        <w:rPr>
          <w:rFonts w:asciiTheme="majorHAnsi" w:eastAsiaTheme="majorEastAsia" w:hAnsiTheme="majorHAnsi" w:cstheme="majorBidi"/>
          <w:b/>
          <w:color w:val="E57100" w:themeColor="accent1"/>
          <w:sz w:val="24"/>
          <w:lang w:val="en-AU"/>
        </w:rPr>
      </w:pPr>
      <w:r w:rsidRPr="003E1040">
        <w:t xml:space="preserve">Each </w:t>
      </w:r>
      <w:r>
        <w:t>system</w:t>
      </w:r>
      <w:r w:rsidRPr="003E1040">
        <w:t xml:space="preserve"> measure is supported by a summary of evidence and an evidence strength rating</w:t>
      </w:r>
      <w:r>
        <w:t>. S</w:t>
      </w:r>
      <w:r>
        <w:t>ee figure 4</w:t>
      </w:r>
      <w:r>
        <w:t xml:space="preserve"> below for alignment with the core elements</w:t>
      </w:r>
      <w:r>
        <w:t>:</w:t>
      </w:r>
    </w:p>
    <w:p w14:paraId="5261AEFB" w14:textId="79E0BE69" w:rsidR="00C35AB6" w:rsidRDefault="00C35AB6" w:rsidP="0016287D">
      <w:pPr>
        <w:spacing w:after="40"/>
        <w:rPr>
          <w:b/>
          <w:color w:val="FF0000"/>
          <w:sz w:val="24"/>
          <w:lang w:val="en-AU"/>
        </w:rPr>
      </w:pPr>
    </w:p>
    <w:p w14:paraId="3DF5B683" w14:textId="3E1E7295" w:rsidR="004A4C47" w:rsidRDefault="004A4C47" w:rsidP="0016287D">
      <w:pPr>
        <w:spacing w:after="40"/>
        <w:rPr>
          <w:rFonts w:asciiTheme="majorHAnsi" w:eastAsiaTheme="majorEastAsia" w:hAnsiTheme="majorHAnsi" w:cstheme="majorBidi"/>
          <w:b/>
          <w:color w:val="E57100" w:themeColor="accent1"/>
          <w:sz w:val="24"/>
          <w:lang w:val="en-AU"/>
        </w:rPr>
      </w:pPr>
      <w:r>
        <w:rPr>
          <w:rFonts w:asciiTheme="majorHAnsi" w:eastAsiaTheme="majorEastAsia" w:hAnsiTheme="majorHAnsi" w:cstheme="majorBidi"/>
          <w:b/>
          <w:color w:val="E57100" w:themeColor="accent1"/>
          <w:sz w:val="24"/>
          <w:lang w:val="en-AU"/>
        </w:rPr>
        <w:t xml:space="preserve">Figure </w:t>
      </w:r>
      <w:r w:rsidR="00BC58B8">
        <w:rPr>
          <w:rFonts w:asciiTheme="majorHAnsi" w:eastAsiaTheme="majorEastAsia" w:hAnsiTheme="majorHAnsi" w:cstheme="majorBidi"/>
          <w:b/>
          <w:color w:val="E57100" w:themeColor="accent1"/>
          <w:sz w:val="24"/>
          <w:lang w:val="en-AU"/>
        </w:rPr>
        <w:t>4</w:t>
      </w:r>
      <w:r>
        <w:rPr>
          <w:rFonts w:asciiTheme="majorHAnsi" w:eastAsiaTheme="majorEastAsia" w:hAnsiTheme="majorHAnsi" w:cstheme="majorBidi"/>
          <w:b/>
          <w:color w:val="E57100" w:themeColor="accent1"/>
          <w:sz w:val="24"/>
          <w:lang w:val="en-AU"/>
        </w:rPr>
        <w:t>: Evidence summary for the FISO 2.0 core element</w:t>
      </w:r>
      <w:r w:rsidR="00856FE7">
        <w:rPr>
          <w:rFonts w:asciiTheme="majorHAnsi" w:eastAsiaTheme="majorEastAsia" w:hAnsiTheme="majorHAnsi" w:cstheme="majorBidi"/>
          <w:b/>
          <w:color w:val="E57100" w:themeColor="accent1"/>
          <w:sz w:val="24"/>
          <w:lang w:val="en-AU"/>
        </w:rPr>
        <w:t xml:space="preserve"> system </w:t>
      </w:r>
      <w:r w:rsidR="00C95D00">
        <w:rPr>
          <w:rFonts w:asciiTheme="majorHAnsi" w:eastAsiaTheme="majorEastAsia" w:hAnsiTheme="majorHAnsi" w:cstheme="majorBidi"/>
          <w:b/>
          <w:color w:val="E57100" w:themeColor="accent1"/>
          <w:sz w:val="24"/>
          <w:lang w:val="en-AU"/>
        </w:rPr>
        <w:t>measures</w:t>
      </w:r>
    </w:p>
    <w:p w14:paraId="72339F53" w14:textId="77777777" w:rsidR="00E13680" w:rsidRDefault="00E13680" w:rsidP="0016287D">
      <w:pPr>
        <w:spacing w:after="40"/>
        <w:rPr>
          <w:b/>
          <w:color w:val="FF0000"/>
          <w:sz w:val="24"/>
          <w:lang w:val="en-AU"/>
        </w:rPr>
      </w:pPr>
    </w:p>
    <w:p w14:paraId="4C2299BC" w14:textId="66709584" w:rsidR="000C2A2D" w:rsidRDefault="000C2A2D" w:rsidP="0016287D">
      <w:pPr>
        <w:spacing w:after="40"/>
        <w:rPr>
          <w:b/>
          <w:color w:val="FF0000"/>
          <w:sz w:val="24"/>
          <w:lang w:val="en-AU"/>
        </w:rPr>
      </w:pPr>
    </w:p>
    <w:tbl>
      <w:tblPr>
        <w:tblStyle w:val="TableGrid"/>
        <w:tblW w:w="9625" w:type="dxa"/>
        <w:tblLayout w:type="fixed"/>
        <w:tblLook w:val="04A0" w:firstRow="1" w:lastRow="0" w:firstColumn="1" w:lastColumn="0" w:noHBand="0" w:noVBand="1"/>
      </w:tblPr>
      <w:tblGrid>
        <w:gridCol w:w="1671"/>
        <w:gridCol w:w="1474"/>
        <w:gridCol w:w="5220"/>
        <w:gridCol w:w="1260"/>
      </w:tblGrid>
      <w:tr w:rsidR="00DD04B4" w14:paraId="2207011F" w14:textId="77777777" w:rsidTr="00DD04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71" w:type="dxa"/>
          </w:tcPr>
          <w:p w14:paraId="748640C3" w14:textId="084A77D4" w:rsidR="000C2A2D" w:rsidRPr="00C35AB6" w:rsidRDefault="004A4C47" w:rsidP="00C93215">
            <w:pPr>
              <w:pStyle w:val="NormalWeb"/>
              <w:spacing w:before="0" w:beforeAutospacing="0" w:after="0" w:afterAutospacing="0"/>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Core element</w:t>
            </w:r>
          </w:p>
          <w:p w14:paraId="5D6F5E11" w14:textId="77777777" w:rsidR="000C2A2D" w:rsidRPr="00C35AB6" w:rsidRDefault="000C2A2D" w:rsidP="00C93215">
            <w:pPr>
              <w:pStyle w:val="TableHead"/>
            </w:pPr>
          </w:p>
        </w:tc>
        <w:tc>
          <w:tcPr>
            <w:tcW w:w="1474" w:type="dxa"/>
          </w:tcPr>
          <w:p w14:paraId="14789B4E" w14:textId="77777777" w:rsidR="000C2A2D" w:rsidRPr="00C35AB6" w:rsidRDefault="000C2A2D" w:rsidP="00C93215">
            <w:pPr>
              <w:pStyle w:val="TableHead"/>
              <w:cnfStyle w:val="100000000000" w:firstRow="1" w:lastRow="0" w:firstColumn="0" w:lastColumn="0" w:oddVBand="0" w:evenVBand="0" w:oddHBand="0" w:evenHBand="0" w:firstRowFirstColumn="0" w:firstRowLastColumn="0" w:lastRowFirstColumn="0" w:lastRowLastColumn="0"/>
            </w:pPr>
            <w:r w:rsidRPr="00C35AB6">
              <w:t>Measure</w:t>
            </w:r>
          </w:p>
        </w:tc>
        <w:tc>
          <w:tcPr>
            <w:tcW w:w="5220" w:type="dxa"/>
          </w:tcPr>
          <w:p w14:paraId="71EAACBD" w14:textId="77777777" w:rsidR="000C2A2D" w:rsidRPr="00C35AB6" w:rsidRDefault="000C2A2D" w:rsidP="00C93215">
            <w:pPr>
              <w:pStyle w:val="TableHead"/>
              <w:cnfStyle w:val="100000000000" w:firstRow="1" w:lastRow="0" w:firstColumn="0" w:lastColumn="0" w:oddVBand="0" w:evenVBand="0" w:oddHBand="0" w:evenHBand="0" w:firstRowFirstColumn="0" w:firstRowLastColumn="0" w:lastRowFirstColumn="0" w:lastRowLastColumn="0"/>
            </w:pPr>
            <w:r w:rsidRPr="00C35AB6">
              <w:t>Evidence</w:t>
            </w:r>
          </w:p>
        </w:tc>
        <w:tc>
          <w:tcPr>
            <w:tcW w:w="1260" w:type="dxa"/>
          </w:tcPr>
          <w:p w14:paraId="52F1D1B5" w14:textId="77777777" w:rsidR="000C2A2D" w:rsidRPr="00C35AB6" w:rsidRDefault="000C2A2D" w:rsidP="00C93215">
            <w:pPr>
              <w:pStyle w:val="TableHead"/>
              <w:cnfStyle w:val="100000000000" w:firstRow="1" w:lastRow="0" w:firstColumn="0" w:lastColumn="0" w:oddVBand="0" w:evenVBand="0" w:oddHBand="0" w:evenHBand="0" w:firstRowFirstColumn="0" w:firstRowLastColumn="0" w:lastRowFirstColumn="0" w:lastRowLastColumn="0"/>
            </w:pPr>
            <w:r w:rsidRPr="00C35AB6">
              <w:t>Evidence strength</w:t>
            </w:r>
          </w:p>
        </w:tc>
      </w:tr>
      <w:tr w:rsidR="00DD04B4" w14:paraId="63420CE6" w14:textId="77777777" w:rsidTr="00DD04B4">
        <w:trPr>
          <w:cantSplit/>
        </w:trPr>
        <w:tc>
          <w:tcPr>
            <w:cnfStyle w:val="001000000000" w:firstRow="0" w:lastRow="0" w:firstColumn="1" w:lastColumn="0" w:oddVBand="0" w:evenVBand="0" w:oddHBand="0" w:evenHBand="0" w:firstRowFirstColumn="0" w:firstRowLastColumn="0" w:lastRowFirstColumn="0" w:lastRowLastColumn="0"/>
            <w:tcW w:w="1671" w:type="dxa"/>
          </w:tcPr>
          <w:p w14:paraId="01C2B91D" w14:textId="745D6240" w:rsidR="000C2A2D" w:rsidRPr="008F0DDA" w:rsidRDefault="000C2A2D" w:rsidP="000C2A2D">
            <w:pPr>
              <w:pStyle w:val="TableHead"/>
              <w:rPr>
                <w:rFonts w:ascii="Arial" w:eastAsia="Arial" w:hAnsi="Arial" w:cs="Times New Roman"/>
                <w:bCs/>
                <w:color w:val="FDB90F"/>
                <w:kern w:val="24"/>
                <w:szCs w:val="22"/>
                <w:lang w:eastAsia="en-AU"/>
              </w:rPr>
            </w:pPr>
            <w:r w:rsidRPr="008F0DDA">
              <w:rPr>
                <w:rFonts w:ascii="Arial" w:eastAsia="Arial" w:hAnsi="Arial" w:cs="Times New Roman"/>
                <w:bCs/>
                <w:color w:val="FDB90F"/>
                <w:kern w:val="24"/>
                <w:szCs w:val="22"/>
                <w:lang w:eastAsia="en-AU"/>
              </w:rPr>
              <w:t>Leadership</w:t>
            </w:r>
          </w:p>
        </w:tc>
        <w:tc>
          <w:tcPr>
            <w:tcW w:w="1474" w:type="dxa"/>
          </w:tcPr>
          <w:p w14:paraId="26443F84" w14:textId="3D8F36B3" w:rsidR="000C2A2D" w:rsidRPr="00F348E4" w:rsidRDefault="000C2A2D" w:rsidP="000C2A2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bCs/>
                <w:color w:val="0063A5"/>
                <w:kern w:val="24"/>
                <w:szCs w:val="22"/>
                <w:lang w:val="en-AU" w:eastAsia="en-AU"/>
              </w:rPr>
            </w:pPr>
            <w:r w:rsidRPr="00C35AB6">
              <w:rPr>
                <w:rFonts w:cstheme="minorHAnsi"/>
                <w:bCs/>
                <w:color w:val="000000" w:themeColor="text1"/>
                <w:kern w:val="24"/>
                <w:szCs w:val="22"/>
              </w:rPr>
              <w:t>Instructional leadership (SSS)</w:t>
            </w:r>
          </w:p>
        </w:tc>
        <w:tc>
          <w:tcPr>
            <w:tcW w:w="5220" w:type="dxa"/>
          </w:tcPr>
          <w:p w14:paraId="595CDEA4" w14:textId="77777777" w:rsidR="000C2A2D" w:rsidRDefault="000C2A2D" w:rsidP="000C2A2D">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kern w:val="24"/>
                <w:szCs w:val="22"/>
              </w:rPr>
            </w:pPr>
            <w:r w:rsidRPr="00C35AB6">
              <w:rPr>
                <w:rFonts w:cstheme="minorHAnsi"/>
                <w:bCs/>
                <w:color w:val="000000" w:themeColor="text1"/>
                <w:kern w:val="24"/>
                <w:szCs w:val="22"/>
              </w:rPr>
              <w:t>Australian and international research reveals that leadership has a significant impact on student outcomes after controlling for student characteristics</w:t>
            </w:r>
            <w:r>
              <w:rPr>
                <w:rFonts w:cstheme="minorHAnsi"/>
                <w:bCs/>
                <w:color w:val="000000" w:themeColor="text1"/>
                <w:kern w:val="24"/>
                <w:szCs w:val="22"/>
              </w:rPr>
              <w:t>.</w:t>
            </w:r>
          </w:p>
          <w:p w14:paraId="2345645A" w14:textId="75CE2BC2" w:rsidR="008F0DDA" w:rsidRPr="00C35AB6" w:rsidRDefault="00856CDF" w:rsidP="000C2A2D">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kern w:val="24"/>
                <w:szCs w:val="22"/>
                <w:lang w:val="en-AU"/>
              </w:rPr>
            </w:pPr>
            <w:r>
              <w:rPr>
                <w:rFonts w:cstheme="minorHAnsi"/>
                <w:bCs/>
                <w:color w:val="000000" w:themeColor="text1"/>
                <w:kern w:val="24"/>
                <w:szCs w:val="22"/>
              </w:rPr>
              <w:t>With three years of data now available for the Instr</w:t>
            </w:r>
            <w:r w:rsidR="008F0DDA">
              <w:rPr>
                <w:rFonts w:cstheme="minorHAnsi"/>
                <w:bCs/>
                <w:color w:val="000000" w:themeColor="text1"/>
                <w:kern w:val="24"/>
                <w:szCs w:val="22"/>
              </w:rPr>
              <w:t xml:space="preserve">uctional leadership </w:t>
            </w:r>
            <w:r>
              <w:rPr>
                <w:rFonts w:cstheme="minorHAnsi"/>
                <w:bCs/>
                <w:color w:val="000000" w:themeColor="text1"/>
                <w:kern w:val="24"/>
                <w:szCs w:val="22"/>
              </w:rPr>
              <w:t xml:space="preserve">factor, it is now included in the Differentiated School Performance Model; the model that determines performance groups in the School Performance Report.  </w:t>
            </w:r>
          </w:p>
        </w:tc>
        <w:tc>
          <w:tcPr>
            <w:tcW w:w="1260" w:type="dxa"/>
          </w:tcPr>
          <w:p w14:paraId="3827A06B" w14:textId="3394D92C" w:rsidR="000C2A2D" w:rsidRPr="00C35AB6" w:rsidRDefault="000C2A2D" w:rsidP="000C2A2D">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kern w:val="24"/>
                <w:szCs w:val="22"/>
                <w:lang w:val="en-AU"/>
              </w:rPr>
            </w:pPr>
            <w:r w:rsidRPr="00C35AB6">
              <w:rPr>
                <w:rFonts w:cstheme="minorHAnsi"/>
                <w:bCs/>
                <w:color w:val="000000" w:themeColor="text1"/>
                <w:kern w:val="24"/>
                <w:szCs w:val="22"/>
              </w:rPr>
              <w:t>Strong</w:t>
            </w:r>
          </w:p>
        </w:tc>
      </w:tr>
      <w:tr w:rsidR="00DD04B4" w14:paraId="1650F69D" w14:textId="77777777" w:rsidTr="00DD04B4">
        <w:trPr>
          <w:cantSplit/>
        </w:trPr>
        <w:tc>
          <w:tcPr>
            <w:cnfStyle w:val="001000000000" w:firstRow="0" w:lastRow="0" w:firstColumn="1" w:lastColumn="0" w:oddVBand="0" w:evenVBand="0" w:oddHBand="0" w:evenHBand="0" w:firstRowFirstColumn="0" w:firstRowLastColumn="0" w:lastRowFirstColumn="0" w:lastRowLastColumn="0"/>
            <w:tcW w:w="1671" w:type="dxa"/>
          </w:tcPr>
          <w:p w14:paraId="5659914D" w14:textId="05C1378D" w:rsidR="000C2A2D" w:rsidRPr="008F0DDA" w:rsidRDefault="000C2A2D" w:rsidP="000C2A2D">
            <w:pPr>
              <w:pStyle w:val="TableHead"/>
              <w:rPr>
                <w:rFonts w:ascii="Arial" w:eastAsia="Arial" w:hAnsi="Arial" w:cs="Times New Roman"/>
                <w:bCs/>
                <w:color w:val="FDB90F"/>
                <w:kern w:val="24"/>
                <w:szCs w:val="22"/>
                <w:lang w:eastAsia="en-AU"/>
              </w:rPr>
            </w:pPr>
            <w:r w:rsidRPr="008F0DDA">
              <w:rPr>
                <w:rFonts w:ascii="Arial" w:eastAsia="Arial" w:hAnsi="Arial" w:cs="Times New Roman"/>
                <w:bCs/>
                <w:color w:val="FDB90F"/>
                <w:kern w:val="24"/>
                <w:szCs w:val="22"/>
                <w:lang w:eastAsia="en-AU"/>
              </w:rPr>
              <w:lastRenderedPageBreak/>
              <w:t>Leadership</w:t>
            </w:r>
          </w:p>
        </w:tc>
        <w:tc>
          <w:tcPr>
            <w:tcW w:w="1474" w:type="dxa"/>
          </w:tcPr>
          <w:p w14:paraId="4528251E" w14:textId="3DE25822" w:rsidR="000C2A2D" w:rsidRPr="00F348E4" w:rsidRDefault="000C2A2D" w:rsidP="000C2A2D">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bCs/>
                <w:color w:val="0063A5"/>
                <w:kern w:val="24"/>
                <w:szCs w:val="22"/>
                <w:lang w:val="en-AU" w:eastAsia="en-AU"/>
              </w:rPr>
            </w:pPr>
            <w:r w:rsidRPr="00C35AB6">
              <w:rPr>
                <w:rFonts w:cstheme="minorHAnsi"/>
                <w:bCs/>
                <w:color w:val="000000" w:themeColor="text1"/>
                <w:kern w:val="24"/>
                <w:szCs w:val="22"/>
              </w:rPr>
              <w:t>Managing bullying (</w:t>
            </w:r>
            <w:proofErr w:type="spellStart"/>
            <w:r>
              <w:rPr>
                <w:rFonts w:cstheme="minorHAnsi"/>
                <w:bCs/>
                <w:color w:val="000000" w:themeColor="text1"/>
                <w:kern w:val="24"/>
                <w:szCs w:val="22"/>
              </w:rPr>
              <w:t>AtoSS</w:t>
            </w:r>
            <w:proofErr w:type="spellEnd"/>
            <w:r w:rsidRPr="00C35AB6">
              <w:rPr>
                <w:rFonts w:cstheme="minorHAnsi"/>
                <w:bCs/>
                <w:color w:val="000000" w:themeColor="text1"/>
                <w:kern w:val="24"/>
                <w:szCs w:val="22"/>
              </w:rPr>
              <w:t>)</w:t>
            </w:r>
          </w:p>
        </w:tc>
        <w:tc>
          <w:tcPr>
            <w:tcW w:w="5220" w:type="dxa"/>
          </w:tcPr>
          <w:p w14:paraId="1400DFE0" w14:textId="732E32E4" w:rsidR="007D5250" w:rsidRDefault="00DD04B4"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Pr>
                <w:rFonts w:cstheme="minorHAnsi"/>
                <w:b w:val="0"/>
                <w:bCs/>
                <w:color w:val="000000" w:themeColor="text1"/>
                <w:kern w:val="24"/>
                <w:szCs w:val="22"/>
              </w:rPr>
              <w:t xml:space="preserve">Managing </w:t>
            </w:r>
            <w:r w:rsidRPr="00DD04B4">
              <w:rPr>
                <w:rFonts w:cstheme="minorHAnsi"/>
                <w:b w:val="0"/>
                <w:bCs/>
                <w:color w:val="000000" w:themeColor="text1"/>
                <w:kern w:val="24"/>
                <w:szCs w:val="22"/>
              </w:rPr>
              <w:t xml:space="preserve">bullying </w:t>
            </w:r>
            <w:r w:rsidR="007D5250">
              <w:rPr>
                <w:rFonts w:cstheme="minorHAnsi"/>
                <w:b w:val="0"/>
                <w:bCs/>
                <w:color w:val="000000" w:themeColor="text1"/>
                <w:kern w:val="24"/>
                <w:szCs w:val="22"/>
              </w:rPr>
              <w:t>measures the s</w:t>
            </w:r>
            <w:r w:rsidR="007D5250" w:rsidRPr="007D5250">
              <w:rPr>
                <w:rFonts w:cstheme="minorHAnsi"/>
                <w:b w:val="0"/>
                <w:bCs/>
                <w:color w:val="000000" w:themeColor="text1"/>
                <w:kern w:val="24"/>
                <w:szCs w:val="22"/>
              </w:rPr>
              <w:t>tudents</w:t>
            </w:r>
            <w:r w:rsidR="007D5250">
              <w:rPr>
                <w:rFonts w:cstheme="minorHAnsi"/>
                <w:b w:val="0"/>
                <w:bCs/>
                <w:color w:val="000000" w:themeColor="text1"/>
                <w:kern w:val="24"/>
                <w:szCs w:val="22"/>
              </w:rPr>
              <w:t>’</w:t>
            </w:r>
            <w:r w:rsidR="007D5250" w:rsidRPr="007D5250">
              <w:rPr>
                <w:rFonts w:cstheme="minorHAnsi"/>
                <w:b w:val="0"/>
                <w:bCs/>
                <w:color w:val="000000" w:themeColor="text1"/>
                <w:kern w:val="24"/>
                <w:szCs w:val="22"/>
              </w:rPr>
              <w:t xml:space="preserve"> perce</w:t>
            </w:r>
            <w:r w:rsidR="007D5250">
              <w:rPr>
                <w:rFonts w:cstheme="minorHAnsi"/>
                <w:b w:val="0"/>
                <w:bCs/>
                <w:color w:val="000000" w:themeColor="text1"/>
                <w:kern w:val="24"/>
                <w:szCs w:val="22"/>
              </w:rPr>
              <w:t>ption that</w:t>
            </w:r>
            <w:r w:rsidR="007D5250" w:rsidRPr="007D5250">
              <w:rPr>
                <w:rFonts w:cstheme="minorHAnsi"/>
                <w:b w:val="0"/>
                <w:bCs/>
                <w:color w:val="000000" w:themeColor="text1"/>
                <w:kern w:val="24"/>
                <w:szCs w:val="22"/>
              </w:rPr>
              <w:t xml:space="preserve"> the school handles bullying and harassment appropriately</w:t>
            </w:r>
            <w:r w:rsidR="007D5250">
              <w:rPr>
                <w:rFonts w:cstheme="minorHAnsi"/>
                <w:b w:val="0"/>
                <w:bCs/>
                <w:color w:val="000000" w:themeColor="text1"/>
                <w:kern w:val="24"/>
                <w:szCs w:val="22"/>
              </w:rPr>
              <w:t xml:space="preserve">. </w:t>
            </w:r>
          </w:p>
          <w:p w14:paraId="1BD0721C" w14:textId="3BE1A0CD" w:rsidR="00DD04B4" w:rsidRDefault="007D5250"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Pr>
                <w:rFonts w:cstheme="minorHAnsi"/>
                <w:b w:val="0"/>
                <w:bCs/>
                <w:color w:val="000000" w:themeColor="text1"/>
                <w:kern w:val="24"/>
                <w:szCs w:val="22"/>
              </w:rPr>
              <w:t xml:space="preserve">Managing bullying is </w:t>
            </w:r>
            <w:r w:rsidR="00DD04B4" w:rsidRPr="00DD04B4">
              <w:rPr>
                <w:rFonts w:cstheme="minorHAnsi"/>
                <w:b w:val="0"/>
                <w:bCs/>
                <w:color w:val="000000" w:themeColor="text1"/>
                <w:kern w:val="24"/>
                <w:szCs w:val="22"/>
              </w:rPr>
              <w:t xml:space="preserve">a key indicator for building a </w:t>
            </w:r>
            <w:r w:rsidR="00DD04B4" w:rsidRPr="00DD04B4">
              <w:rPr>
                <w:b w:val="0"/>
                <w:bCs/>
                <w:color w:val="auto"/>
              </w:rPr>
              <w:t xml:space="preserve">positive school climate for learning and wellbeing. </w:t>
            </w:r>
          </w:p>
          <w:p w14:paraId="2F5BEAA4" w14:textId="1422F2FC"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DET analysis shows student endorsement of managing bullying is significant and</w:t>
            </w:r>
            <w:r>
              <w:rPr>
                <w:rFonts w:cstheme="minorHAnsi"/>
                <w:b w:val="0"/>
                <w:bCs/>
                <w:color w:val="000000" w:themeColor="text1"/>
                <w:kern w:val="24"/>
                <w:szCs w:val="22"/>
              </w:rPr>
              <w:t xml:space="preserve"> has a</w:t>
            </w:r>
            <w:r w:rsidRPr="00C35AB6">
              <w:rPr>
                <w:rFonts w:cstheme="minorHAnsi"/>
                <w:b w:val="0"/>
                <w:bCs/>
                <w:color w:val="000000" w:themeColor="text1"/>
                <w:kern w:val="24"/>
                <w:szCs w:val="22"/>
              </w:rPr>
              <w:t xml:space="preserve"> positive correlation to their performance in NAPLAN. </w:t>
            </w:r>
          </w:p>
          <w:p w14:paraId="3024CA30" w14:textId="74456AB2"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 xml:space="preserve">At the school level, there is a negative relationship between student endorsement of management of bullying and experience of bullying. This means schools with larger proportions of students reporting experience of bullying are more likely to have lower endorsement of management of bullying. </w:t>
            </w:r>
          </w:p>
        </w:tc>
        <w:tc>
          <w:tcPr>
            <w:tcW w:w="1260" w:type="dxa"/>
          </w:tcPr>
          <w:p w14:paraId="0E6D688F" w14:textId="261B15B1"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Strong</w:t>
            </w:r>
          </w:p>
        </w:tc>
      </w:tr>
      <w:tr w:rsidR="00DD04B4" w14:paraId="6CE2D8D0" w14:textId="77777777" w:rsidTr="00DD04B4">
        <w:trPr>
          <w:cantSplit/>
        </w:trPr>
        <w:tc>
          <w:tcPr>
            <w:cnfStyle w:val="001000000000" w:firstRow="0" w:lastRow="0" w:firstColumn="1" w:lastColumn="0" w:oddVBand="0" w:evenVBand="0" w:oddHBand="0" w:evenHBand="0" w:firstRowFirstColumn="0" w:firstRowLastColumn="0" w:lastRowFirstColumn="0" w:lastRowLastColumn="0"/>
            <w:tcW w:w="1671" w:type="dxa"/>
          </w:tcPr>
          <w:p w14:paraId="781BF7D8" w14:textId="77777777" w:rsidR="000C2A2D" w:rsidRPr="008F0DDA" w:rsidRDefault="000C2A2D" w:rsidP="000C2A2D">
            <w:pPr>
              <w:pStyle w:val="TableHead"/>
              <w:rPr>
                <w:rFonts w:ascii="Arial" w:eastAsia="Arial" w:hAnsi="Arial" w:cs="Times New Roman"/>
                <w:bCs/>
                <w:color w:val="FDB90F"/>
                <w:kern w:val="24"/>
                <w:szCs w:val="22"/>
                <w:lang w:eastAsia="en-AU"/>
              </w:rPr>
            </w:pPr>
            <w:r w:rsidRPr="008F0DDA">
              <w:rPr>
                <w:rFonts w:ascii="Arial" w:eastAsia="Arial" w:hAnsi="Arial" w:cs="Times New Roman"/>
                <w:bCs/>
                <w:color w:val="FDB90F"/>
                <w:kern w:val="24"/>
                <w:szCs w:val="22"/>
                <w:lang w:eastAsia="en-AU"/>
              </w:rPr>
              <w:t>Leadership</w:t>
            </w:r>
          </w:p>
          <w:p w14:paraId="3B11B582" w14:textId="795FE5A3" w:rsidR="000C2A2D" w:rsidRPr="008F0DDA" w:rsidRDefault="000C2A2D" w:rsidP="000C2A2D">
            <w:pPr>
              <w:pStyle w:val="TableHead"/>
              <w:rPr>
                <w:rFonts w:ascii="Arial" w:eastAsia="Arial" w:hAnsi="Arial" w:cs="Times New Roman"/>
                <w:bCs/>
                <w:color w:val="FDB90F"/>
                <w:kern w:val="24"/>
                <w:szCs w:val="22"/>
                <w:lang w:eastAsia="en-AU"/>
              </w:rPr>
            </w:pPr>
            <w:r w:rsidRPr="008F0DDA">
              <w:rPr>
                <w:rFonts w:ascii="Arial" w:eastAsia="Arial" w:hAnsi="Arial" w:cs="Times New Roman"/>
                <w:bCs/>
                <w:color w:val="FDB90F"/>
                <w:kern w:val="24"/>
                <w:szCs w:val="22"/>
                <w:lang w:eastAsia="en-AU"/>
              </w:rPr>
              <w:t xml:space="preserve"> </w:t>
            </w:r>
          </w:p>
        </w:tc>
        <w:tc>
          <w:tcPr>
            <w:tcW w:w="1474" w:type="dxa"/>
          </w:tcPr>
          <w:p w14:paraId="316D1937" w14:textId="175847E8" w:rsidR="000C2A2D" w:rsidRPr="003E1040"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highlight w:val="yellow"/>
              </w:rPr>
            </w:pPr>
            <w:r w:rsidRPr="00C35AB6">
              <w:rPr>
                <w:rFonts w:cstheme="minorHAnsi"/>
                <w:b w:val="0"/>
                <w:bCs/>
                <w:color w:val="000000" w:themeColor="text1"/>
                <w:kern w:val="24"/>
                <w:szCs w:val="22"/>
              </w:rPr>
              <w:t>Trust in colleagues (SSS)</w:t>
            </w:r>
          </w:p>
        </w:tc>
        <w:tc>
          <w:tcPr>
            <w:tcW w:w="5220" w:type="dxa"/>
          </w:tcPr>
          <w:p w14:paraId="0D141A74" w14:textId="3C06320B" w:rsidR="000C2A2D" w:rsidRPr="003E1040" w:rsidRDefault="00DD04B4"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highlight w:val="yellow"/>
              </w:rPr>
            </w:pPr>
            <w:r>
              <w:rPr>
                <w:rFonts w:cstheme="minorHAnsi"/>
                <w:b w:val="0"/>
                <w:bCs/>
                <w:color w:val="000000" w:themeColor="text1"/>
                <w:kern w:val="24"/>
                <w:szCs w:val="22"/>
              </w:rPr>
              <w:t>A s</w:t>
            </w:r>
            <w:r w:rsidR="000C2A2D" w:rsidRPr="00C35AB6">
              <w:rPr>
                <w:rFonts w:cstheme="minorHAnsi"/>
                <w:b w:val="0"/>
                <w:bCs/>
                <w:color w:val="000000" w:themeColor="text1"/>
                <w:kern w:val="24"/>
                <w:szCs w:val="22"/>
              </w:rPr>
              <w:t>trategic evaluation of</w:t>
            </w:r>
            <w:r>
              <w:rPr>
                <w:rFonts w:cstheme="minorHAnsi"/>
                <w:b w:val="0"/>
                <w:bCs/>
                <w:color w:val="000000" w:themeColor="text1"/>
                <w:kern w:val="24"/>
                <w:szCs w:val="22"/>
              </w:rPr>
              <w:t xml:space="preserve"> DET’s</w:t>
            </w:r>
            <w:r w:rsidR="000C2A2D" w:rsidRPr="00C35AB6">
              <w:rPr>
                <w:rFonts w:cstheme="minorHAnsi"/>
                <w:b w:val="0"/>
                <w:bCs/>
                <w:color w:val="000000" w:themeColor="text1"/>
                <w:kern w:val="24"/>
                <w:szCs w:val="22"/>
              </w:rPr>
              <w:t xml:space="preserve"> school reform</w:t>
            </w:r>
            <w:r>
              <w:rPr>
                <w:rFonts w:cstheme="minorHAnsi"/>
                <w:b w:val="0"/>
                <w:bCs/>
                <w:color w:val="000000" w:themeColor="text1"/>
                <w:kern w:val="24"/>
                <w:szCs w:val="22"/>
              </w:rPr>
              <w:t xml:space="preserve"> agenda</w:t>
            </w:r>
            <w:r w:rsidR="000C2A2D" w:rsidRPr="00C35AB6">
              <w:rPr>
                <w:rFonts w:cstheme="minorHAnsi"/>
                <w:b w:val="0"/>
                <w:bCs/>
                <w:color w:val="000000" w:themeColor="text1"/>
                <w:kern w:val="24"/>
                <w:szCs w:val="22"/>
              </w:rPr>
              <w:t xml:space="preserve"> showed that schools with </w:t>
            </w:r>
            <w:r>
              <w:rPr>
                <w:rFonts w:cstheme="minorHAnsi"/>
                <w:b w:val="0"/>
                <w:bCs/>
                <w:color w:val="000000" w:themeColor="text1"/>
                <w:kern w:val="24"/>
                <w:szCs w:val="22"/>
              </w:rPr>
              <w:t>positive</w:t>
            </w:r>
            <w:r w:rsidR="000C2A2D" w:rsidRPr="00C35AB6">
              <w:rPr>
                <w:rFonts w:cstheme="minorHAnsi"/>
                <w:b w:val="0"/>
                <w:bCs/>
                <w:color w:val="000000" w:themeColor="text1"/>
                <w:kern w:val="24"/>
                <w:szCs w:val="22"/>
              </w:rPr>
              <w:t xml:space="preserve"> endorsement of Trust in colleagues had a positive relationship to </w:t>
            </w:r>
            <w:r>
              <w:rPr>
                <w:rFonts w:cstheme="minorHAnsi"/>
                <w:b w:val="0"/>
                <w:bCs/>
                <w:color w:val="000000" w:themeColor="text1"/>
                <w:kern w:val="24"/>
                <w:szCs w:val="22"/>
              </w:rPr>
              <w:t xml:space="preserve">a school’s performance in </w:t>
            </w:r>
            <w:r w:rsidR="000C2A2D" w:rsidRPr="00C35AB6">
              <w:rPr>
                <w:rFonts w:cstheme="minorHAnsi"/>
                <w:b w:val="0"/>
                <w:bCs/>
                <w:color w:val="000000" w:themeColor="text1"/>
                <w:kern w:val="24"/>
                <w:szCs w:val="22"/>
              </w:rPr>
              <w:t>NAPLAN</w:t>
            </w:r>
            <w:r w:rsidR="000C2A2D">
              <w:rPr>
                <w:rFonts w:cstheme="minorHAnsi"/>
                <w:b w:val="0"/>
                <w:bCs/>
                <w:color w:val="000000" w:themeColor="text1"/>
                <w:kern w:val="24"/>
                <w:szCs w:val="22"/>
              </w:rPr>
              <w:t>.</w:t>
            </w:r>
          </w:p>
        </w:tc>
        <w:tc>
          <w:tcPr>
            <w:tcW w:w="1260" w:type="dxa"/>
          </w:tcPr>
          <w:p w14:paraId="57477F13" w14:textId="7FAD6B14" w:rsidR="000C2A2D" w:rsidRPr="003E1040"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highlight w:val="yellow"/>
              </w:rPr>
            </w:pPr>
            <w:r w:rsidRPr="00C35AB6">
              <w:rPr>
                <w:rFonts w:cstheme="minorHAnsi"/>
                <w:b w:val="0"/>
                <w:bCs/>
                <w:color w:val="000000" w:themeColor="text1"/>
                <w:kern w:val="24"/>
                <w:szCs w:val="22"/>
              </w:rPr>
              <w:t>Good</w:t>
            </w:r>
          </w:p>
        </w:tc>
      </w:tr>
      <w:tr w:rsidR="00B06E1E" w14:paraId="0BB78613" w14:textId="77777777" w:rsidTr="00DD04B4">
        <w:trPr>
          <w:cantSplit/>
        </w:trPr>
        <w:tc>
          <w:tcPr>
            <w:cnfStyle w:val="001000000000" w:firstRow="0" w:lastRow="0" w:firstColumn="1" w:lastColumn="0" w:oddVBand="0" w:evenVBand="0" w:oddHBand="0" w:evenHBand="0" w:firstRowFirstColumn="0" w:firstRowLastColumn="0" w:lastRowFirstColumn="0" w:lastRowLastColumn="0"/>
            <w:tcW w:w="1671" w:type="dxa"/>
          </w:tcPr>
          <w:p w14:paraId="7071A9FA" w14:textId="0EB76BD9" w:rsidR="000C2A2D" w:rsidRPr="008F0DDA" w:rsidRDefault="000C2A2D" w:rsidP="000C2A2D">
            <w:pPr>
              <w:pStyle w:val="TableHead"/>
              <w:rPr>
                <w:rFonts w:cstheme="minorHAnsi"/>
                <w:bCs/>
                <w:color w:val="000000" w:themeColor="text1"/>
                <w:kern w:val="24"/>
                <w:szCs w:val="22"/>
              </w:rPr>
            </w:pPr>
            <w:r w:rsidRPr="008F0DDA">
              <w:rPr>
                <w:rFonts w:ascii="Arial" w:eastAsia="Arial" w:hAnsi="Arial" w:cs="Times New Roman"/>
                <w:bCs/>
                <w:color w:val="00B0A7"/>
                <w:kern w:val="24"/>
                <w:szCs w:val="22"/>
                <w:lang w:eastAsia="en-AU"/>
              </w:rPr>
              <w:t>Teaching and Learning</w:t>
            </w:r>
            <w:r w:rsidRPr="008F0DDA">
              <w:rPr>
                <w:rFonts w:cstheme="minorHAnsi"/>
                <w:bCs/>
                <w:color w:val="000000" w:themeColor="text1"/>
                <w:kern w:val="24"/>
                <w:szCs w:val="22"/>
              </w:rPr>
              <w:t xml:space="preserve"> </w:t>
            </w:r>
          </w:p>
        </w:tc>
        <w:tc>
          <w:tcPr>
            <w:tcW w:w="1474" w:type="dxa"/>
          </w:tcPr>
          <w:p w14:paraId="5392DDAC" w14:textId="74175E7A"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Collective efficacy (SSS)</w:t>
            </w:r>
          </w:p>
        </w:tc>
        <w:tc>
          <w:tcPr>
            <w:tcW w:w="5220" w:type="dxa"/>
          </w:tcPr>
          <w:p w14:paraId="4A3546E5" w14:textId="31E84F0E" w:rsidR="00DD04B4" w:rsidRDefault="00DD04B4"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Pr>
                <w:rFonts w:cstheme="minorHAnsi"/>
                <w:b w:val="0"/>
                <w:bCs/>
                <w:color w:val="000000" w:themeColor="text1"/>
                <w:kern w:val="24"/>
                <w:szCs w:val="22"/>
              </w:rPr>
              <w:t>Collective efficacy describes</w:t>
            </w:r>
            <w:r w:rsidR="00F057BA" w:rsidRPr="00F057BA">
              <w:rPr>
                <w:rFonts w:cstheme="minorHAnsi"/>
                <w:b w:val="0"/>
                <w:bCs/>
                <w:color w:val="000000" w:themeColor="text1"/>
                <w:kern w:val="24"/>
                <w:szCs w:val="22"/>
              </w:rPr>
              <w:t xml:space="preserve"> </w:t>
            </w:r>
            <w:r w:rsidR="00F057BA">
              <w:rPr>
                <w:rFonts w:cstheme="minorHAnsi"/>
                <w:b w:val="0"/>
                <w:bCs/>
                <w:color w:val="000000" w:themeColor="text1"/>
                <w:kern w:val="24"/>
                <w:szCs w:val="22"/>
              </w:rPr>
              <w:t>t</w:t>
            </w:r>
            <w:r w:rsidR="00F057BA" w:rsidRPr="00F057BA">
              <w:rPr>
                <w:rFonts w:cstheme="minorHAnsi"/>
                <w:b w:val="0"/>
                <w:bCs/>
                <w:color w:val="000000" w:themeColor="text1"/>
                <w:kern w:val="24"/>
                <w:szCs w:val="22"/>
              </w:rPr>
              <w:t>he degree to which school staff believe they have the necessary skills, expertise and resources to successfully educate students.</w:t>
            </w:r>
            <w:r>
              <w:rPr>
                <w:rFonts w:cstheme="minorHAnsi"/>
                <w:b w:val="0"/>
                <w:bCs/>
                <w:color w:val="000000" w:themeColor="text1"/>
                <w:kern w:val="24"/>
                <w:szCs w:val="22"/>
              </w:rPr>
              <w:t xml:space="preserve"> </w:t>
            </w:r>
          </w:p>
          <w:p w14:paraId="444EE115" w14:textId="63B8F8FF"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Collective efficacy is a significant</w:t>
            </w:r>
            <w:r w:rsidR="00DD04B4">
              <w:rPr>
                <w:rFonts w:cstheme="minorHAnsi"/>
                <w:b w:val="0"/>
                <w:bCs/>
                <w:color w:val="000000" w:themeColor="text1"/>
                <w:kern w:val="24"/>
                <w:szCs w:val="22"/>
              </w:rPr>
              <w:t xml:space="preserve"> predictive</w:t>
            </w:r>
            <w:r w:rsidRPr="00C35AB6">
              <w:rPr>
                <w:rFonts w:cstheme="minorHAnsi"/>
                <w:b w:val="0"/>
                <w:bCs/>
                <w:color w:val="000000" w:themeColor="text1"/>
                <w:kern w:val="24"/>
                <w:szCs w:val="22"/>
              </w:rPr>
              <w:t xml:space="preserve"> factor </w:t>
            </w:r>
            <w:r w:rsidR="00DD04B4">
              <w:rPr>
                <w:rFonts w:cstheme="minorHAnsi"/>
                <w:b w:val="0"/>
                <w:bCs/>
                <w:color w:val="000000" w:themeColor="text1"/>
                <w:kern w:val="24"/>
                <w:szCs w:val="22"/>
              </w:rPr>
              <w:t>for</w:t>
            </w:r>
            <w:r w:rsidRPr="00C35AB6">
              <w:rPr>
                <w:rFonts w:cstheme="minorHAnsi"/>
                <w:b w:val="0"/>
                <w:bCs/>
                <w:color w:val="000000" w:themeColor="text1"/>
                <w:kern w:val="24"/>
                <w:szCs w:val="22"/>
              </w:rPr>
              <w:t xml:space="preserve"> NAPLAN performance </w:t>
            </w:r>
            <w:r w:rsidR="00DD04B4">
              <w:rPr>
                <w:rFonts w:cstheme="minorHAnsi"/>
                <w:b w:val="0"/>
                <w:bCs/>
                <w:color w:val="000000" w:themeColor="text1"/>
                <w:kern w:val="24"/>
                <w:szCs w:val="22"/>
              </w:rPr>
              <w:t xml:space="preserve">and school improvement </w:t>
            </w:r>
            <w:r w:rsidRPr="00C35AB6">
              <w:rPr>
                <w:rFonts w:cstheme="minorHAnsi"/>
                <w:b w:val="0"/>
                <w:bCs/>
                <w:color w:val="000000" w:themeColor="text1"/>
                <w:kern w:val="24"/>
                <w:szCs w:val="22"/>
              </w:rPr>
              <w:t>(DET analysis, Strategic evaluation of school reform)</w:t>
            </w:r>
            <w:r>
              <w:rPr>
                <w:rFonts w:cstheme="minorHAnsi"/>
                <w:b w:val="0"/>
                <w:bCs/>
                <w:color w:val="000000" w:themeColor="text1"/>
                <w:kern w:val="24"/>
                <w:szCs w:val="22"/>
              </w:rPr>
              <w:t>.</w:t>
            </w:r>
          </w:p>
        </w:tc>
        <w:tc>
          <w:tcPr>
            <w:tcW w:w="1260" w:type="dxa"/>
          </w:tcPr>
          <w:p w14:paraId="211DB50D" w14:textId="4D409473"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Strong</w:t>
            </w:r>
          </w:p>
        </w:tc>
      </w:tr>
      <w:tr w:rsidR="00DD04B4" w14:paraId="000F0EC9" w14:textId="77777777" w:rsidTr="00DD04B4">
        <w:trPr>
          <w:cantSplit/>
        </w:trPr>
        <w:tc>
          <w:tcPr>
            <w:cnfStyle w:val="001000000000" w:firstRow="0" w:lastRow="0" w:firstColumn="1" w:lastColumn="0" w:oddVBand="0" w:evenVBand="0" w:oddHBand="0" w:evenHBand="0" w:firstRowFirstColumn="0" w:firstRowLastColumn="0" w:lastRowFirstColumn="0" w:lastRowLastColumn="0"/>
            <w:tcW w:w="1671" w:type="dxa"/>
          </w:tcPr>
          <w:p w14:paraId="23C49AA6" w14:textId="3AF1D421" w:rsidR="000C2A2D" w:rsidRPr="008F0DDA" w:rsidRDefault="000C2A2D" w:rsidP="000C2A2D">
            <w:pPr>
              <w:pStyle w:val="TableHead"/>
              <w:rPr>
                <w:rFonts w:ascii="Arial" w:eastAsia="Arial" w:hAnsi="Arial" w:cs="Times New Roman"/>
                <w:bCs/>
                <w:color w:val="00B0A7"/>
                <w:kern w:val="24"/>
                <w:szCs w:val="22"/>
                <w:lang w:eastAsia="en-AU"/>
              </w:rPr>
            </w:pPr>
            <w:r w:rsidRPr="008F0DDA">
              <w:rPr>
                <w:rFonts w:ascii="Arial" w:eastAsia="Arial" w:hAnsi="Arial" w:cs="Times New Roman"/>
                <w:bCs/>
                <w:color w:val="00B0A7"/>
                <w:kern w:val="24"/>
                <w:szCs w:val="22"/>
                <w:lang w:eastAsia="en-AU"/>
              </w:rPr>
              <w:t>Teaching and learning</w:t>
            </w:r>
          </w:p>
        </w:tc>
        <w:tc>
          <w:tcPr>
            <w:tcW w:w="1474" w:type="dxa"/>
          </w:tcPr>
          <w:p w14:paraId="486D907F" w14:textId="6A63C52F"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TJ growth (CASES)</w:t>
            </w:r>
          </w:p>
        </w:tc>
        <w:tc>
          <w:tcPr>
            <w:tcW w:w="5220" w:type="dxa"/>
          </w:tcPr>
          <w:p w14:paraId="4C4DE580" w14:textId="10909C0E"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Teacher judgement data has a reasonable alignment with benchmark growth. It is less granular in terms of performance increments, however</w:t>
            </w:r>
            <w:r>
              <w:rPr>
                <w:rFonts w:cstheme="minorHAnsi"/>
                <w:b w:val="0"/>
                <w:bCs/>
                <w:color w:val="000000" w:themeColor="text1"/>
                <w:kern w:val="24"/>
                <w:szCs w:val="22"/>
              </w:rPr>
              <w:t>,</w:t>
            </w:r>
            <w:r w:rsidRPr="00C35AB6">
              <w:rPr>
                <w:rFonts w:cstheme="minorHAnsi"/>
                <w:b w:val="0"/>
                <w:bCs/>
                <w:color w:val="000000" w:themeColor="text1"/>
                <w:kern w:val="24"/>
                <w:szCs w:val="22"/>
              </w:rPr>
              <w:t xml:space="preserve"> collected more frequently from broader teacher observations. </w:t>
            </w:r>
          </w:p>
        </w:tc>
        <w:tc>
          <w:tcPr>
            <w:tcW w:w="1260" w:type="dxa"/>
          </w:tcPr>
          <w:p w14:paraId="636A4CBE" w14:textId="16BF81DB"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Good</w:t>
            </w:r>
          </w:p>
        </w:tc>
      </w:tr>
      <w:tr w:rsidR="00DD04B4" w14:paraId="3A0A01D9" w14:textId="77777777" w:rsidTr="00DD04B4">
        <w:tc>
          <w:tcPr>
            <w:cnfStyle w:val="001000000000" w:firstRow="0" w:lastRow="0" w:firstColumn="1" w:lastColumn="0" w:oddVBand="0" w:evenVBand="0" w:oddHBand="0" w:evenHBand="0" w:firstRowFirstColumn="0" w:firstRowLastColumn="0" w:lastRowFirstColumn="0" w:lastRowLastColumn="0"/>
            <w:tcW w:w="1671" w:type="dxa"/>
          </w:tcPr>
          <w:p w14:paraId="5CB6EEDD" w14:textId="4BE56DF3" w:rsidR="000C2A2D" w:rsidRPr="008F0DDA" w:rsidRDefault="000C2A2D" w:rsidP="000C2A2D">
            <w:pPr>
              <w:pStyle w:val="TableHead"/>
              <w:rPr>
                <w:rFonts w:ascii="Arial" w:eastAsia="Arial" w:hAnsi="Arial" w:cs="Times New Roman"/>
                <w:bCs/>
                <w:color w:val="00B0A7"/>
                <w:kern w:val="24"/>
                <w:szCs w:val="22"/>
                <w:lang w:eastAsia="en-AU"/>
              </w:rPr>
            </w:pPr>
            <w:r w:rsidRPr="008F0DDA">
              <w:rPr>
                <w:rFonts w:ascii="Arial" w:eastAsia="Arial" w:hAnsi="Arial" w:cs="Times New Roman"/>
                <w:bCs/>
                <w:color w:val="00B0A7"/>
                <w:kern w:val="24"/>
                <w:szCs w:val="22"/>
                <w:lang w:eastAsia="en-AU"/>
              </w:rPr>
              <w:t>Teaching and learning</w:t>
            </w:r>
          </w:p>
        </w:tc>
        <w:tc>
          <w:tcPr>
            <w:tcW w:w="1474" w:type="dxa"/>
          </w:tcPr>
          <w:p w14:paraId="70F676D1" w14:textId="3BB7D061"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Stimulated learning (</w:t>
            </w:r>
            <w:r>
              <w:rPr>
                <w:rFonts w:cstheme="minorHAnsi"/>
                <w:b w:val="0"/>
                <w:bCs/>
                <w:color w:val="000000" w:themeColor="text1"/>
                <w:kern w:val="24"/>
                <w:szCs w:val="22"/>
              </w:rPr>
              <w:t>AtoSS</w:t>
            </w:r>
            <w:r w:rsidRPr="00C35AB6">
              <w:rPr>
                <w:rFonts w:cstheme="minorHAnsi"/>
                <w:b w:val="0"/>
                <w:bCs/>
                <w:color w:val="000000" w:themeColor="text1"/>
                <w:kern w:val="24"/>
                <w:szCs w:val="22"/>
              </w:rPr>
              <w:t>)</w:t>
            </w:r>
          </w:p>
        </w:tc>
        <w:tc>
          <w:tcPr>
            <w:tcW w:w="5220" w:type="dxa"/>
          </w:tcPr>
          <w:p w14:paraId="3A3911EF" w14:textId="38E88E6A" w:rsidR="00F057BA" w:rsidRPr="00C35AB6" w:rsidRDefault="00F057BA" w:rsidP="00F057BA">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Pr>
                <w:rFonts w:cstheme="minorHAnsi"/>
                <w:b w:val="0"/>
                <w:bCs/>
                <w:color w:val="000000" w:themeColor="text1"/>
                <w:kern w:val="24"/>
                <w:szCs w:val="22"/>
              </w:rPr>
              <w:t>Stimulated learning describes the degree to which t</w:t>
            </w:r>
            <w:r w:rsidRPr="00F057BA">
              <w:rPr>
                <w:rFonts w:cstheme="minorHAnsi"/>
                <w:b w:val="0"/>
                <w:bCs/>
                <w:color w:val="000000" w:themeColor="text1"/>
                <w:kern w:val="24"/>
                <w:szCs w:val="22"/>
              </w:rPr>
              <w:t>eachers are making students interested in learning.</w:t>
            </w:r>
            <w:r>
              <w:rPr>
                <w:rFonts w:cstheme="minorHAnsi"/>
                <w:b w:val="0"/>
                <w:bCs/>
                <w:color w:val="000000" w:themeColor="text1"/>
                <w:kern w:val="24"/>
                <w:szCs w:val="22"/>
              </w:rPr>
              <w:t xml:space="preserve"> </w:t>
            </w:r>
            <w:r w:rsidR="000C2A2D" w:rsidRPr="00C35AB6">
              <w:rPr>
                <w:rFonts w:cstheme="minorHAnsi"/>
                <w:b w:val="0"/>
                <w:bCs/>
                <w:color w:val="000000" w:themeColor="text1"/>
                <w:kern w:val="24"/>
                <w:szCs w:val="22"/>
              </w:rPr>
              <w:t>DET analysis shows stimulated learning is significantly correlated with NAPLAN performance</w:t>
            </w:r>
            <w:r w:rsidR="000C2A2D">
              <w:rPr>
                <w:rFonts w:cstheme="minorHAnsi"/>
                <w:b w:val="0"/>
                <w:bCs/>
                <w:color w:val="000000" w:themeColor="text1"/>
                <w:kern w:val="24"/>
                <w:szCs w:val="22"/>
              </w:rPr>
              <w:t>.</w:t>
            </w:r>
          </w:p>
        </w:tc>
        <w:tc>
          <w:tcPr>
            <w:tcW w:w="1260" w:type="dxa"/>
          </w:tcPr>
          <w:p w14:paraId="3A71C7C7" w14:textId="4C0FFE04"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Strong</w:t>
            </w:r>
          </w:p>
        </w:tc>
      </w:tr>
      <w:tr w:rsidR="00DD04B4" w14:paraId="764E1719" w14:textId="77777777" w:rsidTr="00DD04B4">
        <w:tc>
          <w:tcPr>
            <w:cnfStyle w:val="001000000000" w:firstRow="0" w:lastRow="0" w:firstColumn="1" w:lastColumn="0" w:oddVBand="0" w:evenVBand="0" w:oddHBand="0" w:evenHBand="0" w:firstRowFirstColumn="0" w:firstRowLastColumn="0" w:lastRowFirstColumn="0" w:lastRowLastColumn="0"/>
            <w:tcW w:w="1671" w:type="dxa"/>
          </w:tcPr>
          <w:p w14:paraId="2CF5B288" w14:textId="1C90BAB8" w:rsidR="000C2A2D" w:rsidRPr="008F0DDA" w:rsidRDefault="000C2A2D" w:rsidP="000C2A2D">
            <w:pPr>
              <w:pStyle w:val="TableHead"/>
              <w:rPr>
                <w:rFonts w:ascii="Arial" w:eastAsia="Arial" w:hAnsi="Arial" w:cs="Times New Roman"/>
                <w:bCs/>
                <w:color w:val="00B0A7"/>
                <w:kern w:val="24"/>
                <w:szCs w:val="22"/>
                <w:lang w:eastAsia="en-AU"/>
              </w:rPr>
            </w:pPr>
            <w:r w:rsidRPr="008F0DDA">
              <w:rPr>
                <w:rFonts w:ascii="Arial" w:eastAsia="Arial" w:hAnsi="Arial" w:cs="Times New Roman"/>
                <w:bCs/>
                <w:color w:val="00B0A7"/>
                <w:kern w:val="24"/>
                <w:szCs w:val="22"/>
                <w:lang w:eastAsia="en-AU"/>
              </w:rPr>
              <w:t>Teaching and learning</w:t>
            </w:r>
          </w:p>
        </w:tc>
        <w:tc>
          <w:tcPr>
            <w:tcW w:w="1474" w:type="dxa"/>
          </w:tcPr>
          <w:p w14:paraId="68CED6EF" w14:textId="7757E175"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Academic emphasis – (SSS)</w:t>
            </w:r>
          </w:p>
        </w:tc>
        <w:tc>
          <w:tcPr>
            <w:tcW w:w="5220" w:type="dxa"/>
          </w:tcPr>
          <w:p w14:paraId="5C53B533" w14:textId="742EF87D" w:rsidR="00F057BA" w:rsidRDefault="00E2427C"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Pr>
                <w:rFonts w:cstheme="minorHAnsi"/>
                <w:b w:val="0"/>
                <w:bCs/>
                <w:color w:val="000000" w:themeColor="text1"/>
                <w:kern w:val="24"/>
                <w:szCs w:val="22"/>
              </w:rPr>
              <w:t xml:space="preserve">Academic emphasis describes the </w:t>
            </w:r>
            <w:r w:rsidR="00F057BA" w:rsidRPr="00F057BA">
              <w:rPr>
                <w:rFonts w:cstheme="minorHAnsi"/>
                <w:b w:val="0"/>
                <w:bCs/>
                <w:color w:val="000000" w:themeColor="text1"/>
                <w:kern w:val="24"/>
                <w:szCs w:val="22"/>
              </w:rPr>
              <w:t>degree to which emphasis is placed on the importance of academic success and school norms support learning.</w:t>
            </w:r>
          </w:p>
          <w:p w14:paraId="62186C42" w14:textId="3B426F42" w:rsidR="000C2A2D" w:rsidRPr="00C35AB6" w:rsidRDefault="00E2427C"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Pr>
                <w:rFonts w:cstheme="minorHAnsi"/>
                <w:b w:val="0"/>
                <w:bCs/>
                <w:color w:val="000000" w:themeColor="text1"/>
                <w:kern w:val="24"/>
                <w:szCs w:val="22"/>
              </w:rPr>
              <w:lastRenderedPageBreak/>
              <w:t>A s</w:t>
            </w:r>
            <w:r w:rsidR="000C2A2D" w:rsidRPr="00C35AB6">
              <w:rPr>
                <w:rFonts w:cstheme="minorHAnsi"/>
                <w:b w:val="0"/>
                <w:bCs/>
                <w:color w:val="000000" w:themeColor="text1"/>
                <w:kern w:val="24"/>
                <w:szCs w:val="22"/>
              </w:rPr>
              <w:t>trategic evaluation of</w:t>
            </w:r>
            <w:r>
              <w:rPr>
                <w:rFonts w:cstheme="minorHAnsi"/>
                <w:b w:val="0"/>
                <w:bCs/>
                <w:color w:val="000000" w:themeColor="text1"/>
                <w:kern w:val="24"/>
                <w:szCs w:val="22"/>
              </w:rPr>
              <w:t xml:space="preserve"> DET’s</w:t>
            </w:r>
            <w:r w:rsidR="000C2A2D" w:rsidRPr="00C35AB6">
              <w:rPr>
                <w:rFonts w:cstheme="minorHAnsi"/>
                <w:b w:val="0"/>
                <w:bCs/>
                <w:color w:val="000000" w:themeColor="text1"/>
                <w:kern w:val="24"/>
                <w:szCs w:val="22"/>
              </w:rPr>
              <w:t xml:space="preserve"> school reform showed a very strong relationship between staffs’ perceptions of Academic emphasis to NAPLAN performance</w:t>
            </w:r>
            <w:r w:rsidR="000C2A2D">
              <w:rPr>
                <w:rFonts w:cstheme="minorHAnsi"/>
                <w:b w:val="0"/>
                <w:bCs/>
                <w:color w:val="000000" w:themeColor="text1"/>
                <w:kern w:val="24"/>
                <w:szCs w:val="22"/>
              </w:rPr>
              <w:t>.</w:t>
            </w:r>
          </w:p>
        </w:tc>
        <w:tc>
          <w:tcPr>
            <w:tcW w:w="1260" w:type="dxa"/>
          </w:tcPr>
          <w:p w14:paraId="5DFE0D38" w14:textId="713E65EA"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lastRenderedPageBreak/>
              <w:t>Strong</w:t>
            </w:r>
          </w:p>
        </w:tc>
      </w:tr>
      <w:tr w:rsidR="00B06E1E" w14:paraId="492B1C6F" w14:textId="77777777" w:rsidTr="00DD04B4">
        <w:tc>
          <w:tcPr>
            <w:cnfStyle w:val="001000000000" w:firstRow="0" w:lastRow="0" w:firstColumn="1" w:lastColumn="0" w:oddVBand="0" w:evenVBand="0" w:oddHBand="0" w:evenHBand="0" w:firstRowFirstColumn="0" w:firstRowLastColumn="0" w:lastRowFirstColumn="0" w:lastRowLastColumn="0"/>
            <w:tcW w:w="1671" w:type="dxa"/>
          </w:tcPr>
          <w:p w14:paraId="7F7DB665" w14:textId="01D8BDF2" w:rsidR="000C2A2D" w:rsidRPr="008F0DDA" w:rsidRDefault="000C2A2D" w:rsidP="000C2A2D">
            <w:pPr>
              <w:pStyle w:val="TableHead"/>
              <w:rPr>
                <w:rFonts w:ascii="Arial" w:eastAsia="Arial" w:hAnsi="Arial" w:cs="Times New Roman"/>
                <w:bCs/>
                <w:color w:val="00B0A7"/>
                <w:kern w:val="24"/>
                <w:szCs w:val="22"/>
                <w:lang w:eastAsia="en-AU"/>
              </w:rPr>
            </w:pPr>
            <w:r w:rsidRPr="008F0DDA">
              <w:rPr>
                <w:rFonts w:ascii="Arial" w:eastAsia="Arial" w:hAnsi="Arial" w:cs="Times New Roman"/>
                <w:bCs/>
                <w:color w:val="00B0A7"/>
                <w:kern w:val="24"/>
                <w:szCs w:val="22"/>
                <w:lang w:eastAsia="en-AU"/>
              </w:rPr>
              <w:t>Teaching and learning</w:t>
            </w:r>
          </w:p>
        </w:tc>
        <w:tc>
          <w:tcPr>
            <w:tcW w:w="1474" w:type="dxa"/>
          </w:tcPr>
          <w:p w14:paraId="14CB2D1E" w14:textId="6300369F"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Guaranteed and viable curriculum (secondary</w:t>
            </w:r>
            <w:r w:rsidR="00853B7D">
              <w:rPr>
                <w:rFonts w:cstheme="minorHAnsi"/>
                <w:b w:val="0"/>
                <w:bCs/>
                <w:color w:val="000000" w:themeColor="text1"/>
                <w:kern w:val="24"/>
                <w:szCs w:val="22"/>
              </w:rPr>
              <w:t xml:space="preserve"> schools only</w:t>
            </w:r>
            <w:r w:rsidRPr="00C35AB6">
              <w:rPr>
                <w:rFonts w:cstheme="minorHAnsi"/>
                <w:b w:val="0"/>
                <w:bCs/>
                <w:color w:val="000000" w:themeColor="text1"/>
                <w:kern w:val="24"/>
                <w:szCs w:val="22"/>
              </w:rPr>
              <w:t>) – (SSS)</w:t>
            </w:r>
          </w:p>
        </w:tc>
        <w:tc>
          <w:tcPr>
            <w:tcW w:w="5220" w:type="dxa"/>
          </w:tcPr>
          <w:p w14:paraId="34ECA6DE" w14:textId="68E648E7" w:rsidR="00E2427C" w:rsidRPr="00E2427C" w:rsidRDefault="00E2427C"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Pr>
                <w:b w:val="0"/>
                <w:bCs/>
                <w:color w:val="auto"/>
                <w:szCs w:val="22"/>
              </w:rPr>
              <w:t>Guaranteed and viable curriculum describes t</w:t>
            </w:r>
            <w:r w:rsidRPr="00E2427C">
              <w:rPr>
                <w:b w:val="0"/>
                <w:bCs/>
                <w:color w:val="auto"/>
                <w:szCs w:val="22"/>
              </w:rPr>
              <w:t>he degree to which the curriculum is coherent across year levels and is delivered adequately in the time allotted.</w:t>
            </w:r>
          </w:p>
          <w:p w14:paraId="518E8514" w14:textId="5B0DDAB7" w:rsidR="000C2A2D" w:rsidRPr="00C35AB6" w:rsidRDefault="00E2427C"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Pr>
                <w:rFonts w:cstheme="minorHAnsi"/>
                <w:b w:val="0"/>
                <w:bCs/>
                <w:color w:val="000000" w:themeColor="text1"/>
                <w:kern w:val="24"/>
                <w:szCs w:val="22"/>
              </w:rPr>
              <w:t>A s</w:t>
            </w:r>
            <w:r w:rsidR="000C2A2D" w:rsidRPr="00C35AB6">
              <w:rPr>
                <w:rFonts w:cstheme="minorHAnsi"/>
                <w:b w:val="0"/>
                <w:bCs/>
                <w:color w:val="000000" w:themeColor="text1"/>
                <w:kern w:val="24"/>
                <w:szCs w:val="22"/>
              </w:rPr>
              <w:t>trategic evaluation of</w:t>
            </w:r>
            <w:r>
              <w:rPr>
                <w:rFonts w:cstheme="minorHAnsi"/>
                <w:b w:val="0"/>
                <w:bCs/>
                <w:color w:val="000000" w:themeColor="text1"/>
                <w:kern w:val="24"/>
                <w:szCs w:val="22"/>
              </w:rPr>
              <w:t xml:space="preserve"> DET’s</w:t>
            </w:r>
            <w:r w:rsidR="000C2A2D" w:rsidRPr="00C35AB6">
              <w:rPr>
                <w:rFonts w:cstheme="minorHAnsi"/>
                <w:b w:val="0"/>
                <w:bCs/>
                <w:color w:val="000000" w:themeColor="text1"/>
                <w:kern w:val="24"/>
                <w:szCs w:val="22"/>
              </w:rPr>
              <w:t xml:space="preserve"> school reform showed moderate correlation with overall school performance</w:t>
            </w:r>
            <w:r w:rsidR="00853B7D">
              <w:rPr>
                <w:rFonts w:cstheme="minorHAnsi"/>
                <w:b w:val="0"/>
                <w:bCs/>
                <w:color w:val="000000" w:themeColor="text1"/>
                <w:kern w:val="24"/>
                <w:szCs w:val="22"/>
              </w:rPr>
              <w:t xml:space="preserve">. Correlation is higher for </w:t>
            </w:r>
            <w:r w:rsidR="000C2A2D" w:rsidRPr="00C35AB6">
              <w:rPr>
                <w:rFonts w:cstheme="minorHAnsi"/>
                <w:b w:val="0"/>
                <w:bCs/>
                <w:color w:val="000000" w:themeColor="text1"/>
                <w:kern w:val="24"/>
                <w:szCs w:val="22"/>
              </w:rPr>
              <w:t>secondary schools than primary schools</w:t>
            </w:r>
            <w:r w:rsidR="000C2A2D">
              <w:rPr>
                <w:rFonts w:cstheme="minorHAnsi"/>
                <w:b w:val="0"/>
                <w:bCs/>
                <w:color w:val="000000" w:themeColor="text1"/>
                <w:kern w:val="24"/>
                <w:szCs w:val="22"/>
              </w:rPr>
              <w:t>.</w:t>
            </w:r>
          </w:p>
        </w:tc>
        <w:tc>
          <w:tcPr>
            <w:tcW w:w="1260" w:type="dxa"/>
          </w:tcPr>
          <w:p w14:paraId="63943E69" w14:textId="6C032556"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Good</w:t>
            </w:r>
          </w:p>
        </w:tc>
      </w:tr>
      <w:tr w:rsidR="00B06E1E" w14:paraId="2A71D98E" w14:textId="77777777" w:rsidTr="00DD04B4">
        <w:tc>
          <w:tcPr>
            <w:cnfStyle w:val="001000000000" w:firstRow="0" w:lastRow="0" w:firstColumn="1" w:lastColumn="0" w:oddVBand="0" w:evenVBand="0" w:oddHBand="0" w:evenHBand="0" w:firstRowFirstColumn="0" w:firstRowLastColumn="0" w:lastRowFirstColumn="0" w:lastRowLastColumn="0"/>
            <w:tcW w:w="1671" w:type="dxa"/>
          </w:tcPr>
          <w:p w14:paraId="76853E7A" w14:textId="4FBC3A25" w:rsidR="000C2A2D" w:rsidRPr="00C977B9" w:rsidRDefault="000C2A2D" w:rsidP="00C977B9">
            <w:pPr>
              <w:rPr>
                <w:rFonts w:ascii="Arial" w:eastAsia="Arial" w:hAnsi="Arial" w:cs="Times New Roman"/>
                <w:b/>
                <w:bCs/>
                <w:color w:val="DC2C55"/>
                <w:kern w:val="24"/>
                <w:szCs w:val="22"/>
                <w:lang w:val="en-AU" w:eastAsia="en-AU"/>
              </w:rPr>
            </w:pPr>
            <w:r w:rsidRPr="00C977B9">
              <w:rPr>
                <w:rFonts w:ascii="Arial" w:eastAsia="Arial" w:hAnsi="Arial" w:cs="Times New Roman"/>
                <w:b/>
                <w:bCs/>
                <w:color w:val="DC2C55"/>
                <w:kern w:val="24"/>
                <w:szCs w:val="22"/>
                <w:lang w:val="en-AU" w:eastAsia="en-AU"/>
              </w:rPr>
              <w:t>Engagement</w:t>
            </w:r>
          </w:p>
        </w:tc>
        <w:tc>
          <w:tcPr>
            <w:tcW w:w="1474" w:type="dxa"/>
          </w:tcPr>
          <w:p w14:paraId="70BAD8B6" w14:textId="030F787C"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Attitudes to attendance (</w:t>
            </w:r>
            <w:r>
              <w:rPr>
                <w:rFonts w:cstheme="minorHAnsi"/>
                <w:b w:val="0"/>
                <w:bCs/>
                <w:color w:val="000000" w:themeColor="text1"/>
                <w:kern w:val="24"/>
                <w:szCs w:val="22"/>
              </w:rPr>
              <w:t>AtoSS</w:t>
            </w:r>
            <w:r w:rsidRPr="00C35AB6">
              <w:rPr>
                <w:rFonts w:cstheme="minorHAnsi"/>
                <w:b w:val="0"/>
                <w:bCs/>
                <w:color w:val="000000" w:themeColor="text1"/>
                <w:kern w:val="24"/>
                <w:szCs w:val="22"/>
              </w:rPr>
              <w:t>)</w:t>
            </w:r>
          </w:p>
        </w:tc>
        <w:tc>
          <w:tcPr>
            <w:tcW w:w="5220" w:type="dxa"/>
          </w:tcPr>
          <w:p w14:paraId="4B18AAD6" w14:textId="47EC3971" w:rsidR="000C2A2D" w:rsidRPr="00C35AB6" w:rsidRDefault="00433E3B" w:rsidP="00433E3B">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Pr>
                <w:b w:val="0"/>
                <w:bCs/>
                <w:color w:val="auto"/>
                <w:szCs w:val="22"/>
              </w:rPr>
              <w:t>Attitudes to attendance describes s</w:t>
            </w:r>
            <w:r w:rsidRPr="00433E3B">
              <w:rPr>
                <w:b w:val="0"/>
                <w:bCs/>
                <w:color w:val="auto"/>
                <w:szCs w:val="22"/>
              </w:rPr>
              <w:t>tudents</w:t>
            </w:r>
            <w:r>
              <w:rPr>
                <w:b w:val="0"/>
                <w:bCs/>
                <w:color w:val="auto"/>
                <w:szCs w:val="22"/>
              </w:rPr>
              <w:t>’</w:t>
            </w:r>
            <w:r w:rsidRPr="00433E3B">
              <w:rPr>
                <w:b w:val="0"/>
                <w:bCs/>
                <w:color w:val="auto"/>
                <w:szCs w:val="22"/>
              </w:rPr>
              <w:t xml:space="preserve"> attitude towards absenteeism</w:t>
            </w:r>
            <w:r>
              <w:rPr>
                <w:b w:val="0"/>
                <w:bCs/>
                <w:color w:val="auto"/>
                <w:szCs w:val="22"/>
              </w:rPr>
              <w:t xml:space="preserve">. </w:t>
            </w:r>
            <w:r w:rsidR="000C2A2D" w:rsidRPr="00C35AB6">
              <w:rPr>
                <w:rFonts w:cstheme="minorHAnsi"/>
                <w:b w:val="0"/>
                <w:bCs/>
                <w:color w:val="000000" w:themeColor="text1"/>
                <w:kern w:val="24"/>
                <w:szCs w:val="22"/>
              </w:rPr>
              <w:t xml:space="preserve">DET analysis from Victorian Government schools shows attitudes to attendance is </w:t>
            </w:r>
            <w:r>
              <w:rPr>
                <w:rFonts w:cstheme="minorHAnsi"/>
                <w:b w:val="0"/>
                <w:bCs/>
                <w:color w:val="000000" w:themeColor="text1"/>
                <w:kern w:val="24"/>
                <w:szCs w:val="22"/>
              </w:rPr>
              <w:t xml:space="preserve">highly </w:t>
            </w:r>
            <w:r w:rsidRPr="00C35AB6">
              <w:rPr>
                <w:rFonts w:cstheme="minorHAnsi"/>
                <w:b w:val="0"/>
                <w:bCs/>
                <w:color w:val="000000" w:themeColor="text1"/>
                <w:kern w:val="24"/>
                <w:szCs w:val="22"/>
              </w:rPr>
              <w:t>predictive of a student’s attendance patterns</w:t>
            </w:r>
            <w:r>
              <w:rPr>
                <w:rFonts w:cstheme="minorHAnsi"/>
                <w:b w:val="0"/>
                <w:bCs/>
                <w:color w:val="000000" w:themeColor="text1"/>
                <w:kern w:val="24"/>
                <w:szCs w:val="22"/>
              </w:rPr>
              <w:t xml:space="preserve"> and s</w:t>
            </w:r>
            <w:r w:rsidR="000C2A2D" w:rsidRPr="00C35AB6">
              <w:rPr>
                <w:rFonts w:cstheme="minorHAnsi"/>
                <w:b w:val="0"/>
                <w:bCs/>
                <w:color w:val="000000" w:themeColor="text1"/>
                <w:kern w:val="24"/>
                <w:szCs w:val="22"/>
              </w:rPr>
              <w:t>ignificantly correlated to NAPLAN performance</w:t>
            </w:r>
            <w:r w:rsidR="000C2A2D">
              <w:rPr>
                <w:rFonts w:cstheme="minorHAnsi"/>
                <w:b w:val="0"/>
                <w:bCs/>
                <w:color w:val="000000" w:themeColor="text1"/>
                <w:kern w:val="24"/>
                <w:szCs w:val="22"/>
              </w:rPr>
              <w:t>.</w:t>
            </w:r>
          </w:p>
        </w:tc>
        <w:tc>
          <w:tcPr>
            <w:tcW w:w="1260" w:type="dxa"/>
          </w:tcPr>
          <w:p w14:paraId="0C5EC32A" w14:textId="7327FAA8"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Strong</w:t>
            </w:r>
          </w:p>
        </w:tc>
      </w:tr>
      <w:tr w:rsidR="00B06E1E" w14:paraId="7B790DB7" w14:textId="77777777" w:rsidTr="00DD04B4">
        <w:tc>
          <w:tcPr>
            <w:cnfStyle w:val="001000000000" w:firstRow="0" w:lastRow="0" w:firstColumn="1" w:lastColumn="0" w:oddVBand="0" w:evenVBand="0" w:oddHBand="0" w:evenHBand="0" w:firstRowFirstColumn="0" w:firstRowLastColumn="0" w:lastRowFirstColumn="0" w:lastRowLastColumn="0"/>
            <w:tcW w:w="1671" w:type="dxa"/>
          </w:tcPr>
          <w:p w14:paraId="2FDC3848" w14:textId="5FC7EA3E" w:rsidR="000C2A2D" w:rsidRPr="00C977B9" w:rsidRDefault="000C2A2D" w:rsidP="00C977B9">
            <w:pPr>
              <w:rPr>
                <w:rFonts w:ascii="Arial" w:eastAsia="Arial" w:hAnsi="Arial" w:cs="Times New Roman"/>
                <w:b/>
                <w:bCs/>
                <w:color w:val="DC2C55"/>
                <w:kern w:val="24"/>
                <w:szCs w:val="22"/>
                <w:lang w:val="en-AU" w:eastAsia="en-AU"/>
              </w:rPr>
            </w:pPr>
            <w:r w:rsidRPr="00C977B9">
              <w:rPr>
                <w:rFonts w:ascii="Arial" w:eastAsia="Arial" w:hAnsi="Arial" w:cs="Times New Roman"/>
                <w:b/>
                <w:bCs/>
                <w:color w:val="DC2C55"/>
                <w:kern w:val="24"/>
                <w:szCs w:val="22"/>
                <w:lang w:val="en-AU" w:eastAsia="en-AU"/>
              </w:rPr>
              <w:t>Engagement</w:t>
            </w:r>
          </w:p>
        </w:tc>
        <w:tc>
          <w:tcPr>
            <w:tcW w:w="1474" w:type="dxa"/>
          </w:tcPr>
          <w:p w14:paraId="2E67EF7C" w14:textId="6F7A298E"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Proportion of students with less than 20 absent days (Panorama)</w:t>
            </w:r>
          </w:p>
        </w:tc>
        <w:tc>
          <w:tcPr>
            <w:tcW w:w="5220" w:type="dxa"/>
          </w:tcPr>
          <w:p w14:paraId="44A3F005" w14:textId="603BCCE0" w:rsidR="009E5C7C" w:rsidRDefault="009E5C7C"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Regular school attendance is associated with the development of social skills including making friends, teamwork, communication skills and self-esteem, as well as many abilities necessary to become productive and responsible adults</w:t>
            </w:r>
            <w:r>
              <w:rPr>
                <w:rFonts w:cstheme="minorHAnsi"/>
                <w:b w:val="0"/>
                <w:bCs/>
                <w:color w:val="000000" w:themeColor="text1"/>
                <w:kern w:val="24"/>
                <w:szCs w:val="22"/>
              </w:rPr>
              <w:t>.</w:t>
            </w:r>
            <w:r w:rsidRPr="00C35AB6">
              <w:rPr>
                <w:rFonts w:cstheme="minorHAnsi"/>
                <w:b w:val="0"/>
                <w:bCs/>
                <w:color w:val="000000" w:themeColor="text1"/>
                <w:kern w:val="24"/>
                <w:szCs w:val="22"/>
              </w:rPr>
              <w:t xml:space="preserve"> (Australian Institute of Health and Welfare, 2012; Keating &amp; Hertzman, 1999; Zubrick, et al., 2006).</w:t>
            </w:r>
          </w:p>
          <w:p w14:paraId="645B2CE7" w14:textId="7FB1DCE5" w:rsidR="000C2A2D" w:rsidRPr="00C35AB6" w:rsidRDefault="000C2A2D" w:rsidP="009E5C7C">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 xml:space="preserve">DET analysis found students with </w:t>
            </w:r>
            <w:r w:rsidR="009E5C7C">
              <w:rPr>
                <w:rFonts w:cstheme="minorHAnsi"/>
                <w:b w:val="0"/>
                <w:bCs/>
                <w:color w:val="000000" w:themeColor="text1"/>
                <w:kern w:val="24"/>
                <w:szCs w:val="22"/>
              </w:rPr>
              <w:t>high</w:t>
            </w:r>
            <w:r w:rsidRPr="00C35AB6">
              <w:rPr>
                <w:rFonts w:cstheme="minorHAnsi"/>
                <w:b w:val="0"/>
                <w:bCs/>
                <w:color w:val="000000" w:themeColor="text1"/>
                <w:kern w:val="24"/>
                <w:szCs w:val="22"/>
              </w:rPr>
              <w:t xml:space="preserve"> absence have poorer academic performance in NAPLAN and teacher judgements. </w:t>
            </w:r>
            <w:r w:rsidR="009E5C7C">
              <w:rPr>
                <w:rFonts w:cstheme="minorHAnsi"/>
                <w:b w:val="0"/>
                <w:bCs/>
                <w:color w:val="000000" w:themeColor="text1"/>
                <w:kern w:val="24"/>
                <w:szCs w:val="22"/>
              </w:rPr>
              <w:t>A</w:t>
            </w:r>
            <w:r w:rsidRPr="00C35AB6">
              <w:rPr>
                <w:rFonts w:cstheme="minorHAnsi"/>
                <w:b w:val="0"/>
                <w:bCs/>
                <w:color w:val="000000" w:themeColor="text1"/>
                <w:kern w:val="24"/>
                <w:szCs w:val="22"/>
              </w:rPr>
              <w:t>bsence</w:t>
            </w:r>
            <w:r w:rsidR="009E5C7C">
              <w:rPr>
                <w:rFonts w:cstheme="minorHAnsi"/>
                <w:b w:val="0"/>
                <w:bCs/>
                <w:color w:val="000000" w:themeColor="text1"/>
                <w:kern w:val="24"/>
                <w:szCs w:val="22"/>
              </w:rPr>
              <w:t xml:space="preserve"> rates</w:t>
            </w:r>
            <w:r w:rsidRPr="00C35AB6">
              <w:rPr>
                <w:rFonts w:cstheme="minorHAnsi"/>
                <w:b w:val="0"/>
                <w:bCs/>
                <w:color w:val="000000" w:themeColor="text1"/>
                <w:kern w:val="24"/>
                <w:szCs w:val="22"/>
              </w:rPr>
              <w:t xml:space="preserve"> </w:t>
            </w:r>
            <w:r w:rsidR="009E5C7C">
              <w:rPr>
                <w:rFonts w:cstheme="minorHAnsi"/>
                <w:b w:val="0"/>
                <w:bCs/>
                <w:color w:val="000000" w:themeColor="text1"/>
                <w:kern w:val="24"/>
                <w:szCs w:val="22"/>
              </w:rPr>
              <w:t>are</w:t>
            </w:r>
            <w:r w:rsidRPr="00C35AB6">
              <w:rPr>
                <w:rFonts w:cstheme="minorHAnsi"/>
                <w:b w:val="0"/>
                <w:bCs/>
                <w:color w:val="000000" w:themeColor="text1"/>
                <w:kern w:val="24"/>
                <w:szCs w:val="22"/>
              </w:rPr>
              <w:t xml:space="preserve"> also a very strong predictor for students disengaging from education. </w:t>
            </w:r>
          </w:p>
        </w:tc>
        <w:tc>
          <w:tcPr>
            <w:tcW w:w="1260" w:type="dxa"/>
          </w:tcPr>
          <w:p w14:paraId="18D6975A" w14:textId="21818158"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Strong</w:t>
            </w:r>
          </w:p>
        </w:tc>
      </w:tr>
      <w:tr w:rsidR="00B06E1E" w14:paraId="056B1477" w14:textId="77777777" w:rsidTr="00DD04B4">
        <w:tc>
          <w:tcPr>
            <w:cnfStyle w:val="001000000000" w:firstRow="0" w:lastRow="0" w:firstColumn="1" w:lastColumn="0" w:oddVBand="0" w:evenVBand="0" w:oddHBand="0" w:evenHBand="0" w:firstRowFirstColumn="0" w:firstRowLastColumn="0" w:lastRowFirstColumn="0" w:lastRowLastColumn="0"/>
            <w:tcW w:w="1671" w:type="dxa"/>
          </w:tcPr>
          <w:p w14:paraId="6065C951" w14:textId="004BC120" w:rsidR="000C2A2D" w:rsidRPr="00C977B9" w:rsidRDefault="000C2A2D" w:rsidP="00C977B9">
            <w:pPr>
              <w:rPr>
                <w:rFonts w:ascii="Arial" w:eastAsia="Arial" w:hAnsi="Arial" w:cs="Times New Roman"/>
                <w:b/>
                <w:bCs/>
                <w:color w:val="DC2C55"/>
                <w:kern w:val="24"/>
                <w:szCs w:val="22"/>
                <w:lang w:val="en-AU" w:eastAsia="en-AU"/>
              </w:rPr>
            </w:pPr>
            <w:r w:rsidRPr="00C977B9">
              <w:rPr>
                <w:rFonts w:ascii="Arial" w:eastAsia="Arial" w:hAnsi="Arial" w:cs="Times New Roman"/>
                <w:b/>
                <w:bCs/>
                <w:color w:val="DC2C55"/>
                <w:kern w:val="24"/>
                <w:szCs w:val="22"/>
                <w:lang w:val="en-AU" w:eastAsia="en-AU"/>
              </w:rPr>
              <w:t>Engagement</w:t>
            </w:r>
          </w:p>
        </w:tc>
        <w:tc>
          <w:tcPr>
            <w:tcW w:w="1474" w:type="dxa"/>
          </w:tcPr>
          <w:p w14:paraId="3BE91EE3" w14:textId="753C85EB"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Sense of confidence (</w:t>
            </w:r>
            <w:r>
              <w:rPr>
                <w:rFonts w:cstheme="minorHAnsi"/>
                <w:b w:val="0"/>
                <w:bCs/>
                <w:color w:val="000000" w:themeColor="text1"/>
                <w:kern w:val="24"/>
                <w:szCs w:val="22"/>
              </w:rPr>
              <w:t>AtoSS</w:t>
            </w:r>
            <w:r w:rsidRPr="00C35AB6">
              <w:rPr>
                <w:rFonts w:cstheme="minorHAnsi"/>
                <w:b w:val="0"/>
                <w:bCs/>
                <w:color w:val="000000" w:themeColor="text1"/>
                <w:kern w:val="24"/>
                <w:szCs w:val="22"/>
              </w:rPr>
              <w:t>)</w:t>
            </w:r>
          </w:p>
        </w:tc>
        <w:tc>
          <w:tcPr>
            <w:tcW w:w="5220" w:type="dxa"/>
          </w:tcPr>
          <w:p w14:paraId="7952CAF8" w14:textId="369176B6" w:rsidR="000C2A2D" w:rsidRPr="009E5C7C" w:rsidRDefault="009E5C7C"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auto"/>
                <w:kern w:val="24"/>
                <w:szCs w:val="22"/>
              </w:rPr>
            </w:pPr>
            <w:r>
              <w:rPr>
                <w:b w:val="0"/>
                <w:bCs/>
                <w:color w:val="auto"/>
                <w:szCs w:val="22"/>
              </w:rPr>
              <w:t>Sense of confidence describes s</w:t>
            </w:r>
            <w:r w:rsidRPr="009E5C7C">
              <w:rPr>
                <w:b w:val="0"/>
                <w:bCs/>
                <w:color w:val="auto"/>
                <w:szCs w:val="22"/>
              </w:rPr>
              <w:t>tudents</w:t>
            </w:r>
            <w:r>
              <w:rPr>
                <w:b w:val="0"/>
                <w:bCs/>
                <w:color w:val="auto"/>
                <w:szCs w:val="22"/>
              </w:rPr>
              <w:t>’ degree of</w:t>
            </w:r>
            <w:r w:rsidRPr="009E5C7C">
              <w:rPr>
                <w:b w:val="0"/>
                <w:bCs/>
                <w:color w:val="auto"/>
                <w:szCs w:val="22"/>
              </w:rPr>
              <w:t xml:space="preserve"> confiden</w:t>
            </w:r>
            <w:r>
              <w:rPr>
                <w:b w:val="0"/>
                <w:bCs/>
                <w:color w:val="auto"/>
                <w:szCs w:val="22"/>
              </w:rPr>
              <w:t>ce</w:t>
            </w:r>
            <w:r w:rsidRPr="009E5C7C">
              <w:rPr>
                <w:b w:val="0"/>
                <w:bCs/>
                <w:color w:val="auto"/>
                <w:szCs w:val="22"/>
              </w:rPr>
              <w:t xml:space="preserve"> in their ability to learn.</w:t>
            </w:r>
            <w:r>
              <w:rPr>
                <w:b w:val="0"/>
                <w:bCs/>
                <w:color w:val="auto"/>
                <w:szCs w:val="22"/>
              </w:rPr>
              <w:t xml:space="preserve"> </w:t>
            </w:r>
            <w:r w:rsidR="000C2A2D" w:rsidRPr="00C35AB6">
              <w:rPr>
                <w:rFonts w:cstheme="minorHAnsi"/>
                <w:b w:val="0"/>
                <w:bCs/>
                <w:color w:val="000000" w:themeColor="text1"/>
                <w:kern w:val="24"/>
                <w:szCs w:val="22"/>
              </w:rPr>
              <w:t xml:space="preserve">Sense of confidence is most aligned with the </w:t>
            </w:r>
            <w:r w:rsidR="00B06E1E">
              <w:rPr>
                <w:rFonts w:cstheme="minorHAnsi"/>
                <w:b w:val="0"/>
                <w:bCs/>
                <w:color w:val="000000" w:themeColor="text1"/>
                <w:kern w:val="24"/>
                <w:szCs w:val="22"/>
              </w:rPr>
              <w:t xml:space="preserve">Victorian Student Health and Wellbeing Survey </w:t>
            </w:r>
            <w:r w:rsidR="000C2A2D" w:rsidRPr="00C35AB6">
              <w:rPr>
                <w:rFonts w:cstheme="minorHAnsi"/>
                <w:b w:val="0"/>
                <w:bCs/>
                <w:color w:val="000000" w:themeColor="text1"/>
                <w:kern w:val="24"/>
                <w:szCs w:val="22"/>
              </w:rPr>
              <w:t>factor Perceived good academic performance, which</w:t>
            </w:r>
            <w:r>
              <w:rPr>
                <w:rFonts w:cstheme="minorHAnsi"/>
                <w:b w:val="0"/>
                <w:bCs/>
                <w:color w:val="000000" w:themeColor="text1"/>
                <w:kern w:val="24"/>
                <w:szCs w:val="22"/>
              </w:rPr>
              <w:t xml:space="preserve"> DET </w:t>
            </w:r>
            <w:r w:rsidR="000C2A2D" w:rsidRPr="00C35AB6">
              <w:rPr>
                <w:rFonts w:cstheme="minorHAnsi"/>
                <w:b w:val="0"/>
                <w:bCs/>
                <w:color w:val="000000" w:themeColor="text1"/>
                <w:kern w:val="24"/>
                <w:szCs w:val="22"/>
              </w:rPr>
              <w:t xml:space="preserve">regression analysis </w:t>
            </w:r>
            <w:r>
              <w:rPr>
                <w:rFonts w:cstheme="minorHAnsi"/>
                <w:b w:val="0"/>
                <w:bCs/>
                <w:color w:val="000000" w:themeColor="text1"/>
                <w:kern w:val="24"/>
                <w:szCs w:val="22"/>
              </w:rPr>
              <w:t>reveal</w:t>
            </w:r>
            <w:r w:rsidR="000C2A2D" w:rsidRPr="00C35AB6">
              <w:rPr>
                <w:rFonts w:cstheme="minorHAnsi"/>
                <w:b w:val="0"/>
                <w:bCs/>
                <w:color w:val="000000" w:themeColor="text1"/>
                <w:kern w:val="24"/>
                <w:szCs w:val="22"/>
              </w:rPr>
              <w:t xml:space="preserve">ed is a statistically significant predictor for high levels of resilience. </w:t>
            </w:r>
          </w:p>
        </w:tc>
        <w:tc>
          <w:tcPr>
            <w:tcW w:w="1260" w:type="dxa"/>
          </w:tcPr>
          <w:p w14:paraId="78418A7F" w14:textId="44B49BB6"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Strong</w:t>
            </w:r>
          </w:p>
        </w:tc>
      </w:tr>
      <w:tr w:rsidR="00B06E1E" w14:paraId="0E63D472" w14:textId="77777777" w:rsidTr="00DD04B4">
        <w:tc>
          <w:tcPr>
            <w:cnfStyle w:val="001000000000" w:firstRow="0" w:lastRow="0" w:firstColumn="1" w:lastColumn="0" w:oddVBand="0" w:evenVBand="0" w:oddHBand="0" w:evenHBand="0" w:firstRowFirstColumn="0" w:firstRowLastColumn="0" w:lastRowFirstColumn="0" w:lastRowLastColumn="0"/>
            <w:tcW w:w="1671" w:type="dxa"/>
          </w:tcPr>
          <w:p w14:paraId="41556604" w14:textId="5FC65BB3" w:rsidR="000C2A2D" w:rsidRPr="00C977B9" w:rsidRDefault="000C2A2D" w:rsidP="00C977B9">
            <w:pPr>
              <w:rPr>
                <w:rFonts w:ascii="Arial" w:eastAsia="Arial" w:hAnsi="Arial" w:cs="Times New Roman"/>
                <w:b/>
                <w:bCs/>
                <w:color w:val="DC2C55"/>
                <w:kern w:val="24"/>
                <w:szCs w:val="22"/>
                <w:lang w:val="en-AU" w:eastAsia="en-AU"/>
              </w:rPr>
            </w:pPr>
            <w:r w:rsidRPr="00C977B9">
              <w:rPr>
                <w:rFonts w:ascii="Arial" w:eastAsia="Arial" w:hAnsi="Arial" w:cs="Times New Roman"/>
                <w:b/>
                <w:bCs/>
                <w:color w:val="DC2C55"/>
                <w:kern w:val="24"/>
                <w:szCs w:val="22"/>
                <w:lang w:val="en-AU" w:eastAsia="en-AU"/>
              </w:rPr>
              <w:t>Engagement</w:t>
            </w:r>
          </w:p>
        </w:tc>
        <w:tc>
          <w:tcPr>
            <w:tcW w:w="1474" w:type="dxa"/>
          </w:tcPr>
          <w:p w14:paraId="043790F5" w14:textId="57B8BFE9"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Student voice and agency (</w:t>
            </w:r>
            <w:r>
              <w:rPr>
                <w:rFonts w:cstheme="minorHAnsi"/>
                <w:b w:val="0"/>
                <w:bCs/>
                <w:color w:val="000000" w:themeColor="text1"/>
                <w:kern w:val="24"/>
                <w:szCs w:val="22"/>
              </w:rPr>
              <w:t>AtoSS</w:t>
            </w:r>
            <w:r w:rsidRPr="00C35AB6">
              <w:rPr>
                <w:rFonts w:cstheme="minorHAnsi"/>
                <w:b w:val="0"/>
                <w:bCs/>
                <w:color w:val="000000" w:themeColor="text1"/>
                <w:kern w:val="24"/>
                <w:szCs w:val="22"/>
              </w:rPr>
              <w:t>)</w:t>
            </w:r>
          </w:p>
        </w:tc>
        <w:tc>
          <w:tcPr>
            <w:tcW w:w="5220" w:type="dxa"/>
          </w:tcPr>
          <w:p w14:paraId="1548C1AC" w14:textId="16C66D3A" w:rsidR="00B8728C" w:rsidRDefault="00CC378A" w:rsidP="00CC378A">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Pr>
                <w:rFonts w:cstheme="minorHAnsi"/>
                <w:b w:val="0"/>
                <w:bCs/>
                <w:color w:val="000000" w:themeColor="text1"/>
                <w:kern w:val="24"/>
                <w:szCs w:val="22"/>
              </w:rPr>
              <w:t>S</w:t>
            </w:r>
            <w:r w:rsidR="00B8728C">
              <w:rPr>
                <w:rFonts w:cstheme="minorHAnsi"/>
                <w:b w:val="0"/>
                <w:bCs/>
                <w:color w:val="000000" w:themeColor="text1"/>
                <w:kern w:val="24"/>
                <w:szCs w:val="22"/>
              </w:rPr>
              <w:t>tudent voice and agency describes the degree to which students perceive they are heard and have a say at the school</w:t>
            </w:r>
            <w:r>
              <w:rPr>
                <w:rFonts w:cstheme="minorHAnsi"/>
                <w:b w:val="0"/>
                <w:bCs/>
                <w:color w:val="000000" w:themeColor="text1"/>
                <w:kern w:val="24"/>
                <w:szCs w:val="22"/>
              </w:rPr>
              <w:t>.</w:t>
            </w:r>
          </w:p>
          <w:p w14:paraId="62C0B0E3" w14:textId="2E977ADD"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lastRenderedPageBreak/>
              <w:t>Australian and international research reveals that Student voice and agency have a positive impact on engagement, purpose, and academic motivation, which contribute to improved student learning outcomes</w:t>
            </w:r>
            <w:r>
              <w:rPr>
                <w:rFonts w:cstheme="minorHAnsi"/>
                <w:b w:val="0"/>
                <w:bCs/>
                <w:color w:val="000000" w:themeColor="text1"/>
                <w:kern w:val="24"/>
                <w:szCs w:val="22"/>
              </w:rPr>
              <w:t>.</w:t>
            </w:r>
          </w:p>
        </w:tc>
        <w:tc>
          <w:tcPr>
            <w:tcW w:w="1260" w:type="dxa"/>
          </w:tcPr>
          <w:p w14:paraId="154EE2E9" w14:textId="51A141E2"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lastRenderedPageBreak/>
              <w:t xml:space="preserve">Good; minimal evidence </w:t>
            </w:r>
            <w:r w:rsidRPr="00C35AB6">
              <w:rPr>
                <w:rFonts w:cstheme="minorHAnsi"/>
                <w:b w:val="0"/>
                <w:bCs/>
                <w:color w:val="000000" w:themeColor="text1"/>
                <w:kern w:val="24"/>
                <w:szCs w:val="22"/>
              </w:rPr>
              <w:lastRenderedPageBreak/>
              <w:t>from DET data</w:t>
            </w:r>
          </w:p>
        </w:tc>
      </w:tr>
      <w:tr w:rsidR="00B06E1E" w14:paraId="44428F85" w14:textId="77777777" w:rsidTr="00DD04B4">
        <w:tc>
          <w:tcPr>
            <w:cnfStyle w:val="001000000000" w:firstRow="0" w:lastRow="0" w:firstColumn="1" w:lastColumn="0" w:oddVBand="0" w:evenVBand="0" w:oddHBand="0" w:evenHBand="0" w:firstRowFirstColumn="0" w:firstRowLastColumn="0" w:lastRowFirstColumn="0" w:lastRowLastColumn="0"/>
            <w:tcW w:w="1671" w:type="dxa"/>
          </w:tcPr>
          <w:p w14:paraId="49941DE6" w14:textId="77777777" w:rsidR="00C977B9" w:rsidRPr="0002115D" w:rsidRDefault="00C977B9" w:rsidP="00C977B9">
            <w:pPr>
              <w:rPr>
                <w:rFonts w:ascii="Arial" w:eastAsia="Times New Roman" w:hAnsi="Arial" w:cs="Arial"/>
                <w:sz w:val="36"/>
                <w:szCs w:val="36"/>
                <w:lang w:val="en-AU" w:eastAsia="en-AU"/>
              </w:rPr>
            </w:pPr>
            <w:r w:rsidRPr="0002115D">
              <w:rPr>
                <w:rFonts w:ascii="Arial" w:eastAsia="Arial" w:hAnsi="Arial" w:cs="Times New Roman"/>
                <w:b/>
                <w:bCs/>
                <w:color w:val="902AA4"/>
                <w:kern w:val="24"/>
                <w:szCs w:val="22"/>
                <w:lang w:val="en-AU" w:eastAsia="en-AU"/>
              </w:rPr>
              <w:lastRenderedPageBreak/>
              <w:t>Support</w:t>
            </w:r>
            <w:r>
              <w:rPr>
                <w:rFonts w:ascii="Arial" w:eastAsia="Arial" w:hAnsi="Arial" w:cs="Times New Roman"/>
                <w:b/>
                <w:bCs/>
                <w:color w:val="902AA4"/>
                <w:kern w:val="24"/>
                <w:szCs w:val="22"/>
                <w:lang w:val="en-AU" w:eastAsia="en-AU"/>
              </w:rPr>
              <w:t xml:space="preserve"> and resources</w:t>
            </w:r>
          </w:p>
          <w:p w14:paraId="55F4F856" w14:textId="4493780D" w:rsidR="000C2A2D" w:rsidRPr="00F348E4" w:rsidRDefault="000C2A2D" w:rsidP="00C977B9">
            <w:pPr>
              <w:pStyle w:val="TableHead"/>
              <w:rPr>
                <w:rFonts w:ascii="Arial" w:eastAsia="Arial" w:hAnsi="Arial" w:cs="Times New Roman"/>
                <w:b w:val="0"/>
                <w:bCs/>
                <w:color w:val="0063A5"/>
                <w:kern w:val="24"/>
                <w:szCs w:val="22"/>
                <w:lang w:eastAsia="en-AU"/>
              </w:rPr>
            </w:pPr>
          </w:p>
        </w:tc>
        <w:tc>
          <w:tcPr>
            <w:tcW w:w="1474" w:type="dxa"/>
          </w:tcPr>
          <w:p w14:paraId="31E7EDA9" w14:textId="11CF067B"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Advocate at school (</w:t>
            </w:r>
            <w:r>
              <w:rPr>
                <w:rFonts w:cstheme="minorHAnsi"/>
                <w:b w:val="0"/>
                <w:bCs/>
                <w:color w:val="000000" w:themeColor="text1"/>
                <w:kern w:val="24"/>
                <w:szCs w:val="22"/>
              </w:rPr>
              <w:t>AtoSS</w:t>
            </w:r>
            <w:r w:rsidRPr="00C35AB6">
              <w:rPr>
                <w:rFonts w:cstheme="minorHAnsi"/>
                <w:b w:val="0"/>
                <w:bCs/>
                <w:color w:val="000000" w:themeColor="text1"/>
                <w:kern w:val="24"/>
                <w:szCs w:val="22"/>
              </w:rPr>
              <w:t>)</w:t>
            </w:r>
          </w:p>
        </w:tc>
        <w:tc>
          <w:tcPr>
            <w:tcW w:w="5220" w:type="dxa"/>
          </w:tcPr>
          <w:p w14:paraId="4E384944" w14:textId="77777777"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 xml:space="preserve">Having a trusted adult or someone to turn to for advice in adolescence makes young people more resilient, dramatically reducing the impact of adverse life experiences on wellbeing (Bellis, et al., 2017). Advocate at school is most aligned with the VSHWS factor Trusted adult, which DET regression analysis using Data from Victorian Government schools showed is a statistically significant predictor for high levels of resilience. </w:t>
            </w:r>
          </w:p>
          <w:p w14:paraId="29952DE2" w14:textId="7D58C6CB"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 xml:space="preserve">Advocate at school is also one of six </w:t>
            </w:r>
            <w:r>
              <w:rPr>
                <w:rFonts w:cstheme="minorHAnsi"/>
                <w:b w:val="0"/>
                <w:bCs/>
                <w:color w:val="000000" w:themeColor="text1"/>
                <w:kern w:val="24"/>
                <w:szCs w:val="22"/>
              </w:rPr>
              <w:t>AtoSS</w:t>
            </w:r>
            <w:r w:rsidRPr="00C35AB6">
              <w:rPr>
                <w:rFonts w:cstheme="minorHAnsi"/>
                <w:b w:val="0"/>
                <w:bCs/>
                <w:color w:val="000000" w:themeColor="text1"/>
                <w:kern w:val="24"/>
                <w:szCs w:val="22"/>
              </w:rPr>
              <w:t xml:space="preserve"> survey factors that explains much of the common variance amongst students (Cain and Hattie, 2019)</w:t>
            </w:r>
            <w:r w:rsidR="00CC378A">
              <w:rPr>
                <w:rFonts w:cstheme="minorHAnsi"/>
                <w:b w:val="0"/>
                <w:bCs/>
                <w:color w:val="000000" w:themeColor="text1"/>
                <w:kern w:val="24"/>
                <w:szCs w:val="22"/>
              </w:rPr>
              <w:t>. This means it is a</w:t>
            </w:r>
            <w:r w:rsidR="00CC378A" w:rsidRPr="00C35AB6">
              <w:rPr>
                <w:rFonts w:cstheme="minorHAnsi"/>
                <w:b w:val="0"/>
                <w:bCs/>
                <w:color w:val="000000" w:themeColor="text1"/>
                <w:kern w:val="24"/>
                <w:szCs w:val="22"/>
              </w:rPr>
              <w:t xml:space="preserve"> robust and discrete measure.</w:t>
            </w:r>
          </w:p>
        </w:tc>
        <w:tc>
          <w:tcPr>
            <w:tcW w:w="1260" w:type="dxa"/>
          </w:tcPr>
          <w:p w14:paraId="5B0E0780" w14:textId="4D82B420"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Strong</w:t>
            </w:r>
          </w:p>
        </w:tc>
      </w:tr>
      <w:tr w:rsidR="00B06E1E" w14:paraId="5584B25B" w14:textId="77777777" w:rsidTr="00DD04B4">
        <w:tc>
          <w:tcPr>
            <w:cnfStyle w:val="001000000000" w:firstRow="0" w:lastRow="0" w:firstColumn="1" w:lastColumn="0" w:oddVBand="0" w:evenVBand="0" w:oddHBand="0" w:evenHBand="0" w:firstRowFirstColumn="0" w:firstRowLastColumn="0" w:lastRowFirstColumn="0" w:lastRowLastColumn="0"/>
            <w:tcW w:w="1671" w:type="dxa"/>
          </w:tcPr>
          <w:p w14:paraId="4F659BFE" w14:textId="77777777" w:rsidR="00C977B9" w:rsidRPr="0002115D" w:rsidRDefault="00C977B9" w:rsidP="00C977B9">
            <w:pPr>
              <w:rPr>
                <w:rFonts w:ascii="Arial" w:eastAsia="Times New Roman" w:hAnsi="Arial" w:cs="Arial"/>
                <w:sz w:val="36"/>
                <w:szCs w:val="36"/>
                <w:lang w:val="en-AU" w:eastAsia="en-AU"/>
              </w:rPr>
            </w:pPr>
            <w:r w:rsidRPr="0002115D">
              <w:rPr>
                <w:rFonts w:ascii="Arial" w:eastAsia="Arial" w:hAnsi="Arial" w:cs="Times New Roman"/>
                <w:b/>
                <w:bCs/>
                <w:color w:val="902AA4"/>
                <w:kern w:val="24"/>
                <w:szCs w:val="22"/>
                <w:lang w:val="en-AU" w:eastAsia="en-AU"/>
              </w:rPr>
              <w:t>Support</w:t>
            </w:r>
            <w:r>
              <w:rPr>
                <w:rFonts w:ascii="Arial" w:eastAsia="Arial" w:hAnsi="Arial" w:cs="Times New Roman"/>
                <w:b/>
                <w:bCs/>
                <w:color w:val="902AA4"/>
                <w:kern w:val="24"/>
                <w:szCs w:val="22"/>
                <w:lang w:val="en-AU" w:eastAsia="en-AU"/>
              </w:rPr>
              <w:t xml:space="preserve"> and resources</w:t>
            </w:r>
          </w:p>
          <w:p w14:paraId="3C27838E" w14:textId="317778E4" w:rsidR="000C2A2D" w:rsidRPr="00F348E4" w:rsidRDefault="000C2A2D" w:rsidP="00C977B9">
            <w:pPr>
              <w:pStyle w:val="TableHead"/>
              <w:rPr>
                <w:rFonts w:ascii="Arial" w:eastAsia="Arial" w:hAnsi="Arial" w:cs="Times New Roman"/>
                <w:b w:val="0"/>
                <w:bCs/>
                <w:color w:val="0063A5"/>
                <w:kern w:val="24"/>
                <w:szCs w:val="22"/>
                <w:lang w:eastAsia="en-AU"/>
              </w:rPr>
            </w:pPr>
          </w:p>
        </w:tc>
        <w:tc>
          <w:tcPr>
            <w:tcW w:w="1474" w:type="dxa"/>
          </w:tcPr>
          <w:p w14:paraId="52EEAE4F" w14:textId="3460D939"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Experience of bullying (</w:t>
            </w:r>
            <w:r>
              <w:rPr>
                <w:rFonts w:cstheme="minorHAnsi"/>
                <w:b w:val="0"/>
                <w:bCs/>
                <w:color w:val="000000" w:themeColor="text1"/>
                <w:kern w:val="24"/>
                <w:szCs w:val="22"/>
              </w:rPr>
              <w:t>AtoSS</w:t>
            </w:r>
            <w:r w:rsidRPr="00C35AB6">
              <w:rPr>
                <w:rFonts w:cstheme="minorHAnsi"/>
                <w:b w:val="0"/>
                <w:bCs/>
                <w:color w:val="000000" w:themeColor="text1"/>
                <w:kern w:val="24"/>
                <w:szCs w:val="22"/>
              </w:rPr>
              <w:t>)</w:t>
            </w:r>
          </w:p>
        </w:tc>
        <w:tc>
          <w:tcPr>
            <w:tcW w:w="5220" w:type="dxa"/>
          </w:tcPr>
          <w:p w14:paraId="027A3B93" w14:textId="77777777"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DET analysis shows students who experience bullying also have poorer NAPLAN performance. Meta-analyses of international research have shown that experiences of victimisation due to bullying predict higher levels of psychological distress, including the onset of mental health concerns and suicidal ideation, as well as higher rates of school absenteeism and reduced achievement on standardised testing.</w:t>
            </w:r>
          </w:p>
          <w:p w14:paraId="29A1F0BB" w14:textId="78FA3442"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 xml:space="preserve">Experience of bullying is also one of six </w:t>
            </w:r>
            <w:r>
              <w:rPr>
                <w:rFonts w:cstheme="minorHAnsi"/>
                <w:b w:val="0"/>
                <w:bCs/>
                <w:color w:val="000000" w:themeColor="text1"/>
                <w:kern w:val="24"/>
                <w:szCs w:val="22"/>
              </w:rPr>
              <w:t>AtoSS</w:t>
            </w:r>
            <w:r w:rsidRPr="00C35AB6">
              <w:rPr>
                <w:rFonts w:cstheme="minorHAnsi"/>
                <w:b w:val="0"/>
                <w:bCs/>
                <w:color w:val="000000" w:themeColor="text1"/>
                <w:kern w:val="24"/>
                <w:szCs w:val="22"/>
              </w:rPr>
              <w:t xml:space="preserve"> survey factors that explains much of the common variance amongst students (Cain and Hattie, 2019)</w:t>
            </w:r>
            <w:r w:rsidR="00522784">
              <w:rPr>
                <w:rFonts w:cstheme="minorHAnsi"/>
                <w:b w:val="0"/>
                <w:bCs/>
                <w:color w:val="000000" w:themeColor="text1"/>
                <w:kern w:val="24"/>
                <w:szCs w:val="22"/>
              </w:rPr>
              <w:t>. This means it is a</w:t>
            </w:r>
            <w:r w:rsidR="00522784" w:rsidRPr="00C35AB6">
              <w:rPr>
                <w:rFonts w:cstheme="minorHAnsi"/>
                <w:b w:val="0"/>
                <w:bCs/>
                <w:color w:val="000000" w:themeColor="text1"/>
                <w:kern w:val="24"/>
                <w:szCs w:val="22"/>
              </w:rPr>
              <w:t xml:space="preserve"> robust and discrete measure.</w:t>
            </w:r>
          </w:p>
        </w:tc>
        <w:tc>
          <w:tcPr>
            <w:tcW w:w="1260" w:type="dxa"/>
          </w:tcPr>
          <w:p w14:paraId="449CFC37" w14:textId="512942D8"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Strong</w:t>
            </w:r>
          </w:p>
        </w:tc>
      </w:tr>
      <w:tr w:rsidR="00B06E1E" w14:paraId="754B0B2A" w14:textId="77777777" w:rsidTr="00DD04B4">
        <w:tc>
          <w:tcPr>
            <w:cnfStyle w:val="001000000000" w:firstRow="0" w:lastRow="0" w:firstColumn="1" w:lastColumn="0" w:oddVBand="0" w:evenVBand="0" w:oddHBand="0" w:evenHBand="0" w:firstRowFirstColumn="0" w:firstRowLastColumn="0" w:lastRowFirstColumn="0" w:lastRowLastColumn="0"/>
            <w:tcW w:w="1671" w:type="dxa"/>
          </w:tcPr>
          <w:p w14:paraId="065D8838" w14:textId="77777777" w:rsidR="00C977B9" w:rsidRPr="0002115D" w:rsidRDefault="00C977B9" w:rsidP="00C977B9">
            <w:pPr>
              <w:rPr>
                <w:rFonts w:ascii="Arial" w:eastAsia="Times New Roman" w:hAnsi="Arial" w:cs="Arial"/>
                <w:sz w:val="36"/>
                <w:szCs w:val="36"/>
                <w:lang w:val="en-AU" w:eastAsia="en-AU"/>
              </w:rPr>
            </w:pPr>
            <w:r w:rsidRPr="0002115D">
              <w:rPr>
                <w:rFonts w:ascii="Arial" w:eastAsia="Arial" w:hAnsi="Arial" w:cs="Times New Roman"/>
                <w:b/>
                <w:bCs/>
                <w:color w:val="902AA4"/>
                <w:kern w:val="24"/>
                <w:szCs w:val="22"/>
                <w:lang w:val="en-AU" w:eastAsia="en-AU"/>
              </w:rPr>
              <w:t>Support</w:t>
            </w:r>
            <w:r>
              <w:rPr>
                <w:rFonts w:ascii="Arial" w:eastAsia="Arial" w:hAnsi="Arial" w:cs="Times New Roman"/>
                <w:b/>
                <w:bCs/>
                <w:color w:val="902AA4"/>
                <w:kern w:val="24"/>
                <w:szCs w:val="22"/>
                <w:lang w:val="en-AU" w:eastAsia="en-AU"/>
              </w:rPr>
              <w:t xml:space="preserve"> and resources</w:t>
            </w:r>
          </w:p>
          <w:p w14:paraId="374E4FC3" w14:textId="50EBEFDB" w:rsidR="000C2A2D" w:rsidRPr="00F348E4" w:rsidRDefault="000C2A2D" w:rsidP="00C977B9">
            <w:pPr>
              <w:pStyle w:val="TableHead"/>
              <w:rPr>
                <w:rFonts w:ascii="Arial" w:eastAsia="Arial" w:hAnsi="Arial" w:cs="Times New Roman"/>
                <w:b w:val="0"/>
                <w:bCs/>
                <w:color w:val="0063A5"/>
                <w:kern w:val="24"/>
                <w:szCs w:val="22"/>
                <w:lang w:eastAsia="en-AU"/>
              </w:rPr>
            </w:pPr>
          </w:p>
        </w:tc>
        <w:tc>
          <w:tcPr>
            <w:tcW w:w="1474" w:type="dxa"/>
          </w:tcPr>
          <w:p w14:paraId="5256AF33" w14:textId="4E07DC18"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Respect for Diversity (</w:t>
            </w:r>
            <w:r>
              <w:rPr>
                <w:rFonts w:cstheme="minorHAnsi"/>
                <w:b w:val="0"/>
                <w:bCs/>
                <w:color w:val="000000" w:themeColor="text1"/>
                <w:kern w:val="24"/>
                <w:szCs w:val="22"/>
              </w:rPr>
              <w:t>AtoSS</w:t>
            </w:r>
            <w:r w:rsidRPr="00C35AB6">
              <w:rPr>
                <w:rFonts w:cstheme="minorHAnsi"/>
                <w:b w:val="0"/>
                <w:bCs/>
                <w:color w:val="000000" w:themeColor="text1"/>
                <w:kern w:val="24"/>
                <w:szCs w:val="22"/>
              </w:rPr>
              <w:t>)</w:t>
            </w:r>
          </w:p>
        </w:tc>
        <w:tc>
          <w:tcPr>
            <w:tcW w:w="5220" w:type="dxa"/>
          </w:tcPr>
          <w:p w14:paraId="7D628B4E" w14:textId="70BC4B82" w:rsidR="00CC378A" w:rsidRDefault="00CC378A"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Pr>
                <w:rFonts w:cstheme="minorHAnsi"/>
                <w:b w:val="0"/>
                <w:bCs/>
                <w:color w:val="000000" w:themeColor="text1"/>
                <w:kern w:val="24"/>
                <w:szCs w:val="22"/>
              </w:rPr>
              <w:t>Respect for diversity describes the degree to which s</w:t>
            </w:r>
            <w:r w:rsidRPr="00CC378A">
              <w:rPr>
                <w:rFonts w:cstheme="minorHAnsi"/>
                <w:b w:val="0"/>
                <w:bCs/>
                <w:color w:val="000000" w:themeColor="text1"/>
                <w:kern w:val="24"/>
                <w:szCs w:val="22"/>
              </w:rPr>
              <w:t>tudents perceive that people are treated fairly and diversity is respected</w:t>
            </w:r>
            <w:r>
              <w:rPr>
                <w:rFonts w:cstheme="minorHAnsi"/>
                <w:b w:val="0"/>
                <w:bCs/>
                <w:color w:val="000000" w:themeColor="text1"/>
                <w:kern w:val="24"/>
                <w:szCs w:val="22"/>
              </w:rPr>
              <w:t xml:space="preserve"> at their school. </w:t>
            </w:r>
          </w:p>
          <w:p w14:paraId="628C1CAE" w14:textId="473CAA6A"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DET analysis shows that after controlling for school disadvantage level, student endorsement of respect for diversity is correlated with NAPLAN Reading performance for Year 9 students. There is a weaker relationship with Year 5 Reading, which is in part explained by much higher levels of endorsement amongst primary school students.</w:t>
            </w:r>
          </w:p>
        </w:tc>
        <w:tc>
          <w:tcPr>
            <w:tcW w:w="1260" w:type="dxa"/>
          </w:tcPr>
          <w:p w14:paraId="3435214B" w14:textId="17EFB67E"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C35AB6">
              <w:rPr>
                <w:rFonts w:cstheme="minorHAnsi"/>
                <w:b w:val="0"/>
                <w:bCs/>
                <w:color w:val="000000" w:themeColor="text1"/>
                <w:kern w:val="24"/>
                <w:szCs w:val="22"/>
              </w:rPr>
              <w:t>Good</w:t>
            </w:r>
          </w:p>
        </w:tc>
      </w:tr>
      <w:tr w:rsidR="00B06E1E" w14:paraId="6DEEF9EB" w14:textId="77777777" w:rsidTr="00DD04B4">
        <w:tc>
          <w:tcPr>
            <w:cnfStyle w:val="001000000000" w:firstRow="0" w:lastRow="0" w:firstColumn="1" w:lastColumn="0" w:oddVBand="0" w:evenVBand="0" w:oddHBand="0" w:evenHBand="0" w:firstRowFirstColumn="0" w:firstRowLastColumn="0" w:lastRowFirstColumn="0" w:lastRowLastColumn="0"/>
            <w:tcW w:w="1671" w:type="dxa"/>
          </w:tcPr>
          <w:p w14:paraId="52F448CE" w14:textId="7CA72D4B" w:rsidR="00C977B9" w:rsidRPr="0002115D" w:rsidRDefault="00C977B9" w:rsidP="00C977B9">
            <w:pPr>
              <w:rPr>
                <w:rFonts w:ascii="Arial" w:eastAsia="Times New Roman" w:hAnsi="Arial" w:cs="Arial"/>
                <w:sz w:val="36"/>
                <w:szCs w:val="36"/>
                <w:lang w:val="en-AU" w:eastAsia="en-AU"/>
              </w:rPr>
            </w:pPr>
            <w:r w:rsidRPr="0002115D">
              <w:rPr>
                <w:rFonts w:ascii="Arial" w:eastAsia="Arial" w:hAnsi="Arial" w:cs="Times New Roman"/>
                <w:b/>
                <w:bCs/>
                <w:color w:val="0090DA"/>
                <w:kern w:val="24"/>
                <w:szCs w:val="22"/>
                <w:lang w:val="en-AU" w:eastAsia="en-AU"/>
              </w:rPr>
              <w:lastRenderedPageBreak/>
              <w:t>Assessment</w:t>
            </w:r>
          </w:p>
          <w:p w14:paraId="2F5502B6" w14:textId="0099F582" w:rsidR="000C2A2D" w:rsidRPr="00F348E4" w:rsidRDefault="000C2A2D" w:rsidP="00C977B9">
            <w:pPr>
              <w:pStyle w:val="TableHead"/>
              <w:rPr>
                <w:rFonts w:ascii="Arial" w:eastAsia="Arial" w:hAnsi="Arial" w:cs="Times New Roman"/>
                <w:b w:val="0"/>
                <w:bCs/>
                <w:color w:val="0063A5"/>
                <w:kern w:val="24"/>
                <w:szCs w:val="22"/>
                <w:lang w:eastAsia="en-AU"/>
              </w:rPr>
            </w:pPr>
          </w:p>
        </w:tc>
        <w:tc>
          <w:tcPr>
            <w:tcW w:w="1474" w:type="dxa"/>
          </w:tcPr>
          <w:p w14:paraId="6B55DBAD" w14:textId="102A1773"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3E1040">
              <w:rPr>
                <w:rFonts w:cstheme="minorHAnsi"/>
                <w:b w:val="0"/>
                <w:bCs/>
                <w:color w:val="000000" w:themeColor="text1"/>
                <w:kern w:val="24"/>
                <w:szCs w:val="22"/>
              </w:rPr>
              <w:t>Monitoring effectiveness of using data (SSS)</w:t>
            </w:r>
          </w:p>
        </w:tc>
        <w:tc>
          <w:tcPr>
            <w:tcW w:w="5220" w:type="dxa"/>
          </w:tcPr>
          <w:p w14:paraId="57D97AB3" w14:textId="4C7B2685" w:rsidR="000C2A2D" w:rsidRPr="00C35AB6" w:rsidRDefault="00946E0E"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Pr>
                <w:rFonts w:cstheme="minorHAnsi"/>
                <w:b w:val="0"/>
                <w:bCs/>
                <w:color w:val="000000" w:themeColor="text1"/>
                <w:kern w:val="24"/>
                <w:szCs w:val="22"/>
              </w:rPr>
              <w:t>A s</w:t>
            </w:r>
            <w:r w:rsidR="000C2A2D" w:rsidRPr="003E1040">
              <w:rPr>
                <w:rFonts w:cstheme="minorHAnsi"/>
                <w:b w:val="0"/>
                <w:bCs/>
                <w:color w:val="000000" w:themeColor="text1"/>
                <w:kern w:val="24"/>
                <w:szCs w:val="22"/>
              </w:rPr>
              <w:t>trategic evaluation of</w:t>
            </w:r>
            <w:r>
              <w:rPr>
                <w:rFonts w:cstheme="minorHAnsi"/>
                <w:b w:val="0"/>
                <w:bCs/>
                <w:color w:val="000000" w:themeColor="text1"/>
                <w:kern w:val="24"/>
                <w:szCs w:val="22"/>
              </w:rPr>
              <w:t xml:space="preserve"> DET’s</w:t>
            </w:r>
            <w:r w:rsidR="000C2A2D" w:rsidRPr="003E1040">
              <w:rPr>
                <w:rFonts w:cstheme="minorHAnsi"/>
                <w:b w:val="0"/>
                <w:bCs/>
                <w:color w:val="000000" w:themeColor="text1"/>
                <w:kern w:val="24"/>
                <w:szCs w:val="22"/>
              </w:rPr>
              <w:t xml:space="preserve"> school reform found that schools with high endorsement of ‘Monitoring effectiveness of using data’ had a moderate correlation to overall school performance group classification in the Differentiated School Performance Model. </w:t>
            </w:r>
          </w:p>
        </w:tc>
        <w:tc>
          <w:tcPr>
            <w:tcW w:w="1260" w:type="dxa"/>
          </w:tcPr>
          <w:p w14:paraId="4D4512CC" w14:textId="52DF1823"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3E1040">
              <w:rPr>
                <w:rFonts w:cstheme="minorHAnsi"/>
                <w:b w:val="0"/>
                <w:bCs/>
                <w:color w:val="000000" w:themeColor="text1"/>
                <w:kern w:val="24"/>
                <w:szCs w:val="22"/>
              </w:rPr>
              <w:t>Fair</w:t>
            </w:r>
          </w:p>
        </w:tc>
      </w:tr>
      <w:tr w:rsidR="00B06E1E" w14:paraId="1EBA6DB1" w14:textId="77777777" w:rsidTr="00DD04B4">
        <w:tc>
          <w:tcPr>
            <w:cnfStyle w:val="001000000000" w:firstRow="0" w:lastRow="0" w:firstColumn="1" w:lastColumn="0" w:oddVBand="0" w:evenVBand="0" w:oddHBand="0" w:evenHBand="0" w:firstRowFirstColumn="0" w:firstRowLastColumn="0" w:lastRowFirstColumn="0" w:lastRowLastColumn="0"/>
            <w:tcW w:w="1671" w:type="dxa"/>
          </w:tcPr>
          <w:p w14:paraId="5FDD73AA" w14:textId="77777777" w:rsidR="00C977B9" w:rsidRPr="0002115D" w:rsidRDefault="00C977B9" w:rsidP="00C977B9">
            <w:pPr>
              <w:rPr>
                <w:rFonts w:ascii="Arial" w:eastAsia="Times New Roman" w:hAnsi="Arial" w:cs="Arial"/>
                <w:sz w:val="36"/>
                <w:szCs w:val="36"/>
                <w:lang w:val="en-AU" w:eastAsia="en-AU"/>
              </w:rPr>
            </w:pPr>
            <w:r w:rsidRPr="0002115D">
              <w:rPr>
                <w:rFonts w:ascii="Arial" w:eastAsia="Arial" w:hAnsi="Arial" w:cs="Times New Roman"/>
                <w:b/>
                <w:bCs/>
                <w:color w:val="0090DA"/>
                <w:kern w:val="24"/>
                <w:szCs w:val="22"/>
                <w:lang w:val="en-AU" w:eastAsia="en-AU"/>
              </w:rPr>
              <w:t>Assessment</w:t>
            </w:r>
          </w:p>
          <w:p w14:paraId="7ED64549" w14:textId="164A3DD3" w:rsidR="000C2A2D" w:rsidRPr="00F348E4" w:rsidRDefault="000C2A2D" w:rsidP="000C2A2D">
            <w:pPr>
              <w:pStyle w:val="TableHead"/>
              <w:jc w:val="center"/>
              <w:rPr>
                <w:rFonts w:ascii="Arial" w:eastAsia="Arial" w:hAnsi="Arial" w:cs="Times New Roman"/>
                <w:b w:val="0"/>
                <w:bCs/>
                <w:color w:val="0063A5"/>
                <w:kern w:val="24"/>
                <w:szCs w:val="22"/>
                <w:lang w:eastAsia="en-AU"/>
              </w:rPr>
            </w:pPr>
          </w:p>
        </w:tc>
        <w:tc>
          <w:tcPr>
            <w:tcW w:w="1474" w:type="dxa"/>
          </w:tcPr>
          <w:p w14:paraId="7D2CFC66" w14:textId="12367E36"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3E1040">
              <w:rPr>
                <w:rFonts w:cstheme="minorHAnsi"/>
                <w:b w:val="0"/>
                <w:bCs/>
                <w:color w:val="000000" w:themeColor="text1"/>
                <w:kern w:val="24"/>
                <w:szCs w:val="22"/>
              </w:rPr>
              <w:t>Moderation of student assessment (SSS)</w:t>
            </w:r>
          </w:p>
        </w:tc>
        <w:tc>
          <w:tcPr>
            <w:tcW w:w="5220" w:type="dxa"/>
          </w:tcPr>
          <w:p w14:paraId="41DBD110" w14:textId="50785F47" w:rsidR="000C2A2D" w:rsidRPr="00C35AB6" w:rsidRDefault="00946E0E"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Pr>
                <w:rFonts w:cstheme="minorHAnsi"/>
                <w:b w:val="0"/>
                <w:bCs/>
                <w:color w:val="000000" w:themeColor="text1"/>
                <w:kern w:val="24"/>
                <w:szCs w:val="22"/>
              </w:rPr>
              <w:t>A s</w:t>
            </w:r>
            <w:r w:rsidRPr="003E1040">
              <w:rPr>
                <w:rFonts w:cstheme="minorHAnsi"/>
                <w:b w:val="0"/>
                <w:bCs/>
                <w:color w:val="000000" w:themeColor="text1"/>
                <w:kern w:val="24"/>
                <w:szCs w:val="22"/>
              </w:rPr>
              <w:t>trategic evaluation of</w:t>
            </w:r>
            <w:r>
              <w:rPr>
                <w:rFonts w:cstheme="minorHAnsi"/>
                <w:b w:val="0"/>
                <w:bCs/>
                <w:color w:val="000000" w:themeColor="text1"/>
                <w:kern w:val="24"/>
                <w:szCs w:val="22"/>
              </w:rPr>
              <w:t xml:space="preserve"> DET’s</w:t>
            </w:r>
            <w:r w:rsidRPr="003E1040">
              <w:rPr>
                <w:rFonts w:cstheme="minorHAnsi"/>
                <w:b w:val="0"/>
                <w:bCs/>
                <w:color w:val="000000" w:themeColor="text1"/>
                <w:kern w:val="24"/>
                <w:szCs w:val="22"/>
              </w:rPr>
              <w:t xml:space="preserve"> school reform </w:t>
            </w:r>
            <w:r>
              <w:rPr>
                <w:rFonts w:cstheme="minorHAnsi"/>
                <w:b w:val="0"/>
                <w:bCs/>
                <w:color w:val="000000" w:themeColor="text1"/>
                <w:kern w:val="24"/>
                <w:szCs w:val="22"/>
              </w:rPr>
              <w:t xml:space="preserve">found </w:t>
            </w:r>
            <w:r w:rsidR="000C2A2D" w:rsidRPr="003E1040">
              <w:rPr>
                <w:rFonts w:cstheme="minorHAnsi"/>
                <w:b w:val="0"/>
                <w:bCs/>
                <w:color w:val="000000" w:themeColor="text1"/>
                <w:kern w:val="24"/>
                <w:szCs w:val="22"/>
              </w:rPr>
              <w:t xml:space="preserve">that schools with high endorsement of ‘Moderation of student assessment’ had a moderate correlation to overall school performance group classification in the Differentiated School Performance Model. </w:t>
            </w:r>
          </w:p>
        </w:tc>
        <w:tc>
          <w:tcPr>
            <w:tcW w:w="1260" w:type="dxa"/>
          </w:tcPr>
          <w:p w14:paraId="28F01DF8" w14:textId="7C5B86CF"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3E1040">
              <w:rPr>
                <w:rFonts w:cstheme="minorHAnsi"/>
                <w:b w:val="0"/>
                <w:bCs/>
                <w:color w:val="000000" w:themeColor="text1"/>
                <w:kern w:val="24"/>
                <w:szCs w:val="22"/>
              </w:rPr>
              <w:t>Fair</w:t>
            </w:r>
          </w:p>
        </w:tc>
      </w:tr>
      <w:tr w:rsidR="00B06E1E" w14:paraId="05AC4B56" w14:textId="77777777" w:rsidTr="00DD04B4">
        <w:tc>
          <w:tcPr>
            <w:cnfStyle w:val="001000000000" w:firstRow="0" w:lastRow="0" w:firstColumn="1" w:lastColumn="0" w:oddVBand="0" w:evenVBand="0" w:oddHBand="0" w:evenHBand="0" w:firstRowFirstColumn="0" w:firstRowLastColumn="0" w:lastRowFirstColumn="0" w:lastRowLastColumn="0"/>
            <w:tcW w:w="1671" w:type="dxa"/>
          </w:tcPr>
          <w:p w14:paraId="10458933" w14:textId="77777777" w:rsidR="00C977B9" w:rsidRPr="0002115D" w:rsidRDefault="00C977B9" w:rsidP="00C977B9">
            <w:pPr>
              <w:rPr>
                <w:rFonts w:ascii="Arial" w:eastAsia="Times New Roman" w:hAnsi="Arial" w:cs="Arial"/>
                <w:sz w:val="36"/>
                <w:szCs w:val="36"/>
                <w:lang w:val="en-AU" w:eastAsia="en-AU"/>
              </w:rPr>
            </w:pPr>
            <w:r w:rsidRPr="0002115D">
              <w:rPr>
                <w:rFonts w:ascii="Arial" w:eastAsia="Arial" w:hAnsi="Arial" w:cs="Times New Roman"/>
                <w:b/>
                <w:bCs/>
                <w:color w:val="0090DA"/>
                <w:kern w:val="24"/>
                <w:szCs w:val="22"/>
                <w:lang w:val="en-AU" w:eastAsia="en-AU"/>
              </w:rPr>
              <w:t>Assessment</w:t>
            </w:r>
          </w:p>
          <w:p w14:paraId="5A6EF647" w14:textId="39327343" w:rsidR="000C2A2D" w:rsidRPr="00F348E4" w:rsidRDefault="000C2A2D" w:rsidP="000C2A2D">
            <w:pPr>
              <w:pStyle w:val="TableHead"/>
              <w:jc w:val="center"/>
              <w:rPr>
                <w:rFonts w:ascii="Arial" w:eastAsia="Arial" w:hAnsi="Arial" w:cs="Times New Roman"/>
                <w:b w:val="0"/>
                <w:bCs/>
                <w:color w:val="0063A5"/>
                <w:kern w:val="24"/>
                <w:szCs w:val="22"/>
                <w:lang w:eastAsia="en-AU"/>
              </w:rPr>
            </w:pPr>
          </w:p>
        </w:tc>
        <w:tc>
          <w:tcPr>
            <w:tcW w:w="1474" w:type="dxa"/>
          </w:tcPr>
          <w:p w14:paraId="205BC4EA" w14:textId="77777777" w:rsidR="000C2A2D" w:rsidRPr="003E1040"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3E1040">
              <w:rPr>
                <w:rFonts w:cstheme="minorHAnsi"/>
                <w:b w:val="0"/>
                <w:bCs/>
                <w:color w:val="000000" w:themeColor="text1"/>
                <w:kern w:val="24"/>
                <w:szCs w:val="22"/>
              </w:rPr>
              <w:t>Understand formative assessment</w:t>
            </w:r>
          </w:p>
          <w:p w14:paraId="6DEAFB40" w14:textId="7B9E0FB5"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3E1040">
              <w:rPr>
                <w:rFonts w:cstheme="minorHAnsi"/>
                <w:b w:val="0"/>
                <w:bCs/>
                <w:color w:val="000000" w:themeColor="text1"/>
                <w:kern w:val="24"/>
                <w:szCs w:val="22"/>
              </w:rPr>
              <w:t>(SSS)</w:t>
            </w:r>
          </w:p>
        </w:tc>
        <w:tc>
          <w:tcPr>
            <w:tcW w:w="5220" w:type="dxa"/>
          </w:tcPr>
          <w:p w14:paraId="6AB5B0F2" w14:textId="1CABB23C" w:rsidR="000C2A2D" w:rsidRPr="00C35AB6" w:rsidRDefault="00946E0E"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Pr>
                <w:rFonts w:cstheme="minorHAnsi"/>
                <w:b w:val="0"/>
                <w:bCs/>
                <w:color w:val="000000" w:themeColor="text1"/>
                <w:kern w:val="24"/>
                <w:szCs w:val="22"/>
              </w:rPr>
              <w:t>A s</w:t>
            </w:r>
            <w:r w:rsidR="000C2A2D" w:rsidRPr="003E1040">
              <w:rPr>
                <w:rFonts w:cstheme="minorHAnsi"/>
                <w:b w:val="0"/>
                <w:bCs/>
                <w:color w:val="000000" w:themeColor="text1"/>
                <w:kern w:val="24"/>
                <w:szCs w:val="22"/>
              </w:rPr>
              <w:t>trategic evaluation of</w:t>
            </w:r>
            <w:r>
              <w:rPr>
                <w:rFonts w:cstheme="minorHAnsi"/>
                <w:b w:val="0"/>
                <w:bCs/>
                <w:color w:val="000000" w:themeColor="text1"/>
                <w:kern w:val="24"/>
                <w:szCs w:val="22"/>
              </w:rPr>
              <w:t xml:space="preserve"> DET’s</w:t>
            </w:r>
            <w:r w:rsidR="000C2A2D" w:rsidRPr="003E1040">
              <w:rPr>
                <w:rFonts w:cstheme="minorHAnsi"/>
                <w:b w:val="0"/>
                <w:bCs/>
                <w:color w:val="000000" w:themeColor="text1"/>
                <w:kern w:val="24"/>
                <w:szCs w:val="22"/>
              </w:rPr>
              <w:t xml:space="preserve"> school reform found that schools with high endorsement of ‘Understand formative assessment’ had a moderate correlation to overall school performance group classification in the Differentiated School Performance Model. </w:t>
            </w:r>
          </w:p>
        </w:tc>
        <w:tc>
          <w:tcPr>
            <w:tcW w:w="1260" w:type="dxa"/>
          </w:tcPr>
          <w:p w14:paraId="575226EE" w14:textId="5F186C56"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3E1040">
              <w:rPr>
                <w:rFonts w:cstheme="minorHAnsi"/>
                <w:b w:val="0"/>
                <w:bCs/>
                <w:color w:val="000000" w:themeColor="text1"/>
                <w:kern w:val="24"/>
                <w:szCs w:val="22"/>
              </w:rPr>
              <w:t>Fair</w:t>
            </w:r>
          </w:p>
        </w:tc>
      </w:tr>
      <w:tr w:rsidR="00B06E1E" w14:paraId="4984C490" w14:textId="77777777" w:rsidTr="00DD04B4">
        <w:tc>
          <w:tcPr>
            <w:cnfStyle w:val="001000000000" w:firstRow="0" w:lastRow="0" w:firstColumn="1" w:lastColumn="0" w:oddVBand="0" w:evenVBand="0" w:oddHBand="0" w:evenHBand="0" w:firstRowFirstColumn="0" w:firstRowLastColumn="0" w:lastRowFirstColumn="0" w:lastRowLastColumn="0"/>
            <w:tcW w:w="1671" w:type="dxa"/>
          </w:tcPr>
          <w:p w14:paraId="2F498D2D" w14:textId="76BCC5E4" w:rsidR="000C2A2D" w:rsidRPr="00F348E4" w:rsidRDefault="00C977B9" w:rsidP="000C2A2D">
            <w:pPr>
              <w:pStyle w:val="TableHead"/>
              <w:jc w:val="center"/>
              <w:rPr>
                <w:rFonts w:ascii="Arial" w:eastAsia="Arial" w:hAnsi="Arial" w:cs="Times New Roman"/>
                <w:b w:val="0"/>
                <w:bCs/>
                <w:color w:val="0063A5"/>
                <w:kern w:val="24"/>
                <w:szCs w:val="22"/>
                <w:lang w:eastAsia="en-AU"/>
              </w:rPr>
            </w:pPr>
            <w:r w:rsidRPr="0002115D">
              <w:rPr>
                <w:rFonts w:ascii="Arial" w:eastAsia="Arial" w:hAnsi="Arial" w:cs="Times New Roman"/>
                <w:bCs/>
                <w:color w:val="0090DA"/>
                <w:kern w:val="24"/>
                <w:szCs w:val="22"/>
                <w:lang w:eastAsia="en-AU"/>
              </w:rPr>
              <w:t>Assessment</w:t>
            </w:r>
          </w:p>
        </w:tc>
        <w:tc>
          <w:tcPr>
            <w:tcW w:w="1474" w:type="dxa"/>
          </w:tcPr>
          <w:p w14:paraId="33B9B4B7" w14:textId="4B797EB0"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3E1040">
              <w:rPr>
                <w:rFonts w:cstheme="minorHAnsi"/>
                <w:b w:val="0"/>
                <w:bCs/>
                <w:color w:val="000000" w:themeColor="text1"/>
                <w:kern w:val="24"/>
                <w:szCs w:val="22"/>
              </w:rPr>
              <w:t>Use of student feedback to inform teaching practice (SSS)</w:t>
            </w:r>
          </w:p>
        </w:tc>
        <w:tc>
          <w:tcPr>
            <w:tcW w:w="5220" w:type="dxa"/>
          </w:tcPr>
          <w:p w14:paraId="7656A140" w14:textId="0EFE0C71"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3E1040">
              <w:rPr>
                <w:rFonts w:cstheme="minorHAnsi"/>
                <w:b w:val="0"/>
                <w:bCs/>
                <w:color w:val="000000" w:themeColor="text1"/>
                <w:kern w:val="24"/>
                <w:szCs w:val="22"/>
              </w:rPr>
              <w:t xml:space="preserve">The Strategic evaluation of school reform found that schools with high endorsement of ‘Use of student feedback to inform teaching practice’ had a moderate correlation to overall school performance group classification in the Differentiated School Performance Model. </w:t>
            </w:r>
          </w:p>
        </w:tc>
        <w:tc>
          <w:tcPr>
            <w:tcW w:w="1260" w:type="dxa"/>
          </w:tcPr>
          <w:p w14:paraId="74750D1B" w14:textId="4330111C" w:rsidR="000C2A2D" w:rsidRPr="00C35AB6" w:rsidRDefault="000C2A2D" w:rsidP="000C2A2D">
            <w:pPr>
              <w:pStyle w:val="TableHead"/>
              <w:cnfStyle w:val="000000000000" w:firstRow="0" w:lastRow="0" w:firstColumn="0" w:lastColumn="0" w:oddVBand="0" w:evenVBand="0" w:oddHBand="0" w:evenHBand="0" w:firstRowFirstColumn="0" w:firstRowLastColumn="0" w:lastRowFirstColumn="0" w:lastRowLastColumn="0"/>
              <w:rPr>
                <w:rFonts w:cstheme="minorHAnsi"/>
                <w:b w:val="0"/>
                <w:bCs/>
                <w:color w:val="000000" w:themeColor="text1"/>
                <w:kern w:val="24"/>
                <w:szCs w:val="22"/>
              </w:rPr>
            </w:pPr>
            <w:r w:rsidRPr="003E1040">
              <w:rPr>
                <w:rFonts w:cstheme="minorHAnsi"/>
                <w:b w:val="0"/>
                <w:bCs/>
                <w:color w:val="000000" w:themeColor="text1"/>
                <w:kern w:val="24"/>
                <w:szCs w:val="22"/>
              </w:rPr>
              <w:t>Fair</w:t>
            </w:r>
          </w:p>
        </w:tc>
      </w:tr>
    </w:tbl>
    <w:p w14:paraId="2FF50B0C" w14:textId="77777777" w:rsidR="000C2A2D" w:rsidRDefault="000C2A2D" w:rsidP="0016287D">
      <w:pPr>
        <w:spacing w:after="40"/>
        <w:rPr>
          <w:b/>
          <w:color w:val="FF0000"/>
          <w:sz w:val="24"/>
          <w:lang w:val="en-AU"/>
        </w:rPr>
      </w:pPr>
    </w:p>
    <w:p w14:paraId="1DAB170E" w14:textId="77777777" w:rsidR="00F67CAB" w:rsidRDefault="00F67CAB" w:rsidP="007D40FC">
      <w:pPr>
        <w:pStyle w:val="Copyrighttext"/>
      </w:pPr>
    </w:p>
    <w:p w14:paraId="0D441CB7" w14:textId="77777777" w:rsidR="00F67CAB" w:rsidRDefault="00F67CAB" w:rsidP="007D40FC">
      <w:pPr>
        <w:pStyle w:val="Copyrighttext"/>
      </w:pPr>
    </w:p>
    <w:p w14:paraId="2E79B54E" w14:textId="77777777" w:rsidR="00F67CAB" w:rsidRDefault="00F67CAB" w:rsidP="007D40FC">
      <w:pPr>
        <w:pStyle w:val="Copyrighttext"/>
      </w:pPr>
    </w:p>
    <w:p w14:paraId="77992953" w14:textId="77777777" w:rsidR="00F67CAB" w:rsidRDefault="00F67CAB" w:rsidP="007D40FC">
      <w:pPr>
        <w:pStyle w:val="Copyrighttext"/>
      </w:pPr>
    </w:p>
    <w:p w14:paraId="4BF150A2" w14:textId="77777777" w:rsidR="00F67CAB" w:rsidRDefault="00F67CAB" w:rsidP="007D40FC">
      <w:pPr>
        <w:pStyle w:val="Copyrighttext"/>
      </w:pPr>
    </w:p>
    <w:p w14:paraId="7230F060" w14:textId="77777777" w:rsidR="00F67CAB" w:rsidRDefault="00F67CAB" w:rsidP="007D40FC">
      <w:pPr>
        <w:pStyle w:val="Copyrighttext"/>
      </w:pPr>
    </w:p>
    <w:p w14:paraId="3950F060" w14:textId="51E12CFE" w:rsidR="00122369" w:rsidRPr="00E34721" w:rsidRDefault="0016287D" w:rsidP="007D40FC">
      <w:pPr>
        <w:pStyle w:val="Copyrighttext"/>
        <w:rPr>
          <w:rFonts w:cstheme="minorHAnsi"/>
        </w:rPr>
      </w:pPr>
      <w:r w:rsidRPr="008F0DDA">
        <w:t>© State of Victoria (Department of Education and Training)</w:t>
      </w:r>
      <w:r w:rsidR="00E77EB9" w:rsidRPr="008F0DDA">
        <w:t xml:space="preserve"> 20</w:t>
      </w:r>
      <w:r w:rsidR="00735566" w:rsidRPr="008F0DDA">
        <w:t>21</w:t>
      </w:r>
      <w:r w:rsidR="00E77EB9" w:rsidRPr="008F0DDA">
        <w:t>.</w:t>
      </w:r>
      <w:r w:rsidRPr="008F0DDA">
        <w:t xml:space="preserve"> </w:t>
      </w:r>
      <w:r w:rsidR="00E34721" w:rsidRPr="008F0DDA">
        <w:rPr>
          <w:rFonts w:cstheme="minorHAnsi"/>
          <w:color w:val="000000"/>
        </w:rPr>
        <w:t>Except</w:t>
      </w:r>
      <w:r w:rsidR="00E34721" w:rsidRPr="00E34721">
        <w:rPr>
          <w:rFonts w:cstheme="minorHAnsi"/>
          <w:color w:val="000000"/>
        </w:rPr>
        <w:t xml:space="preserve"> where otherwise </w:t>
      </w:r>
      <w:hyperlink r:id="rId13" w:history="1">
        <w:r w:rsidR="00E34721" w:rsidRPr="00E34721">
          <w:rPr>
            <w:rStyle w:val="Hyperlink"/>
            <w:rFonts w:cstheme="minorHAnsi"/>
          </w:rPr>
          <w:t>noted,</w:t>
        </w:r>
      </w:hyperlink>
      <w:r w:rsidR="00E34721" w:rsidRPr="00E34721">
        <w:rPr>
          <w:rFonts w:cstheme="minorHAnsi"/>
          <w:color w:val="000000"/>
        </w:rPr>
        <w:t xml:space="preserve"> material in this document is provided under a</w:t>
      </w:r>
      <w:r w:rsidR="007D40FC">
        <w:rPr>
          <w:rFonts w:cstheme="minorHAnsi"/>
          <w:color w:val="000000"/>
        </w:rPr>
        <w:t xml:space="preserve"> </w:t>
      </w:r>
      <w:hyperlink r:id="rId14" w:history="1">
        <w:r w:rsidR="00E34721" w:rsidRPr="00E34721">
          <w:rPr>
            <w:rStyle w:val="Hyperlink"/>
            <w:rFonts w:cstheme="minorHAnsi"/>
          </w:rPr>
          <w:t>Creative Commons Attribution 4.0 International</w:t>
        </w:r>
      </w:hyperlink>
      <w:r w:rsidR="00E34721" w:rsidRPr="00E34721">
        <w:rPr>
          <w:rFonts w:cstheme="minorHAnsi"/>
        </w:rPr>
        <w:t xml:space="preserve"> </w:t>
      </w:r>
      <w:r w:rsidR="00E34721" w:rsidRPr="00E34721">
        <w:rPr>
          <w:rFonts w:cstheme="minorHAnsi"/>
          <w:color w:val="000000"/>
        </w:rPr>
        <w:t>Please check the full </w:t>
      </w:r>
      <w:hyperlink r:id="rId15" w:history="1">
        <w:r w:rsidR="00E34721" w:rsidRPr="00E34721">
          <w:rPr>
            <w:rStyle w:val="Hyperlink"/>
            <w:rFonts w:cstheme="minorHAnsi"/>
          </w:rPr>
          <w:t>copyright notice </w:t>
        </w:r>
      </w:hyperlink>
    </w:p>
    <w:sectPr w:rsidR="00122369" w:rsidRPr="00E34721" w:rsidSect="006E2B9A">
      <w:headerReference w:type="default" r:id="rId16"/>
      <w:footerReference w:type="even" r:id="rId17"/>
      <w:footerReference w:type="default" r:id="rId1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89E1" w14:textId="77777777" w:rsidR="00DC31B0" w:rsidRDefault="00DC31B0" w:rsidP="003967DD">
      <w:pPr>
        <w:spacing w:after="0"/>
      </w:pPr>
      <w:r>
        <w:separator/>
      </w:r>
    </w:p>
  </w:endnote>
  <w:endnote w:type="continuationSeparator" w:id="0">
    <w:p w14:paraId="51B7408A" w14:textId="77777777" w:rsidR="00DC31B0" w:rsidRDefault="00DC31B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EFA6" w14:textId="77777777" w:rsidR="00DC31B0" w:rsidRDefault="00DC31B0" w:rsidP="003967DD">
      <w:pPr>
        <w:spacing w:after="0"/>
      </w:pPr>
      <w:r>
        <w:separator/>
      </w:r>
    </w:p>
  </w:footnote>
  <w:footnote w:type="continuationSeparator" w:id="0">
    <w:p w14:paraId="02084030" w14:textId="77777777" w:rsidR="00DC31B0" w:rsidRDefault="00DC31B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6B70F1"/>
    <w:multiLevelType w:val="hybridMultilevel"/>
    <w:tmpl w:val="5E86B32E"/>
    <w:lvl w:ilvl="0" w:tplc="624434E0">
      <w:start w:val="1"/>
      <w:numFmt w:val="bullet"/>
      <w:lvlText w:val="•"/>
      <w:lvlJc w:val="left"/>
      <w:pPr>
        <w:tabs>
          <w:tab w:val="num" w:pos="720"/>
        </w:tabs>
        <w:ind w:left="720" w:hanging="360"/>
      </w:pPr>
      <w:rPr>
        <w:rFonts w:ascii="Arial" w:hAnsi="Arial" w:hint="default"/>
      </w:rPr>
    </w:lvl>
    <w:lvl w:ilvl="1" w:tplc="C6B6EFCC" w:tentative="1">
      <w:start w:val="1"/>
      <w:numFmt w:val="bullet"/>
      <w:lvlText w:val="•"/>
      <w:lvlJc w:val="left"/>
      <w:pPr>
        <w:tabs>
          <w:tab w:val="num" w:pos="1440"/>
        </w:tabs>
        <w:ind w:left="1440" w:hanging="360"/>
      </w:pPr>
      <w:rPr>
        <w:rFonts w:ascii="Arial" w:hAnsi="Arial" w:hint="default"/>
      </w:rPr>
    </w:lvl>
    <w:lvl w:ilvl="2" w:tplc="2DFC787A" w:tentative="1">
      <w:start w:val="1"/>
      <w:numFmt w:val="bullet"/>
      <w:lvlText w:val="•"/>
      <w:lvlJc w:val="left"/>
      <w:pPr>
        <w:tabs>
          <w:tab w:val="num" w:pos="2160"/>
        </w:tabs>
        <w:ind w:left="2160" w:hanging="360"/>
      </w:pPr>
      <w:rPr>
        <w:rFonts w:ascii="Arial" w:hAnsi="Arial" w:hint="default"/>
      </w:rPr>
    </w:lvl>
    <w:lvl w:ilvl="3" w:tplc="7EF87244" w:tentative="1">
      <w:start w:val="1"/>
      <w:numFmt w:val="bullet"/>
      <w:lvlText w:val="•"/>
      <w:lvlJc w:val="left"/>
      <w:pPr>
        <w:tabs>
          <w:tab w:val="num" w:pos="2880"/>
        </w:tabs>
        <w:ind w:left="2880" w:hanging="360"/>
      </w:pPr>
      <w:rPr>
        <w:rFonts w:ascii="Arial" w:hAnsi="Arial" w:hint="default"/>
      </w:rPr>
    </w:lvl>
    <w:lvl w:ilvl="4" w:tplc="3140F4A0" w:tentative="1">
      <w:start w:val="1"/>
      <w:numFmt w:val="bullet"/>
      <w:lvlText w:val="•"/>
      <w:lvlJc w:val="left"/>
      <w:pPr>
        <w:tabs>
          <w:tab w:val="num" w:pos="3600"/>
        </w:tabs>
        <w:ind w:left="3600" w:hanging="360"/>
      </w:pPr>
      <w:rPr>
        <w:rFonts w:ascii="Arial" w:hAnsi="Arial" w:hint="default"/>
      </w:rPr>
    </w:lvl>
    <w:lvl w:ilvl="5" w:tplc="4ABEBCEA" w:tentative="1">
      <w:start w:val="1"/>
      <w:numFmt w:val="bullet"/>
      <w:lvlText w:val="•"/>
      <w:lvlJc w:val="left"/>
      <w:pPr>
        <w:tabs>
          <w:tab w:val="num" w:pos="4320"/>
        </w:tabs>
        <w:ind w:left="4320" w:hanging="360"/>
      </w:pPr>
      <w:rPr>
        <w:rFonts w:ascii="Arial" w:hAnsi="Arial" w:hint="default"/>
      </w:rPr>
    </w:lvl>
    <w:lvl w:ilvl="6" w:tplc="FED6262C" w:tentative="1">
      <w:start w:val="1"/>
      <w:numFmt w:val="bullet"/>
      <w:lvlText w:val="•"/>
      <w:lvlJc w:val="left"/>
      <w:pPr>
        <w:tabs>
          <w:tab w:val="num" w:pos="5040"/>
        </w:tabs>
        <w:ind w:left="5040" w:hanging="360"/>
      </w:pPr>
      <w:rPr>
        <w:rFonts w:ascii="Arial" w:hAnsi="Arial" w:hint="default"/>
      </w:rPr>
    </w:lvl>
    <w:lvl w:ilvl="7" w:tplc="ED8802EC" w:tentative="1">
      <w:start w:val="1"/>
      <w:numFmt w:val="bullet"/>
      <w:lvlText w:val="•"/>
      <w:lvlJc w:val="left"/>
      <w:pPr>
        <w:tabs>
          <w:tab w:val="num" w:pos="5760"/>
        </w:tabs>
        <w:ind w:left="5760" w:hanging="360"/>
      </w:pPr>
      <w:rPr>
        <w:rFonts w:ascii="Arial" w:hAnsi="Arial" w:hint="default"/>
      </w:rPr>
    </w:lvl>
    <w:lvl w:ilvl="8" w:tplc="74C8A6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6651B"/>
    <w:multiLevelType w:val="hybridMultilevel"/>
    <w:tmpl w:val="1A826C00"/>
    <w:lvl w:ilvl="0" w:tplc="D98208FE">
      <w:start w:val="1"/>
      <w:numFmt w:val="bullet"/>
      <w:lvlText w:val="•"/>
      <w:lvlJc w:val="left"/>
      <w:pPr>
        <w:tabs>
          <w:tab w:val="num" w:pos="720"/>
        </w:tabs>
        <w:ind w:left="720" w:hanging="360"/>
      </w:pPr>
      <w:rPr>
        <w:rFonts w:ascii="Arial" w:hAnsi="Arial" w:hint="default"/>
      </w:rPr>
    </w:lvl>
    <w:lvl w:ilvl="1" w:tplc="39D86CB8" w:tentative="1">
      <w:start w:val="1"/>
      <w:numFmt w:val="bullet"/>
      <w:lvlText w:val="•"/>
      <w:lvlJc w:val="left"/>
      <w:pPr>
        <w:tabs>
          <w:tab w:val="num" w:pos="1440"/>
        </w:tabs>
        <w:ind w:left="1440" w:hanging="360"/>
      </w:pPr>
      <w:rPr>
        <w:rFonts w:ascii="Arial" w:hAnsi="Arial" w:hint="default"/>
      </w:rPr>
    </w:lvl>
    <w:lvl w:ilvl="2" w:tplc="2FFC344A" w:tentative="1">
      <w:start w:val="1"/>
      <w:numFmt w:val="bullet"/>
      <w:lvlText w:val="•"/>
      <w:lvlJc w:val="left"/>
      <w:pPr>
        <w:tabs>
          <w:tab w:val="num" w:pos="2160"/>
        </w:tabs>
        <w:ind w:left="2160" w:hanging="360"/>
      </w:pPr>
      <w:rPr>
        <w:rFonts w:ascii="Arial" w:hAnsi="Arial" w:hint="default"/>
      </w:rPr>
    </w:lvl>
    <w:lvl w:ilvl="3" w:tplc="547EE7BA" w:tentative="1">
      <w:start w:val="1"/>
      <w:numFmt w:val="bullet"/>
      <w:lvlText w:val="•"/>
      <w:lvlJc w:val="left"/>
      <w:pPr>
        <w:tabs>
          <w:tab w:val="num" w:pos="2880"/>
        </w:tabs>
        <w:ind w:left="2880" w:hanging="360"/>
      </w:pPr>
      <w:rPr>
        <w:rFonts w:ascii="Arial" w:hAnsi="Arial" w:hint="default"/>
      </w:rPr>
    </w:lvl>
    <w:lvl w:ilvl="4" w:tplc="6128DB68" w:tentative="1">
      <w:start w:val="1"/>
      <w:numFmt w:val="bullet"/>
      <w:lvlText w:val="•"/>
      <w:lvlJc w:val="left"/>
      <w:pPr>
        <w:tabs>
          <w:tab w:val="num" w:pos="3600"/>
        </w:tabs>
        <w:ind w:left="3600" w:hanging="360"/>
      </w:pPr>
      <w:rPr>
        <w:rFonts w:ascii="Arial" w:hAnsi="Arial" w:hint="default"/>
      </w:rPr>
    </w:lvl>
    <w:lvl w:ilvl="5" w:tplc="A31CEB06" w:tentative="1">
      <w:start w:val="1"/>
      <w:numFmt w:val="bullet"/>
      <w:lvlText w:val="•"/>
      <w:lvlJc w:val="left"/>
      <w:pPr>
        <w:tabs>
          <w:tab w:val="num" w:pos="4320"/>
        </w:tabs>
        <w:ind w:left="4320" w:hanging="360"/>
      </w:pPr>
      <w:rPr>
        <w:rFonts w:ascii="Arial" w:hAnsi="Arial" w:hint="default"/>
      </w:rPr>
    </w:lvl>
    <w:lvl w:ilvl="6" w:tplc="C4B29A00" w:tentative="1">
      <w:start w:val="1"/>
      <w:numFmt w:val="bullet"/>
      <w:lvlText w:val="•"/>
      <w:lvlJc w:val="left"/>
      <w:pPr>
        <w:tabs>
          <w:tab w:val="num" w:pos="5040"/>
        </w:tabs>
        <w:ind w:left="5040" w:hanging="360"/>
      </w:pPr>
      <w:rPr>
        <w:rFonts w:ascii="Arial" w:hAnsi="Arial" w:hint="default"/>
      </w:rPr>
    </w:lvl>
    <w:lvl w:ilvl="7" w:tplc="7D1E656C" w:tentative="1">
      <w:start w:val="1"/>
      <w:numFmt w:val="bullet"/>
      <w:lvlText w:val="•"/>
      <w:lvlJc w:val="left"/>
      <w:pPr>
        <w:tabs>
          <w:tab w:val="num" w:pos="5760"/>
        </w:tabs>
        <w:ind w:left="5760" w:hanging="360"/>
      </w:pPr>
      <w:rPr>
        <w:rFonts w:ascii="Arial" w:hAnsi="Arial" w:hint="default"/>
      </w:rPr>
    </w:lvl>
    <w:lvl w:ilvl="8" w:tplc="578E334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6"/>
  </w:num>
  <w:num w:numId="14">
    <w:abstractNumId w:val="17"/>
  </w:num>
  <w:num w:numId="15">
    <w:abstractNumId w:val="12"/>
  </w:num>
  <w:num w:numId="16">
    <w:abstractNumId w:val="15"/>
  </w:num>
  <w:num w:numId="17">
    <w:abstractNumId w:val="13"/>
  </w:num>
  <w:num w:numId="18">
    <w:abstractNumId w:val="18"/>
  </w:num>
  <w:num w:numId="19">
    <w:abstractNumId w:val="11"/>
  </w:num>
  <w:num w:numId="20">
    <w:abstractNumId w:val="17"/>
  </w:num>
  <w:num w:numId="21">
    <w:abstractNumId w:val="17"/>
  </w:num>
  <w:num w:numId="22">
    <w:abstractNumId w:val="17"/>
  </w:num>
  <w:num w:numId="23">
    <w:abstractNumId w:val="17"/>
  </w:num>
  <w:num w:numId="24">
    <w:abstractNumId w:val="1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5257333-3BA1-43A5-BABD-6DF9780884A8}"/>
    <w:docVar w:name="dgnword-eventsink" w:val="2012047339792"/>
    <w:docVar w:name="dgnword-lastRevisionsView" w:val="0"/>
  </w:docVars>
  <w:rsids>
    <w:rsidRoot w:val="003967DD"/>
    <w:rsid w:val="000047A5"/>
    <w:rsid w:val="00011F31"/>
    <w:rsid w:val="00013339"/>
    <w:rsid w:val="0002115D"/>
    <w:rsid w:val="000256E2"/>
    <w:rsid w:val="00034AC0"/>
    <w:rsid w:val="00080DA9"/>
    <w:rsid w:val="000861DD"/>
    <w:rsid w:val="000942E8"/>
    <w:rsid w:val="000A3438"/>
    <w:rsid w:val="000A47D4"/>
    <w:rsid w:val="000C2A2D"/>
    <w:rsid w:val="000C600E"/>
    <w:rsid w:val="000D01F0"/>
    <w:rsid w:val="000E37FD"/>
    <w:rsid w:val="000E59A4"/>
    <w:rsid w:val="00122369"/>
    <w:rsid w:val="00135FEB"/>
    <w:rsid w:val="00137CFE"/>
    <w:rsid w:val="00150E0F"/>
    <w:rsid w:val="00157212"/>
    <w:rsid w:val="00161C8D"/>
    <w:rsid w:val="0016287D"/>
    <w:rsid w:val="00174F2D"/>
    <w:rsid w:val="001A2962"/>
    <w:rsid w:val="001B3A4D"/>
    <w:rsid w:val="001B5BC7"/>
    <w:rsid w:val="001C52A2"/>
    <w:rsid w:val="001C5627"/>
    <w:rsid w:val="001D0A73"/>
    <w:rsid w:val="001D0D94"/>
    <w:rsid w:val="001D13F9"/>
    <w:rsid w:val="001E33C5"/>
    <w:rsid w:val="001F39DD"/>
    <w:rsid w:val="001F3A93"/>
    <w:rsid w:val="00222735"/>
    <w:rsid w:val="00241FC6"/>
    <w:rsid w:val="0024281E"/>
    <w:rsid w:val="002512BE"/>
    <w:rsid w:val="00263C3C"/>
    <w:rsid w:val="00271477"/>
    <w:rsid w:val="00275FB8"/>
    <w:rsid w:val="002A4A96"/>
    <w:rsid w:val="002B4D97"/>
    <w:rsid w:val="002D1022"/>
    <w:rsid w:val="002E3BED"/>
    <w:rsid w:val="002E415F"/>
    <w:rsid w:val="002F41D7"/>
    <w:rsid w:val="002F6115"/>
    <w:rsid w:val="00311D04"/>
    <w:rsid w:val="00312720"/>
    <w:rsid w:val="00315590"/>
    <w:rsid w:val="0031655B"/>
    <w:rsid w:val="00343AFC"/>
    <w:rsid w:val="00345505"/>
    <w:rsid w:val="0034745C"/>
    <w:rsid w:val="00363EA5"/>
    <w:rsid w:val="00370455"/>
    <w:rsid w:val="003967DD"/>
    <w:rsid w:val="003A3D4C"/>
    <w:rsid w:val="003A4C39"/>
    <w:rsid w:val="003A7B0B"/>
    <w:rsid w:val="003B73FF"/>
    <w:rsid w:val="003B7769"/>
    <w:rsid w:val="003C1117"/>
    <w:rsid w:val="003E1040"/>
    <w:rsid w:val="003E724E"/>
    <w:rsid w:val="00400EEB"/>
    <w:rsid w:val="00401B25"/>
    <w:rsid w:val="00406FDA"/>
    <w:rsid w:val="0042333B"/>
    <w:rsid w:val="00433E3B"/>
    <w:rsid w:val="00440F21"/>
    <w:rsid w:val="00443E58"/>
    <w:rsid w:val="00444E80"/>
    <w:rsid w:val="004703A1"/>
    <w:rsid w:val="00474E39"/>
    <w:rsid w:val="00496256"/>
    <w:rsid w:val="00496A60"/>
    <w:rsid w:val="004A2E74"/>
    <w:rsid w:val="004A4C47"/>
    <w:rsid w:val="004B1C70"/>
    <w:rsid w:val="004B2ED6"/>
    <w:rsid w:val="004E1618"/>
    <w:rsid w:val="004E170F"/>
    <w:rsid w:val="004E7DDC"/>
    <w:rsid w:val="00500ADA"/>
    <w:rsid w:val="00512BBA"/>
    <w:rsid w:val="00522784"/>
    <w:rsid w:val="00555277"/>
    <w:rsid w:val="00567CF0"/>
    <w:rsid w:val="00582C38"/>
    <w:rsid w:val="00584366"/>
    <w:rsid w:val="00597BB1"/>
    <w:rsid w:val="005A4F12"/>
    <w:rsid w:val="005B6350"/>
    <w:rsid w:val="005C2899"/>
    <w:rsid w:val="005C567C"/>
    <w:rsid w:val="005E0713"/>
    <w:rsid w:val="005F7E36"/>
    <w:rsid w:val="006117FA"/>
    <w:rsid w:val="00624A55"/>
    <w:rsid w:val="00636D13"/>
    <w:rsid w:val="00644D09"/>
    <w:rsid w:val="0065158B"/>
    <w:rsid w:val="006523D7"/>
    <w:rsid w:val="006671CE"/>
    <w:rsid w:val="00692EF9"/>
    <w:rsid w:val="006A1F8A"/>
    <w:rsid w:val="006A25AC"/>
    <w:rsid w:val="006C1801"/>
    <w:rsid w:val="006C45C0"/>
    <w:rsid w:val="006D5475"/>
    <w:rsid w:val="006E0454"/>
    <w:rsid w:val="006E2B9A"/>
    <w:rsid w:val="006E4052"/>
    <w:rsid w:val="006E4E02"/>
    <w:rsid w:val="006F4BC6"/>
    <w:rsid w:val="00710CED"/>
    <w:rsid w:val="00717556"/>
    <w:rsid w:val="00724368"/>
    <w:rsid w:val="00735566"/>
    <w:rsid w:val="00762137"/>
    <w:rsid w:val="00763185"/>
    <w:rsid w:val="00767573"/>
    <w:rsid w:val="00770B34"/>
    <w:rsid w:val="007B556E"/>
    <w:rsid w:val="007C7838"/>
    <w:rsid w:val="007D3E38"/>
    <w:rsid w:val="007D40FC"/>
    <w:rsid w:val="007D4184"/>
    <w:rsid w:val="007D5250"/>
    <w:rsid w:val="00802D4F"/>
    <w:rsid w:val="008065DA"/>
    <w:rsid w:val="00807F58"/>
    <w:rsid w:val="00821EC5"/>
    <w:rsid w:val="00824B51"/>
    <w:rsid w:val="00853B7D"/>
    <w:rsid w:val="008549A0"/>
    <w:rsid w:val="00856CDF"/>
    <w:rsid w:val="00856FE7"/>
    <w:rsid w:val="00890680"/>
    <w:rsid w:val="00892E24"/>
    <w:rsid w:val="008B1737"/>
    <w:rsid w:val="008B6C44"/>
    <w:rsid w:val="008E1223"/>
    <w:rsid w:val="008E1772"/>
    <w:rsid w:val="008F0DDA"/>
    <w:rsid w:val="008F3D35"/>
    <w:rsid w:val="00905213"/>
    <w:rsid w:val="00916643"/>
    <w:rsid w:val="009172ED"/>
    <w:rsid w:val="00946E0E"/>
    <w:rsid w:val="00952690"/>
    <w:rsid w:val="00952AFB"/>
    <w:rsid w:val="00954B9A"/>
    <w:rsid w:val="009651DB"/>
    <w:rsid w:val="00972D4F"/>
    <w:rsid w:val="00980D95"/>
    <w:rsid w:val="0099358C"/>
    <w:rsid w:val="009A480E"/>
    <w:rsid w:val="009B62CE"/>
    <w:rsid w:val="009E5C7C"/>
    <w:rsid w:val="009F6A77"/>
    <w:rsid w:val="00A14094"/>
    <w:rsid w:val="00A23F20"/>
    <w:rsid w:val="00A31926"/>
    <w:rsid w:val="00A45548"/>
    <w:rsid w:val="00A55BB6"/>
    <w:rsid w:val="00A710DF"/>
    <w:rsid w:val="00AB2302"/>
    <w:rsid w:val="00AD2292"/>
    <w:rsid w:val="00B06E1E"/>
    <w:rsid w:val="00B21562"/>
    <w:rsid w:val="00B4696E"/>
    <w:rsid w:val="00B53C5B"/>
    <w:rsid w:val="00B75703"/>
    <w:rsid w:val="00B775D4"/>
    <w:rsid w:val="00B8728C"/>
    <w:rsid w:val="00BA2C2B"/>
    <w:rsid w:val="00BB23FE"/>
    <w:rsid w:val="00BC4EF1"/>
    <w:rsid w:val="00BC58B8"/>
    <w:rsid w:val="00BD0A30"/>
    <w:rsid w:val="00BD2405"/>
    <w:rsid w:val="00BE56C2"/>
    <w:rsid w:val="00C12211"/>
    <w:rsid w:val="00C22055"/>
    <w:rsid w:val="00C35AB6"/>
    <w:rsid w:val="00C539BB"/>
    <w:rsid w:val="00C82D57"/>
    <w:rsid w:val="00C91083"/>
    <w:rsid w:val="00C95D00"/>
    <w:rsid w:val="00C977B9"/>
    <w:rsid w:val="00CB07A2"/>
    <w:rsid w:val="00CB27E5"/>
    <w:rsid w:val="00CC2BBD"/>
    <w:rsid w:val="00CC378A"/>
    <w:rsid w:val="00CC5AA8"/>
    <w:rsid w:val="00CD5993"/>
    <w:rsid w:val="00CD6888"/>
    <w:rsid w:val="00CE1DAE"/>
    <w:rsid w:val="00CE7916"/>
    <w:rsid w:val="00D17E55"/>
    <w:rsid w:val="00D24100"/>
    <w:rsid w:val="00D73B2B"/>
    <w:rsid w:val="00D92432"/>
    <w:rsid w:val="00D947AF"/>
    <w:rsid w:val="00D9777A"/>
    <w:rsid w:val="00DA38D9"/>
    <w:rsid w:val="00DA5E94"/>
    <w:rsid w:val="00DC31B0"/>
    <w:rsid w:val="00DC4D0D"/>
    <w:rsid w:val="00DD000A"/>
    <w:rsid w:val="00DD04B4"/>
    <w:rsid w:val="00DE3EFF"/>
    <w:rsid w:val="00DE4332"/>
    <w:rsid w:val="00DF0AEF"/>
    <w:rsid w:val="00DF4624"/>
    <w:rsid w:val="00DF53A7"/>
    <w:rsid w:val="00E05AAD"/>
    <w:rsid w:val="00E13680"/>
    <w:rsid w:val="00E203C4"/>
    <w:rsid w:val="00E22B06"/>
    <w:rsid w:val="00E2427C"/>
    <w:rsid w:val="00E34263"/>
    <w:rsid w:val="00E34721"/>
    <w:rsid w:val="00E4317E"/>
    <w:rsid w:val="00E44F8C"/>
    <w:rsid w:val="00E47519"/>
    <w:rsid w:val="00E5030B"/>
    <w:rsid w:val="00E60C9C"/>
    <w:rsid w:val="00E61FC2"/>
    <w:rsid w:val="00E64758"/>
    <w:rsid w:val="00E707B6"/>
    <w:rsid w:val="00E73D3F"/>
    <w:rsid w:val="00E77EB9"/>
    <w:rsid w:val="00E90553"/>
    <w:rsid w:val="00EB51AB"/>
    <w:rsid w:val="00EC4C04"/>
    <w:rsid w:val="00ED4E92"/>
    <w:rsid w:val="00EE701C"/>
    <w:rsid w:val="00F009A2"/>
    <w:rsid w:val="00F057BA"/>
    <w:rsid w:val="00F058A4"/>
    <w:rsid w:val="00F348E4"/>
    <w:rsid w:val="00F526B1"/>
    <w:rsid w:val="00F5271F"/>
    <w:rsid w:val="00F53F4B"/>
    <w:rsid w:val="00F6154E"/>
    <w:rsid w:val="00F64759"/>
    <w:rsid w:val="00F67CAB"/>
    <w:rsid w:val="00F77E3B"/>
    <w:rsid w:val="00F84C92"/>
    <w:rsid w:val="00F878EE"/>
    <w:rsid w:val="00F94715"/>
    <w:rsid w:val="00F9508C"/>
    <w:rsid w:val="00FA23E0"/>
    <w:rsid w:val="00FA5108"/>
    <w:rsid w:val="00FA5154"/>
    <w:rsid w:val="00FA7E41"/>
    <w:rsid w:val="00FB5748"/>
    <w:rsid w:val="00FE2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3680"/>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NormalWeb">
    <w:name w:val="Normal (Web)"/>
    <w:basedOn w:val="Normal"/>
    <w:uiPriority w:val="99"/>
    <w:semiHidden/>
    <w:unhideWhenUsed/>
    <w:rsid w:val="00C35AB6"/>
    <w:pPr>
      <w:spacing w:before="100" w:beforeAutospacing="1" w:after="100" w:afterAutospacing="1"/>
    </w:pPr>
    <w:rPr>
      <w:rFonts w:ascii="Times New Roman" w:eastAsia="Times New Roman" w:hAnsi="Times New Roman" w:cs="Times New Roman"/>
      <w:sz w:val="24"/>
      <w:lang w:val="en-AU" w:eastAsia="en-AU"/>
    </w:rPr>
  </w:style>
  <w:style w:type="character" w:styleId="CommentReference">
    <w:name w:val="annotation reference"/>
    <w:basedOn w:val="DefaultParagraphFont"/>
    <w:uiPriority w:val="99"/>
    <w:semiHidden/>
    <w:unhideWhenUsed/>
    <w:rsid w:val="00BD0A30"/>
    <w:rPr>
      <w:sz w:val="16"/>
      <w:szCs w:val="16"/>
    </w:rPr>
  </w:style>
  <w:style w:type="paragraph" w:styleId="CommentText">
    <w:name w:val="annotation text"/>
    <w:basedOn w:val="Normal"/>
    <w:link w:val="CommentTextChar"/>
    <w:uiPriority w:val="99"/>
    <w:semiHidden/>
    <w:unhideWhenUsed/>
    <w:rsid w:val="00BD0A30"/>
    <w:rPr>
      <w:sz w:val="20"/>
      <w:szCs w:val="20"/>
    </w:rPr>
  </w:style>
  <w:style w:type="character" w:customStyle="1" w:styleId="CommentTextChar">
    <w:name w:val="Comment Text Char"/>
    <w:basedOn w:val="DefaultParagraphFont"/>
    <w:link w:val="CommentText"/>
    <w:uiPriority w:val="99"/>
    <w:semiHidden/>
    <w:rsid w:val="00BD0A30"/>
    <w:rPr>
      <w:sz w:val="20"/>
      <w:szCs w:val="20"/>
    </w:rPr>
  </w:style>
  <w:style w:type="paragraph" w:styleId="CommentSubject">
    <w:name w:val="annotation subject"/>
    <w:basedOn w:val="CommentText"/>
    <w:next w:val="CommentText"/>
    <w:link w:val="CommentSubjectChar"/>
    <w:uiPriority w:val="99"/>
    <w:semiHidden/>
    <w:unhideWhenUsed/>
    <w:rsid w:val="00BD0A30"/>
    <w:rPr>
      <w:b/>
      <w:bCs/>
    </w:rPr>
  </w:style>
  <w:style w:type="character" w:customStyle="1" w:styleId="CommentSubjectChar">
    <w:name w:val="Comment Subject Char"/>
    <w:basedOn w:val="CommentTextChar"/>
    <w:link w:val="CommentSubject"/>
    <w:uiPriority w:val="99"/>
    <w:semiHidden/>
    <w:rsid w:val="00BD0A30"/>
    <w:rPr>
      <w:b/>
      <w:bCs/>
      <w:sz w:val="20"/>
      <w:szCs w:val="20"/>
    </w:rPr>
  </w:style>
  <w:style w:type="paragraph" w:styleId="ListParagraph">
    <w:name w:val="List Paragraph"/>
    <w:basedOn w:val="Normal"/>
    <w:uiPriority w:val="34"/>
    <w:qFormat/>
    <w:rsid w:val="00802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48255356">
      <w:bodyDiv w:val="1"/>
      <w:marLeft w:val="0"/>
      <w:marRight w:val="0"/>
      <w:marTop w:val="0"/>
      <w:marBottom w:val="0"/>
      <w:divBdr>
        <w:top w:val="none" w:sz="0" w:space="0" w:color="auto"/>
        <w:left w:val="none" w:sz="0" w:space="0" w:color="auto"/>
        <w:bottom w:val="none" w:sz="0" w:space="0" w:color="auto"/>
        <w:right w:val="none" w:sz="0" w:space="0" w:color="auto"/>
      </w:divBdr>
    </w:div>
    <w:div w:id="215431971">
      <w:bodyDiv w:val="1"/>
      <w:marLeft w:val="0"/>
      <w:marRight w:val="0"/>
      <w:marTop w:val="0"/>
      <w:marBottom w:val="0"/>
      <w:divBdr>
        <w:top w:val="none" w:sz="0" w:space="0" w:color="auto"/>
        <w:left w:val="none" w:sz="0" w:space="0" w:color="auto"/>
        <w:bottom w:val="none" w:sz="0" w:space="0" w:color="auto"/>
        <w:right w:val="none" w:sz="0" w:space="0" w:color="auto"/>
      </w:divBdr>
      <w:divsChild>
        <w:div w:id="811097118">
          <w:marLeft w:val="446"/>
          <w:marRight w:val="0"/>
          <w:marTop w:val="0"/>
          <w:marBottom w:val="0"/>
          <w:divBdr>
            <w:top w:val="none" w:sz="0" w:space="0" w:color="auto"/>
            <w:left w:val="none" w:sz="0" w:space="0" w:color="auto"/>
            <w:bottom w:val="none" w:sz="0" w:space="0" w:color="auto"/>
            <w:right w:val="none" w:sz="0" w:space="0" w:color="auto"/>
          </w:divBdr>
        </w:div>
        <w:div w:id="985664797">
          <w:marLeft w:val="446"/>
          <w:marRight w:val="0"/>
          <w:marTop w:val="0"/>
          <w:marBottom w:val="0"/>
          <w:divBdr>
            <w:top w:val="none" w:sz="0" w:space="0" w:color="auto"/>
            <w:left w:val="none" w:sz="0" w:space="0" w:color="auto"/>
            <w:bottom w:val="none" w:sz="0" w:space="0" w:color="auto"/>
            <w:right w:val="none" w:sz="0" w:space="0" w:color="auto"/>
          </w:divBdr>
        </w:div>
        <w:div w:id="409162013">
          <w:marLeft w:val="446"/>
          <w:marRight w:val="0"/>
          <w:marTop w:val="0"/>
          <w:marBottom w:val="0"/>
          <w:divBdr>
            <w:top w:val="none" w:sz="0" w:space="0" w:color="auto"/>
            <w:left w:val="none" w:sz="0" w:space="0" w:color="auto"/>
            <w:bottom w:val="none" w:sz="0" w:space="0" w:color="auto"/>
            <w:right w:val="none" w:sz="0" w:space="0" w:color="auto"/>
          </w:divBdr>
        </w:div>
        <w:div w:id="1281959759">
          <w:marLeft w:val="446"/>
          <w:marRight w:val="0"/>
          <w:marTop w:val="0"/>
          <w:marBottom w:val="0"/>
          <w:divBdr>
            <w:top w:val="none" w:sz="0" w:space="0" w:color="auto"/>
            <w:left w:val="none" w:sz="0" w:space="0" w:color="auto"/>
            <w:bottom w:val="none" w:sz="0" w:space="0" w:color="auto"/>
            <w:right w:val="none" w:sz="0" w:space="0" w:color="auto"/>
          </w:divBdr>
        </w:div>
        <w:div w:id="1004092875">
          <w:marLeft w:val="446"/>
          <w:marRight w:val="0"/>
          <w:marTop w:val="0"/>
          <w:marBottom w:val="0"/>
          <w:divBdr>
            <w:top w:val="none" w:sz="0" w:space="0" w:color="auto"/>
            <w:left w:val="none" w:sz="0" w:space="0" w:color="auto"/>
            <w:bottom w:val="none" w:sz="0" w:space="0" w:color="auto"/>
            <w:right w:val="none" w:sz="0" w:space="0" w:color="auto"/>
          </w:divBdr>
        </w:div>
        <w:div w:id="1751543409">
          <w:marLeft w:val="446"/>
          <w:marRight w:val="0"/>
          <w:marTop w:val="0"/>
          <w:marBottom w:val="0"/>
          <w:divBdr>
            <w:top w:val="none" w:sz="0" w:space="0" w:color="auto"/>
            <w:left w:val="none" w:sz="0" w:space="0" w:color="auto"/>
            <w:bottom w:val="none" w:sz="0" w:space="0" w:color="auto"/>
            <w:right w:val="none" w:sz="0" w:space="0" w:color="auto"/>
          </w:divBdr>
        </w:div>
      </w:divsChild>
    </w:div>
    <w:div w:id="403575526">
      <w:bodyDiv w:val="1"/>
      <w:marLeft w:val="0"/>
      <w:marRight w:val="0"/>
      <w:marTop w:val="0"/>
      <w:marBottom w:val="0"/>
      <w:divBdr>
        <w:top w:val="none" w:sz="0" w:space="0" w:color="auto"/>
        <w:left w:val="none" w:sz="0" w:space="0" w:color="auto"/>
        <w:bottom w:val="none" w:sz="0" w:space="0" w:color="auto"/>
        <w:right w:val="none" w:sz="0" w:space="0" w:color="auto"/>
      </w:divBdr>
    </w:div>
    <w:div w:id="435829748">
      <w:bodyDiv w:val="1"/>
      <w:marLeft w:val="0"/>
      <w:marRight w:val="0"/>
      <w:marTop w:val="0"/>
      <w:marBottom w:val="0"/>
      <w:divBdr>
        <w:top w:val="none" w:sz="0" w:space="0" w:color="auto"/>
        <w:left w:val="none" w:sz="0" w:space="0" w:color="auto"/>
        <w:bottom w:val="none" w:sz="0" w:space="0" w:color="auto"/>
        <w:right w:val="none" w:sz="0" w:space="0" w:color="auto"/>
      </w:divBdr>
    </w:div>
    <w:div w:id="521894599">
      <w:bodyDiv w:val="1"/>
      <w:marLeft w:val="0"/>
      <w:marRight w:val="0"/>
      <w:marTop w:val="0"/>
      <w:marBottom w:val="0"/>
      <w:divBdr>
        <w:top w:val="none" w:sz="0" w:space="0" w:color="auto"/>
        <w:left w:val="none" w:sz="0" w:space="0" w:color="auto"/>
        <w:bottom w:val="none" w:sz="0" w:space="0" w:color="auto"/>
        <w:right w:val="none" w:sz="0" w:space="0" w:color="auto"/>
      </w:divBdr>
    </w:div>
    <w:div w:id="532503884">
      <w:bodyDiv w:val="1"/>
      <w:marLeft w:val="0"/>
      <w:marRight w:val="0"/>
      <w:marTop w:val="0"/>
      <w:marBottom w:val="0"/>
      <w:divBdr>
        <w:top w:val="none" w:sz="0" w:space="0" w:color="auto"/>
        <w:left w:val="none" w:sz="0" w:space="0" w:color="auto"/>
        <w:bottom w:val="none" w:sz="0" w:space="0" w:color="auto"/>
        <w:right w:val="none" w:sz="0" w:space="0" w:color="auto"/>
      </w:divBdr>
    </w:div>
    <w:div w:id="626938395">
      <w:bodyDiv w:val="1"/>
      <w:marLeft w:val="0"/>
      <w:marRight w:val="0"/>
      <w:marTop w:val="0"/>
      <w:marBottom w:val="0"/>
      <w:divBdr>
        <w:top w:val="none" w:sz="0" w:space="0" w:color="auto"/>
        <w:left w:val="none" w:sz="0" w:space="0" w:color="auto"/>
        <w:bottom w:val="none" w:sz="0" w:space="0" w:color="auto"/>
        <w:right w:val="none" w:sz="0" w:space="0" w:color="auto"/>
      </w:divBdr>
    </w:div>
    <w:div w:id="715006965">
      <w:bodyDiv w:val="1"/>
      <w:marLeft w:val="0"/>
      <w:marRight w:val="0"/>
      <w:marTop w:val="0"/>
      <w:marBottom w:val="0"/>
      <w:divBdr>
        <w:top w:val="none" w:sz="0" w:space="0" w:color="auto"/>
        <w:left w:val="none" w:sz="0" w:space="0" w:color="auto"/>
        <w:bottom w:val="none" w:sz="0" w:space="0" w:color="auto"/>
        <w:right w:val="none" w:sz="0" w:space="0" w:color="auto"/>
      </w:divBdr>
    </w:div>
    <w:div w:id="842746622">
      <w:bodyDiv w:val="1"/>
      <w:marLeft w:val="0"/>
      <w:marRight w:val="0"/>
      <w:marTop w:val="0"/>
      <w:marBottom w:val="0"/>
      <w:divBdr>
        <w:top w:val="none" w:sz="0" w:space="0" w:color="auto"/>
        <w:left w:val="none" w:sz="0" w:space="0" w:color="auto"/>
        <w:bottom w:val="none" w:sz="0" w:space="0" w:color="auto"/>
        <w:right w:val="none" w:sz="0" w:space="0" w:color="auto"/>
      </w:divBdr>
    </w:div>
    <w:div w:id="1136988305">
      <w:bodyDiv w:val="1"/>
      <w:marLeft w:val="0"/>
      <w:marRight w:val="0"/>
      <w:marTop w:val="0"/>
      <w:marBottom w:val="0"/>
      <w:divBdr>
        <w:top w:val="none" w:sz="0" w:space="0" w:color="auto"/>
        <w:left w:val="none" w:sz="0" w:space="0" w:color="auto"/>
        <w:bottom w:val="none" w:sz="0" w:space="0" w:color="auto"/>
        <w:right w:val="none" w:sz="0" w:space="0" w:color="auto"/>
      </w:divBdr>
    </w:div>
    <w:div w:id="124927212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601453049">
      <w:bodyDiv w:val="1"/>
      <w:marLeft w:val="0"/>
      <w:marRight w:val="0"/>
      <w:marTop w:val="0"/>
      <w:marBottom w:val="0"/>
      <w:divBdr>
        <w:top w:val="none" w:sz="0" w:space="0" w:color="auto"/>
        <w:left w:val="none" w:sz="0" w:space="0" w:color="auto"/>
        <w:bottom w:val="none" w:sz="0" w:space="0" w:color="auto"/>
        <w:right w:val="none" w:sz="0" w:space="0" w:color="auto"/>
      </w:divBdr>
    </w:div>
    <w:div w:id="1601832775">
      <w:bodyDiv w:val="1"/>
      <w:marLeft w:val="0"/>
      <w:marRight w:val="0"/>
      <w:marTop w:val="0"/>
      <w:marBottom w:val="0"/>
      <w:divBdr>
        <w:top w:val="none" w:sz="0" w:space="0" w:color="auto"/>
        <w:left w:val="none" w:sz="0" w:space="0" w:color="auto"/>
        <w:bottom w:val="none" w:sz="0" w:space="0" w:color="auto"/>
        <w:right w:val="none" w:sz="0" w:space="0" w:color="auto"/>
      </w:divBdr>
    </w:div>
    <w:div w:id="1639262616">
      <w:bodyDiv w:val="1"/>
      <w:marLeft w:val="0"/>
      <w:marRight w:val="0"/>
      <w:marTop w:val="0"/>
      <w:marBottom w:val="0"/>
      <w:divBdr>
        <w:top w:val="none" w:sz="0" w:space="0" w:color="auto"/>
        <w:left w:val="none" w:sz="0" w:space="0" w:color="auto"/>
        <w:bottom w:val="none" w:sz="0" w:space="0" w:color="auto"/>
        <w:right w:val="none" w:sz="0" w:space="0" w:color="auto"/>
      </w:divBdr>
    </w:div>
    <w:div w:id="1726443491">
      <w:bodyDiv w:val="1"/>
      <w:marLeft w:val="0"/>
      <w:marRight w:val="0"/>
      <w:marTop w:val="0"/>
      <w:marBottom w:val="0"/>
      <w:divBdr>
        <w:top w:val="none" w:sz="0" w:space="0" w:color="auto"/>
        <w:left w:val="none" w:sz="0" w:space="0" w:color="auto"/>
        <w:bottom w:val="none" w:sz="0" w:space="0" w:color="auto"/>
        <w:right w:val="none" w:sz="0" w:space="0" w:color="auto"/>
      </w:divBdr>
    </w:div>
    <w:div w:id="1807817285">
      <w:bodyDiv w:val="1"/>
      <w:marLeft w:val="0"/>
      <w:marRight w:val="0"/>
      <w:marTop w:val="0"/>
      <w:marBottom w:val="0"/>
      <w:divBdr>
        <w:top w:val="none" w:sz="0" w:space="0" w:color="auto"/>
        <w:left w:val="none" w:sz="0" w:space="0" w:color="auto"/>
        <w:bottom w:val="none" w:sz="0" w:space="0" w:color="auto"/>
        <w:right w:val="none" w:sz="0" w:space="0" w:color="auto"/>
      </w:divBdr>
    </w:div>
    <w:div w:id="1913277687">
      <w:bodyDiv w:val="1"/>
      <w:marLeft w:val="0"/>
      <w:marRight w:val="0"/>
      <w:marTop w:val="0"/>
      <w:marBottom w:val="0"/>
      <w:divBdr>
        <w:top w:val="none" w:sz="0" w:space="0" w:color="auto"/>
        <w:left w:val="none" w:sz="0" w:space="0" w:color="auto"/>
        <w:bottom w:val="none" w:sz="0" w:space="0" w:color="auto"/>
        <w:right w:val="none" w:sz="0" w:space="0" w:color="auto"/>
      </w:divBdr>
    </w:div>
    <w:div w:id="1947272602">
      <w:bodyDiv w:val="1"/>
      <w:marLeft w:val="0"/>
      <w:marRight w:val="0"/>
      <w:marTop w:val="0"/>
      <w:marBottom w:val="0"/>
      <w:divBdr>
        <w:top w:val="none" w:sz="0" w:space="0" w:color="auto"/>
        <w:left w:val="none" w:sz="0" w:space="0" w:color="auto"/>
        <w:bottom w:val="none" w:sz="0" w:space="0" w:color="auto"/>
        <w:right w:val="none" w:sz="0" w:space="0" w:color="auto"/>
      </w:divBdr>
    </w:div>
    <w:div w:id="2065060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Pages/copyrigh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hoolportal.eduweb.vic.gov.au/Pages/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edrms/keyprocess/TEB/panorama/Pages/panorama.aspx" TargetMode="External"/><Relationship Id="rId5" Type="http://schemas.openxmlformats.org/officeDocument/2006/relationships/numbering" Target="numbering.xml"/><Relationship Id="rId15" Type="http://schemas.openxmlformats.org/officeDocument/2006/relationships/hyperlink" Target="https://www.education.vic.gov.au/Pages/copyright.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154</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803D72E2-31F5-4C8A-9077-91155E1718E5}">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53b8418c-c39e-46a7-acb4-7d93d0b947a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86CB8B3-5512-412C-A0C5-80313B246F1D}"/>
</file>

<file path=docProps/app.xml><?xml version="1.0" encoding="utf-8"?>
<Properties xmlns="http://schemas.openxmlformats.org/officeDocument/2006/extended-properties" xmlns:vt="http://schemas.openxmlformats.org/officeDocument/2006/docPropsVTypes">
  <Template>Normal.dotm</Template>
  <TotalTime>5</TotalTime>
  <Pages>10</Pages>
  <Words>2703</Words>
  <Characters>15410</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Clorinda Siemienowicz</cp:lastModifiedBy>
  <cp:revision>2</cp:revision>
  <dcterms:created xsi:type="dcterms:W3CDTF">2021-11-18T04:53:00Z</dcterms:created>
  <dcterms:modified xsi:type="dcterms:W3CDTF">2021-11-18T04:53:00Z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{bada3518-a604-4f15-8bc7-4552d36ee98e}</vt:lpwstr>
  </property>
  <property fmtid="{D5CDD505-2E9C-101B-9397-08002B2CF9AE}" pid="5" name="RecordPoint_ActiveItemListId">
    <vt:lpwstr>{53b8418c-c39e-46a7-acb4-7d93d0b947a1}</vt:lpwstr>
  </property>
  <property fmtid="{D5CDD505-2E9C-101B-9397-08002B2CF9AE}" pid="6" name="RecordPoint_ActiveItemUniqueId">
    <vt:lpwstr>{67d34c01-3ce9-4451-8b7f-b7adf68495c9}</vt:lpwstr>
  </property>
  <property fmtid="{D5CDD505-2E9C-101B-9397-08002B2CF9AE}" pid="7" name="RecordPoint_ActiveItemWebId">
    <vt:lpwstr>{e93fa699-4810-4a92-91d8-f3ea09702ed4}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y fmtid="{D5CDD505-2E9C-101B-9397-08002B2CF9AE}" pid="13" name="MSIP_Label_ea60d57e-af5b-4752-ac57-3e4f28ca11dc_ContentBits">
    <vt:lpwstr>0</vt:lpwstr>
  </property>
  <property fmtid="{D5CDD505-2E9C-101B-9397-08002B2CF9AE}" pid="14" name="MSIP_Label_ea60d57e-af5b-4752-ac57-3e4f28ca11dc_Enabled">
    <vt:lpwstr>true</vt:lpwstr>
  </property>
  <property fmtid="{D5CDD505-2E9C-101B-9397-08002B2CF9AE}" pid="15" name="MSIP_Label_ea60d57e-af5b-4752-ac57-3e4f28ca11dc_Method">
    <vt:lpwstr>Standard</vt:lpwstr>
  </property>
  <property fmtid="{D5CDD505-2E9C-101B-9397-08002B2CF9AE}" pid="16" name="MSIP_Label_ea60d57e-af5b-4752-ac57-3e4f28ca11dc_Name">
    <vt:lpwstr>ea60d57e-af5b-4752-ac57-3e4f28ca11dc</vt:lpwstr>
  </property>
  <property fmtid="{D5CDD505-2E9C-101B-9397-08002B2CF9AE}" pid="17" name="MSIP_Label_ea60d57e-af5b-4752-ac57-3e4f28ca11dc_SetDate">
    <vt:lpwstr>2021-07-28T23:43:00Z</vt:lpwstr>
  </property>
  <property fmtid="{D5CDD505-2E9C-101B-9397-08002B2CF9AE}" pid="18" name="MSIP_Label_ea60d57e-af5b-4752-ac57-3e4f28ca11dc_ActionId">
    <vt:lpwstr>06ca0ab8-3d90-466d-b132-b207569f6917</vt:lpwstr>
  </property>
  <property fmtid="{D5CDD505-2E9C-101B-9397-08002B2CF9AE}" pid="19" name="MSIP_Label_ea60d57e-af5b-4752-ac57-3e4f28ca11dc_SiteId">
    <vt:lpwstr>36da45f1-dd2c-4d1f-af13-5abe46b99921</vt:lpwstr>
  </property>
</Properties>
</file>